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6DB6B">
      <w:pPr>
        <w:widowControl w:val="0"/>
        <w:kinsoku/>
        <w:autoSpaceDE w:val="0"/>
        <w:autoSpaceDN w:val="0"/>
        <w:adjustRightInd w:val="0"/>
        <w:snapToGrid/>
        <w:spacing w:line="240" w:lineRule="auto"/>
        <w:jc w:val="center"/>
        <w:textAlignment w:val="auto"/>
        <w:rPr>
          <w:rFonts w:hint="eastAsia" w:ascii="仿宋_GB2312" w:hAnsi="仿宋_GB2312" w:eastAsia="仿宋_GB2312" w:cs="仿宋_GB2312"/>
          <w:b/>
          <w:snapToGrid/>
          <w:color w:val="auto"/>
          <w:kern w:val="2"/>
          <w:sz w:val="48"/>
          <w:szCs w:val="48"/>
          <w:highlight w:val="none"/>
          <w:lang w:val="en-US" w:eastAsia="zh-CN" w:bidi="ar-SA"/>
        </w:rPr>
      </w:pPr>
      <w:bookmarkStart w:id="1" w:name="_GoBack"/>
      <w:r>
        <w:rPr>
          <w:rFonts w:hint="eastAsia" w:ascii="仿宋_GB2312" w:hAnsi="仿宋_GB2312" w:eastAsia="仿宋_GB2312" w:cs="仿宋_GB2312"/>
          <w:b/>
          <w:snapToGrid/>
          <w:color w:val="auto"/>
          <w:kern w:val="2"/>
          <w:sz w:val="48"/>
          <w:szCs w:val="48"/>
          <w:highlight w:val="none"/>
          <w:lang w:val="en-US" w:eastAsia="zh-CN" w:bidi="ar-SA"/>
        </w:rPr>
        <w:t>阿克苏市政务服务和公共资源交易中心</w:t>
      </w:r>
    </w:p>
    <w:p w14:paraId="1B0CB003">
      <w:pPr>
        <w:pStyle w:val="36"/>
        <w:jc w:val="center"/>
        <w:rPr>
          <w:rFonts w:hint="eastAsia" w:ascii="仿宋_GB2312" w:hAnsi="仿宋_GB2312" w:eastAsia="仿宋_GB2312" w:cs="仿宋_GB2312"/>
          <w:color w:val="auto"/>
          <w:spacing w:val="20"/>
          <w:sz w:val="96"/>
          <w:szCs w:val="112"/>
          <w:highlight w:val="none"/>
        </w:rPr>
      </w:pPr>
    </w:p>
    <w:p w14:paraId="44946C8C">
      <w:pPr>
        <w:pStyle w:val="36"/>
        <w:jc w:val="center"/>
        <w:rPr>
          <w:rFonts w:hint="eastAsia" w:ascii="仿宋_GB2312" w:hAnsi="仿宋_GB2312" w:eastAsia="仿宋_GB2312" w:cs="仿宋_GB2312"/>
          <w:color w:val="auto"/>
          <w:spacing w:val="20"/>
          <w:sz w:val="96"/>
          <w:szCs w:val="112"/>
          <w:highlight w:val="none"/>
        </w:rPr>
      </w:pPr>
    </w:p>
    <w:p w14:paraId="6E465390">
      <w:pPr>
        <w:pStyle w:val="36"/>
        <w:jc w:val="center"/>
        <w:rPr>
          <w:rFonts w:hint="eastAsia" w:ascii="仿宋_GB2312" w:hAnsi="仿宋_GB2312" w:eastAsia="仿宋_GB2312" w:cs="仿宋_GB2312"/>
          <w:b/>
          <w:bCs/>
          <w:color w:val="auto"/>
          <w:sz w:val="32"/>
          <w:szCs w:val="31"/>
          <w:highlight w:val="none"/>
        </w:rPr>
      </w:pPr>
      <w:r>
        <w:rPr>
          <w:rFonts w:hint="eastAsia" w:ascii="仿宋_GB2312" w:hAnsi="仿宋_GB2312" w:eastAsia="仿宋_GB2312" w:cs="仿宋_GB2312"/>
          <w:b/>
          <w:bCs/>
          <w:color w:val="auto"/>
          <w:spacing w:val="20"/>
          <w:sz w:val="84"/>
          <w:szCs w:val="84"/>
          <w:highlight w:val="none"/>
        </w:rPr>
        <w:t xml:space="preserve">招  标  文  件 </w:t>
      </w:r>
    </w:p>
    <w:p w14:paraId="6F14F896">
      <w:pPr>
        <w:pStyle w:val="36"/>
        <w:spacing w:line="360" w:lineRule="auto"/>
        <w:ind w:left="3995" w:leftChars="912" w:hanging="2080" w:hangingChars="650"/>
        <w:jc w:val="both"/>
        <w:rPr>
          <w:rFonts w:hint="eastAsia" w:ascii="仿宋_GB2312" w:hAnsi="仿宋_GB2312" w:eastAsia="仿宋_GB2312" w:cs="仿宋_GB2312"/>
          <w:color w:val="auto"/>
          <w:sz w:val="32"/>
          <w:szCs w:val="31"/>
          <w:highlight w:val="none"/>
        </w:rPr>
      </w:pPr>
    </w:p>
    <w:p w14:paraId="3187A4A7">
      <w:pPr>
        <w:pStyle w:val="36"/>
        <w:spacing w:line="360" w:lineRule="auto"/>
        <w:ind w:left="3995" w:leftChars="912" w:hanging="2080" w:hangingChars="650"/>
        <w:jc w:val="both"/>
        <w:rPr>
          <w:rFonts w:hint="eastAsia" w:ascii="仿宋_GB2312" w:hAnsi="仿宋_GB2312" w:eastAsia="仿宋_GB2312" w:cs="仿宋_GB2312"/>
          <w:color w:val="auto"/>
          <w:sz w:val="32"/>
          <w:szCs w:val="31"/>
          <w:highlight w:val="none"/>
        </w:rPr>
      </w:pPr>
    </w:p>
    <w:p w14:paraId="7AB42486">
      <w:pPr>
        <w:pStyle w:val="36"/>
        <w:spacing w:line="360" w:lineRule="auto"/>
        <w:jc w:val="both"/>
        <w:rPr>
          <w:rFonts w:hint="eastAsia" w:ascii="仿宋_GB2312" w:hAnsi="仿宋_GB2312" w:eastAsia="仿宋_GB2312" w:cs="仿宋_GB2312"/>
          <w:color w:val="auto"/>
          <w:sz w:val="32"/>
          <w:szCs w:val="31"/>
          <w:highlight w:val="none"/>
        </w:rPr>
      </w:pPr>
    </w:p>
    <w:p w14:paraId="51C2CCC3">
      <w:pPr>
        <w:pStyle w:val="36"/>
        <w:spacing w:line="360" w:lineRule="auto"/>
        <w:jc w:val="both"/>
        <w:rPr>
          <w:rFonts w:hint="eastAsia" w:ascii="仿宋_GB2312" w:hAnsi="仿宋_GB2312" w:eastAsia="仿宋_GB2312" w:cs="仿宋_GB2312"/>
          <w:color w:val="auto"/>
          <w:sz w:val="32"/>
          <w:szCs w:val="31"/>
          <w:highlight w:val="none"/>
        </w:rPr>
      </w:pPr>
    </w:p>
    <w:p w14:paraId="3E3B8067">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项目名称：阿克苏市医疗援疆“高峰工程”项目-医疗设备四标段市妇幼保健院区域检测中心设备购置</w:t>
      </w:r>
    </w:p>
    <w:p w14:paraId="42CC12DB">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招标机构名称：阿克苏市政务服务和公共资源交易中心</w:t>
      </w:r>
    </w:p>
    <w:p w14:paraId="219CFB2A">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文件编号：2026- A-38</w:t>
      </w:r>
      <w:r>
        <w:rPr>
          <w:rFonts w:hint="eastAsia" w:ascii="仿宋_GB2312" w:hAnsi="仿宋_GB2312" w:eastAsia="仿宋_GB2312" w:cs="仿宋_GB2312"/>
          <w:snapToGrid/>
          <w:color w:val="auto"/>
          <w:kern w:val="2"/>
          <w:sz w:val="30"/>
          <w:szCs w:val="30"/>
          <w:highlight w:val="none"/>
          <w:lang w:val="en-US" w:eastAsia="zh-CN" w:bidi="ar-SA"/>
        </w:rPr>
        <w:t xml:space="preserve">-04 </w:t>
      </w:r>
    </w:p>
    <w:p w14:paraId="3EF09D6D">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采购单位：阿克苏市卫生健康委员会</w:t>
      </w:r>
    </w:p>
    <w:p w14:paraId="5085E45A">
      <w:pPr>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600" w:firstLineChars="200"/>
        <w:jc w:val="both"/>
        <w:textAlignment w:val="auto"/>
        <w:rPr>
          <w:rFonts w:hint="default"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napToGrid/>
          <w:color w:val="auto"/>
          <w:kern w:val="2"/>
          <w:sz w:val="30"/>
          <w:szCs w:val="30"/>
          <w:highlight w:val="none"/>
          <w:lang w:val="en-US" w:eastAsia="zh-CN" w:bidi="ar-SA"/>
        </w:rPr>
        <w:t>编制时间：202</w:t>
      </w:r>
      <w:r>
        <w:rPr>
          <w:rFonts w:hint="default" w:ascii="仿宋_GB2312" w:hAnsi="仿宋_GB2312" w:eastAsia="仿宋_GB2312" w:cs="仿宋_GB2312"/>
          <w:snapToGrid/>
          <w:color w:val="auto"/>
          <w:kern w:val="2"/>
          <w:sz w:val="30"/>
          <w:szCs w:val="30"/>
          <w:highlight w:val="none"/>
          <w:lang w:val="en-US" w:eastAsia="zh-CN" w:bidi="ar-SA"/>
        </w:rPr>
        <w:t>6</w:t>
      </w:r>
      <w:r>
        <w:rPr>
          <w:rFonts w:hint="eastAsia" w:ascii="仿宋_GB2312" w:hAnsi="仿宋_GB2312" w:eastAsia="仿宋_GB2312" w:cs="仿宋_GB2312"/>
          <w:snapToGrid/>
          <w:color w:val="auto"/>
          <w:kern w:val="2"/>
          <w:sz w:val="30"/>
          <w:szCs w:val="30"/>
          <w:highlight w:val="none"/>
          <w:lang w:val="en-US" w:eastAsia="zh-CN" w:bidi="ar-SA"/>
        </w:rPr>
        <w:t>年-9月</w:t>
      </w:r>
    </w:p>
    <w:p w14:paraId="1C9C6550">
      <w:pPr>
        <w:widowControl w:val="0"/>
        <w:kinsoku/>
        <w:autoSpaceDE w:val="0"/>
        <w:autoSpaceDN w:val="0"/>
        <w:adjustRightInd w:val="0"/>
        <w:snapToGrid/>
        <w:spacing w:line="240" w:lineRule="auto"/>
        <w:ind w:firstLine="1657" w:firstLineChars="518"/>
        <w:jc w:val="both"/>
        <w:textAlignment w:val="auto"/>
        <w:rPr>
          <w:rFonts w:hint="eastAsia" w:ascii="仿宋_GB2312" w:hAnsi="仿宋_GB2312" w:eastAsia="仿宋_GB2312" w:cs="仿宋_GB2312"/>
          <w:snapToGrid/>
          <w:color w:val="auto"/>
          <w:kern w:val="2"/>
          <w:sz w:val="32"/>
          <w:szCs w:val="31"/>
          <w:highlight w:val="none"/>
          <w:lang w:val="en-US" w:eastAsia="zh-CN" w:bidi="ar-SA"/>
        </w:rPr>
      </w:pPr>
    </w:p>
    <w:tbl>
      <w:tblPr>
        <w:tblStyle w:val="17"/>
        <w:tblpPr w:leftFromText="180" w:rightFromText="180" w:vertAnchor="text" w:horzAnchor="page" w:tblpX="1173" w:tblpY="11"/>
        <w:tblOverlap w:val="never"/>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4"/>
        <w:gridCol w:w="2869"/>
        <w:gridCol w:w="3829"/>
      </w:tblGrid>
      <w:tr w14:paraId="7254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4" w:type="dxa"/>
            <w:tcBorders>
              <w:top w:val="single" w:color="auto" w:sz="4" w:space="0"/>
              <w:left w:val="single" w:color="auto" w:sz="4" w:space="0"/>
              <w:bottom w:val="single" w:color="auto" w:sz="4" w:space="0"/>
              <w:right w:val="single" w:color="auto" w:sz="4" w:space="0"/>
            </w:tcBorders>
            <w:noWrap w:val="0"/>
            <w:vAlign w:val="center"/>
          </w:tcPr>
          <w:p w14:paraId="1D0D6493">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交易科</w:t>
            </w:r>
          </w:p>
          <w:p w14:paraId="4EA3E233">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经办人</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2F70F798">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中心主要领导或分管领导签字</w:t>
            </w:r>
          </w:p>
        </w:tc>
        <w:tc>
          <w:tcPr>
            <w:tcW w:w="3829" w:type="dxa"/>
            <w:tcBorders>
              <w:top w:val="single" w:color="auto" w:sz="4" w:space="0"/>
              <w:left w:val="single" w:color="auto" w:sz="4" w:space="0"/>
              <w:bottom w:val="single" w:color="auto" w:sz="4" w:space="0"/>
              <w:right w:val="single" w:color="auto" w:sz="4" w:space="0"/>
            </w:tcBorders>
            <w:noWrap w:val="0"/>
            <w:vAlign w:val="center"/>
          </w:tcPr>
          <w:p w14:paraId="18012467">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业主单位主要领导或分管领导签字</w:t>
            </w:r>
          </w:p>
          <w:p w14:paraId="646739C9">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val="en-US" w:eastAsia="zh-CN"/>
              </w:rPr>
            </w:pPr>
            <w:r>
              <w:rPr>
                <w:rFonts w:hint="eastAsia" w:ascii="仿宋_GB2312" w:hAnsi="仿宋_GB2312" w:eastAsia="仿宋_GB2312" w:cs="仿宋_GB2312"/>
                <w:snapToGrid/>
                <w:kern w:val="2"/>
                <w:sz w:val="30"/>
                <w:szCs w:val="30"/>
                <w:highlight w:val="none"/>
                <w:vertAlign w:val="baseline"/>
                <w:lang w:val="en-US" w:eastAsia="zh-CN"/>
              </w:rPr>
              <w:t>（盖章）</w:t>
            </w:r>
          </w:p>
        </w:tc>
      </w:tr>
      <w:tr w14:paraId="0282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3384" w:type="dxa"/>
            <w:tcBorders>
              <w:top w:val="single" w:color="auto" w:sz="4" w:space="0"/>
              <w:left w:val="single" w:color="auto" w:sz="4" w:space="0"/>
              <w:bottom w:val="single" w:color="auto" w:sz="4" w:space="0"/>
              <w:right w:val="single" w:color="auto" w:sz="4" w:space="0"/>
            </w:tcBorders>
            <w:noWrap w:val="0"/>
            <w:vAlign w:val="top"/>
          </w:tcPr>
          <w:p w14:paraId="0D259342">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c>
          <w:tcPr>
            <w:tcW w:w="2869" w:type="dxa"/>
            <w:tcBorders>
              <w:top w:val="single" w:color="auto" w:sz="4" w:space="0"/>
              <w:left w:val="single" w:color="auto" w:sz="4" w:space="0"/>
              <w:bottom w:val="single" w:color="auto" w:sz="4" w:space="0"/>
              <w:right w:val="single" w:color="auto" w:sz="4" w:space="0"/>
            </w:tcBorders>
            <w:noWrap w:val="0"/>
            <w:vAlign w:val="top"/>
          </w:tcPr>
          <w:p w14:paraId="5353CFE1">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c>
          <w:tcPr>
            <w:tcW w:w="3829" w:type="dxa"/>
            <w:tcBorders>
              <w:top w:val="single" w:color="auto" w:sz="4" w:space="0"/>
              <w:left w:val="single" w:color="auto" w:sz="4" w:space="0"/>
              <w:bottom w:val="single" w:color="auto" w:sz="4" w:space="0"/>
              <w:right w:val="single" w:color="auto" w:sz="4" w:space="0"/>
            </w:tcBorders>
            <w:noWrap w:val="0"/>
            <w:vAlign w:val="top"/>
          </w:tcPr>
          <w:p w14:paraId="791C5784">
            <w:pPr>
              <w:keepNext w:val="0"/>
              <w:keepLines w:val="0"/>
              <w:pageBreakBefore w:val="0"/>
              <w:widowControl w:val="0"/>
              <w:kinsoku/>
              <w:wordWrap/>
              <w:overflowPunct/>
              <w:autoSpaceDE/>
              <w:autoSpaceDN/>
              <w:bidi w:val="0"/>
              <w:adjustRightInd/>
              <w:snapToGrid/>
              <w:spacing w:line="560" w:lineRule="exact"/>
              <w:jc w:val="center"/>
              <w:textAlignment w:val="auto"/>
              <w:outlineLvl w:val="9"/>
              <w:rPr>
                <w:rFonts w:hint="eastAsia" w:ascii="仿宋_GB2312" w:hAnsi="仿宋_GB2312" w:eastAsia="仿宋_GB2312" w:cs="仿宋_GB2312"/>
                <w:b/>
                <w:snapToGrid/>
                <w:kern w:val="2"/>
                <w:sz w:val="30"/>
                <w:szCs w:val="30"/>
                <w:highlight w:val="none"/>
                <w:vertAlign w:val="baseline"/>
                <w:lang w:eastAsia="zh-CN"/>
              </w:rPr>
            </w:pPr>
          </w:p>
        </w:tc>
      </w:tr>
    </w:tbl>
    <w:p w14:paraId="33445262">
      <w:pPr>
        <w:keepLines w:val="0"/>
        <w:pageBreakBefore w:val="0"/>
        <w:kinsoku/>
        <w:wordWrap/>
        <w:overflowPunct/>
        <w:topLinePunct w:val="0"/>
        <w:bidi w:val="0"/>
        <w:spacing w:line="222" w:lineRule="auto"/>
        <w:rPr>
          <w:rFonts w:ascii="仿宋" w:hAnsi="仿宋" w:eastAsia="仿宋" w:cs="仿宋"/>
          <w:sz w:val="33"/>
          <w:szCs w:val="33"/>
          <w:highlight w:val="none"/>
        </w:rPr>
      </w:pPr>
    </w:p>
    <w:p w14:paraId="4DEF72B3">
      <w:pPr>
        <w:keepLines w:val="0"/>
        <w:pageBreakBefore w:val="0"/>
        <w:kinsoku/>
        <w:wordWrap/>
        <w:overflowPunct/>
        <w:topLinePunct w:val="0"/>
        <w:bidi w:val="0"/>
        <w:spacing w:line="222" w:lineRule="auto"/>
        <w:rPr>
          <w:rFonts w:ascii="仿宋" w:hAnsi="仿宋" w:eastAsia="仿宋" w:cs="仿宋"/>
          <w:sz w:val="33"/>
          <w:szCs w:val="33"/>
          <w:highlight w:val="none"/>
        </w:rPr>
      </w:pPr>
    </w:p>
    <w:p w14:paraId="4AD95542">
      <w:pPr>
        <w:keepLines w:val="0"/>
        <w:pageBreakBefore w:val="0"/>
        <w:kinsoku/>
        <w:wordWrap/>
        <w:overflowPunct/>
        <w:topLinePunct w:val="0"/>
        <w:bidi w:val="0"/>
        <w:spacing w:line="222" w:lineRule="auto"/>
        <w:rPr>
          <w:rFonts w:ascii="仿宋" w:hAnsi="仿宋" w:eastAsia="仿宋" w:cs="仿宋"/>
          <w:sz w:val="33"/>
          <w:szCs w:val="33"/>
          <w:highlight w:val="none"/>
        </w:rPr>
      </w:pPr>
    </w:p>
    <w:sdt>
      <w:sdtPr>
        <w:rPr>
          <w:rFonts w:ascii="仿宋" w:hAnsi="仿宋" w:eastAsia="仿宋" w:cs="仿宋"/>
          <w:sz w:val="28"/>
          <w:szCs w:val="28"/>
          <w:highlight w:val="none"/>
        </w:rPr>
        <w:id w:val="9"/>
      </w:sdtPr>
      <w:sdtEndPr>
        <w:rPr>
          <w:rFonts w:ascii="仿宋" w:hAnsi="仿宋" w:eastAsia="仿宋" w:cs="仿宋"/>
          <w:sz w:val="24"/>
          <w:szCs w:val="24"/>
          <w:highlight w:val="none"/>
        </w:rPr>
      </w:sdtEndPr>
      <w:sdtContent>
        <w:p w14:paraId="3481A9EE">
          <w:pPr>
            <w:keepLines w:val="0"/>
            <w:pageBreakBefore w:val="0"/>
            <w:kinsoku/>
            <w:wordWrap/>
            <w:overflowPunct/>
            <w:topLinePunct w:val="0"/>
            <w:bidi w:val="0"/>
            <w:spacing w:before="91" w:line="224" w:lineRule="auto"/>
            <w:ind w:left="4109"/>
            <w:rPr>
              <w:rFonts w:ascii="仿宋" w:hAnsi="仿宋" w:eastAsia="仿宋" w:cs="仿宋"/>
              <w:sz w:val="28"/>
              <w:szCs w:val="28"/>
              <w:highlight w:val="none"/>
            </w:rPr>
          </w:pPr>
          <w:r>
            <w:rPr>
              <w:rFonts w:ascii="仿宋" w:hAnsi="仿宋" w:eastAsia="仿宋" w:cs="仿宋"/>
              <w:b/>
              <w:bCs/>
              <w:spacing w:val="-37"/>
              <w:sz w:val="28"/>
              <w:szCs w:val="28"/>
              <w:highlight w:val="none"/>
            </w:rPr>
            <w:t>目</w:t>
          </w:r>
          <w:r>
            <w:rPr>
              <w:rFonts w:ascii="仿宋" w:hAnsi="仿宋" w:eastAsia="仿宋" w:cs="仿宋"/>
              <w:spacing w:val="27"/>
              <w:sz w:val="28"/>
              <w:szCs w:val="28"/>
              <w:highlight w:val="none"/>
            </w:rPr>
            <w:t xml:space="preserve"> </w:t>
          </w:r>
          <w:r>
            <w:rPr>
              <w:rFonts w:ascii="仿宋" w:hAnsi="仿宋" w:eastAsia="仿宋" w:cs="仿宋"/>
              <w:b/>
              <w:bCs/>
              <w:spacing w:val="-37"/>
              <w:sz w:val="28"/>
              <w:szCs w:val="28"/>
              <w:highlight w:val="none"/>
            </w:rPr>
            <w:t>录</w:t>
          </w:r>
        </w:p>
        <w:p w14:paraId="52A50466">
          <w:pPr>
            <w:pStyle w:val="9"/>
            <w:keepLines w:val="0"/>
            <w:pageBreakBefore w:val="0"/>
            <w:kinsoku/>
            <w:wordWrap/>
            <w:overflowPunct/>
            <w:topLinePunct w:val="0"/>
            <w:bidi w:val="0"/>
            <w:spacing w:line="286" w:lineRule="auto"/>
            <w:rPr>
              <w:highlight w:val="none"/>
            </w:rPr>
          </w:pPr>
        </w:p>
        <w:p w14:paraId="5991B1B0">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"bookmark1" </w:instrText>
          </w:r>
          <w:r>
            <w:rPr>
              <w:sz w:val="28"/>
              <w:szCs w:val="28"/>
              <w:highlight w:val="none"/>
            </w:rPr>
            <w:fldChar w:fldCharType="separate"/>
          </w:r>
          <w:r>
            <w:rPr>
              <w:sz w:val="28"/>
              <w:szCs w:val="28"/>
              <w:highlight w:val="none"/>
            </w:rPr>
            <w:t>第一章 招标公告</w:t>
          </w:r>
          <w:r>
            <w:rPr>
              <w:sz w:val="28"/>
              <w:szCs w:val="28"/>
              <w:highlight w:val="none"/>
            </w:rPr>
            <w:fldChar w:fldCharType="end"/>
          </w:r>
        </w:p>
        <w:p w14:paraId="57616D9B">
          <w:pPr>
            <w:keepLines w:val="0"/>
            <w:pageBreakBefore w:val="0"/>
            <w:tabs>
              <w:tab w:val="right" w:leader="dot" w:pos="8542"/>
            </w:tabs>
            <w:kinsoku/>
            <w:wordWrap/>
            <w:overflowPunct/>
            <w:topLinePunct w:val="0"/>
            <w:bidi w:val="0"/>
            <w:spacing w:before="65" w:line="231" w:lineRule="auto"/>
            <w:ind w:left="265"/>
            <w:rPr>
              <w:sz w:val="28"/>
              <w:szCs w:val="28"/>
              <w:highlight w:val="none"/>
            </w:rPr>
          </w:pPr>
        </w:p>
        <w:p w14:paraId="1A58EB0D">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"bookmark2" </w:instrText>
          </w:r>
          <w:r>
            <w:rPr>
              <w:sz w:val="28"/>
              <w:szCs w:val="28"/>
              <w:highlight w:val="none"/>
            </w:rPr>
            <w:fldChar w:fldCharType="separate"/>
          </w:r>
          <w:r>
            <w:rPr>
              <w:sz w:val="28"/>
              <w:szCs w:val="28"/>
              <w:highlight w:val="none"/>
            </w:rPr>
            <w:t xml:space="preserve">第二章  </w:t>
          </w:r>
          <w:r>
            <w:rPr>
              <w:rFonts w:hint="eastAsia" w:eastAsia="宋体"/>
              <w:sz w:val="28"/>
              <w:szCs w:val="28"/>
              <w:highlight w:val="none"/>
              <w:lang w:eastAsia="zh-CN"/>
            </w:rPr>
            <w:t>投标人</w:t>
          </w:r>
          <w:r>
            <w:rPr>
              <w:sz w:val="28"/>
              <w:szCs w:val="28"/>
              <w:highlight w:val="none"/>
            </w:rPr>
            <w:t xml:space="preserve">须知 </w:t>
          </w:r>
          <w:r>
            <w:rPr>
              <w:sz w:val="28"/>
              <w:szCs w:val="28"/>
              <w:highlight w:val="none"/>
            </w:rPr>
            <w:fldChar w:fldCharType="end"/>
          </w:r>
        </w:p>
        <w:p w14:paraId="0C8BA76F">
          <w:pPr>
            <w:keepLines w:val="0"/>
            <w:pageBreakBefore w:val="0"/>
            <w:tabs>
              <w:tab w:val="right" w:leader="dot" w:pos="8542"/>
            </w:tabs>
            <w:kinsoku/>
            <w:wordWrap/>
            <w:overflowPunct/>
            <w:topLinePunct w:val="0"/>
            <w:bidi w:val="0"/>
            <w:spacing w:before="65" w:line="231" w:lineRule="auto"/>
            <w:ind w:left="265"/>
            <w:rPr>
              <w:sz w:val="28"/>
              <w:szCs w:val="28"/>
              <w:highlight w:val="none"/>
            </w:rPr>
          </w:pPr>
        </w:p>
        <w:p w14:paraId="604792BC">
          <w:pPr>
            <w:keepLines w:val="0"/>
            <w:pageBreakBefore w:val="0"/>
            <w:tabs>
              <w:tab w:val="right" w:leader="dot" w:pos="8542"/>
            </w:tabs>
            <w:kinsoku/>
            <w:wordWrap/>
            <w:overflowPunct/>
            <w:topLinePunct w:val="0"/>
            <w:bidi w:val="0"/>
            <w:spacing w:before="65" w:line="231" w:lineRule="auto"/>
            <w:ind w:left="265"/>
            <w:rPr>
              <w:rFonts w:hint="eastAsia"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"bookmark3" </w:instrText>
          </w:r>
          <w:r>
            <w:rPr>
              <w:sz w:val="28"/>
              <w:szCs w:val="28"/>
              <w:highlight w:val="none"/>
            </w:rPr>
            <w:fldChar w:fldCharType="separate"/>
          </w:r>
          <w:r>
            <w:rPr>
              <w:sz w:val="28"/>
              <w:szCs w:val="28"/>
              <w:highlight w:val="none"/>
            </w:rPr>
            <w:t>第三章  评标办法</w:t>
          </w:r>
          <w:r>
            <w:rPr>
              <w:sz w:val="28"/>
              <w:szCs w:val="28"/>
              <w:highlight w:val="none"/>
            </w:rPr>
            <w:fldChar w:fldCharType="end"/>
          </w:r>
        </w:p>
        <w:p w14:paraId="1F648E7D">
          <w:pPr>
            <w:keepLines w:val="0"/>
            <w:pageBreakBefore w:val="0"/>
            <w:tabs>
              <w:tab w:val="right" w:leader="dot" w:pos="8542"/>
            </w:tabs>
            <w:kinsoku/>
            <w:wordWrap/>
            <w:overflowPunct/>
            <w:topLinePunct w:val="0"/>
            <w:bidi w:val="0"/>
            <w:spacing w:before="65" w:line="231" w:lineRule="auto"/>
            <w:ind w:left="265"/>
            <w:rPr>
              <w:sz w:val="28"/>
              <w:szCs w:val="28"/>
              <w:highlight w:val="none"/>
            </w:rPr>
          </w:pPr>
        </w:p>
        <w:p w14:paraId="56C4670C">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"bookmark4" </w:instrText>
          </w:r>
          <w:r>
            <w:rPr>
              <w:sz w:val="28"/>
              <w:szCs w:val="28"/>
              <w:highlight w:val="none"/>
            </w:rPr>
            <w:fldChar w:fldCharType="separate"/>
          </w:r>
          <w:r>
            <w:rPr>
              <w:sz w:val="28"/>
              <w:szCs w:val="28"/>
              <w:highlight w:val="none"/>
            </w:rPr>
            <w:t xml:space="preserve">第四章  合同条款 </w:t>
          </w:r>
          <w:r>
            <w:rPr>
              <w:sz w:val="28"/>
              <w:szCs w:val="28"/>
              <w:highlight w:val="none"/>
            </w:rPr>
            <w:fldChar w:fldCharType="end"/>
          </w:r>
        </w:p>
        <w:p w14:paraId="3B4CE39E">
          <w:pPr>
            <w:keepLines w:val="0"/>
            <w:pageBreakBefore w:val="0"/>
            <w:tabs>
              <w:tab w:val="right" w:leader="dot" w:pos="8542"/>
            </w:tabs>
            <w:kinsoku/>
            <w:wordWrap/>
            <w:overflowPunct/>
            <w:topLinePunct w:val="0"/>
            <w:bidi w:val="0"/>
            <w:spacing w:before="65" w:line="231" w:lineRule="auto"/>
            <w:ind w:left="265"/>
            <w:rPr>
              <w:sz w:val="28"/>
              <w:szCs w:val="28"/>
              <w:highlight w:val="none"/>
            </w:rPr>
          </w:pPr>
        </w:p>
        <w:p w14:paraId="13B9CC6B">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"bookmark5" </w:instrText>
          </w:r>
          <w:r>
            <w:rPr>
              <w:sz w:val="28"/>
              <w:szCs w:val="28"/>
              <w:highlight w:val="none"/>
            </w:rPr>
            <w:fldChar w:fldCharType="separate"/>
          </w:r>
          <w:r>
            <w:rPr>
              <w:sz w:val="28"/>
              <w:szCs w:val="28"/>
              <w:highlight w:val="none"/>
            </w:rPr>
            <w:t>第五章  采购需求及技术</w:t>
          </w:r>
          <w:r>
            <w:rPr>
              <w:rFonts w:hint="eastAsia" w:eastAsia="宋体"/>
              <w:sz w:val="28"/>
              <w:szCs w:val="28"/>
              <w:highlight w:val="none"/>
              <w:lang w:eastAsia="zh-CN"/>
            </w:rPr>
            <w:t>要求</w:t>
          </w:r>
          <w:r>
            <w:rPr>
              <w:sz w:val="28"/>
              <w:szCs w:val="28"/>
              <w:highlight w:val="none"/>
            </w:rPr>
            <w:fldChar w:fldCharType="end"/>
          </w:r>
        </w:p>
        <w:p w14:paraId="495B37B8">
          <w:pPr>
            <w:keepLines w:val="0"/>
            <w:pageBreakBefore w:val="0"/>
            <w:tabs>
              <w:tab w:val="right" w:leader="dot" w:pos="8542"/>
            </w:tabs>
            <w:kinsoku/>
            <w:wordWrap/>
            <w:overflowPunct/>
            <w:topLinePunct w:val="0"/>
            <w:bidi w:val="0"/>
            <w:spacing w:before="65" w:line="231" w:lineRule="auto"/>
            <w:ind w:left="265"/>
            <w:rPr>
              <w:sz w:val="28"/>
              <w:szCs w:val="28"/>
              <w:highlight w:val="none"/>
            </w:rPr>
          </w:pPr>
        </w:p>
        <w:p w14:paraId="66BFE8D6">
          <w:pPr>
            <w:keepLines w:val="0"/>
            <w:pageBreakBefore w:val="0"/>
            <w:tabs>
              <w:tab w:val="right" w:leader="dot" w:pos="8542"/>
            </w:tabs>
            <w:kinsoku/>
            <w:wordWrap/>
            <w:overflowPunct/>
            <w:topLinePunct w:val="0"/>
            <w:bidi w:val="0"/>
            <w:spacing w:before="65" w:line="231" w:lineRule="auto"/>
            <w:ind w:left="265"/>
            <w:rPr>
              <w:rFonts w:hint="default" w:eastAsia="宋体"/>
              <w:sz w:val="28"/>
              <w:szCs w:val="28"/>
              <w:highlight w:val="none"/>
              <w:lang w:val="en-US" w:eastAsia="zh-CN"/>
            </w:rPr>
          </w:pPr>
          <w:r>
            <w:rPr>
              <w:sz w:val="28"/>
              <w:szCs w:val="28"/>
              <w:highlight w:val="none"/>
            </w:rPr>
            <w:fldChar w:fldCharType="begin"/>
          </w:r>
          <w:r>
            <w:rPr>
              <w:sz w:val="28"/>
              <w:szCs w:val="28"/>
              <w:highlight w:val="none"/>
            </w:rPr>
            <w:instrText xml:space="preserve"> HYPERLINK \l "bookmark6" </w:instrText>
          </w:r>
          <w:r>
            <w:rPr>
              <w:sz w:val="28"/>
              <w:szCs w:val="28"/>
              <w:highlight w:val="none"/>
            </w:rPr>
            <w:fldChar w:fldCharType="separate"/>
          </w:r>
          <w:r>
            <w:rPr>
              <w:sz w:val="28"/>
              <w:szCs w:val="28"/>
              <w:highlight w:val="none"/>
            </w:rPr>
            <w:t>第六章 投标文件格式</w:t>
          </w:r>
          <w:r>
            <w:rPr>
              <w:sz w:val="28"/>
              <w:szCs w:val="28"/>
              <w:highlight w:val="none"/>
            </w:rPr>
            <w:fldChar w:fldCharType="end"/>
          </w:r>
        </w:p>
        <w:p w14:paraId="674390F6">
          <w:pPr>
            <w:keepLines w:val="0"/>
            <w:pageBreakBefore w:val="0"/>
            <w:tabs>
              <w:tab w:val="right" w:leader="dot" w:pos="8542"/>
            </w:tabs>
            <w:kinsoku/>
            <w:wordWrap/>
            <w:overflowPunct/>
            <w:topLinePunct w:val="0"/>
            <w:bidi w:val="0"/>
            <w:spacing w:before="65" w:line="231" w:lineRule="auto"/>
            <w:ind w:left="265"/>
            <w:rPr>
              <w:rFonts w:hint="eastAsia"/>
              <w:sz w:val="28"/>
              <w:szCs w:val="28"/>
              <w:highlight w:val="none"/>
              <w:lang w:val="en-US" w:eastAsia="zh-CN"/>
            </w:rPr>
          </w:pPr>
        </w:p>
        <w:p w14:paraId="01EB3467">
          <w:pPr>
            <w:keepLines w:val="0"/>
            <w:pageBreakBefore w:val="0"/>
            <w:tabs>
              <w:tab w:val="right" w:leader="dot" w:pos="8542"/>
            </w:tabs>
            <w:kinsoku/>
            <w:wordWrap/>
            <w:overflowPunct/>
            <w:topLinePunct w:val="0"/>
            <w:bidi w:val="0"/>
            <w:spacing w:before="65" w:line="231" w:lineRule="auto"/>
            <w:ind w:left="265"/>
            <w:rPr>
              <w:rFonts w:ascii="仿宋" w:hAnsi="仿宋" w:eastAsia="仿宋" w:cs="仿宋"/>
              <w:sz w:val="24"/>
              <w:szCs w:val="24"/>
              <w:highlight w:val="none"/>
            </w:rPr>
          </w:pPr>
        </w:p>
      </w:sdtContent>
    </w:sdt>
    <w:p w14:paraId="0B1AD46F">
      <w:pPr>
        <w:keepLines w:val="0"/>
        <w:pageBreakBefore w:val="0"/>
        <w:kinsoku/>
        <w:wordWrap/>
        <w:overflowPunct/>
        <w:topLinePunct w:val="0"/>
        <w:bidi w:val="0"/>
        <w:rPr>
          <w:rFonts w:ascii="Arial" w:hAnsi="Arial" w:eastAsia="Arial" w:cs="Arial"/>
          <w:snapToGrid w:val="0"/>
          <w:color w:val="000000"/>
          <w:kern w:val="0"/>
          <w:sz w:val="21"/>
          <w:szCs w:val="21"/>
          <w:highlight w:val="none"/>
          <w:lang w:val="en-US" w:eastAsia="en-US" w:bidi="ar-SA"/>
        </w:rPr>
      </w:pPr>
    </w:p>
    <w:p w14:paraId="63B49436">
      <w:pPr>
        <w:keepLines w:val="0"/>
        <w:pageBreakBefore w:val="0"/>
        <w:kinsoku/>
        <w:wordWrap/>
        <w:overflowPunct/>
        <w:topLinePunct w:val="0"/>
        <w:bidi w:val="0"/>
        <w:rPr>
          <w:highlight w:val="none"/>
          <w:lang w:val="en-US" w:eastAsia="en-US"/>
        </w:rPr>
      </w:pPr>
    </w:p>
    <w:p w14:paraId="5EE51813">
      <w:pPr>
        <w:keepLines w:val="0"/>
        <w:pageBreakBefore w:val="0"/>
        <w:kinsoku/>
        <w:wordWrap/>
        <w:overflowPunct/>
        <w:topLinePunct w:val="0"/>
        <w:bidi w:val="0"/>
        <w:rPr>
          <w:highlight w:val="none"/>
          <w:lang w:val="en-US" w:eastAsia="en-US"/>
        </w:rPr>
      </w:pPr>
    </w:p>
    <w:p w14:paraId="3DC3E7F7">
      <w:pPr>
        <w:keepLines w:val="0"/>
        <w:pageBreakBefore w:val="0"/>
        <w:kinsoku/>
        <w:wordWrap/>
        <w:overflowPunct/>
        <w:topLinePunct w:val="0"/>
        <w:bidi w:val="0"/>
        <w:rPr>
          <w:highlight w:val="none"/>
          <w:lang w:val="en-US" w:eastAsia="en-US"/>
        </w:rPr>
      </w:pPr>
    </w:p>
    <w:p w14:paraId="4FA5B2E7">
      <w:pPr>
        <w:keepLines w:val="0"/>
        <w:pageBreakBefore w:val="0"/>
        <w:kinsoku/>
        <w:wordWrap/>
        <w:overflowPunct/>
        <w:topLinePunct w:val="0"/>
        <w:bidi w:val="0"/>
        <w:rPr>
          <w:highlight w:val="none"/>
          <w:lang w:val="en-US" w:eastAsia="en-US"/>
        </w:rPr>
      </w:pPr>
    </w:p>
    <w:p w14:paraId="4A97D683">
      <w:pPr>
        <w:keepLines w:val="0"/>
        <w:pageBreakBefore w:val="0"/>
        <w:kinsoku/>
        <w:wordWrap/>
        <w:overflowPunct/>
        <w:topLinePunct w:val="0"/>
        <w:bidi w:val="0"/>
        <w:rPr>
          <w:highlight w:val="none"/>
          <w:lang w:val="en-US" w:eastAsia="en-US"/>
        </w:rPr>
      </w:pPr>
    </w:p>
    <w:p w14:paraId="15264491">
      <w:pPr>
        <w:keepLines w:val="0"/>
        <w:pageBreakBefore w:val="0"/>
        <w:kinsoku/>
        <w:wordWrap/>
        <w:overflowPunct/>
        <w:topLinePunct w:val="0"/>
        <w:bidi w:val="0"/>
        <w:rPr>
          <w:highlight w:val="none"/>
          <w:lang w:val="en-US" w:eastAsia="en-US"/>
        </w:rPr>
      </w:pPr>
    </w:p>
    <w:p w14:paraId="075B4371">
      <w:pPr>
        <w:keepLines w:val="0"/>
        <w:pageBreakBefore w:val="0"/>
        <w:kinsoku/>
        <w:wordWrap/>
        <w:overflowPunct/>
        <w:topLinePunct w:val="0"/>
        <w:bidi w:val="0"/>
        <w:rPr>
          <w:highlight w:val="none"/>
          <w:lang w:val="en-US" w:eastAsia="en-US"/>
        </w:rPr>
      </w:pPr>
    </w:p>
    <w:p w14:paraId="1D0EA5D1">
      <w:pPr>
        <w:keepLines w:val="0"/>
        <w:pageBreakBefore w:val="0"/>
        <w:kinsoku/>
        <w:wordWrap/>
        <w:overflowPunct/>
        <w:topLinePunct w:val="0"/>
        <w:bidi w:val="0"/>
        <w:rPr>
          <w:highlight w:val="none"/>
          <w:lang w:val="en-US" w:eastAsia="en-US"/>
        </w:rPr>
      </w:pPr>
    </w:p>
    <w:p w14:paraId="5E7D45A3">
      <w:pPr>
        <w:keepLines w:val="0"/>
        <w:pageBreakBefore w:val="0"/>
        <w:kinsoku/>
        <w:wordWrap/>
        <w:overflowPunct/>
        <w:topLinePunct w:val="0"/>
        <w:bidi w:val="0"/>
        <w:rPr>
          <w:highlight w:val="none"/>
          <w:lang w:val="en-US" w:eastAsia="en-US"/>
        </w:rPr>
      </w:pPr>
    </w:p>
    <w:p w14:paraId="3BDE2B39">
      <w:pPr>
        <w:keepLines w:val="0"/>
        <w:pageBreakBefore w:val="0"/>
        <w:kinsoku/>
        <w:wordWrap/>
        <w:overflowPunct/>
        <w:topLinePunct w:val="0"/>
        <w:bidi w:val="0"/>
        <w:rPr>
          <w:highlight w:val="none"/>
          <w:lang w:val="en-US" w:eastAsia="en-US"/>
        </w:rPr>
      </w:pPr>
    </w:p>
    <w:p w14:paraId="5388CE7E">
      <w:pPr>
        <w:keepLines w:val="0"/>
        <w:pageBreakBefore w:val="0"/>
        <w:kinsoku/>
        <w:wordWrap/>
        <w:overflowPunct/>
        <w:topLinePunct w:val="0"/>
        <w:bidi w:val="0"/>
        <w:rPr>
          <w:highlight w:val="none"/>
          <w:lang w:val="en-US" w:eastAsia="en-US"/>
        </w:rPr>
      </w:pPr>
    </w:p>
    <w:p w14:paraId="452E3828">
      <w:pPr>
        <w:keepLines w:val="0"/>
        <w:pageBreakBefore w:val="0"/>
        <w:kinsoku/>
        <w:wordWrap/>
        <w:overflowPunct/>
        <w:topLinePunct w:val="0"/>
        <w:bidi w:val="0"/>
        <w:rPr>
          <w:highlight w:val="none"/>
          <w:lang w:val="en-US" w:eastAsia="en-US"/>
        </w:rPr>
      </w:pPr>
    </w:p>
    <w:p w14:paraId="77A7CD35">
      <w:pPr>
        <w:keepLines w:val="0"/>
        <w:pageBreakBefore w:val="0"/>
        <w:kinsoku/>
        <w:wordWrap/>
        <w:overflowPunct/>
        <w:topLinePunct w:val="0"/>
        <w:bidi w:val="0"/>
        <w:rPr>
          <w:highlight w:val="none"/>
          <w:lang w:val="en-US" w:eastAsia="en-US"/>
        </w:rPr>
      </w:pPr>
    </w:p>
    <w:p w14:paraId="2B4BB5C1">
      <w:pPr>
        <w:keepLines w:val="0"/>
        <w:pageBreakBefore w:val="0"/>
        <w:kinsoku/>
        <w:wordWrap/>
        <w:overflowPunct/>
        <w:topLinePunct w:val="0"/>
        <w:bidi w:val="0"/>
        <w:rPr>
          <w:highlight w:val="none"/>
          <w:lang w:val="en-US" w:eastAsia="en-US"/>
        </w:rPr>
      </w:pPr>
    </w:p>
    <w:p w14:paraId="3D436B07">
      <w:pPr>
        <w:keepLines w:val="0"/>
        <w:pageBreakBefore w:val="0"/>
        <w:kinsoku/>
        <w:wordWrap/>
        <w:overflowPunct/>
        <w:topLinePunct w:val="0"/>
        <w:bidi w:val="0"/>
        <w:rPr>
          <w:highlight w:val="none"/>
          <w:lang w:val="en-US" w:eastAsia="en-US"/>
        </w:rPr>
      </w:pPr>
    </w:p>
    <w:p w14:paraId="05CDF6DE">
      <w:pPr>
        <w:keepLines w:val="0"/>
        <w:pageBreakBefore w:val="0"/>
        <w:kinsoku/>
        <w:wordWrap/>
        <w:overflowPunct/>
        <w:topLinePunct w:val="0"/>
        <w:bidi w:val="0"/>
        <w:rPr>
          <w:highlight w:val="none"/>
          <w:lang w:val="en-US" w:eastAsia="en-US"/>
        </w:rPr>
      </w:pPr>
    </w:p>
    <w:p w14:paraId="656FFDA7">
      <w:pPr>
        <w:keepLines w:val="0"/>
        <w:pageBreakBefore w:val="0"/>
        <w:kinsoku/>
        <w:wordWrap/>
        <w:overflowPunct/>
        <w:topLinePunct w:val="0"/>
        <w:bidi w:val="0"/>
        <w:rPr>
          <w:highlight w:val="none"/>
          <w:lang w:val="en-US" w:eastAsia="en-US"/>
        </w:rPr>
      </w:pPr>
    </w:p>
    <w:p w14:paraId="2307120D">
      <w:pPr>
        <w:keepLines w:val="0"/>
        <w:pageBreakBefore w:val="0"/>
        <w:kinsoku/>
        <w:wordWrap/>
        <w:overflowPunct/>
        <w:topLinePunct w:val="0"/>
        <w:bidi w:val="0"/>
        <w:rPr>
          <w:highlight w:val="none"/>
          <w:lang w:val="en-US" w:eastAsia="en-US"/>
        </w:rPr>
      </w:pPr>
    </w:p>
    <w:p w14:paraId="719D7E4F">
      <w:pPr>
        <w:keepLines w:val="0"/>
        <w:pageBreakBefore w:val="0"/>
        <w:kinsoku/>
        <w:wordWrap/>
        <w:overflowPunct/>
        <w:topLinePunct w:val="0"/>
        <w:bidi w:val="0"/>
        <w:rPr>
          <w:highlight w:val="none"/>
          <w:lang w:val="en-US" w:eastAsia="en-US"/>
        </w:rPr>
      </w:pPr>
    </w:p>
    <w:p w14:paraId="7DEB1E9C">
      <w:pPr>
        <w:keepLines w:val="0"/>
        <w:pageBreakBefore w:val="0"/>
        <w:kinsoku/>
        <w:wordWrap/>
        <w:overflowPunct/>
        <w:topLinePunct w:val="0"/>
        <w:bidi w:val="0"/>
        <w:rPr>
          <w:highlight w:val="none"/>
          <w:lang w:val="en-US" w:eastAsia="en-US"/>
        </w:rPr>
      </w:pPr>
    </w:p>
    <w:p w14:paraId="21FED4CB">
      <w:pPr>
        <w:keepLines w:val="0"/>
        <w:pageBreakBefore w:val="0"/>
        <w:kinsoku/>
        <w:wordWrap/>
        <w:overflowPunct/>
        <w:topLinePunct w:val="0"/>
        <w:bidi w:val="0"/>
        <w:rPr>
          <w:highlight w:val="none"/>
          <w:lang w:val="en-US" w:eastAsia="en-US"/>
        </w:rPr>
      </w:pPr>
    </w:p>
    <w:p w14:paraId="458615CC">
      <w:pPr>
        <w:keepLines w:val="0"/>
        <w:pageBreakBefore w:val="0"/>
        <w:kinsoku/>
        <w:wordWrap/>
        <w:overflowPunct/>
        <w:topLinePunct w:val="0"/>
        <w:bidi w:val="0"/>
        <w:rPr>
          <w:highlight w:val="none"/>
          <w:lang w:val="en-US" w:eastAsia="en-US"/>
        </w:rPr>
      </w:pPr>
    </w:p>
    <w:p w14:paraId="2B012BD1">
      <w:pPr>
        <w:keepLines w:val="0"/>
        <w:pageBreakBefore w:val="0"/>
        <w:tabs>
          <w:tab w:val="center" w:pos="4873"/>
        </w:tabs>
        <w:kinsoku/>
        <w:wordWrap/>
        <w:overflowPunct/>
        <w:topLinePunct w:val="0"/>
        <w:bidi w:val="0"/>
        <w:jc w:val="left"/>
        <w:rPr>
          <w:rFonts w:hint="eastAsia" w:eastAsia="宋体"/>
          <w:highlight w:val="none"/>
          <w:lang w:val="en-US" w:eastAsia="zh-CN"/>
        </w:rPr>
        <w:sectPr>
          <w:headerReference r:id="rId5" w:type="default"/>
          <w:footerReference r:id="rId6" w:type="default"/>
          <w:pgSz w:w="11906" w:h="16839"/>
          <w:pgMar w:top="1440" w:right="1080" w:bottom="1440" w:left="1080" w:header="850" w:footer="850" w:gutter="0"/>
          <w:cols w:space="720" w:num="1"/>
        </w:sectPr>
      </w:pPr>
    </w:p>
    <w:p w14:paraId="378A678E">
      <w:pPr>
        <w:keepLines w:val="0"/>
        <w:pageBreakBefore w:val="0"/>
        <w:numPr>
          <w:ilvl w:val="0"/>
          <w:numId w:val="1"/>
        </w:numPr>
        <w:kinsoku/>
        <w:wordWrap/>
        <w:overflowPunct/>
        <w:topLinePunct w:val="0"/>
        <w:bidi w:val="0"/>
        <w:spacing w:before="97" w:line="222" w:lineRule="auto"/>
        <w:jc w:val="center"/>
        <w:rPr>
          <w:rFonts w:ascii="仿宋" w:hAnsi="仿宋" w:eastAsia="仿宋" w:cs="仿宋"/>
          <w:b/>
          <w:bCs/>
          <w:spacing w:val="-10"/>
          <w:sz w:val="30"/>
          <w:szCs w:val="30"/>
          <w:highlight w:val="none"/>
        </w:rPr>
      </w:pPr>
      <w:r>
        <w:rPr>
          <w:rFonts w:ascii="仿宋" w:hAnsi="仿宋" w:eastAsia="仿宋" w:cs="仿宋"/>
          <w:b/>
          <w:bCs/>
          <w:spacing w:val="-10"/>
          <w:sz w:val="30"/>
          <w:szCs w:val="30"/>
          <w:highlight w:val="none"/>
        </w:rPr>
        <w:t>招标公告</w:t>
      </w:r>
    </w:p>
    <w:p w14:paraId="3BD8218B">
      <w:pPr>
        <w:keepLines w:val="0"/>
        <w:pageBreakBefore w:val="0"/>
        <w:numPr>
          <w:ilvl w:val="0"/>
          <w:numId w:val="0"/>
        </w:numPr>
        <w:kinsoku/>
        <w:wordWrap/>
        <w:overflowPunct/>
        <w:topLinePunct w:val="0"/>
        <w:autoSpaceDE w:val="0"/>
        <w:autoSpaceDN w:val="0"/>
        <w:bidi w:val="0"/>
        <w:adjustRightInd w:val="0"/>
        <w:snapToGrid w:val="0"/>
        <w:spacing w:before="97" w:line="222" w:lineRule="auto"/>
        <w:jc w:val="center"/>
        <w:textAlignment w:val="baseline"/>
        <w:rPr>
          <w:rFonts w:hint="eastAsia" w:ascii="仿宋" w:hAnsi="仿宋" w:eastAsia="仿宋" w:cs="仿宋"/>
          <w:b/>
          <w:bCs/>
          <w:i w:val="0"/>
          <w:iCs w:val="0"/>
          <w:caps w:val="0"/>
          <w:color w:val="000000"/>
          <w:spacing w:val="0"/>
          <w:sz w:val="36"/>
          <w:szCs w:val="36"/>
          <w:highlight w:val="none"/>
          <w:lang w:eastAsia="zh-CN"/>
        </w:rPr>
      </w:pPr>
    </w:p>
    <w:p w14:paraId="3D5AD44F">
      <w:pPr>
        <w:keepLines w:val="0"/>
        <w:pageBreakBefore w:val="0"/>
        <w:numPr>
          <w:ilvl w:val="0"/>
          <w:numId w:val="0"/>
        </w:numPr>
        <w:kinsoku/>
        <w:wordWrap/>
        <w:overflowPunct/>
        <w:topLinePunct w:val="0"/>
        <w:autoSpaceDE w:val="0"/>
        <w:autoSpaceDN w:val="0"/>
        <w:bidi w:val="0"/>
        <w:adjustRightInd w:val="0"/>
        <w:snapToGrid w:val="0"/>
        <w:spacing w:before="97" w:line="222" w:lineRule="auto"/>
        <w:jc w:val="center"/>
        <w:textAlignment w:val="baseline"/>
        <w:rPr>
          <w:rFonts w:ascii="仿宋" w:hAnsi="仿宋" w:eastAsia="仿宋" w:cs="仿宋"/>
          <w:b/>
          <w:bCs/>
          <w:spacing w:val="-10"/>
          <w:sz w:val="36"/>
          <w:szCs w:val="36"/>
          <w:highlight w:val="none"/>
        </w:rPr>
      </w:pPr>
      <w:r>
        <w:rPr>
          <w:rFonts w:hint="eastAsia" w:ascii="仿宋" w:hAnsi="仿宋" w:eastAsia="仿宋" w:cs="仿宋"/>
          <w:b/>
          <w:bCs/>
          <w:i w:val="0"/>
          <w:iCs w:val="0"/>
          <w:caps w:val="0"/>
          <w:color w:val="000000"/>
          <w:spacing w:val="0"/>
          <w:sz w:val="36"/>
          <w:szCs w:val="36"/>
          <w:highlight w:val="none"/>
          <w:lang w:eastAsia="zh-CN"/>
        </w:rPr>
        <w:t>阿克苏市医疗援疆“高峰工程”项目-</w:t>
      </w:r>
      <w:r>
        <w:rPr>
          <w:rFonts w:hint="eastAsia" w:ascii="仿宋" w:hAnsi="仿宋" w:eastAsia="仿宋" w:cs="仿宋"/>
          <w:b/>
          <w:bCs/>
          <w:i w:val="0"/>
          <w:iCs w:val="0"/>
          <w:caps w:val="0"/>
          <w:color w:val="000000"/>
          <w:spacing w:val="0"/>
          <w:sz w:val="36"/>
          <w:szCs w:val="36"/>
          <w:highlight w:val="none"/>
          <w:lang w:val="en-US" w:eastAsia="zh-CN"/>
        </w:rPr>
        <w:t>医疗设备四标段市妇幼保健院区域检测中心设备购置</w:t>
      </w:r>
      <w:r>
        <w:rPr>
          <w:rFonts w:hint="eastAsia" w:ascii="仿宋" w:hAnsi="仿宋" w:eastAsia="仿宋" w:cs="仿宋"/>
          <w:b/>
          <w:bCs/>
          <w:i w:val="0"/>
          <w:iCs w:val="0"/>
          <w:caps w:val="0"/>
          <w:color w:val="000000"/>
          <w:spacing w:val="0"/>
          <w:sz w:val="36"/>
          <w:szCs w:val="36"/>
          <w:highlight w:val="none"/>
          <w:lang w:eastAsia="zh-CN"/>
        </w:rPr>
        <w:t>公开招标公告</w:t>
      </w:r>
    </w:p>
    <w:p w14:paraId="211B0C6F">
      <w:pPr>
        <w:keepLines w:val="0"/>
        <w:pageBreakBefore w:val="0"/>
        <w:kinsoku/>
        <w:wordWrap/>
        <w:overflowPunct/>
        <w:topLinePunct w:val="0"/>
        <w:bidi w:val="0"/>
        <w:spacing w:before="26"/>
        <w:rPr>
          <w:highlight w:val="none"/>
        </w:rPr>
      </w:pPr>
    </w:p>
    <w:tbl>
      <w:tblPr>
        <w:tblStyle w:val="26"/>
        <w:tblW w:w="9520"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20"/>
      </w:tblGrid>
      <w:tr w14:paraId="60A8046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740" w:hRule="atLeast"/>
          <w:jc w:val="center"/>
        </w:trPr>
        <w:tc>
          <w:tcPr>
            <w:tcW w:w="9520" w:type="dxa"/>
            <w:vAlign w:val="top"/>
          </w:tcPr>
          <w:p w14:paraId="26CD362A">
            <w:pPr>
              <w:pStyle w:val="16"/>
              <w:keepNext w:val="0"/>
              <w:keepLines w:val="0"/>
              <w:pageBreakBefore w:val="0"/>
              <w:widowControl/>
              <w:suppressLineNumbers w:val="0"/>
              <w:kinsoku/>
              <w:wordWrap/>
              <w:overflowPunct/>
              <w:topLinePunct w:val="0"/>
              <w:bidi w:val="0"/>
              <w:spacing w:before="75" w:beforeAutospacing="0" w:after="75" w:afterAutospacing="0"/>
              <w:ind w:left="0" w:right="0" w:firstLine="0"/>
              <w:rPr>
                <w:rFonts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项目概况</w:t>
            </w:r>
          </w:p>
          <w:p w14:paraId="1AC99631">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lang w:eastAsia="zh-CN"/>
              </w:rPr>
              <w:t>阿克苏市医疗援疆“高峰工程”项目-</w:t>
            </w:r>
            <w:r>
              <w:rPr>
                <w:rFonts w:hint="eastAsia" w:ascii="仿宋" w:hAnsi="仿宋" w:eastAsia="仿宋" w:cs="仿宋"/>
                <w:i w:val="0"/>
                <w:iCs w:val="0"/>
                <w:caps w:val="0"/>
                <w:color w:val="000000"/>
                <w:spacing w:val="0"/>
                <w:sz w:val="27"/>
                <w:szCs w:val="27"/>
                <w:highlight w:val="none"/>
                <w:lang w:val="en-US" w:eastAsia="zh-CN"/>
              </w:rPr>
              <w:t>医疗设备四标段市妇幼保健院区域检测中心设备购置</w:t>
            </w:r>
            <w:r>
              <w:rPr>
                <w:rFonts w:hint="eastAsia" w:ascii="仿宋" w:hAnsi="仿宋" w:eastAsia="仿宋" w:cs="仿宋"/>
                <w:i w:val="0"/>
                <w:iCs w:val="0"/>
                <w:caps w:val="0"/>
                <w:color w:val="000000"/>
                <w:spacing w:val="0"/>
                <w:sz w:val="27"/>
                <w:szCs w:val="27"/>
                <w:highlight w:val="none"/>
              </w:rPr>
              <w:t>的潜在</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应在政采云平台线上获取招标文件，并于</w:t>
            </w:r>
            <w:r>
              <w:rPr>
                <w:rFonts w:hint="eastAsia" w:ascii="仿宋" w:hAnsi="仿宋" w:eastAsia="仿宋" w:cs="仿宋"/>
                <w:i w:val="0"/>
                <w:iCs w:val="0"/>
                <w:caps w:val="0"/>
                <w:color w:val="000000"/>
                <w:spacing w:val="0"/>
                <w:sz w:val="27"/>
                <w:szCs w:val="27"/>
                <w:highlight w:val="none"/>
                <w:lang w:eastAsia="zh-CN"/>
              </w:rPr>
              <w:t>202</w:t>
            </w:r>
            <w:r>
              <w:rPr>
                <w:rFonts w:hint="eastAsia" w:ascii="仿宋" w:hAnsi="仿宋" w:eastAsia="仿宋" w:cs="仿宋"/>
                <w:i w:val="0"/>
                <w:iCs w:val="0"/>
                <w:caps w:val="0"/>
                <w:color w:val="000000"/>
                <w:spacing w:val="0"/>
                <w:sz w:val="27"/>
                <w:szCs w:val="27"/>
                <w:highlight w:val="none"/>
                <w:lang w:val="en-US" w:eastAsia="zh-CN"/>
              </w:rPr>
              <w:t>6</w:t>
            </w:r>
            <w:r>
              <w:rPr>
                <w:rFonts w:hint="eastAsia" w:ascii="仿宋" w:hAnsi="仿宋" w:eastAsia="仿宋" w:cs="仿宋"/>
                <w:i w:val="0"/>
                <w:iCs w:val="0"/>
                <w:caps w:val="0"/>
                <w:color w:val="000000"/>
                <w:spacing w:val="0"/>
                <w:sz w:val="27"/>
                <w:szCs w:val="27"/>
                <w:highlight w:val="none"/>
                <w:lang w:eastAsia="zh-CN"/>
              </w:rPr>
              <w:t>年</w:t>
            </w:r>
            <w:r>
              <w:rPr>
                <w:rFonts w:hint="eastAsia" w:ascii="仿宋" w:hAnsi="仿宋" w:eastAsia="仿宋" w:cs="仿宋"/>
                <w:i w:val="0"/>
                <w:iCs w:val="0"/>
                <w:caps w:val="0"/>
                <w:color w:val="000000"/>
                <w:spacing w:val="0"/>
                <w:sz w:val="27"/>
                <w:szCs w:val="27"/>
                <w:highlight w:val="none"/>
                <w:lang w:val="en-US" w:eastAsia="zh-CN"/>
              </w:rPr>
              <w:t>10</w:t>
            </w:r>
            <w:r>
              <w:rPr>
                <w:rFonts w:hint="eastAsia" w:ascii="仿宋" w:hAnsi="仿宋" w:eastAsia="仿宋" w:cs="仿宋"/>
                <w:i w:val="0"/>
                <w:iCs w:val="0"/>
                <w:caps w:val="0"/>
                <w:color w:val="000000"/>
                <w:spacing w:val="0"/>
                <w:sz w:val="27"/>
                <w:szCs w:val="27"/>
                <w:highlight w:val="none"/>
                <w:lang w:eastAsia="zh-CN"/>
              </w:rPr>
              <w:t>月</w:t>
            </w:r>
            <w:r>
              <w:rPr>
                <w:rFonts w:hint="eastAsia" w:ascii="仿宋" w:hAnsi="仿宋" w:eastAsia="仿宋" w:cs="仿宋"/>
                <w:i w:val="0"/>
                <w:iCs w:val="0"/>
                <w:caps w:val="0"/>
                <w:color w:val="000000"/>
                <w:spacing w:val="0"/>
                <w:sz w:val="27"/>
                <w:szCs w:val="27"/>
                <w:highlight w:val="none"/>
                <w:lang w:val="en-US" w:eastAsia="zh-CN"/>
              </w:rPr>
              <w:t xml:space="preserve">  28</w:t>
            </w:r>
            <w:r>
              <w:rPr>
                <w:rFonts w:hint="eastAsia" w:ascii="仿宋" w:hAnsi="仿宋" w:eastAsia="仿宋" w:cs="仿宋"/>
                <w:i w:val="0"/>
                <w:iCs w:val="0"/>
                <w:caps w:val="0"/>
                <w:color w:val="000000"/>
                <w:spacing w:val="0"/>
                <w:sz w:val="27"/>
                <w:szCs w:val="27"/>
                <w:highlight w:val="none"/>
                <w:lang w:eastAsia="zh-CN"/>
              </w:rPr>
              <w:t>日</w:t>
            </w:r>
            <w:r>
              <w:rPr>
                <w:rFonts w:hint="eastAsia" w:ascii="仿宋" w:hAnsi="仿宋" w:eastAsia="仿宋" w:cs="仿宋"/>
                <w:i w:val="0"/>
                <w:iCs w:val="0"/>
                <w:caps w:val="0"/>
                <w:color w:val="000000"/>
                <w:spacing w:val="0"/>
                <w:sz w:val="27"/>
                <w:szCs w:val="27"/>
                <w:highlight w:val="none"/>
                <w:lang w:eastAsia="zh-CN"/>
              </w:rPr>
              <w:t>1</w:t>
            </w:r>
            <w:r>
              <w:rPr>
                <w:rFonts w:hint="eastAsia" w:ascii="仿宋" w:hAnsi="仿宋" w:eastAsia="仿宋" w:cs="仿宋"/>
                <w:i w:val="0"/>
                <w:iCs w:val="0"/>
                <w:caps w:val="0"/>
                <w:color w:val="000000"/>
                <w:spacing w:val="0"/>
                <w:sz w:val="27"/>
                <w:szCs w:val="27"/>
                <w:highlight w:val="none"/>
                <w:lang w:val="en-US" w:eastAsia="zh-CN"/>
              </w:rPr>
              <w:t>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0</w:t>
            </w:r>
            <w:r>
              <w:rPr>
                <w:rFonts w:hint="eastAsia" w:ascii="仿宋" w:hAnsi="仿宋" w:eastAsia="仿宋" w:cs="仿宋"/>
                <w:i w:val="0"/>
                <w:iCs w:val="0"/>
                <w:caps w:val="0"/>
                <w:color w:val="000000"/>
                <w:spacing w:val="0"/>
                <w:sz w:val="27"/>
                <w:szCs w:val="27"/>
                <w:highlight w:val="none"/>
                <w:lang w:eastAsia="zh-CN"/>
              </w:rPr>
              <w:t>0</w:t>
            </w:r>
            <w:r>
              <w:rPr>
                <w:rFonts w:hint="eastAsia" w:ascii="仿宋" w:hAnsi="仿宋" w:eastAsia="仿宋" w:cs="仿宋"/>
                <w:i w:val="0"/>
                <w:iCs w:val="0"/>
                <w:caps w:val="0"/>
                <w:color w:val="000000"/>
                <w:spacing w:val="0"/>
                <w:sz w:val="27"/>
                <w:szCs w:val="27"/>
                <w:highlight w:val="none"/>
              </w:rPr>
              <w:t>（北京时间）前递交投标文件。</w:t>
            </w:r>
          </w:p>
        </w:tc>
      </w:tr>
    </w:tbl>
    <w:p w14:paraId="5AD5D2A6">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highlight w:val="none"/>
        </w:rPr>
        <w:t>一、项目基本情况</w:t>
      </w:r>
    </w:p>
    <w:p w14:paraId="5ABB973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eastAsia="仿宋"/>
          <w:highlight w:val="none"/>
          <w:lang w:val="en-US" w:eastAsia="zh-CN"/>
        </w:rPr>
      </w:pPr>
      <w:r>
        <w:rPr>
          <w:rFonts w:ascii="仿宋" w:hAnsi="仿宋" w:eastAsia="仿宋" w:cs="仿宋"/>
          <w:i w:val="0"/>
          <w:iCs w:val="0"/>
          <w:caps w:val="0"/>
          <w:color w:val="000000"/>
          <w:spacing w:val="0"/>
          <w:sz w:val="27"/>
          <w:szCs w:val="27"/>
          <w:highlight w:val="none"/>
        </w:rPr>
        <w:t>项目编号：</w:t>
      </w:r>
    </w:p>
    <w:p w14:paraId="2A767FA1">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rPr>
        <w:t>项目名称：</w:t>
      </w:r>
      <w:r>
        <w:rPr>
          <w:rFonts w:hint="eastAsia" w:ascii="仿宋" w:hAnsi="仿宋" w:eastAsia="仿宋" w:cs="仿宋"/>
          <w:i w:val="0"/>
          <w:iCs w:val="0"/>
          <w:caps w:val="0"/>
          <w:color w:val="000000"/>
          <w:spacing w:val="0"/>
          <w:sz w:val="27"/>
          <w:szCs w:val="27"/>
          <w:highlight w:val="none"/>
          <w:lang w:eastAsia="zh-CN"/>
        </w:rPr>
        <w:t>阿克苏市医疗援疆“高峰工程”项目-</w:t>
      </w:r>
      <w:r>
        <w:rPr>
          <w:rFonts w:hint="eastAsia" w:ascii="仿宋" w:hAnsi="仿宋" w:eastAsia="仿宋" w:cs="仿宋"/>
          <w:i w:val="0"/>
          <w:iCs w:val="0"/>
          <w:caps w:val="0"/>
          <w:color w:val="000000"/>
          <w:spacing w:val="0"/>
          <w:sz w:val="27"/>
          <w:szCs w:val="27"/>
          <w:highlight w:val="none"/>
          <w:lang w:val="en-US" w:eastAsia="zh-CN"/>
        </w:rPr>
        <w:t>医疗设备四标段市妇幼保健院区域检测中心设备购置</w:t>
      </w:r>
    </w:p>
    <w:p w14:paraId="3C7802D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采购方式：公开招标</w:t>
      </w:r>
    </w:p>
    <w:p w14:paraId="73901F8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eastAsia="仿宋"/>
          <w:highlight w:val="none"/>
          <w:lang w:val="en-US" w:eastAsia="zh-CN"/>
        </w:rPr>
      </w:pPr>
      <w:r>
        <w:rPr>
          <w:rFonts w:hint="eastAsia" w:ascii="仿宋" w:hAnsi="仿宋" w:eastAsia="仿宋" w:cs="仿宋"/>
          <w:i w:val="0"/>
          <w:iCs w:val="0"/>
          <w:caps w:val="0"/>
          <w:color w:val="000000"/>
          <w:spacing w:val="0"/>
          <w:sz w:val="27"/>
          <w:szCs w:val="27"/>
          <w:highlight w:val="none"/>
        </w:rPr>
        <w:t>预算金额（元）：</w:t>
      </w:r>
      <w:r>
        <w:rPr>
          <w:rFonts w:hint="eastAsia" w:ascii="仿宋" w:hAnsi="仿宋" w:eastAsia="仿宋" w:cs="仿宋"/>
          <w:i w:val="0"/>
          <w:iCs w:val="0"/>
          <w:caps w:val="0"/>
          <w:color w:val="000000"/>
          <w:spacing w:val="0"/>
          <w:sz w:val="27"/>
          <w:szCs w:val="27"/>
          <w:highlight w:val="none"/>
          <w:lang w:val="en-US" w:eastAsia="zh-CN"/>
        </w:rPr>
        <w:t>2600000.00</w:t>
      </w:r>
    </w:p>
    <w:p w14:paraId="7547D64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eastAsia="仿宋"/>
          <w:highlight w:val="none"/>
          <w:lang w:val="en-US" w:eastAsia="zh-CN"/>
        </w:rPr>
      </w:pPr>
      <w:r>
        <w:rPr>
          <w:rFonts w:hint="eastAsia" w:ascii="仿宋" w:hAnsi="仿宋" w:eastAsia="仿宋" w:cs="仿宋"/>
          <w:i w:val="0"/>
          <w:iCs w:val="0"/>
          <w:caps w:val="0"/>
          <w:color w:val="000000"/>
          <w:spacing w:val="0"/>
          <w:sz w:val="27"/>
          <w:szCs w:val="27"/>
          <w:highlight w:val="none"/>
        </w:rPr>
        <w:t>最高限价（元）：</w:t>
      </w:r>
      <w:r>
        <w:rPr>
          <w:rFonts w:hint="eastAsia" w:ascii="仿宋" w:hAnsi="仿宋" w:eastAsia="仿宋" w:cs="仿宋"/>
          <w:i w:val="0"/>
          <w:iCs w:val="0"/>
          <w:caps w:val="0"/>
          <w:color w:val="000000"/>
          <w:spacing w:val="0"/>
          <w:sz w:val="27"/>
          <w:szCs w:val="27"/>
          <w:highlight w:val="none"/>
          <w:lang w:val="en-US" w:eastAsia="zh-CN"/>
        </w:rPr>
        <w:t>2600000.00</w:t>
      </w:r>
      <w:r>
        <w:rPr>
          <w:rFonts w:hint="eastAsia" w:ascii="仿宋" w:hAnsi="仿宋" w:eastAsia="仿宋" w:cs="仿宋"/>
          <w:i w:val="0"/>
          <w:iCs w:val="0"/>
          <w:caps w:val="0"/>
          <w:color w:val="000000"/>
          <w:spacing w:val="0"/>
          <w:sz w:val="27"/>
          <w:szCs w:val="27"/>
          <w:highlight w:val="none"/>
          <w:lang w:eastAsia="zh-CN"/>
        </w:rPr>
        <w:t>，</w:t>
      </w:r>
    </w:p>
    <w:p w14:paraId="7E4B42E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采购需求：</w:t>
      </w:r>
    </w:p>
    <w:p w14:paraId="7C841B3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right="0" w:firstLine="560" w:firstLineChars="20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snapToGrid w:val="0"/>
          <w:color w:val="000000"/>
          <w:spacing w:val="0"/>
          <w:kern w:val="0"/>
          <w:sz w:val="28"/>
          <w:szCs w:val="28"/>
          <w:highlight w:val="none"/>
          <w:lang w:val="en-US" w:eastAsia="zh-CN" w:bidi="ar"/>
        </w:rPr>
        <w:t>标项四   </w:t>
      </w:r>
    </w:p>
    <w:p w14:paraId="4A1909A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rPr>
        <w:t> 标项名称</w:t>
      </w:r>
      <w:r>
        <w:rPr>
          <w:rFonts w:hint="eastAsia" w:ascii="仿宋" w:hAnsi="仿宋" w:eastAsia="仿宋" w:cs="仿宋"/>
          <w:i w:val="0"/>
          <w:iCs w:val="0"/>
          <w:caps w:val="0"/>
          <w:color w:val="000000"/>
          <w:spacing w:val="0"/>
          <w:sz w:val="27"/>
          <w:szCs w:val="27"/>
          <w:highlight w:val="none"/>
          <w:lang w:eastAsia="zh-CN"/>
        </w:rPr>
        <w:t>：阿克苏市医疗援疆“高峰工程”项目-</w:t>
      </w:r>
      <w:r>
        <w:rPr>
          <w:rFonts w:hint="eastAsia" w:ascii="仿宋" w:hAnsi="仿宋" w:eastAsia="仿宋" w:cs="仿宋"/>
          <w:i w:val="0"/>
          <w:iCs w:val="0"/>
          <w:caps w:val="0"/>
          <w:color w:val="000000"/>
          <w:spacing w:val="0"/>
          <w:sz w:val="27"/>
          <w:szCs w:val="27"/>
          <w:highlight w:val="none"/>
          <w:lang w:val="en-US" w:eastAsia="zh-CN"/>
        </w:rPr>
        <w:t>医疗设备四标段市妇幼保健院区域检测中心设备购置</w:t>
      </w:r>
    </w:p>
    <w:p w14:paraId="004F9C76">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数量</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1</w:t>
      </w:r>
    </w:p>
    <w:p w14:paraId="44A0741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rPr>
        <w:t>预算金额（元）</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2600000.00</w:t>
      </w:r>
    </w:p>
    <w:p w14:paraId="4255C997">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rPr>
        <w:t> 简要规格描述或项目基本概况介绍、用途：</w:t>
      </w:r>
      <w:r>
        <w:rPr>
          <w:rFonts w:hint="eastAsia" w:ascii="仿宋" w:hAnsi="仿宋" w:eastAsia="仿宋" w:cs="仿宋"/>
          <w:i w:val="0"/>
          <w:iCs w:val="0"/>
          <w:caps w:val="0"/>
          <w:color w:val="000000"/>
          <w:spacing w:val="0"/>
          <w:sz w:val="27"/>
          <w:szCs w:val="27"/>
          <w:highlight w:val="none"/>
          <w:lang w:eastAsia="zh-CN"/>
        </w:rPr>
        <w:t>阿克苏市医疗援疆“高峰工程”设备采购</w:t>
      </w:r>
      <w:r>
        <w:rPr>
          <w:rFonts w:hint="eastAsia" w:ascii="仿宋" w:hAnsi="仿宋" w:eastAsia="仿宋" w:cs="仿宋"/>
          <w:i w:val="0"/>
          <w:iCs w:val="0"/>
          <w:caps w:val="0"/>
          <w:color w:val="000000"/>
          <w:spacing w:val="0"/>
          <w:sz w:val="27"/>
          <w:szCs w:val="27"/>
          <w:highlight w:val="none"/>
          <w:lang w:val="en-US" w:eastAsia="zh-CN"/>
        </w:rPr>
        <w:t>四标段市妇幼保健院区域检测中心设备购置</w:t>
      </w:r>
    </w:p>
    <w:p w14:paraId="6D5D032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（详见招标文件）</w:t>
      </w:r>
    </w:p>
    <w:p w14:paraId="055ADCEF">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auto"/>
          <w:spacing w:val="0"/>
          <w:sz w:val="27"/>
          <w:szCs w:val="27"/>
          <w:highlight w:val="none"/>
        </w:rPr>
      </w:pPr>
      <w:r>
        <w:rPr>
          <w:rFonts w:hint="eastAsia" w:ascii="仿宋" w:hAnsi="仿宋" w:eastAsia="仿宋" w:cs="仿宋"/>
          <w:i w:val="0"/>
          <w:iCs w:val="0"/>
          <w:caps w:val="0"/>
          <w:color w:val="auto"/>
          <w:spacing w:val="0"/>
          <w:sz w:val="27"/>
          <w:szCs w:val="27"/>
          <w:highlight w:val="none"/>
        </w:rPr>
        <w:t>   备注：</w:t>
      </w:r>
      <w:r>
        <w:rPr>
          <w:rFonts w:hint="eastAsia" w:ascii="仿宋" w:hAnsi="仿宋" w:eastAsia="仿宋" w:cs="仿宋"/>
          <w:i w:val="0"/>
          <w:iCs w:val="0"/>
          <w:caps w:val="0"/>
          <w:color w:val="auto"/>
          <w:spacing w:val="0"/>
          <w:sz w:val="27"/>
          <w:szCs w:val="27"/>
          <w:highlight w:val="none"/>
          <w:lang w:val="en-US" w:eastAsia="zh-CN"/>
        </w:rPr>
        <w:t>/</w:t>
      </w:r>
    </w:p>
    <w:p w14:paraId="3D8F12F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color w:val="auto"/>
          <w:highlight w:val="none"/>
        </w:rPr>
      </w:pPr>
      <w:r>
        <w:rPr>
          <w:rFonts w:hint="eastAsia" w:ascii="仿宋" w:hAnsi="仿宋" w:eastAsia="仿宋" w:cs="仿宋"/>
          <w:i w:val="0"/>
          <w:iCs w:val="0"/>
          <w:caps w:val="0"/>
          <w:color w:val="auto"/>
          <w:spacing w:val="0"/>
          <w:sz w:val="27"/>
          <w:szCs w:val="27"/>
          <w:highlight w:val="none"/>
        </w:rPr>
        <w:t>合同履约期限</w:t>
      </w:r>
      <w:r>
        <w:rPr>
          <w:rFonts w:hint="eastAsia" w:ascii="仿宋" w:hAnsi="仿宋" w:eastAsia="仿宋" w:cs="仿宋"/>
          <w:i w:val="0"/>
          <w:iCs w:val="0"/>
          <w:caps w:val="0"/>
          <w:color w:val="auto"/>
          <w:spacing w:val="0"/>
          <w:sz w:val="27"/>
          <w:szCs w:val="27"/>
          <w:highlight w:val="none"/>
          <w:lang w:eastAsia="zh-CN"/>
        </w:rPr>
        <w:t>：</w:t>
      </w:r>
      <w:r>
        <w:rPr>
          <w:rFonts w:hint="eastAsia" w:ascii="仿宋" w:hAnsi="仿宋" w:eastAsia="仿宋" w:cs="仿宋"/>
          <w:i w:val="0"/>
          <w:iCs w:val="0"/>
          <w:caps w:val="0"/>
          <w:color w:val="auto"/>
          <w:spacing w:val="0"/>
          <w:sz w:val="27"/>
          <w:szCs w:val="27"/>
          <w:highlight w:val="none"/>
          <w:lang w:val="en-US" w:eastAsia="zh-CN"/>
        </w:rPr>
        <w:t>标项4，</w:t>
      </w:r>
      <w:r>
        <w:rPr>
          <w:rFonts w:hint="eastAsia" w:ascii="仿宋" w:hAnsi="仿宋" w:eastAsia="仿宋" w:cs="仿宋"/>
          <w:i w:val="0"/>
          <w:iCs w:val="0"/>
          <w:caps w:val="0"/>
          <w:color w:val="auto"/>
          <w:spacing w:val="0"/>
          <w:sz w:val="27"/>
          <w:szCs w:val="27"/>
          <w:highlight w:val="none"/>
          <w:lang w:eastAsia="zh-CN"/>
        </w:rPr>
        <w:t>自合同签订之日起</w:t>
      </w:r>
      <w:r>
        <w:rPr>
          <w:rFonts w:hint="eastAsia" w:ascii="仿宋" w:hAnsi="仿宋" w:eastAsia="仿宋" w:cs="仿宋"/>
          <w:i w:val="0"/>
          <w:iCs w:val="0"/>
          <w:caps w:val="0"/>
          <w:color w:val="auto"/>
          <w:spacing w:val="0"/>
          <w:sz w:val="27"/>
          <w:szCs w:val="27"/>
          <w:highlight w:val="none"/>
          <w:lang w:val="en-US" w:eastAsia="zh-CN"/>
        </w:rPr>
        <w:t>30</w:t>
      </w:r>
      <w:r>
        <w:rPr>
          <w:rFonts w:hint="eastAsia" w:ascii="仿宋" w:hAnsi="仿宋" w:eastAsia="仿宋" w:cs="仿宋"/>
          <w:i w:val="0"/>
          <w:iCs w:val="0"/>
          <w:caps w:val="0"/>
          <w:color w:val="auto"/>
          <w:spacing w:val="0"/>
          <w:sz w:val="27"/>
          <w:szCs w:val="27"/>
          <w:highlight w:val="none"/>
          <w:lang w:eastAsia="zh-CN"/>
        </w:rPr>
        <w:t>个日历天内完成供货。</w:t>
      </w:r>
    </w:p>
    <w:p w14:paraId="5F1E1B7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本项目（否）接受联合体投标。</w:t>
      </w:r>
    </w:p>
    <w:p w14:paraId="79E8CF7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rPr>
          <w:highlight w:val="none"/>
        </w:rPr>
      </w:pPr>
      <w:r>
        <w:rPr>
          <w:rStyle w:val="20"/>
          <w:rFonts w:ascii="黑体" w:hAnsi="宋体" w:eastAsia="黑体" w:cs="黑体"/>
          <w:i w:val="0"/>
          <w:iCs w:val="0"/>
          <w:caps w:val="0"/>
          <w:color w:val="000000"/>
          <w:spacing w:val="0"/>
          <w:sz w:val="27"/>
          <w:szCs w:val="27"/>
          <w:highlight w:val="none"/>
        </w:rPr>
        <w:t>二、申请人的资格要求：</w:t>
      </w:r>
    </w:p>
    <w:p w14:paraId="4BC8756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1.满足《中华人民共和国政府采购法》第二十二条规定；</w:t>
      </w:r>
    </w:p>
    <w:p w14:paraId="6F68F43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default"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rPr>
        <w:t>2</w:t>
      </w:r>
      <w:r>
        <w:rPr>
          <w:rFonts w:hint="eastAsia" w:ascii="仿宋" w:hAnsi="仿宋" w:eastAsia="仿宋" w:cs="仿宋"/>
          <w:i w:val="0"/>
          <w:iCs w:val="0"/>
          <w:caps w:val="0"/>
          <w:color w:val="000000"/>
          <w:spacing w:val="0"/>
          <w:sz w:val="27"/>
          <w:szCs w:val="27"/>
          <w:highlight w:val="none"/>
        </w:rPr>
        <w:t>.落实政府采购政策需满足的资格要求：标项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val="en-US" w:eastAsia="zh-CN"/>
        </w:rPr>
        <w:t>本项目不专门面向中小企业</w:t>
      </w:r>
    </w:p>
    <w:p w14:paraId="1FFDDD3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 xml:space="preserve">(1)《新疆维吾尔自治区政府采购促进中小企业发展管理实施办法》（新财规〔2021〕6号）； </w:t>
      </w:r>
    </w:p>
    <w:p w14:paraId="68E21E6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 xml:space="preserve">(2)《财政部、司法部关于政府采购支持监狱企业发展有关问题的通知》（财库〔2014〕68号）； </w:t>
      </w:r>
    </w:p>
    <w:p w14:paraId="70806E5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 xml:space="preserve">(3)财政部 生态环境部关于印发环境标志产品政府采购品目清单的通知（财库〔2019〕18号）； </w:t>
      </w:r>
    </w:p>
    <w:p w14:paraId="327FF1B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(4)《财政部 民政部 中国残疾人联合会关于促进残疾人就业政府采购政策的通知》财库〔2017〕141号；</w:t>
      </w:r>
    </w:p>
    <w:p w14:paraId="7FCEA6DC">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(5)《财政部 发展改革委 生态环境部 市场监管总局关于调整优化节能产品 环境标志产品政府采购执行机制的通知》（财库〔2019〕9号），投标产品遵照《关于印发节能产品政府采购品目清单的通知》（财库〔2019〕19号）相关规定执行。</w:t>
      </w:r>
    </w:p>
    <w:p w14:paraId="15A7DCB1">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3.本项目的特定资格要求：</w:t>
      </w:r>
    </w:p>
    <w:p w14:paraId="048A7725">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第二类、第三类</w:t>
      </w:r>
      <w:r>
        <w:rPr>
          <w:rFonts w:ascii="仿宋" w:hAnsi="仿宋" w:eastAsia="仿宋" w:cs="仿宋"/>
          <w:i w:val="0"/>
          <w:iCs w:val="0"/>
          <w:caps w:val="0"/>
          <w:color w:val="000000"/>
          <w:spacing w:val="0"/>
          <w:sz w:val="27"/>
          <w:szCs w:val="27"/>
          <w:highlight w:val="none"/>
        </w:rPr>
        <w:t>《医疗器械生产许可证》</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第二类《医疗器械经营备案凭证》或《医疗器械经营许可证》，第三类《医疗器械经营许可证》。</w:t>
      </w:r>
    </w:p>
    <w:p w14:paraId="71514984">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highlight w:val="none"/>
        </w:rPr>
        <w:t>三</w:t>
      </w:r>
      <w:r>
        <w:rPr>
          <w:rStyle w:val="20"/>
          <w:rFonts w:ascii="黑体" w:hAnsi="宋体" w:eastAsia="黑体" w:cs="黑体"/>
          <w:i w:val="0"/>
          <w:iCs w:val="0"/>
          <w:caps w:val="0"/>
          <w:color w:val="000000"/>
          <w:spacing w:val="0"/>
          <w:sz w:val="27"/>
          <w:szCs w:val="27"/>
          <w:highlight w:val="none"/>
        </w:rPr>
        <w:t>、获取招标文件</w:t>
      </w:r>
    </w:p>
    <w:p w14:paraId="3195F9C7">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时间：</w:t>
      </w:r>
      <w:r>
        <w:rPr>
          <w:rFonts w:hint="eastAsia" w:ascii="仿宋" w:hAnsi="仿宋" w:eastAsia="仿宋" w:cs="仿宋"/>
          <w:i w:val="0"/>
          <w:iCs w:val="0"/>
          <w:caps w:val="0"/>
          <w:color w:val="000000"/>
          <w:spacing w:val="0"/>
          <w:sz w:val="27"/>
          <w:szCs w:val="27"/>
          <w:highlight w:val="none"/>
        </w:rPr>
        <w:t>202</w:t>
      </w:r>
      <w:r>
        <w:rPr>
          <w:rFonts w:hint="eastAsia" w:ascii="仿宋" w:hAnsi="仿宋" w:eastAsia="仿宋" w:cs="仿宋"/>
          <w:i w:val="0"/>
          <w:iCs w:val="0"/>
          <w:caps w:val="0"/>
          <w:color w:val="000000"/>
          <w:spacing w:val="0"/>
          <w:sz w:val="27"/>
          <w:szCs w:val="27"/>
          <w:highlight w:val="none"/>
          <w:lang w:val="en-US" w:eastAsia="zh-CN"/>
        </w:rPr>
        <w:t>6</w:t>
      </w:r>
      <w:r>
        <w:rPr>
          <w:rFonts w:hint="eastAsia" w:ascii="仿宋" w:hAnsi="仿宋" w:eastAsia="仿宋" w:cs="仿宋"/>
          <w:i w:val="0"/>
          <w:iCs w:val="0"/>
          <w:caps w:val="0"/>
          <w:color w:val="000000"/>
          <w:spacing w:val="0"/>
          <w:sz w:val="27"/>
          <w:szCs w:val="27"/>
          <w:highlight w:val="none"/>
        </w:rPr>
        <w:t>年</w:t>
      </w:r>
      <w:r>
        <w:rPr>
          <w:rFonts w:hint="eastAsia" w:ascii="仿宋" w:hAnsi="仿宋" w:eastAsia="仿宋" w:cs="仿宋"/>
          <w:i w:val="0"/>
          <w:iCs w:val="0"/>
          <w:caps w:val="0"/>
          <w:color w:val="000000"/>
          <w:spacing w:val="0"/>
          <w:sz w:val="27"/>
          <w:szCs w:val="27"/>
          <w:highlight w:val="none"/>
          <w:lang w:val="en-US" w:eastAsia="zh-CN"/>
        </w:rPr>
        <w:t>10</w:t>
      </w:r>
      <w:r>
        <w:rPr>
          <w:rFonts w:hint="eastAsia" w:ascii="仿宋" w:hAnsi="仿宋" w:eastAsia="仿宋" w:cs="仿宋"/>
          <w:i w:val="0"/>
          <w:iCs w:val="0"/>
          <w:caps w:val="0"/>
          <w:color w:val="000000"/>
          <w:spacing w:val="0"/>
          <w:sz w:val="27"/>
          <w:szCs w:val="27"/>
          <w:highlight w:val="none"/>
        </w:rPr>
        <w:t>月</w:t>
      </w:r>
      <w:r>
        <w:rPr>
          <w:rFonts w:hint="eastAsia" w:ascii="仿宋" w:hAnsi="仿宋" w:eastAsia="仿宋" w:cs="仿宋"/>
          <w:i w:val="0"/>
          <w:iCs w:val="0"/>
          <w:caps w:val="0"/>
          <w:color w:val="000000"/>
          <w:spacing w:val="0"/>
          <w:sz w:val="27"/>
          <w:szCs w:val="27"/>
          <w:highlight w:val="none"/>
          <w:lang w:val="en-US" w:eastAsia="zh-CN"/>
        </w:rPr>
        <w:t>08</w:t>
      </w:r>
      <w:r>
        <w:rPr>
          <w:rFonts w:hint="eastAsia" w:ascii="仿宋" w:hAnsi="仿宋" w:eastAsia="仿宋" w:cs="仿宋"/>
          <w:i w:val="0"/>
          <w:iCs w:val="0"/>
          <w:caps w:val="0"/>
          <w:color w:val="000000"/>
          <w:spacing w:val="0"/>
          <w:sz w:val="27"/>
          <w:szCs w:val="27"/>
          <w:highlight w:val="none"/>
        </w:rPr>
        <w:t>日至202</w:t>
      </w:r>
      <w:r>
        <w:rPr>
          <w:rFonts w:hint="eastAsia" w:ascii="仿宋" w:hAnsi="仿宋" w:eastAsia="仿宋" w:cs="仿宋"/>
          <w:i w:val="0"/>
          <w:iCs w:val="0"/>
          <w:caps w:val="0"/>
          <w:color w:val="000000"/>
          <w:spacing w:val="0"/>
          <w:sz w:val="27"/>
          <w:szCs w:val="27"/>
          <w:highlight w:val="none"/>
          <w:lang w:val="en-US" w:eastAsia="zh-CN"/>
        </w:rPr>
        <w:t>6</w:t>
      </w:r>
      <w:r>
        <w:rPr>
          <w:rFonts w:hint="eastAsia" w:ascii="仿宋" w:hAnsi="仿宋" w:eastAsia="仿宋" w:cs="仿宋"/>
          <w:i w:val="0"/>
          <w:iCs w:val="0"/>
          <w:caps w:val="0"/>
          <w:color w:val="000000"/>
          <w:spacing w:val="0"/>
          <w:sz w:val="27"/>
          <w:szCs w:val="27"/>
          <w:highlight w:val="none"/>
        </w:rPr>
        <w:t>年</w:t>
      </w:r>
      <w:r>
        <w:rPr>
          <w:rFonts w:hint="eastAsia" w:ascii="仿宋" w:hAnsi="仿宋" w:eastAsia="仿宋" w:cs="仿宋"/>
          <w:i w:val="0"/>
          <w:iCs w:val="0"/>
          <w:caps w:val="0"/>
          <w:color w:val="000000"/>
          <w:spacing w:val="0"/>
          <w:sz w:val="27"/>
          <w:szCs w:val="27"/>
          <w:highlight w:val="none"/>
          <w:lang w:val="en-US" w:eastAsia="zh-CN"/>
        </w:rPr>
        <w:t>10</w:t>
      </w:r>
      <w:r>
        <w:rPr>
          <w:rFonts w:hint="eastAsia" w:ascii="仿宋" w:hAnsi="仿宋" w:eastAsia="仿宋" w:cs="仿宋"/>
          <w:i w:val="0"/>
          <w:iCs w:val="0"/>
          <w:caps w:val="0"/>
          <w:color w:val="000000"/>
          <w:spacing w:val="0"/>
          <w:sz w:val="27"/>
          <w:szCs w:val="27"/>
          <w:highlight w:val="none"/>
        </w:rPr>
        <w:t>月</w:t>
      </w:r>
      <w:r>
        <w:rPr>
          <w:rFonts w:hint="eastAsia" w:ascii="仿宋" w:hAnsi="仿宋" w:eastAsia="仿宋" w:cs="仿宋"/>
          <w:i w:val="0"/>
          <w:iCs w:val="0"/>
          <w:caps w:val="0"/>
          <w:color w:val="000000"/>
          <w:spacing w:val="0"/>
          <w:sz w:val="27"/>
          <w:szCs w:val="27"/>
          <w:highlight w:val="none"/>
          <w:lang w:val="en-US" w:eastAsia="zh-CN"/>
        </w:rPr>
        <w:t>14</w:t>
      </w:r>
      <w:r>
        <w:rPr>
          <w:rFonts w:hint="eastAsia" w:ascii="仿宋" w:hAnsi="仿宋" w:eastAsia="仿宋" w:cs="仿宋"/>
          <w:i w:val="0"/>
          <w:iCs w:val="0"/>
          <w:caps w:val="0"/>
          <w:color w:val="000000"/>
          <w:spacing w:val="0"/>
          <w:sz w:val="27"/>
          <w:szCs w:val="27"/>
          <w:highlight w:val="none"/>
        </w:rPr>
        <w:t>日</w:t>
      </w:r>
      <w:r>
        <w:rPr>
          <w:rFonts w:hint="eastAsia" w:ascii="仿宋" w:hAnsi="仿宋" w:eastAsia="仿宋" w:cs="仿宋"/>
          <w:i w:val="0"/>
          <w:iCs w:val="0"/>
          <w:caps w:val="0"/>
          <w:color w:val="000000"/>
          <w:spacing w:val="0"/>
          <w:sz w:val="27"/>
          <w:szCs w:val="27"/>
          <w:highlight w:val="none"/>
        </w:rPr>
        <w:t>，每天上午10:00至14:00，下午</w:t>
      </w:r>
      <w:r>
        <w:rPr>
          <w:rFonts w:hint="eastAsia" w:ascii="仿宋" w:hAnsi="仿宋" w:eastAsia="仿宋" w:cs="仿宋"/>
          <w:i w:val="0"/>
          <w:iCs w:val="0"/>
          <w:caps w:val="0"/>
          <w:color w:val="000000"/>
          <w:spacing w:val="0"/>
          <w:sz w:val="27"/>
          <w:szCs w:val="27"/>
          <w:highlight w:val="none"/>
          <w:lang w:val="en-US" w:eastAsia="zh-CN"/>
        </w:rPr>
        <w:t>15</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val="en-US" w:eastAsia="zh-CN"/>
        </w:rPr>
        <w:t>30</w:t>
      </w:r>
      <w:r>
        <w:rPr>
          <w:rFonts w:hint="eastAsia" w:ascii="仿宋" w:hAnsi="仿宋" w:eastAsia="仿宋" w:cs="仿宋"/>
          <w:i w:val="0"/>
          <w:iCs w:val="0"/>
          <w:caps w:val="0"/>
          <w:color w:val="000000"/>
          <w:spacing w:val="0"/>
          <w:sz w:val="27"/>
          <w:szCs w:val="27"/>
          <w:highlight w:val="none"/>
        </w:rPr>
        <w:t>至</w:t>
      </w:r>
      <w:r>
        <w:rPr>
          <w:rFonts w:hint="eastAsia" w:ascii="仿宋" w:hAnsi="仿宋" w:eastAsia="仿宋" w:cs="仿宋"/>
          <w:i w:val="0"/>
          <w:iCs w:val="0"/>
          <w:caps w:val="0"/>
          <w:color w:val="000000"/>
          <w:spacing w:val="0"/>
          <w:sz w:val="27"/>
          <w:szCs w:val="27"/>
          <w:highlight w:val="none"/>
          <w:lang w:val="en-US" w:eastAsia="zh-CN"/>
        </w:rPr>
        <w:t>19</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val="en-US" w:eastAsia="zh-CN"/>
        </w:rPr>
        <w:t>30</w:t>
      </w:r>
      <w:r>
        <w:rPr>
          <w:rFonts w:hint="eastAsia" w:ascii="仿宋" w:hAnsi="仿宋" w:eastAsia="仿宋" w:cs="仿宋"/>
          <w:i w:val="0"/>
          <w:iCs w:val="0"/>
          <w:caps w:val="0"/>
          <w:color w:val="000000"/>
          <w:spacing w:val="0"/>
          <w:sz w:val="27"/>
          <w:szCs w:val="27"/>
          <w:highlight w:val="none"/>
        </w:rPr>
        <w:t>（北京时间，法定节假日除外）</w:t>
      </w:r>
    </w:p>
    <w:p w14:paraId="3B38B33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地点：政采云平台线上</w:t>
      </w:r>
    </w:p>
    <w:p w14:paraId="382156E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方式：</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登录政采云平台https://www.zcygov.cn/在线申请获取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（进入“项目采购”应用，在获取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菜单中选择项目，申请获取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），或者点击采购公告底部潜在</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”，页面跳转后</w:t>
      </w:r>
      <w:r>
        <w:rPr>
          <w:rFonts w:hint="eastAsia" w:ascii="仿宋" w:hAnsi="仿宋" w:eastAsia="仿宋" w:cs="仿宋"/>
          <w:i w:val="0"/>
          <w:iCs w:val="0"/>
          <w:caps w:val="0"/>
          <w:color w:val="000000"/>
          <w:spacing w:val="0"/>
          <w:sz w:val="27"/>
          <w:szCs w:val="27"/>
          <w:highlight w:val="none"/>
          <w:lang w:eastAsia="zh-CN"/>
        </w:rPr>
        <w:t>登录</w:t>
      </w:r>
      <w:r>
        <w:rPr>
          <w:rFonts w:hint="eastAsia" w:ascii="仿宋" w:hAnsi="仿宋" w:eastAsia="仿宋" w:cs="仿宋"/>
          <w:i w:val="0"/>
          <w:iCs w:val="0"/>
          <w:caps w:val="0"/>
          <w:color w:val="000000"/>
          <w:spacing w:val="0"/>
          <w:sz w:val="27"/>
          <w:szCs w:val="27"/>
          <w:highlight w:val="none"/>
        </w:rPr>
        <w:t>，直接获取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rPr>
        <w:t>。</w:t>
      </w:r>
    </w:p>
    <w:p w14:paraId="390604E3">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售价（元）：0</w:t>
      </w:r>
    </w:p>
    <w:p w14:paraId="3293A682">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highlight w:val="none"/>
        </w:rPr>
        <w:t>四、提交投标文件截止时间、开标时间和地点</w:t>
      </w:r>
    </w:p>
    <w:p w14:paraId="3F8C70E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提交投标文件截止时间：</w:t>
      </w:r>
      <w:r>
        <w:rPr>
          <w:rFonts w:hint="eastAsia" w:ascii="仿宋" w:hAnsi="仿宋" w:eastAsia="仿宋" w:cs="仿宋"/>
          <w:i w:val="0"/>
          <w:iCs w:val="0"/>
          <w:caps w:val="0"/>
          <w:color w:val="000000"/>
          <w:spacing w:val="0"/>
          <w:sz w:val="27"/>
          <w:szCs w:val="27"/>
          <w:highlight w:val="none"/>
          <w:lang w:eastAsia="zh-CN"/>
        </w:rPr>
        <w:t>202</w:t>
      </w:r>
      <w:r>
        <w:rPr>
          <w:rFonts w:hint="eastAsia" w:ascii="仿宋" w:hAnsi="仿宋" w:eastAsia="仿宋" w:cs="仿宋"/>
          <w:i w:val="0"/>
          <w:iCs w:val="0"/>
          <w:caps w:val="0"/>
          <w:color w:val="000000"/>
          <w:spacing w:val="0"/>
          <w:sz w:val="27"/>
          <w:szCs w:val="27"/>
          <w:highlight w:val="none"/>
          <w:lang w:val="en-US" w:eastAsia="zh-CN"/>
        </w:rPr>
        <w:t>6</w:t>
      </w:r>
      <w:r>
        <w:rPr>
          <w:rFonts w:hint="eastAsia" w:ascii="仿宋" w:hAnsi="仿宋" w:eastAsia="仿宋" w:cs="仿宋"/>
          <w:i w:val="0"/>
          <w:iCs w:val="0"/>
          <w:caps w:val="0"/>
          <w:color w:val="000000"/>
          <w:spacing w:val="0"/>
          <w:sz w:val="27"/>
          <w:szCs w:val="27"/>
          <w:highlight w:val="none"/>
          <w:lang w:eastAsia="zh-CN"/>
        </w:rPr>
        <w:t>年</w:t>
      </w:r>
      <w:r>
        <w:rPr>
          <w:rFonts w:hint="eastAsia" w:ascii="仿宋" w:hAnsi="仿宋" w:eastAsia="仿宋" w:cs="仿宋"/>
          <w:i w:val="0"/>
          <w:iCs w:val="0"/>
          <w:caps w:val="0"/>
          <w:color w:val="000000"/>
          <w:spacing w:val="0"/>
          <w:sz w:val="27"/>
          <w:szCs w:val="27"/>
          <w:highlight w:val="none"/>
          <w:lang w:val="en-US" w:eastAsia="zh-CN"/>
        </w:rPr>
        <w:t>10</w:t>
      </w:r>
      <w:r>
        <w:rPr>
          <w:rFonts w:hint="eastAsia" w:ascii="仿宋" w:hAnsi="仿宋" w:eastAsia="仿宋" w:cs="仿宋"/>
          <w:i w:val="0"/>
          <w:iCs w:val="0"/>
          <w:caps w:val="0"/>
          <w:color w:val="000000"/>
          <w:spacing w:val="0"/>
          <w:sz w:val="27"/>
          <w:szCs w:val="27"/>
          <w:highlight w:val="none"/>
          <w:lang w:eastAsia="zh-CN"/>
        </w:rPr>
        <w:t>月</w:t>
      </w:r>
      <w:r>
        <w:rPr>
          <w:rFonts w:hint="eastAsia" w:ascii="仿宋" w:hAnsi="仿宋" w:eastAsia="仿宋" w:cs="仿宋"/>
          <w:i w:val="0"/>
          <w:iCs w:val="0"/>
          <w:caps w:val="0"/>
          <w:color w:val="000000"/>
          <w:spacing w:val="0"/>
          <w:sz w:val="27"/>
          <w:szCs w:val="27"/>
          <w:highlight w:val="none"/>
          <w:lang w:val="en-US" w:eastAsia="zh-CN"/>
        </w:rPr>
        <w:t>28</w:t>
      </w:r>
      <w:r>
        <w:rPr>
          <w:rFonts w:hint="eastAsia" w:ascii="仿宋" w:hAnsi="仿宋" w:eastAsia="仿宋" w:cs="仿宋"/>
          <w:i w:val="0"/>
          <w:iCs w:val="0"/>
          <w:caps w:val="0"/>
          <w:color w:val="000000"/>
          <w:spacing w:val="0"/>
          <w:sz w:val="27"/>
          <w:szCs w:val="27"/>
          <w:highlight w:val="none"/>
          <w:lang w:eastAsia="zh-CN"/>
        </w:rPr>
        <w:t>日</w:t>
      </w:r>
      <w:r>
        <w:rPr>
          <w:rFonts w:hint="eastAsia" w:ascii="仿宋" w:hAnsi="仿宋" w:eastAsia="仿宋" w:cs="仿宋"/>
          <w:i w:val="0"/>
          <w:iCs w:val="0"/>
          <w:caps w:val="0"/>
          <w:color w:val="000000"/>
          <w:spacing w:val="0"/>
          <w:sz w:val="27"/>
          <w:szCs w:val="27"/>
          <w:highlight w:val="none"/>
          <w:lang w:eastAsia="zh-CN"/>
        </w:rPr>
        <w:t>1</w:t>
      </w:r>
      <w:r>
        <w:rPr>
          <w:rFonts w:hint="eastAsia" w:ascii="仿宋" w:hAnsi="仿宋" w:eastAsia="仿宋" w:cs="仿宋"/>
          <w:i w:val="0"/>
          <w:iCs w:val="0"/>
          <w:caps w:val="0"/>
          <w:color w:val="000000"/>
          <w:spacing w:val="0"/>
          <w:sz w:val="27"/>
          <w:szCs w:val="27"/>
          <w:highlight w:val="none"/>
          <w:lang w:val="en-US" w:eastAsia="zh-CN"/>
        </w:rPr>
        <w:t>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0</w:t>
      </w:r>
      <w:r>
        <w:rPr>
          <w:rFonts w:hint="eastAsia" w:ascii="仿宋" w:hAnsi="仿宋" w:eastAsia="仿宋" w:cs="仿宋"/>
          <w:i w:val="0"/>
          <w:iCs w:val="0"/>
          <w:caps w:val="0"/>
          <w:color w:val="000000"/>
          <w:spacing w:val="0"/>
          <w:sz w:val="27"/>
          <w:szCs w:val="27"/>
          <w:highlight w:val="none"/>
          <w:lang w:eastAsia="zh-CN"/>
        </w:rPr>
        <w:t>0</w:t>
      </w:r>
      <w:r>
        <w:rPr>
          <w:rFonts w:hint="eastAsia" w:ascii="仿宋" w:hAnsi="仿宋" w:eastAsia="仿宋" w:cs="仿宋"/>
          <w:i w:val="0"/>
          <w:iCs w:val="0"/>
          <w:caps w:val="0"/>
          <w:color w:val="000000"/>
          <w:spacing w:val="0"/>
          <w:sz w:val="27"/>
          <w:szCs w:val="27"/>
          <w:highlight w:val="none"/>
        </w:rPr>
        <w:t>（北京时间）</w:t>
      </w:r>
    </w:p>
    <w:p w14:paraId="1691DD3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投标地点：请登录政采云投标客户端投标</w:t>
      </w:r>
    </w:p>
    <w:p w14:paraId="5CF5A96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开标时间：</w:t>
      </w:r>
      <w:r>
        <w:rPr>
          <w:rFonts w:hint="eastAsia" w:ascii="仿宋" w:hAnsi="仿宋" w:eastAsia="仿宋" w:cs="仿宋"/>
          <w:i w:val="0"/>
          <w:iCs w:val="0"/>
          <w:caps w:val="0"/>
          <w:color w:val="000000"/>
          <w:spacing w:val="0"/>
          <w:sz w:val="27"/>
          <w:szCs w:val="27"/>
          <w:highlight w:val="none"/>
          <w:lang w:eastAsia="zh-CN"/>
        </w:rPr>
        <w:t>202</w:t>
      </w:r>
      <w:r>
        <w:rPr>
          <w:rFonts w:hint="eastAsia" w:ascii="仿宋" w:hAnsi="仿宋" w:eastAsia="仿宋" w:cs="仿宋"/>
          <w:i w:val="0"/>
          <w:iCs w:val="0"/>
          <w:caps w:val="0"/>
          <w:color w:val="000000"/>
          <w:spacing w:val="0"/>
          <w:sz w:val="27"/>
          <w:szCs w:val="27"/>
          <w:highlight w:val="none"/>
          <w:lang w:val="en-US" w:eastAsia="zh-CN"/>
        </w:rPr>
        <w:t>6</w:t>
      </w:r>
      <w:r>
        <w:rPr>
          <w:rFonts w:hint="eastAsia" w:ascii="仿宋" w:hAnsi="仿宋" w:eastAsia="仿宋" w:cs="仿宋"/>
          <w:i w:val="0"/>
          <w:iCs w:val="0"/>
          <w:caps w:val="0"/>
          <w:color w:val="000000"/>
          <w:spacing w:val="0"/>
          <w:sz w:val="27"/>
          <w:szCs w:val="27"/>
          <w:highlight w:val="none"/>
          <w:lang w:eastAsia="zh-CN"/>
        </w:rPr>
        <w:t>年</w:t>
      </w:r>
      <w:r>
        <w:rPr>
          <w:rFonts w:hint="eastAsia" w:ascii="仿宋" w:hAnsi="仿宋" w:eastAsia="仿宋" w:cs="仿宋"/>
          <w:i w:val="0"/>
          <w:iCs w:val="0"/>
          <w:caps w:val="0"/>
          <w:color w:val="000000"/>
          <w:spacing w:val="0"/>
          <w:sz w:val="27"/>
          <w:szCs w:val="27"/>
          <w:highlight w:val="none"/>
          <w:lang w:val="en-US" w:eastAsia="zh-CN"/>
        </w:rPr>
        <w:t>10</w:t>
      </w:r>
      <w:r>
        <w:rPr>
          <w:rFonts w:hint="eastAsia" w:ascii="仿宋" w:hAnsi="仿宋" w:eastAsia="仿宋" w:cs="仿宋"/>
          <w:i w:val="0"/>
          <w:iCs w:val="0"/>
          <w:caps w:val="0"/>
          <w:color w:val="000000"/>
          <w:spacing w:val="0"/>
          <w:sz w:val="27"/>
          <w:szCs w:val="27"/>
          <w:highlight w:val="none"/>
          <w:lang w:eastAsia="zh-CN"/>
        </w:rPr>
        <w:t>月</w:t>
      </w:r>
      <w:r>
        <w:rPr>
          <w:rFonts w:hint="eastAsia" w:ascii="仿宋" w:hAnsi="仿宋" w:eastAsia="仿宋" w:cs="仿宋"/>
          <w:i w:val="0"/>
          <w:iCs w:val="0"/>
          <w:caps w:val="0"/>
          <w:color w:val="000000"/>
          <w:spacing w:val="0"/>
          <w:sz w:val="27"/>
          <w:szCs w:val="27"/>
          <w:highlight w:val="none"/>
          <w:lang w:val="en-US" w:eastAsia="zh-CN"/>
        </w:rPr>
        <w:t>28</w:t>
      </w:r>
      <w:r>
        <w:rPr>
          <w:rFonts w:hint="eastAsia" w:ascii="仿宋" w:hAnsi="仿宋" w:eastAsia="仿宋" w:cs="仿宋"/>
          <w:i w:val="0"/>
          <w:iCs w:val="0"/>
          <w:caps w:val="0"/>
          <w:color w:val="000000"/>
          <w:spacing w:val="0"/>
          <w:sz w:val="27"/>
          <w:szCs w:val="27"/>
          <w:highlight w:val="none"/>
          <w:lang w:eastAsia="zh-CN"/>
        </w:rPr>
        <w:t>日</w:t>
      </w:r>
      <w:r>
        <w:rPr>
          <w:rFonts w:hint="eastAsia" w:ascii="仿宋" w:hAnsi="仿宋" w:eastAsia="仿宋" w:cs="仿宋"/>
          <w:i w:val="0"/>
          <w:iCs w:val="0"/>
          <w:caps w:val="0"/>
          <w:color w:val="000000"/>
          <w:spacing w:val="0"/>
          <w:sz w:val="27"/>
          <w:szCs w:val="27"/>
          <w:highlight w:val="none"/>
          <w:lang w:eastAsia="zh-CN"/>
        </w:rPr>
        <w:t>1</w:t>
      </w:r>
      <w:r>
        <w:rPr>
          <w:rFonts w:hint="eastAsia" w:ascii="仿宋" w:hAnsi="仿宋" w:eastAsia="仿宋" w:cs="仿宋"/>
          <w:i w:val="0"/>
          <w:iCs w:val="0"/>
          <w:caps w:val="0"/>
          <w:color w:val="000000"/>
          <w:spacing w:val="0"/>
          <w:sz w:val="27"/>
          <w:szCs w:val="27"/>
          <w:highlight w:val="none"/>
          <w:lang w:val="en-US" w:eastAsia="zh-CN"/>
        </w:rPr>
        <w:t>1</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val="en-US" w:eastAsia="zh-CN"/>
        </w:rPr>
        <w:t>0</w:t>
      </w:r>
      <w:r>
        <w:rPr>
          <w:rFonts w:hint="eastAsia" w:ascii="仿宋" w:hAnsi="仿宋" w:eastAsia="仿宋" w:cs="仿宋"/>
          <w:i w:val="0"/>
          <w:iCs w:val="0"/>
          <w:caps w:val="0"/>
          <w:color w:val="000000"/>
          <w:spacing w:val="0"/>
          <w:sz w:val="27"/>
          <w:szCs w:val="27"/>
          <w:highlight w:val="none"/>
          <w:lang w:eastAsia="zh-CN"/>
        </w:rPr>
        <w:t>0</w:t>
      </w:r>
      <w:r>
        <w:rPr>
          <w:rFonts w:hint="eastAsia" w:ascii="仿宋" w:hAnsi="仿宋" w:eastAsia="仿宋" w:cs="仿宋"/>
          <w:i w:val="0"/>
          <w:iCs w:val="0"/>
          <w:caps w:val="0"/>
          <w:color w:val="000000"/>
          <w:spacing w:val="0"/>
          <w:sz w:val="27"/>
          <w:szCs w:val="27"/>
          <w:highlight w:val="none"/>
        </w:rPr>
        <w:t>（北京时间）</w:t>
      </w:r>
    </w:p>
    <w:p w14:paraId="2DB84CA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highlight w:val="none"/>
        </w:rPr>
      </w:pPr>
      <w:r>
        <w:rPr>
          <w:rFonts w:hint="eastAsia" w:ascii="仿宋" w:hAnsi="仿宋" w:eastAsia="仿宋" w:cs="仿宋"/>
          <w:i w:val="0"/>
          <w:iCs w:val="0"/>
          <w:caps w:val="0"/>
          <w:color w:val="000000"/>
          <w:spacing w:val="0"/>
          <w:sz w:val="27"/>
          <w:szCs w:val="27"/>
          <w:highlight w:val="none"/>
        </w:rPr>
        <w:t>开标地点：</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rPr>
        <w:t>登录政采云平台ht</w:t>
      </w:r>
      <w:r>
        <w:rPr>
          <w:rFonts w:hint="eastAsia" w:ascii="仿宋" w:hAnsi="仿宋" w:eastAsia="仿宋" w:cs="仿宋"/>
          <w:i w:val="0"/>
          <w:iCs w:val="0"/>
          <w:caps w:val="0"/>
          <w:color w:val="000000"/>
          <w:spacing w:val="0"/>
          <w:sz w:val="27"/>
          <w:szCs w:val="27"/>
          <w:highlight w:val="none"/>
        </w:rPr>
        <w:t>tps://www.zcygov.cn/，进入“项目采购-开标评标-右边选择对应项目点击“进入项目”进入开标大厅。</w:t>
      </w:r>
    </w:p>
    <w:p w14:paraId="780440F2">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31"/>
          <w:szCs w:val="31"/>
          <w:highlight w:val="none"/>
        </w:rPr>
      </w:pPr>
      <w:r>
        <w:rPr>
          <w:rStyle w:val="20"/>
          <w:rFonts w:ascii="黑体" w:hAnsi="宋体" w:eastAsia="黑体" w:cs="黑体"/>
          <w:i w:val="0"/>
          <w:iCs w:val="0"/>
          <w:caps w:val="0"/>
          <w:color w:val="000000"/>
          <w:spacing w:val="0"/>
          <w:sz w:val="27"/>
          <w:szCs w:val="27"/>
          <w:highlight w:val="none"/>
        </w:rPr>
        <w:t>五、公告期限</w:t>
      </w:r>
    </w:p>
    <w:p w14:paraId="1B498626">
      <w:pPr>
        <w:pStyle w:val="16"/>
        <w:keepNext w:val="0"/>
        <w:keepLines w:val="0"/>
        <w:pageBreakBefore w:val="0"/>
        <w:widowControl/>
        <w:suppressLineNumbers w:val="0"/>
        <w:kinsoku/>
        <w:wordWrap/>
        <w:overflowPunct/>
        <w:topLinePunct w:val="0"/>
        <w:bidi w:val="0"/>
        <w:spacing w:before="75" w:beforeAutospacing="0" w:after="75" w:afterAutospacing="0"/>
        <w:ind w:left="0" w:right="0" w:firstLine="420"/>
        <w:rPr>
          <w:rFonts w:ascii="微软雅黑" w:hAnsi="微软雅黑" w:eastAsia="微软雅黑" w:cs="微软雅黑"/>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自本公告发布之日起</w:t>
      </w:r>
      <w:r>
        <w:rPr>
          <w:rFonts w:hint="eastAsia" w:ascii="仿宋" w:hAnsi="仿宋" w:eastAsia="仿宋" w:cs="仿宋"/>
          <w:i w:val="0"/>
          <w:iCs w:val="0"/>
          <w:caps w:val="0"/>
          <w:color w:val="000000"/>
          <w:spacing w:val="0"/>
          <w:sz w:val="27"/>
          <w:szCs w:val="27"/>
          <w:highlight w:val="none"/>
          <w:lang w:val="en-US" w:eastAsia="zh-CN"/>
        </w:rPr>
        <w:t>5</w:t>
      </w:r>
      <w:r>
        <w:rPr>
          <w:rFonts w:hint="eastAsia" w:ascii="仿宋" w:hAnsi="仿宋" w:eastAsia="仿宋" w:cs="仿宋"/>
          <w:i w:val="0"/>
          <w:iCs w:val="0"/>
          <w:caps w:val="0"/>
          <w:color w:val="000000"/>
          <w:spacing w:val="0"/>
          <w:sz w:val="27"/>
          <w:szCs w:val="27"/>
          <w:highlight w:val="none"/>
        </w:rPr>
        <w:t>个工作日。</w:t>
      </w:r>
    </w:p>
    <w:p w14:paraId="1E99B3F5">
      <w:pPr>
        <w:pStyle w:val="16"/>
        <w:keepNext w:val="0"/>
        <w:keepLines w:val="0"/>
        <w:pageBreakBefore w:val="0"/>
        <w:widowControl/>
        <w:suppressLineNumbers w:val="0"/>
        <w:kinsoku/>
        <w:wordWrap/>
        <w:overflowPunct/>
        <w:topLinePunct w:val="0"/>
        <w:bidi w:val="0"/>
        <w:spacing w:before="255" w:beforeAutospacing="0" w:after="255" w:afterAutospacing="0" w:line="300" w:lineRule="atLeast"/>
        <w:ind w:left="0" w:right="0" w:firstLine="0"/>
        <w:jc w:val="both"/>
        <w:rPr>
          <w:rFonts w:ascii="黑体" w:hAnsi="宋体" w:eastAsia="黑体" w:cs="黑体"/>
          <w:i w:val="0"/>
          <w:iCs w:val="0"/>
          <w:caps w:val="0"/>
          <w:color w:val="000000"/>
          <w:spacing w:val="0"/>
          <w:sz w:val="27"/>
          <w:szCs w:val="27"/>
          <w:highlight w:val="none"/>
        </w:rPr>
      </w:pPr>
      <w:r>
        <w:rPr>
          <w:rStyle w:val="20"/>
          <w:rFonts w:ascii="黑体" w:hAnsi="宋体" w:eastAsia="黑体" w:cs="黑体"/>
          <w:i w:val="0"/>
          <w:iCs w:val="0"/>
          <w:caps w:val="0"/>
          <w:color w:val="000000"/>
          <w:spacing w:val="0"/>
          <w:sz w:val="27"/>
          <w:szCs w:val="27"/>
          <w:highlight w:val="none"/>
        </w:rPr>
        <w:t>六、其他补充事宜</w:t>
      </w:r>
    </w:p>
    <w:p w14:paraId="7CE21BB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1、本次公告在新疆政府采购网发布；</w:t>
      </w:r>
    </w:p>
    <w:p w14:paraId="0BF82154">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2、请</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随时关注本项目的变更、答疑、澄清文件；</w:t>
      </w:r>
    </w:p>
    <w:p w14:paraId="05BF8BDD">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3、本项目实行电子招投标，投标人须登录政采云平台申请获取</w:t>
      </w:r>
      <w:r>
        <w:rPr>
          <w:rFonts w:hint="eastAsia" w:ascii="仿宋" w:hAnsi="仿宋" w:eastAsia="仿宋" w:cs="仿宋"/>
          <w:i w:val="0"/>
          <w:iCs w:val="0"/>
          <w:caps w:val="0"/>
          <w:color w:val="000000"/>
          <w:spacing w:val="0"/>
          <w:sz w:val="27"/>
          <w:szCs w:val="27"/>
          <w:highlight w:val="none"/>
          <w:lang w:eastAsia="zh-CN"/>
        </w:rPr>
        <w:t>招标文件</w:t>
      </w:r>
      <w:r>
        <w:rPr>
          <w:rFonts w:hint="eastAsia" w:ascii="仿宋" w:hAnsi="仿宋" w:eastAsia="仿宋" w:cs="仿宋"/>
          <w:i w:val="0"/>
          <w:iCs w:val="0"/>
          <w:caps w:val="0"/>
          <w:color w:val="000000"/>
          <w:spacing w:val="0"/>
          <w:sz w:val="27"/>
          <w:szCs w:val="27"/>
          <w:highlight w:val="none"/>
          <w:lang w:val="en-US" w:eastAsia="zh-CN"/>
        </w:rPr>
        <w:t>，并通过政采云电子投标客户端制作</w:t>
      </w:r>
      <w:r>
        <w:rPr>
          <w:rFonts w:hint="eastAsia" w:ascii="仿宋" w:hAnsi="仿宋" w:eastAsia="仿宋" w:cs="仿宋"/>
          <w:i w:val="0"/>
          <w:iCs w:val="0"/>
          <w:caps w:val="0"/>
          <w:color w:val="000000"/>
          <w:spacing w:val="0"/>
          <w:sz w:val="27"/>
          <w:szCs w:val="27"/>
          <w:highlight w:val="none"/>
          <w:lang w:eastAsia="zh-CN"/>
        </w:rPr>
        <w:t>投标文件</w:t>
      </w:r>
      <w:r>
        <w:rPr>
          <w:rFonts w:hint="eastAsia" w:ascii="仿宋" w:hAnsi="仿宋" w:eastAsia="仿宋" w:cs="仿宋"/>
          <w:i w:val="0"/>
          <w:iCs w:val="0"/>
          <w:caps w:val="0"/>
          <w:color w:val="000000"/>
          <w:spacing w:val="0"/>
          <w:sz w:val="27"/>
          <w:szCs w:val="27"/>
          <w:highlight w:val="none"/>
          <w:lang w:val="en-US" w:eastAsia="zh-CN"/>
        </w:rPr>
        <w:t>，同时自行承担与投标有关的一切费用；</w:t>
      </w:r>
    </w:p>
    <w:p w14:paraId="60C0CD38">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4、各投标人应在开标前确保成为新疆维吾尔自治区政府采购网正式注册入库投标人，并完成CA数字证书申领。因未注册入库、未办理CA数字证书等原因造成无法投标或投标失败等后果由</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自行承担；</w:t>
      </w:r>
    </w:p>
    <w:p w14:paraId="3346E82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5、</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可前往新疆政府采购网（http://www.ccgp-xinjiang.gov.cn/）下载专区，下载政采云电子投标客户端，安装完成后，可通过账号密码或CA登录客户端进行</w:t>
      </w:r>
      <w:r>
        <w:rPr>
          <w:rFonts w:hint="eastAsia" w:ascii="仿宋" w:hAnsi="仿宋" w:eastAsia="仿宋" w:cs="仿宋"/>
          <w:i w:val="0"/>
          <w:iCs w:val="0"/>
          <w:caps w:val="0"/>
          <w:color w:val="000000"/>
          <w:spacing w:val="0"/>
          <w:sz w:val="27"/>
          <w:szCs w:val="27"/>
          <w:highlight w:val="none"/>
          <w:lang w:eastAsia="zh-CN"/>
        </w:rPr>
        <w:t>投标文件</w:t>
      </w:r>
      <w:r>
        <w:rPr>
          <w:rFonts w:hint="eastAsia" w:ascii="仿宋" w:hAnsi="仿宋" w:eastAsia="仿宋" w:cs="仿宋"/>
          <w:i w:val="0"/>
          <w:iCs w:val="0"/>
          <w:caps w:val="0"/>
          <w:color w:val="000000"/>
          <w:spacing w:val="0"/>
          <w:sz w:val="27"/>
          <w:szCs w:val="27"/>
          <w:highlight w:val="none"/>
          <w:lang w:val="en-US" w:eastAsia="zh-CN"/>
        </w:rPr>
        <w:t>制作。在使用政采云电子投标客户端时，建议使用WIN7及以上操作系统。如有问题可拨打政采云客户服务热线95763进行咨询；</w:t>
      </w:r>
    </w:p>
    <w:p w14:paraId="45D1C98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 6、本项目采用不见面开标，</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须在投标截止时间前通过CA在政采云平台上传加密的电子</w:t>
      </w:r>
      <w:r>
        <w:rPr>
          <w:rFonts w:hint="eastAsia" w:ascii="仿宋" w:hAnsi="仿宋" w:eastAsia="仿宋" w:cs="仿宋"/>
          <w:i w:val="0"/>
          <w:iCs w:val="0"/>
          <w:caps w:val="0"/>
          <w:color w:val="000000"/>
          <w:spacing w:val="0"/>
          <w:sz w:val="27"/>
          <w:szCs w:val="27"/>
          <w:highlight w:val="none"/>
          <w:lang w:eastAsia="zh-CN"/>
        </w:rPr>
        <w:t>投标文件</w:t>
      </w:r>
      <w:r>
        <w:rPr>
          <w:rFonts w:hint="eastAsia" w:ascii="仿宋" w:hAnsi="仿宋" w:eastAsia="仿宋" w:cs="仿宋"/>
          <w:i w:val="0"/>
          <w:iCs w:val="0"/>
          <w:caps w:val="0"/>
          <w:color w:val="000000"/>
          <w:spacing w:val="0"/>
          <w:sz w:val="27"/>
          <w:szCs w:val="27"/>
          <w:highlight w:val="none"/>
          <w:lang w:val="en-US" w:eastAsia="zh-CN"/>
        </w:rPr>
        <w:t>。</w:t>
      </w:r>
    </w:p>
    <w:p w14:paraId="1D55A35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val="en-US" w:eastAsia="zh-CN"/>
        </w:rPr>
      </w:pPr>
      <w:r>
        <w:rPr>
          <w:rFonts w:hint="eastAsia" w:ascii="仿宋" w:hAnsi="仿宋" w:eastAsia="仿宋" w:cs="仿宋"/>
          <w:i w:val="0"/>
          <w:iCs w:val="0"/>
          <w:caps w:val="0"/>
          <w:color w:val="000000"/>
          <w:spacing w:val="0"/>
          <w:sz w:val="27"/>
          <w:szCs w:val="27"/>
          <w:highlight w:val="none"/>
          <w:lang w:val="en-US" w:eastAsia="zh-CN"/>
        </w:rPr>
        <w:t> 7、</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在开标前须提前配置好电脑浏览器（建议使用360浏览器或谷歌浏览器），开标时请使用制作加密电子</w:t>
      </w:r>
      <w:r>
        <w:rPr>
          <w:rFonts w:hint="eastAsia" w:ascii="仿宋" w:hAnsi="仿宋" w:eastAsia="仿宋" w:cs="仿宋"/>
          <w:i w:val="0"/>
          <w:iCs w:val="0"/>
          <w:caps w:val="0"/>
          <w:color w:val="000000"/>
          <w:spacing w:val="0"/>
          <w:sz w:val="27"/>
          <w:szCs w:val="27"/>
          <w:highlight w:val="none"/>
          <w:lang w:eastAsia="zh-CN"/>
        </w:rPr>
        <w:t>投标文件</w:t>
      </w:r>
      <w:r>
        <w:rPr>
          <w:rFonts w:hint="eastAsia" w:ascii="仿宋" w:hAnsi="仿宋" w:eastAsia="仿宋" w:cs="仿宋"/>
          <w:i w:val="0"/>
          <w:iCs w:val="0"/>
          <w:caps w:val="0"/>
          <w:color w:val="000000"/>
          <w:spacing w:val="0"/>
          <w:sz w:val="27"/>
          <w:szCs w:val="27"/>
          <w:highlight w:val="none"/>
          <w:lang w:val="en-US" w:eastAsia="zh-CN"/>
        </w:rPr>
        <w:t>的CA锁进行解密及报价确认。本项目</w:t>
      </w:r>
      <w:r>
        <w:rPr>
          <w:rFonts w:hint="eastAsia" w:ascii="仿宋" w:hAnsi="仿宋" w:eastAsia="仿宋" w:cs="仿宋"/>
          <w:i w:val="0"/>
          <w:iCs w:val="0"/>
          <w:caps w:val="0"/>
          <w:color w:val="000000"/>
          <w:spacing w:val="0"/>
          <w:sz w:val="27"/>
          <w:szCs w:val="27"/>
          <w:highlight w:val="none"/>
          <w:lang w:eastAsia="zh-CN"/>
        </w:rPr>
        <w:t>投标文件</w:t>
      </w:r>
      <w:r>
        <w:rPr>
          <w:rFonts w:hint="eastAsia" w:ascii="仿宋" w:hAnsi="仿宋" w:eastAsia="仿宋" w:cs="仿宋"/>
          <w:i w:val="0"/>
          <w:iCs w:val="0"/>
          <w:caps w:val="0"/>
          <w:color w:val="000000"/>
          <w:spacing w:val="0"/>
          <w:sz w:val="27"/>
          <w:szCs w:val="27"/>
          <w:highlight w:val="none"/>
          <w:lang w:val="en-US" w:eastAsia="zh-CN"/>
        </w:rPr>
        <w:t>解密时间定为30分钟，如因自身原因导致无法正常解密，后果由</w:t>
      </w:r>
      <w:r>
        <w:rPr>
          <w:rFonts w:hint="eastAsia" w:ascii="仿宋" w:hAnsi="仿宋" w:eastAsia="仿宋" w:cs="仿宋"/>
          <w:i w:val="0"/>
          <w:iCs w:val="0"/>
          <w:caps w:val="0"/>
          <w:color w:val="000000"/>
          <w:spacing w:val="0"/>
          <w:sz w:val="27"/>
          <w:szCs w:val="27"/>
          <w:highlight w:val="none"/>
          <w:lang w:eastAsia="zh-CN"/>
        </w:rPr>
        <w:t>投标人</w:t>
      </w:r>
      <w:r>
        <w:rPr>
          <w:rFonts w:hint="eastAsia" w:ascii="仿宋" w:hAnsi="仿宋" w:eastAsia="仿宋" w:cs="仿宋"/>
          <w:i w:val="0"/>
          <w:iCs w:val="0"/>
          <w:caps w:val="0"/>
          <w:color w:val="000000"/>
          <w:spacing w:val="0"/>
          <w:sz w:val="27"/>
          <w:szCs w:val="27"/>
          <w:highlight w:val="none"/>
          <w:lang w:val="en-US" w:eastAsia="zh-CN"/>
        </w:rPr>
        <w:t>自行承担。</w:t>
      </w:r>
    </w:p>
    <w:p w14:paraId="2F18D1D2">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特别提示：</w:t>
      </w:r>
    </w:p>
    <w:p w14:paraId="5ECD1485">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1、采购限额标准以上，200万元以下的货物和服务采购项目、400万元以下的工程采购项目，适宜由中小企业提供的，采购人应当专门面向中小企业采购。</w:t>
      </w:r>
    </w:p>
    <w:p w14:paraId="4ED498C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2、超过200万元的货物和服务采购项目，预留该部分采购项目预算总额的30%以上专门面向中小企业采购，其中预留给小微企业的比例不低于60%。</w:t>
      </w:r>
    </w:p>
    <w:p w14:paraId="5D0E35D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3、超过400万元的工程采购项目中适宜由中小企业提供的，预留该部分采购项目预算总额的40%以上专门面向中小企业采购，其中预留给小微企业的比例不低于60%。</w:t>
      </w:r>
    </w:p>
    <w:p w14:paraId="374E7D3C">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5445A1B0">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rPr>
      </w:pPr>
      <w:r>
        <w:rPr>
          <w:rFonts w:hint="eastAsia" w:ascii="仿宋" w:hAnsi="仿宋" w:eastAsia="仿宋" w:cs="仿宋"/>
          <w:i w:val="0"/>
          <w:iCs w:val="0"/>
          <w:caps w:val="0"/>
          <w:color w:val="000000"/>
          <w:spacing w:val="0"/>
          <w:sz w:val="27"/>
          <w:szCs w:val="27"/>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9FF5289">
      <w:pPr>
        <w:pStyle w:val="16"/>
        <w:keepNext w:val="0"/>
        <w:keepLines w:val="0"/>
        <w:pageBreakBefore w:val="0"/>
        <w:widowControl/>
        <w:suppressLineNumbers w:val="0"/>
        <w:kinsoku/>
        <w:wordWrap/>
        <w:overflowPunct/>
        <w:topLinePunct w:val="0"/>
        <w:bidi w:val="0"/>
        <w:spacing w:before="255" w:beforeAutospacing="0" w:after="255" w:afterAutospacing="0" w:line="480" w:lineRule="atLeast"/>
        <w:ind w:left="0" w:right="0" w:firstLine="0"/>
        <w:jc w:val="both"/>
        <w:rPr>
          <w:rFonts w:ascii="黑体" w:hAnsi="宋体" w:eastAsia="黑体" w:cs="黑体"/>
          <w:i w:val="0"/>
          <w:iCs w:val="0"/>
          <w:caps w:val="0"/>
          <w:color w:val="000000"/>
          <w:spacing w:val="0"/>
          <w:sz w:val="31"/>
          <w:szCs w:val="31"/>
          <w:highlight w:val="none"/>
        </w:rPr>
      </w:pPr>
      <w:r>
        <w:rPr>
          <w:rStyle w:val="20"/>
          <w:rFonts w:ascii="黑体" w:hAnsi="宋体" w:eastAsia="黑体" w:cs="黑体"/>
          <w:i w:val="0"/>
          <w:iCs w:val="0"/>
          <w:caps w:val="0"/>
          <w:color w:val="000000"/>
          <w:spacing w:val="0"/>
          <w:sz w:val="27"/>
          <w:szCs w:val="27"/>
          <w:highlight w:val="none"/>
        </w:rPr>
        <w:t>七、对本次采购提出询问，请按以下方式联系</w:t>
      </w:r>
    </w:p>
    <w:p w14:paraId="5829FBDD">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1.</w:t>
      </w:r>
      <w:r>
        <w:rPr>
          <w:rFonts w:hint="default" w:ascii="仿宋_GB2312" w:hAnsi="仿宋_GB2312" w:eastAsia="仿宋_GB2312" w:cs="仿宋_GB2312"/>
          <w:snapToGrid/>
          <w:highlight w:val="none"/>
        </w:rPr>
        <w:t>招标人</w:t>
      </w:r>
      <w:r>
        <w:rPr>
          <w:rFonts w:hint="eastAsia" w:ascii="仿宋_GB2312" w:hAnsi="仿宋_GB2312" w:eastAsia="仿宋_GB2312" w:cs="仿宋_GB2312"/>
          <w:snapToGrid/>
          <w:highlight w:val="none"/>
        </w:rPr>
        <w:t>信息</w:t>
      </w:r>
    </w:p>
    <w:p w14:paraId="02B2FC3D">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eastAsia"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名 称：阿克苏市卫生健康委员会</w:t>
      </w:r>
    </w:p>
    <w:p w14:paraId="57B2B5A5">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地 址：阿克苏市综合办公区8号楼</w:t>
      </w:r>
    </w:p>
    <w:p w14:paraId="435C0D24">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eastAsia"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 xml:space="preserve">采购联系方式：张楷 </w:t>
      </w:r>
    </w:p>
    <w:p w14:paraId="2C9AAFEC">
      <w:pPr>
        <w:keepNext w:val="0"/>
        <w:keepLines w:val="0"/>
        <w:pageBreakBefore w:val="0"/>
        <w:widowControl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_GB2312" w:hAnsi="仿宋_GB2312" w:eastAsia="仿宋_GB2312" w:cs="仿宋_GB2312"/>
          <w:snapToGrid/>
          <w:kern w:val="2"/>
          <w:sz w:val="28"/>
          <w:szCs w:val="28"/>
          <w:highlight w:val="none"/>
          <w:lang w:val="en-US" w:eastAsia="zh-CN" w:bidi="ar-SA"/>
        </w:rPr>
      </w:pPr>
      <w:r>
        <w:rPr>
          <w:rFonts w:hint="eastAsia" w:ascii="仿宋_GB2312" w:hAnsi="仿宋_GB2312" w:eastAsia="仿宋_GB2312" w:cs="仿宋_GB2312"/>
          <w:snapToGrid/>
          <w:kern w:val="2"/>
          <w:sz w:val="28"/>
          <w:szCs w:val="28"/>
          <w:highlight w:val="none"/>
          <w:lang w:val="en-US" w:eastAsia="zh-CN" w:bidi="ar-SA"/>
        </w:rPr>
        <w:t>联系电话：19909977525</w:t>
      </w:r>
    </w:p>
    <w:p w14:paraId="3403EBD8">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2.采购代理机构信息</w:t>
      </w:r>
    </w:p>
    <w:p w14:paraId="2BD53A46">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rPr>
      </w:pPr>
      <w:r>
        <w:rPr>
          <w:rFonts w:hint="eastAsia" w:ascii="仿宋_GB2312" w:hAnsi="仿宋_GB2312" w:eastAsia="仿宋_GB2312" w:cs="仿宋_GB2312"/>
          <w:snapToGrid/>
          <w:highlight w:val="none"/>
        </w:rPr>
        <w:t>名 称：</w:t>
      </w:r>
      <w:r>
        <w:rPr>
          <w:rFonts w:hint="eastAsia" w:ascii="仿宋_GB2312" w:hAnsi="仿宋_GB2312" w:eastAsia="仿宋_GB2312" w:cs="仿宋_GB2312"/>
          <w:snapToGrid/>
          <w:highlight w:val="none"/>
          <w:lang w:eastAsia="zh-CN"/>
        </w:rPr>
        <w:t>阿克苏市政务服务和公共资源交易中心</w:t>
      </w:r>
    </w:p>
    <w:p w14:paraId="02DEDB91">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lang w:val="en-US" w:eastAsia="zh-CN"/>
        </w:rPr>
      </w:pPr>
      <w:r>
        <w:rPr>
          <w:rFonts w:hint="eastAsia" w:ascii="仿宋_GB2312" w:hAnsi="仿宋_GB2312" w:eastAsia="仿宋_GB2312" w:cs="仿宋_GB2312"/>
          <w:snapToGrid/>
          <w:highlight w:val="none"/>
        </w:rPr>
        <w:t>地　址：阿克苏</w:t>
      </w:r>
      <w:r>
        <w:rPr>
          <w:rFonts w:hint="eastAsia" w:ascii="仿宋_GB2312" w:hAnsi="仿宋_GB2312" w:eastAsia="仿宋_GB2312" w:cs="仿宋_GB2312"/>
          <w:snapToGrid/>
          <w:highlight w:val="none"/>
          <w:lang w:eastAsia="zh-CN"/>
        </w:rPr>
        <w:t>市多浪河二期便民服务中心</w:t>
      </w:r>
      <w:r>
        <w:rPr>
          <w:rFonts w:hint="eastAsia" w:ascii="仿宋_GB2312" w:hAnsi="仿宋_GB2312" w:eastAsia="仿宋_GB2312" w:cs="仿宋_GB2312"/>
          <w:snapToGrid/>
          <w:highlight w:val="none"/>
          <w:lang w:val="en-US" w:eastAsia="zh-CN"/>
        </w:rPr>
        <w:t>1号楼4楼</w:t>
      </w:r>
    </w:p>
    <w:p w14:paraId="572487A6">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snapToGrid/>
          <w:highlight w:val="none"/>
          <w:lang w:val="en-US" w:eastAsia="zh-CN"/>
        </w:rPr>
      </w:pPr>
      <w:r>
        <w:rPr>
          <w:rFonts w:hint="eastAsia" w:ascii="仿宋_GB2312" w:hAnsi="仿宋_GB2312" w:eastAsia="仿宋_GB2312" w:cs="仿宋_GB2312"/>
          <w:snapToGrid/>
          <w:highlight w:val="none"/>
        </w:rPr>
        <w:t>项目经办人联系方式</w:t>
      </w:r>
      <w:r>
        <w:rPr>
          <w:rFonts w:hint="eastAsia" w:ascii="仿宋_GB2312" w:hAnsi="仿宋_GB2312" w:eastAsia="仿宋_GB2312" w:cs="仿宋_GB2312"/>
          <w:snapToGrid/>
          <w:highlight w:val="none"/>
          <w:lang w:eastAsia="zh-CN"/>
        </w:rPr>
        <w:t>：</w:t>
      </w:r>
      <w:r>
        <w:rPr>
          <w:rFonts w:hint="eastAsia" w:ascii="仿宋_GB2312" w:hAnsi="仿宋_GB2312" w:eastAsia="仿宋_GB2312" w:cs="仿宋_GB2312"/>
          <w:snapToGrid/>
          <w:highlight w:val="none"/>
          <w:lang w:val="en-US" w:eastAsia="zh-CN"/>
        </w:rPr>
        <w:t xml:space="preserve">  金永锋  </w:t>
      </w:r>
      <w:r>
        <w:rPr>
          <w:rFonts w:hint="eastAsia" w:ascii="仿宋_GB2312" w:hAnsi="仿宋_GB2312" w:eastAsia="仿宋_GB2312" w:cs="仿宋_GB2312"/>
          <w:snapToGrid/>
          <w:highlight w:val="none"/>
          <w:lang w:eastAsia="zh-CN"/>
        </w:rPr>
        <w:t>马依拜尔</w:t>
      </w:r>
      <w:r>
        <w:rPr>
          <w:rFonts w:hint="eastAsia" w:ascii="仿宋_GB2312" w:hAnsi="仿宋_GB2312" w:eastAsia="仿宋_GB2312" w:cs="仿宋_GB2312"/>
          <w:snapToGrid/>
          <w:highlight w:val="none"/>
          <w:lang w:val="en-US" w:eastAsia="zh-CN"/>
        </w:rPr>
        <w:t xml:space="preserve">·吾布力  </w:t>
      </w:r>
    </w:p>
    <w:p w14:paraId="56E1AFB0">
      <w:pPr>
        <w:pStyle w:val="15"/>
        <w:keepNext w:val="0"/>
        <w:keepLines w:val="0"/>
        <w:pageBreakBefore w:val="0"/>
        <w:kinsoku/>
        <w:overflowPunct/>
        <w:topLinePunct w:val="0"/>
        <w:autoSpaceDE/>
        <w:autoSpaceDN/>
        <w:bidi w:val="0"/>
        <w:adjustRightInd/>
        <w:snapToGrid/>
        <w:spacing w:after="0" w:line="520" w:lineRule="exact"/>
        <w:ind w:left="0" w:leftChars="0" w:firstLine="560" w:firstLineChars="200"/>
        <w:jc w:val="both"/>
        <w:textAlignment w:val="auto"/>
        <w:rPr>
          <w:rFonts w:hint="default" w:ascii="仿宋" w:hAnsi="仿宋" w:eastAsia="仿宋" w:cs="仿宋"/>
          <w:sz w:val="24"/>
          <w:szCs w:val="24"/>
          <w:highlight w:val="none"/>
          <w:lang w:val="en-US" w:eastAsia="zh-CN"/>
        </w:rPr>
        <w:sectPr>
          <w:footerReference r:id="rId7" w:type="default"/>
          <w:pgSz w:w="11906" w:h="16839"/>
          <w:pgMar w:top="1440" w:right="1080" w:bottom="1440" w:left="1080" w:header="850" w:footer="850" w:gutter="0"/>
          <w:pgNumType w:fmt="decimal" w:start="1"/>
          <w:cols w:space="720" w:num="1"/>
        </w:sectPr>
      </w:pPr>
      <w:r>
        <w:rPr>
          <w:rFonts w:hint="default" w:ascii="仿宋" w:hAnsi="仿宋" w:eastAsia="仿宋" w:cs="Times New Roman"/>
          <w:snapToGrid/>
          <w:color w:val="000000"/>
          <w:sz w:val="28"/>
          <w:szCs w:val="28"/>
          <w:highlight w:val="none"/>
        </w:rPr>
        <w:t>联系电话</w:t>
      </w:r>
      <w:r>
        <w:rPr>
          <w:rFonts w:hint="default" w:ascii="仿宋" w:hAnsi="仿宋" w:eastAsia="仿宋" w:cs="Times New Roman"/>
          <w:snapToGrid/>
          <w:color w:val="000000"/>
          <w:sz w:val="28"/>
          <w:szCs w:val="28"/>
          <w:highlight w:val="none"/>
          <w:lang w:val="en-US"/>
        </w:rPr>
        <w:t>：0997-2</w:t>
      </w:r>
      <w:r>
        <w:rPr>
          <w:rFonts w:hint="eastAsia" w:ascii="仿宋" w:hAnsi="仿宋" w:eastAsia="仿宋" w:cs="Times New Roman"/>
          <w:snapToGrid/>
          <w:color w:val="000000"/>
          <w:sz w:val="28"/>
          <w:szCs w:val="28"/>
          <w:highlight w:val="none"/>
          <w:lang w:val="en-US" w:eastAsia="zh-CN"/>
        </w:rPr>
        <w:t>282002</w:t>
      </w:r>
    </w:p>
    <w:p w14:paraId="43203568">
      <w:pPr>
        <w:keepLines w:val="0"/>
        <w:pageBreakBefore w:val="0"/>
        <w:kinsoku/>
        <w:wordWrap/>
        <w:overflowPunct/>
        <w:topLinePunct w:val="0"/>
        <w:bidi w:val="0"/>
        <w:spacing w:before="117" w:line="230" w:lineRule="auto"/>
        <w:ind w:left="3487"/>
        <w:rPr>
          <w:rFonts w:ascii="仿宋" w:hAnsi="仿宋" w:eastAsia="仿宋" w:cs="仿宋"/>
          <w:sz w:val="31"/>
          <w:szCs w:val="31"/>
          <w:highlight w:val="none"/>
        </w:rPr>
      </w:pPr>
      <w:r>
        <w:rPr>
          <w:rFonts w:ascii="仿宋" w:hAnsi="仿宋" w:eastAsia="仿宋" w:cs="仿宋"/>
          <w:b/>
          <w:bCs/>
          <w:sz w:val="31"/>
          <w:szCs w:val="31"/>
          <w:highlight w:val="none"/>
        </w:rPr>
        <w:t>第二章</w:t>
      </w:r>
      <w:r>
        <w:rPr>
          <w:rFonts w:ascii="仿宋" w:hAnsi="仿宋" w:eastAsia="仿宋" w:cs="仿宋"/>
          <w:spacing w:val="17"/>
          <w:sz w:val="31"/>
          <w:szCs w:val="31"/>
          <w:highlight w:val="none"/>
        </w:rPr>
        <w:t xml:space="preserve">  </w:t>
      </w:r>
      <w:r>
        <w:rPr>
          <w:rFonts w:hint="eastAsia" w:ascii="仿宋" w:hAnsi="仿宋" w:eastAsia="仿宋" w:cs="仿宋"/>
          <w:b/>
          <w:bCs/>
          <w:sz w:val="31"/>
          <w:szCs w:val="31"/>
          <w:highlight w:val="none"/>
          <w:lang w:eastAsia="zh-CN"/>
        </w:rPr>
        <w:t>投标人</w:t>
      </w:r>
      <w:r>
        <w:rPr>
          <w:rFonts w:ascii="仿宋" w:hAnsi="仿宋" w:eastAsia="仿宋" w:cs="仿宋"/>
          <w:b/>
          <w:bCs/>
          <w:sz w:val="31"/>
          <w:szCs w:val="31"/>
          <w:highlight w:val="none"/>
        </w:rPr>
        <w:t>须知</w:t>
      </w:r>
    </w:p>
    <w:p w14:paraId="2838F040">
      <w:pPr>
        <w:keepLines w:val="0"/>
        <w:pageBreakBefore w:val="0"/>
        <w:kinsoku/>
        <w:wordWrap/>
        <w:overflowPunct/>
        <w:topLinePunct w:val="0"/>
        <w:bidi w:val="0"/>
        <w:spacing w:line="222" w:lineRule="auto"/>
        <w:ind w:left="3792"/>
        <w:rPr>
          <w:rFonts w:ascii="仿宋" w:hAnsi="仿宋" w:eastAsia="仿宋" w:cs="仿宋"/>
          <w:sz w:val="28"/>
          <w:szCs w:val="28"/>
          <w:highlight w:val="none"/>
        </w:rPr>
      </w:pPr>
      <w:r>
        <w:rPr>
          <w:rFonts w:hint="eastAsia" w:ascii="仿宋" w:hAnsi="仿宋" w:eastAsia="仿宋" w:cs="仿宋"/>
          <w:b/>
          <w:bCs/>
          <w:spacing w:val="-5"/>
          <w:sz w:val="28"/>
          <w:szCs w:val="28"/>
          <w:highlight w:val="none"/>
          <w:lang w:eastAsia="zh-CN"/>
        </w:rPr>
        <w:t>投标人</w:t>
      </w:r>
      <w:r>
        <w:rPr>
          <w:rFonts w:ascii="仿宋" w:hAnsi="仿宋" w:eastAsia="仿宋" w:cs="仿宋"/>
          <w:b/>
          <w:bCs/>
          <w:spacing w:val="-5"/>
          <w:sz w:val="28"/>
          <w:szCs w:val="28"/>
          <w:highlight w:val="none"/>
        </w:rPr>
        <w:t>须知前附表</w:t>
      </w:r>
    </w:p>
    <w:p w14:paraId="5AF31758">
      <w:pPr>
        <w:keepLines w:val="0"/>
        <w:pageBreakBefore w:val="0"/>
        <w:kinsoku/>
        <w:wordWrap/>
        <w:overflowPunct/>
        <w:topLinePunct w:val="0"/>
        <w:bidi w:val="0"/>
        <w:spacing w:line="40" w:lineRule="exact"/>
        <w:rPr>
          <w:highlight w:val="none"/>
        </w:rPr>
      </w:pPr>
    </w:p>
    <w:tbl>
      <w:tblPr>
        <w:tblStyle w:val="26"/>
        <w:tblW w:w="97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6"/>
        <w:gridCol w:w="1452"/>
        <w:gridCol w:w="7778"/>
      </w:tblGrid>
      <w:tr w14:paraId="4B7D9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jc w:val="center"/>
        </w:trPr>
        <w:tc>
          <w:tcPr>
            <w:tcW w:w="516" w:type="dxa"/>
            <w:tcBorders>
              <w:top w:val="single" w:color="000000" w:sz="4" w:space="0"/>
              <w:left w:val="single" w:color="000000" w:sz="4" w:space="0"/>
            </w:tcBorders>
            <w:vAlign w:val="top"/>
          </w:tcPr>
          <w:p w14:paraId="60467602">
            <w:pPr>
              <w:pStyle w:val="27"/>
              <w:keepLines w:val="0"/>
              <w:pageBreakBefore w:val="0"/>
              <w:kinsoku/>
              <w:wordWrap/>
              <w:overflowPunct/>
              <w:topLinePunct w:val="0"/>
              <w:bidi w:val="0"/>
              <w:spacing w:before="185" w:line="222" w:lineRule="auto"/>
              <w:ind w:left="151"/>
              <w:rPr>
                <w:highlight w:val="none"/>
              </w:rPr>
            </w:pPr>
            <w:r>
              <w:rPr>
                <w:b/>
                <w:bCs/>
                <w:spacing w:val="-11"/>
                <w:highlight w:val="none"/>
              </w:rPr>
              <w:t>序号</w:t>
            </w:r>
          </w:p>
        </w:tc>
        <w:tc>
          <w:tcPr>
            <w:tcW w:w="1452" w:type="dxa"/>
            <w:tcBorders>
              <w:top w:val="single" w:color="000000" w:sz="4" w:space="0"/>
            </w:tcBorders>
            <w:vAlign w:val="top"/>
          </w:tcPr>
          <w:p w14:paraId="35E879C5">
            <w:pPr>
              <w:pStyle w:val="27"/>
              <w:keepLines w:val="0"/>
              <w:pageBreakBefore w:val="0"/>
              <w:kinsoku/>
              <w:wordWrap/>
              <w:overflowPunct/>
              <w:topLinePunct w:val="0"/>
              <w:bidi w:val="0"/>
              <w:spacing w:before="78" w:line="224" w:lineRule="auto"/>
              <w:jc w:val="center"/>
              <w:rPr>
                <w:highlight w:val="none"/>
              </w:rPr>
            </w:pPr>
            <w:r>
              <w:rPr>
                <w:b/>
                <w:bCs/>
                <w:spacing w:val="-7"/>
                <w:highlight w:val="none"/>
              </w:rPr>
              <w:t>条款名称</w:t>
            </w:r>
          </w:p>
        </w:tc>
        <w:tc>
          <w:tcPr>
            <w:tcW w:w="7778" w:type="dxa"/>
            <w:tcBorders>
              <w:top w:val="single" w:color="000000" w:sz="4" w:space="0"/>
              <w:right w:val="single" w:color="000000" w:sz="4" w:space="0"/>
            </w:tcBorders>
            <w:vAlign w:val="center"/>
          </w:tcPr>
          <w:p w14:paraId="6EF2C9A4">
            <w:pPr>
              <w:pStyle w:val="27"/>
              <w:keepLines w:val="0"/>
              <w:pageBreakBefore w:val="0"/>
              <w:kinsoku/>
              <w:wordWrap/>
              <w:overflowPunct/>
              <w:topLinePunct w:val="0"/>
              <w:bidi w:val="0"/>
              <w:spacing w:before="185" w:line="222" w:lineRule="auto"/>
              <w:jc w:val="center"/>
              <w:rPr>
                <w:highlight w:val="none"/>
              </w:rPr>
            </w:pPr>
            <w:r>
              <w:rPr>
                <w:b/>
                <w:bCs/>
                <w:spacing w:val="-23"/>
                <w:highlight w:val="none"/>
              </w:rPr>
              <w:t>内</w:t>
            </w:r>
            <w:r>
              <w:rPr>
                <w:spacing w:val="7"/>
                <w:highlight w:val="none"/>
              </w:rPr>
              <w:t xml:space="preserve">   </w:t>
            </w:r>
            <w:r>
              <w:rPr>
                <w:b/>
                <w:bCs/>
                <w:spacing w:val="-23"/>
                <w:highlight w:val="none"/>
              </w:rPr>
              <w:t>容</w:t>
            </w:r>
            <w:r>
              <w:rPr>
                <w:spacing w:val="6"/>
                <w:highlight w:val="none"/>
              </w:rPr>
              <w:t xml:space="preserve">   </w:t>
            </w:r>
            <w:r>
              <w:rPr>
                <w:b/>
                <w:bCs/>
                <w:spacing w:val="-23"/>
                <w:highlight w:val="none"/>
              </w:rPr>
              <w:t>规</w:t>
            </w:r>
            <w:r>
              <w:rPr>
                <w:spacing w:val="8"/>
                <w:highlight w:val="none"/>
              </w:rPr>
              <w:t xml:space="preserve">   </w:t>
            </w:r>
            <w:r>
              <w:rPr>
                <w:b/>
                <w:bCs/>
                <w:spacing w:val="-23"/>
                <w:highlight w:val="none"/>
              </w:rPr>
              <w:t>定</w:t>
            </w:r>
          </w:p>
        </w:tc>
      </w:tr>
      <w:tr w14:paraId="48C30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jc w:val="center"/>
        </w:trPr>
        <w:tc>
          <w:tcPr>
            <w:tcW w:w="516" w:type="dxa"/>
            <w:tcBorders>
              <w:left w:val="single" w:color="000000" w:sz="4" w:space="0"/>
            </w:tcBorders>
            <w:vAlign w:val="center"/>
          </w:tcPr>
          <w:p w14:paraId="48696B07">
            <w:pPr>
              <w:pStyle w:val="27"/>
              <w:keepLines w:val="0"/>
              <w:pageBreakBefore w:val="0"/>
              <w:kinsoku/>
              <w:wordWrap/>
              <w:overflowPunct/>
              <w:topLinePunct w:val="0"/>
              <w:bidi w:val="0"/>
              <w:spacing w:before="78" w:line="181" w:lineRule="auto"/>
              <w:jc w:val="center"/>
              <w:rPr>
                <w:highlight w:val="none"/>
              </w:rPr>
            </w:pPr>
            <w:r>
              <w:rPr>
                <w:highlight w:val="none"/>
              </w:rPr>
              <w:t>1</w:t>
            </w:r>
          </w:p>
        </w:tc>
        <w:tc>
          <w:tcPr>
            <w:tcW w:w="1452" w:type="dxa"/>
            <w:vAlign w:val="center"/>
          </w:tcPr>
          <w:p w14:paraId="1EEE2E36">
            <w:pPr>
              <w:pStyle w:val="27"/>
              <w:keepLines w:val="0"/>
              <w:pageBreakBefore w:val="0"/>
              <w:kinsoku/>
              <w:wordWrap/>
              <w:overflowPunct/>
              <w:topLinePunct w:val="0"/>
              <w:bidi w:val="0"/>
              <w:spacing w:before="78" w:line="224" w:lineRule="auto"/>
              <w:jc w:val="center"/>
              <w:rPr>
                <w:highlight w:val="none"/>
              </w:rPr>
            </w:pPr>
            <w:r>
              <w:rPr>
                <w:b/>
                <w:bCs/>
                <w:spacing w:val="-7"/>
                <w:highlight w:val="none"/>
              </w:rPr>
              <w:t>项目名称</w:t>
            </w:r>
          </w:p>
        </w:tc>
        <w:tc>
          <w:tcPr>
            <w:tcW w:w="7778" w:type="dxa"/>
            <w:tcBorders>
              <w:right w:val="single" w:color="000000" w:sz="4" w:space="0"/>
            </w:tcBorders>
            <w:vAlign w:val="center"/>
          </w:tcPr>
          <w:p w14:paraId="3BDC8A61">
            <w:pPr>
              <w:pStyle w:val="27"/>
              <w:keepLines w:val="0"/>
              <w:pageBreakBefore w:val="0"/>
              <w:kinsoku/>
              <w:wordWrap/>
              <w:overflowPunct/>
              <w:topLinePunct w:val="0"/>
              <w:bidi w:val="0"/>
              <w:spacing w:before="66" w:line="221" w:lineRule="auto"/>
              <w:ind w:left="119"/>
              <w:jc w:val="both"/>
              <w:rPr>
                <w:rFonts w:hint="eastAsia"/>
                <w:b/>
                <w:bCs/>
                <w:spacing w:val="-5"/>
                <w:highlight w:val="none"/>
                <w:lang w:eastAsia="zh-CN"/>
              </w:rPr>
            </w:pPr>
            <w:r>
              <w:rPr>
                <w:rFonts w:hint="eastAsia"/>
                <w:spacing w:val="-2"/>
                <w:highlight w:val="none"/>
                <w:lang w:eastAsia="zh-CN"/>
              </w:rPr>
              <w:t>阿克苏市医疗援疆“高峰工程”项目-</w:t>
            </w:r>
            <w:r>
              <w:rPr>
                <w:rFonts w:hint="eastAsia"/>
                <w:spacing w:val="-2"/>
                <w:highlight w:val="none"/>
                <w:lang w:val="en-US" w:eastAsia="zh-CN"/>
              </w:rPr>
              <w:t>医疗设备四标段市妇幼保健院区域检测中心设备购置</w:t>
            </w:r>
          </w:p>
        </w:tc>
      </w:tr>
      <w:tr w14:paraId="3423F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516" w:type="dxa"/>
            <w:tcBorders>
              <w:left w:val="single" w:color="000000" w:sz="4" w:space="0"/>
            </w:tcBorders>
            <w:vAlign w:val="center"/>
          </w:tcPr>
          <w:p w14:paraId="6C072735">
            <w:pPr>
              <w:pStyle w:val="27"/>
              <w:keepLines w:val="0"/>
              <w:pageBreakBefore w:val="0"/>
              <w:kinsoku/>
              <w:wordWrap/>
              <w:overflowPunct/>
              <w:topLinePunct w:val="0"/>
              <w:bidi w:val="0"/>
              <w:spacing w:before="78" w:line="180" w:lineRule="auto"/>
              <w:jc w:val="center"/>
              <w:rPr>
                <w:highlight w:val="none"/>
              </w:rPr>
            </w:pPr>
            <w:r>
              <w:rPr>
                <w:highlight w:val="none"/>
              </w:rPr>
              <w:t>2</w:t>
            </w:r>
          </w:p>
        </w:tc>
        <w:tc>
          <w:tcPr>
            <w:tcW w:w="1452" w:type="dxa"/>
            <w:vAlign w:val="center"/>
          </w:tcPr>
          <w:p w14:paraId="64B76489">
            <w:pPr>
              <w:pStyle w:val="27"/>
              <w:keepLines w:val="0"/>
              <w:pageBreakBefore w:val="0"/>
              <w:kinsoku/>
              <w:wordWrap/>
              <w:overflowPunct/>
              <w:topLinePunct w:val="0"/>
              <w:bidi w:val="0"/>
              <w:spacing w:before="78" w:line="224" w:lineRule="auto"/>
              <w:jc w:val="center"/>
              <w:rPr>
                <w:highlight w:val="none"/>
              </w:rPr>
            </w:pPr>
            <w:r>
              <w:rPr>
                <w:b/>
                <w:bCs/>
                <w:spacing w:val="-7"/>
                <w:highlight w:val="none"/>
              </w:rPr>
              <w:t>项目编号</w:t>
            </w:r>
          </w:p>
        </w:tc>
        <w:tc>
          <w:tcPr>
            <w:tcW w:w="7778" w:type="dxa"/>
            <w:tcBorders>
              <w:right w:val="single" w:color="000000" w:sz="4" w:space="0"/>
            </w:tcBorders>
            <w:vAlign w:val="center"/>
          </w:tcPr>
          <w:p w14:paraId="7FC7C698">
            <w:pPr>
              <w:pStyle w:val="27"/>
              <w:keepLines w:val="0"/>
              <w:pageBreakBefore w:val="0"/>
              <w:kinsoku/>
              <w:wordWrap/>
              <w:overflowPunct/>
              <w:topLinePunct w:val="0"/>
              <w:bidi w:val="0"/>
              <w:spacing w:before="66" w:line="222" w:lineRule="auto"/>
              <w:ind w:left="118"/>
              <w:jc w:val="both"/>
              <w:rPr>
                <w:rFonts w:hint="default" w:eastAsia="仿宋"/>
                <w:highlight w:val="none"/>
                <w:lang w:val="en-US" w:eastAsia="zh-CN"/>
              </w:rPr>
            </w:pPr>
            <w:r>
              <w:rPr>
                <w:rFonts w:hint="eastAsia"/>
                <w:highlight w:val="none"/>
                <w:lang w:val="en-US" w:eastAsia="zh-CN"/>
              </w:rPr>
              <w:t>2026-A-38-04</w:t>
            </w:r>
          </w:p>
        </w:tc>
      </w:tr>
      <w:tr w14:paraId="6A1BE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jc w:val="center"/>
        </w:trPr>
        <w:tc>
          <w:tcPr>
            <w:tcW w:w="516" w:type="dxa"/>
            <w:tcBorders>
              <w:left w:val="single" w:color="000000" w:sz="4" w:space="0"/>
            </w:tcBorders>
            <w:vAlign w:val="center"/>
          </w:tcPr>
          <w:p w14:paraId="7863A2FC">
            <w:pPr>
              <w:pStyle w:val="27"/>
              <w:keepLines w:val="0"/>
              <w:pageBreakBefore w:val="0"/>
              <w:kinsoku/>
              <w:wordWrap/>
              <w:overflowPunct/>
              <w:topLinePunct w:val="0"/>
              <w:bidi w:val="0"/>
              <w:spacing w:before="78" w:line="180" w:lineRule="auto"/>
              <w:jc w:val="center"/>
              <w:rPr>
                <w:highlight w:val="none"/>
              </w:rPr>
            </w:pPr>
            <w:r>
              <w:rPr>
                <w:highlight w:val="none"/>
              </w:rPr>
              <w:t>3</w:t>
            </w:r>
          </w:p>
        </w:tc>
        <w:tc>
          <w:tcPr>
            <w:tcW w:w="1452" w:type="dxa"/>
            <w:vAlign w:val="center"/>
          </w:tcPr>
          <w:p w14:paraId="19CDCE3A">
            <w:pPr>
              <w:pStyle w:val="27"/>
              <w:keepLines w:val="0"/>
              <w:pageBreakBefore w:val="0"/>
              <w:kinsoku/>
              <w:wordWrap/>
              <w:overflowPunct/>
              <w:topLinePunct w:val="0"/>
              <w:bidi w:val="0"/>
              <w:spacing w:before="78" w:line="222" w:lineRule="auto"/>
              <w:jc w:val="center"/>
              <w:rPr>
                <w:rFonts w:hint="eastAsia" w:eastAsia="仿宋"/>
                <w:highlight w:val="none"/>
                <w:lang w:eastAsia="zh-CN"/>
              </w:rPr>
            </w:pPr>
            <w:r>
              <w:rPr>
                <w:rFonts w:hint="eastAsia"/>
                <w:b/>
                <w:bCs/>
                <w:spacing w:val="-8"/>
                <w:highlight w:val="none"/>
                <w:lang w:eastAsia="zh-CN"/>
              </w:rPr>
              <w:t>采购人</w:t>
            </w:r>
          </w:p>
        </w:tc>
        <w:tc>
          <w:tcPr>
            <w:tcW w:w="7778" w:type="dxa"/>
            <w:tcBorders>
              <w:right w:val="single" w:color="000000" w:sz="4" w:space="0"/>
            </w:tcBorders>
            <w:vAlign w:val="center"/>
          </w:tcPr>
          <w:p w14:paraId="7A41DCD7">
            <w:pPr>
              <w:pStyle w:val="27"/>
              <w:keepLines w:val="0"/>
              <w:pageBreakBefore w:val="0"/>
              <w:kinsoku/>
              <w:wordWrap/>
              <w:overflowPunct/>
              <w:topLinePunct w:val="0"/>
              <w:bidi w:val="0"/>
              <w:spacing w:before="66" w:line="221" w:lineRule="auto"/>
              <w:ind w:left="119"/>
              <w:jc w:val="both"/>
              <w:rPr>
                <w:rFonts w:hint="eastAsia" w:eastAsia="仿宋"/>
                <w:highlight w:val="none"/>
                <w:lang w:eastAsia="zh-CN"/>
              </w:rPr>
            </w:pPr>
            <w:r>
              <w:rPr>
                <w:spacing w:val="-2"/>
                <w:highlight w:val="none"/>
              </w:rPr>
              <w:t>名 称：</w:t>
            </w:r>
            <w:r>
              <w:rPr>
                <w:rFonts w:hint="eastAsia"/>
                <w:spacing w:val="-2"/>
                <w:highlight w:val="none"/>
                <w:lang w:eastAsia="zh-CN"/>
              </w:rPr>
              <w:t>阿克苏市卫生健康委员会</w:t>
            </w:r>
          </w:p>
          <w:p w14:paraId="089B66DE">
            <w:pPr>
              <w:pStyle w:val="27"/>
              <w:keepLines w:val="0"/>
              <w:pageBreakBefore w:val="0"/>
              <w:kinsoku/>
              <w:wordWrap/>
              <w:overflowPunct/>
              <w:topLinePunct w:val="0"/>
              <w:bidi w:val="0"/>
              <w:spacing w:before="77" w:line="221" w:lineRule="auto"/>
              <w:ind w:left="119"/>
              <w:jc w:val="both"/>
              <w:rPr>
                <w:rFonts w:hint="eastAsia" w:eastAsia="仿宋"/>
                <w:color w:val="0000FF"/>
                <w:highlight w:val="none"/>
                <w:lang w:eastAsia="zh-CN"/>
              </w:rPr>
            </w:pPr>
            <w:r>
              <w:rPr>
                <w:color w:val="auto"/>
                <w:spacing w:val="-2"/>
                <w:highlight w:val="none"/>
              </w:rPr>
              <w:t>地 址：</w:t>
            </w:r>
            <w:r>
              <w:rPr>
                <w:rFonts w:hint="eastAsia"/>
                <w:color w:val="auto"/>
                <w:spacing w:val="-2"/>
                <w:highlight w:val="none"/>
                <w:lang w:eastAsia="zh-CN"/>
              </w:rPr>
              <w:t xml:space="preserve"> 阿克苏市北京路67号</w:t>
            </w:r>
            <w:r>
              <w:rPr>
                <w:rFonts w:hint="eastAsia"/>
                <w:color w:val="0000FF"/>
                <w:spacing w:val="-2"/>
                <w:highlight w:val="none"/>
                <w:lang w:eastAsia="zh-CN"/>
              </w:rPr>
              <w:t xml:space="preserve"> </w:t>
            </w:r>
          </w:p>
          <w:p w14:paraId="5628EC0D">
            <w:pPr>
              <w:pStyle w:val="27"/>
              <w:keepLines w:val="0"/>
              <w:pageBreakBefore w:val="0"/>
              <w:kinsoku/>
              <w:wordWrap/>
              <w:overflowPunct/>
              <w:topLinePunct w:val="0"/>
              <w:bidi w:val="0"/>
              <w:spacing w:before="80" w:line="224" w:lineRule="auto"/>
              <w:ind w:left="116"/>
              <w:jc w:val="both"/>
              <w:rPr>
                <w:rFonts w:hint="eastAsia" w:eastAsia="仿宋"/>
                <w:color w:val="auto"/>
                <w:highlight w:val="none"/>
                <w:lang w:eastAsia="zh-CN"/>
              </w:rPr>
            </w:pPr>
            <w:r>
              <w:rPr>
                <w:color w:val="auto"/>
                <w:spacing w:val="-3"/>
                <w:highlight w:val="none"/>
              </w:rPr>
              <w:t>联系人：</w:t>
            </w:r>
            <w:r>
              <w:rPr>
                <w:rFonts w:hint="eastAsia"/>
                <w:color w:val="auto"/>
                <w:spacing w:val="-3"/>
                <w:highlight w:val="none"/>
                <w:lang w:eastAsia="zh-CN"/>
              </w:rPr>
              <w:t>张楷</w:t>
            </w:r>
          </w:p>
          <w:p w14:paraId="18D4D2BC">
            <w:pPr>
              <w:pStyle w:val="27"/>
              <w:keepLines w:val="0"/>
              <w:pageBreakBefore w:val="0"/>
              <w:kinsoku/>
              <w:wordWrap/>
              <w:overflowPunct/>
              <w:topLinePunct w:val="0"/>
              <w:bidi w:val="0"/>
              <w:spacing w:before="75" w:line="223" w:lineRule="auto"/>
              <w:ind w:left="145"/>
              <w:jc w:val="both"/>
              <w:rPr>
                <w:highlight w:val="none"/>
              </w:rPr>
            </w:pPr>
            <w:r>
              <w:rPr>
                <w:color w:val="auto"/>
                <w:spacing w:val="-3"/>
                <w:highlight w:val="none"/>
              </w:rPr>
              <w:t>电 话：</w:t>
            </w:r>
            <w:r>
              <w:rPr>
                <w:rFonts w:hint="eastAsia"/>
                <w:color w:val="auto"/>
                <w:spacing w:val="-3"/>
                <w:highlight w:val="none"/>
                <w:lang w:val="en-US" w:eastAsia="zh-CN"/>
              </w:rPr>
              <w:t>19909977525</w:t>
            </w:r>
          </w:p>
        </w:tc>
      </w:tr>
      <w:tr w14:paraId="0E64B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55E64BD6">
            <w:pPr>
              <w:pStyle w:val="27"/>
              <w:keepLines w:val="0"/>
              <w:pageBreakBefore w:val="0"/>
              <w:kinsoku/>
              <w:wordWrap/>
              <w:overflowPunct/>
              <w:topLinePunct w:val="0"/>
              <w:bidi w:val="0"/>
              <w:spacing w:before="78" w:line="180" w:lineRule="auto"/>
              <w:jc w:val="center"/>
              <w:rPr>
                <w:highlight w:val="none"/>
              </w:rPr>
            </w:pPr>
            <w:r>
              <w:rPr>
                <w:highlight w:val="none"/>
              </w:rPr>
              <w:t>4</w:t>
            </w:r>
          </w:p>
        </w:tc>
        <w:tc>
          <w:tcPr>
            <w:tcW w:w="1452" w:type="dxa"/>
            <w:vAlign w:val="center"/>
          </w:tcPr>
          <w:p w14:paraId="2BABA20D">
            <w:pPr>
              <w:pStyle w:val="27"/>
              <w:keepLines w:val="0"/>
              <w:pageBreakBefore w:val="0"/>
              <w:kinsoku/>
              <w:wordWrap/>
              <w:overflowPunct/>
              <w:topLinePunct w:val="0"/>
              <w:bidi w:val="0"/>
              <w:spacing w:before="78" w:line="222" w:lineRule="auto"/>
              <w:jc w:val="center"/>
              <w:rPr>
                <w:highlight w:val="none"/>
              </w:rPr>
            </w:pPr>
            <w:r>
              <w:rPr>
                <w:b/>
                <w:bCs/>
                <w:spacing w:val="-8"/>
                <w:highlight w:val="none"/>
              </w:rPr>
              <w:t>代理机构</w:t>
            </w:r>
          </w:p>
        </w:tc>
        <w:tc>
          <w:tcPr>
            <w:tcW w:w="7778" w:type="dxa"/>
            <w:tcBorders>
              <w:right w:val="single" w:color="000000" w:sz="4" w:space="0"/>
            </w:tcBorders>
            <w:vAlign w:val="center"/>
          </w:tcPr>
          <w:p w14:paraId="57DABA1D">
            <w:pPr>
              <w:pStyle w:val="27"/>
              <w:keepLines w:val="0"/>
              <w:pageBreakBefore w:val="0"/>
              <w:kinsoku/>
              <w:wordWrap/>
              <w:overflowPunct/>
              <w:topLinePunct w:val="0"/>
              <w:bidi w:val="0"/>
              <w:spacing w:before="80" w:line="223" w:lineRule="auto"/>
              <w:ind w:left="116"/>
              <w:jc w:val="both"/>
              <w:rPr>
                <w:rFonts w:hint="default"/>
                <w:highlight w:val="none"/>
                <w:lang w:val="en-US"/>
              </w:rPr>
            </w:pPr>
            <w:r>
              <w:rPr>
                <w:rFonts w:hint="default"/>
                <w:highlight w:val="none"/>
                <w:lang w:val="en-US"/>
              </w:rPr>
              <w:t>名 称：</w:t>
            </w:r>
            <w:r>
              <w:rPr>
                <w:rFonts w:hint="default"/>
                <w:highlight w:val="none"/>
                <w:lang w:val="en-US" w:eastAsia="zh-CN"/>
              </w:rPr>
              <w:t>阿克苏市政务服务和公共资源交易中心</w:t>
            </w:r>
          </w:p>
          <w:p w14:paraId="576302F9">
            <w:pPr>
              <w:pStyle w:val="27"/>
              <w:keepLines w:val="0"/>
              <w:pageBreakBefore w:val="0"/>
              <w:kinsoku/>
              <w:wordWrap/>
              <w:overflowPunct/>
              <w:topLinePunct w:val="0"/>
              <w:bidi w:val="0"/>
              <w:spacing w:before="80" w:line="223" w:lineRule="auto"/>
              <w:ind w:left="116"/>
              <w:jc w:val="both"/>
              <w:rPr>
                <w:rFonts w:hint="default"/>
                <w:highlight w:val="none"/>
                <w:lang w:val="en-US" w:eastAsia="zh-CN"/>
              </w:rPr>
            </w:pPr>
            <w:r>
              <w:rPr>
                <w:rFonts w:hint="default"/>
                <w:highlight w:val="none"/>
                <w:lang w:val="en-US"/>
              </w:rPr>
              <w:t>地　址：阿克苏</w:t>
            </w:r>
            <w:r>
              <w:rPr>
                <w:rFonts w:hint="default"/>
                <w:highlight w:val="none"/>
                <w:lang w:val="en-US" w:eastAsia="zh-CN"/>
              </w:rPr>
              <w:t>市多浪河二期便民服务中心1号楼4楼</w:t>
            </w:r>
          </w:p>
          <w:p w14:paraId="17B8F15F">
            <w:pPr>
              <w:pStyle w:val="27"/>
              <w:keepLines w:val="0"/>
              <w:pageBreakBefore w:val="0"/>
              <w:kinsoku/>
              <w:wordWrap/>
              <w:overflowPunct/>
              <w:topLinePunct w:val="0"/>
              <w:bidi w:val="0"/>
              <w:spacing w:before="80" w:line="223" w:lineRule="auto"/>
              <w:ind w:left="116"/>
              <w:jc w:val="both"/>
              <w:rPr>
                <w:rFonts w:hint="default"/>
                <w:highlight w:val="none"/>
                <w:lang w:val="en-US" w:eastAsia="zh-CN"/>
              </w:rPr>
            </w:pPr>
            <w:r>
              <w:rPr>
                <w:rFonts w:hint="default"/>
                <w:highlight w:val="none"/>
                <w:lang w:val="en-US"/>
              </w:rPr>
              <w:t>项目经办人联系方式</w:t>
            </w:r>
            <w:r>
              <w:rPr>
                <w:rFonts w:hint="default"/>
                <w:highlight w:val="none"/>
                <w:lang w:val="en-US" w:eastAsia="zh-CN"/>
              </w:rPr>
              <w:t>：</w:t>
            </w:r>
            <w:r>
              <w:rPr>
                <w:rFonts w:hint="eastAsia"/>
                <w:highlight w:val="none"/>
                <w:lang w:val="en-US" w:eastAsia="zh-CN"/>
              </w:rPr>
              <w:t xml:space="preserve">  金永锋  </w:t>
            </w:r>
            <w:r>
              <w:rPr>
                <w:rFonts w:hint="default"/>
                <w:highlight w:val="none"/>
                <w:lang w:val="en-US" w:eastAsia="zh-CN"/>
              </w:rPr>
              <w:t xml:space="preserve">马依拜尔·吾布力  </w:t>
            </w:r>
          </w:p>
          <w:p w14:paraId="4E4C6CAC">
            <w:pPr>
              <w:pStyle w:val="27"/>
              <w:keepLines w:val="0"/>
              <w:pageBreakBefore w:val="0"/>
              <w:kinsoku/>
              <w:wordWrap/>
              <w:overflowPunct/>
              <w:topLinePunct w:val="0"/>
              <w:bidi w:val="0"/>
              <w:spacing w:before="80" w:line="223" w:lineRule="auto"/>
              <w:ind w:left="116"/>
              <w:jc w:val="both"/>
              <w:rPr>
                <w:rFonts w:hint="default"/>
                <w:highlight w:val="none"/>
                <w:lang w:val="en-US"/>
              </w:rPr>
            </w:pPr>
            <w:r>
              <w:rPr>
                <w:rFonts w:hint="default"/>
                <w:highlight w:val="none"/>
                <w:lang w:val="en-US"/>
              </w:rPr>
              <w:t>联系电话：0997-2</w:t>
            </w:r>
            <w:r>
              <w:rPr>
                <w:rFonts w:hint="default"/>
                <w:highlight w:val="none"/>
                <w:lang w:val="en-US" w:eastAsia="zh-CN"/>
              </w:rPr>
              <w:t>282002</w:t>
            </w:r>
          </w:p>
        </w:tc>
      </w:tr>
      <w:tr w14:paraId="57468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jc w:val="center"/>
        </w:trPr>
        <w:tc>
          <w:tcPr>
            <w:tcW w:w="516" w:type="dxa"/>
            <w:tcBorders>
              <w:left w:val="single" w:color="000000" w:sz="4" w:space="0"/>
            </w:tcBorders>
            <w:vAlign w:val="center"/>
          </w:tcPr>
          <w:p w14:paraId="063BD918">
            <w:pPr>
              <w:pStyle w:val="27"/>
              <w:keepLines w:val="0"/>
              <w:pageBreakBefore w:val="0"/>
              <w:kinsoku/>
              <w:wordWrap/>
              <w:overflowPunct/>
              <w:topLinePunct w:val="0"/>
              <w:bidi w:val="0"/>
              <w:spacing w:before="78" w:line="179" w:lineRule="auto"/>
              <w:jc w:val="center"/>
              <w:rPr>
                <w:highlight w:val="none"/>
              </w:rPr>
            </w:pPr>
            <w:r>
              <w:rPr>
                <w:highlight w:val="none"/>
              </w:rPr>
              <w:t>5</w:t>
            </w:r>
          </w:p>
        </w:tc>
        <w:tc>
          <w:tcPr>
            <w:tcW w:w="1452" w:type="dxa"/>
            <w:vAlign w:val="center"/>
          </w:tcPr>
          <w:p w14:paraId="39E0C371">
            <w:pPr>
              <w:pStyle w:val="27"/>
              <w:keepLines w:val="0"/>
              <w:pageBreakBefore w:val="0"/>
              <w:kinsoku/>
              <w:wordWrap/>
              <w:overflowPunct/>
              <w:topLinePunct w:val="0"/>
              <w:bidi w:val="0"/>
              <w:spacing w:before="78" w:line="222" w:lineRule="auto"/>
              <w:jc w:val="center"/>
              <w:rPr>
                <w:rFonts w:hint="eastAsia" w:eastAsia="仿宋"/>
                <w:highlight w:val="none"/>
                <w:lang w:eastAsia="zh-CN"/>
              </w:rPr>
            </w:pPr>
            <w:r>
              <w:rPr>
                <w:rFonts w:hint="eastAsia"/>
                <w:b/>
                <w:bCs/>
                <w:spacing w:val="-7"/>
                <w:highlight w:val="none"/>
                <w:lang w:eastAsia="zh-CN"/>
              </w:rPr>
              <w:t>采购内容</w:t>
            </w:r>
          </w:p>
        </w:tc>
        <w:tc>
          <w:tcPr>
            <w:tcW w:w="7778" w:type="dxa"/>
            <w:tcBorders>
              <w:right w:val="single" w:color="000000" w:sz="4" w:space="0"/>
            </w:tcBorders>
            <w:vAlign w:val="center"/>
          </w:tcPr>
          <w:p w14:paraId="4129C970">
            <w:pPr>
              <w:pStyle w:val="27"/>
              <w:keepLines w:val="0"/>
              <w:pageBreakBefore w:val="0"/>
              <w:kinsoku/>
              <w:wordWrap/>
              <w:overflowPunct/>
              <w:topLinePunct w:val="0"/>
              <w:bidi w:val="0"/>
              <w:spacing w:before="80" w:line="252" w:lineRule="auto"/>
              <w:ind w:right="993"/>
              <w:jc w:val="both"/>
              <w:rPr>
                <w:highlight w:val="none"/>
              </w:rPr>
            </w:pPr>
            <w:r>
              <w:rPr>
                <w:rFonts w:hint="eastAsia"/>
                <w:spacing w:val="-2"/>
                <w:highlight w:val="none"/>
                <w:lang w:val="en-US" w:eastAsia="zh-CN"/>
              </w:rPr>
              <w:t>（详见招标文件）</w:t>
            </w:r>
          </w:p>
        </w:tc>
      </w:tr>
      <w:tr w14:paraId="0444D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jc w:val="center"/>
        </w:trPr>
        <w:tc>
          <w:tcPr>
            <w:tcW w:w="516" w:type="dxa"/>
            <w:tcBorders>
              <w:left w:val="single" w:color="000000" w:sz="4" w:space="0"/>
            </w:tcBorders>
            <w:vAlign w:val="center"/>
          </w:tcPr>
          <w:p w14:paraId="2FC389AC">
            <w:pPr>
              <w:pStyle w:val="27"/>
              <w:keepLines w:val="0"/>
              <w:pageBreakBefore w:val="0"/>
              <w:kinsoku/>
              <w:wordWrap/>
              <w:overflowPunct/>
              <w:topLinePunct w:val="0"/>
              <w:bidi w:val="0"/>
              <w:spacing w:before="242" w:line="180" w:lineRule="auto"/>
              <w:jc w:val="center"/>
              <w:rPr>
                <w:highlight w:val="none"/>
              </w:rPr>
            </w:pPr>
            <w:r>
              <w:rPr>
                <w:highlight w:val="none"/>
              </w:rPr>
              <w:t>6</w:t>
            </w:r>
          </w:p>
        </w:tc>
        <w:tc>
          <w:tcPr>
            <w:tcW w:w="1452" w:type="dxa"/>
            <w:vAlign w:val="center"/>
          </w:tcPr>
          <w:p w14:paraId="08CBB002">
            <w:pPr>
              <w:pStyle w:val="27"/>
              <w:keepLines w:val="0"/>
              <w:pageBreakBefore w:val="0"/>
              <w:kinsoku/>
              <w:wordWrap/>
              <w:overflowPunct/>
              <w:topLinePunct w:val="0"/>
              <w:bidi w:val="0"/>
              <w:spacing w:before="200" w:line="222" w:lineRule="auto"/>
              <w:jc w:val="center"/>
              <w:rPr>
                <w:rFonts w:hint="default" w:eastAsia="仿宋"/>
                <w:highlight w:val="none"/>
                <w:lang w:val="en-US" w:eastAsia="zh-CN"/>
              </w:rPr>
            </w:pPr>
            <w:r>
              <w:rPr>
                <w:rFonts w:hint="eastAsia"/>
                <w:b/>
                <w:bCs/>
                <w:spacing w:val="-6"/>
                <w:highlight w:val="none"/>
                <w:lang w:eastAsia="zh-CN"/>
              </w:rPr>
              <w:t>供货方式和质保期</w:t>
            </w:r>
          </w:p>
        </w:tc>
        <w:tc>
          <w:tcPr>
            <w:tcW w:w="7778" w:type="dxa"/>
            <w:tcBorders>
              <w:right w:val="single" w:color="000000" w:sz="4" w:space="0"/>
            </w:tcBorders>
            <w:vAlign w:val="center"/>
          </w:tcPr>
          <w:p w14:paraId="16BF1BF5">
            <w:pPr>
              <w:pStyle w:val="27"/>
              <w:keepLines w:val="0"/>
              <w:pageBreakBefore w:val="0"/>
              <w:kinsoku/>
              <w:wordWrap/>
              <w:overflowPunct/>
              <w:topLinePunct w:val="0"/>
              <w:bidi w:val="0"/>
              <w:spacing w:before="200" w:line="222" w:lineRule="auto"/>
              <w:ind w:left="163"/>
              <w:jc w:val="both"/>
              <w:rPr>
                <w:rFonts w:hint="eastAsia"/>
                <w:color w:val="auto"/>
                <w:spacing w:val="-5"/>
                <w:highlight w:val="none"/>
                <w:lang w:val="en-US" w:eastAsia="zh-CN"/>
              </w:rPr>
            </w:pPr>
            <w:r>
              <w:rPr>
                <w:rFonts w:hint="eastAsia"/>
                <w:color w:val="auto"/>
                <w:spacing w:val="-5"/>
                <w:highlight w:val="none"/>
                <w:lang w:val="en-US" w:eastAsia="zh-CN"/>
              </w:rPr>
              <w:t>供货地点：</w:t>
            </w:r>
            <w:r>
              <w:rPr>
                <w:rFonts w:hint="eastAsia"/>
                <w:spacing w:val="-2"/>
                <w:highlight w:val="none"/>
                <w:lang w:val="en-US" w:eastAsia="zh-CN"/>
              </w:rPr>
              <w:t>阿克苏市妇幼保健院（具体以采购人指点地点为准）</w:t>
            </w:r>
          </w:p>
          <w:p w14:paraId="5D344178">
            <w:pPr>
              <w:pStyle w:val="27"/>
              <w:keepLines w:val="0"/>
              <w:pageBreakBefore w:val="0"/>
              <w:kinsoku/>
              <w:wordWrap/>
              <w:overflowPunct/>
              <w:topLinePunct w:val="0"/>
              <w:bidi w:val="0"/>
              <w:spacing w:before="200" w:line="222" w:lineRule="auto"/>
              <w:ind w:left="163"/>
              <w:jc w:val="both"/>
              <w:rPr>
                <w:rFonts w:hint="eastAsia"/>
                <w:color w:val="auto"/>
                <w:spacing w:val="-5"/>
                <w:highlight w:val="none"/>
                <w:lang w:eastAsia="zh-CN"/>
              </w:rPr>
            </w:pPr>
            <w:r>
              <w:rPr>
                <w:rFonts w:hint="eastAsia"/>
                <w:color w:val="auto"/>
                <w:spacing w:val="-5"/>
                <w:highlight w:val="none"/>
                <w:lang w:val="en-US" w:eastAsia="zh-CN"/>
              </w:rPr>
              <w:t>供货期限：</w:t>
            </w:r>
            <w:r>
              <w:rPr>
                <w:rFonts w:hint="eastAsia"/>
                <w:color w:val="auto"/>
                <w:spacing w:val="-5"/>
                <w:highlight w:val="none"/>
                <w:lang w:eastAsia="zh-CN"/>
              </w:rPr>
              <w:t>自合同签订之日起</w:t>
            </w:r>
            <w:r>
              <w:rPr>
                <w:rFonts w:hint="eastAsia"/>
                <w:color w:val="auto"/>
                <w:spacing w:val="-5"/>
                <w:highlight w:val="none"/>
                <w:lang w:val="en-US" w:eastAsia="zh-CN"/>
              </w:rPr>
              <w:t>30</w:t>
            </w:r>
            <w:r>
              <w:rPr>
                <w:rFonts w:hint="eastAsia"/>
                <w:color w:val="auto"/>
                <w:spacing w:val="-5"/>
                <w:highlight w:val="none"/>
                <w:lang w:eastAsia="zh-CN"/>
              </w:rPr>
              <w:t>个日历天内完成供货。</w:t>
            </w:r>
          </w:p>
          <w:p w14:paraId="2FF70BFE">
            <w:pPr>
              <w:pStyle w:val="27"/>
              <w:keepLines w:val="0"/>
              <w:pageBreakBefore w:val="0"/>
              <w:kinsoku/>
              <w:wordWrap/>
              <w:overflowPunct/>
              <w:topLinePunct w:val="0"/>
              <w:bidi w:val="0"/>
              <w:spacing w:before="80" w:line="252" w:lineRule="auto"/>
              <w:ind w:right="993"/>
              <w:jc w:val="both"/>
              <w:rPr>
                <w:rFonts w:hint="default"/>
                <w:color w:val="auto"/>
                <w:spacing w:val="-5"/>
                <w:highlight w:val="none"/>
                <w:lang w:val="en-US" w:eastAsia="zh-CN"/>
              </w:rPr>
            </w:pPr>
            <w:r>
              <w:rPr>
                <w:rFonts w:hint="eastAsia"/>
                <w:spacing w:val="-2"/>
                <w:highlight w:val="none"/>
                <w:lang w:val="en-US" w:eastAsia="zh-CN"/>
              </w:rPr>
              <w:t>质保期：标段四：3年</w:t>
            </w:r>
          </w:p>
        </w:tc>
      </w:tr>
      <w:tr w14:paraId="36DA0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jc w:val="center"/>
        </w:trPr>
        <w:tc>
          <w:tcPr>
            <w:tcW w:w="516" w:type="dxa"/>
            <w:tcBorders>
              <w:left w:val="single" w:color="000000" w:sz="4" w:space="0"/>
            </w:tcBorders>
            <w:vAlign w:val="center"/>
          </w:tcPr>
          <w:p w14:paraId="0DC386CE">
            <w:pPr>
              <w:pStyle w:val="27"/>
              <w:keepLines w:val="0"/>
              <w:pageBreakBefore w:val="0"/>
              <w:kinsoku/>
              <w:wordWrap/>
              <w:overflowPunct/>
              <w:topLinePunct w:val="0"/>
              <w:bidi w:val="0"/>
              <w:spacing w:before="78" w:line="222" w:lineRule="auto"/>
              <w:jc w:val="center"/>
              <w:rPr>
                <w:rFonts w:hint="eastAsia"/>
                <w:b w:val="0"/>
                <w:bCs w:val="0"/>
                <w:spacing w:val="-7"/>
                <w:highlight w:val="none"/>
                <w:lang w:eastAsia="zh-CN"/>
              </w:rPr>
            </w:pPr>
            <w:r>
              <w:rPr>
                <w:rFonts w:hint="eastAsia"/>
                <w:b w:val="0"/>
                <w:bCs w:val="0"/>
                <w:spacing w:val="-7"/>
                <w:highlight w:val="none"/>
                <w:lang w:eastAsia="zh-CN"/>
              </w:rPr>
              <w:t>7</w:t>
            </w:r>
          </w:p>
        </w:tc>
        <w:tc>
          <w:tcPr>
            <w:tcW w:w="1452" w:type="dxa"/>
            <w:vAlign w:val="center"/>
          </w:tcPr>
          <w:p w14:paraId="401B1CAA">
            <w:pPr>
              <w:pStyle w:val="27"/>
              <w:keepLines w:val="0"/>
              <w:pageBreakBefore w:val="0"/>
              <w:kinsoku/>
              <w:wordWrap/>
              <w:overflowPunct/>
              <w:topLinePunct w:val="0"/>
              <w:bidi w:val="0"/>
              <w:spacing w:before="78" w:line="222" w:lineRule="auto"/>
              <w:jc w:val="center"/>
              <w:rPr>
                <w:rFonts w:hint="eastAsia"/>
                <w:b/>
                <w:bCs/>
                <w:spacing w:val="-7"/>
                <w:highlight w:val="none"/>
                <w:lang w:val="en-US" w:eastAsia="zh-CN"/>
              </w:rPr>
            </w:pPr>
            <w:r>
              <w:rPr>
                <w:rFonts w:hint="eastAsia"/>
                <w:b/>
                <w:bCs/>
                <w:spacing w:val="-7"/>
                <w:highlight w:val="none"/>
                <w:lang w:val="en-US" w:eastAsia="zh-CN"/>
              </w:rPr>
              <w:t>报价方式</w:t>
            </w:r>
          </w:p>
        </w:tc>
        <w:tc>
          <w:tcPr>
            <w:tcW w:w="7778" w:type="dxa"/>
            <w:tcBorders>
              <w:right w:val="single" w:color="000000" w:sz="4" w:space="0"/>
            </w:tcBorders>
            <w:vAlign w:val="center"/>
          </w:tcPr>
          <w:p w14:paraId="17A92B3E">
            <w:pPr>
              <w:pStyle w:val="27"/>
              <w:keepLines w:val="0"/>
              <w:pageBreakBefore w:val="0"/>
              <w:kinsoku/>
              <w:wordWrap/>
              <w:overflowPunct/>
              <w:topLinePunct w:val="0"/>
              <w:bidi w:val="0"/>
              <w:spacing w:before="79" w:line="221" w:lineRule="auto"/>
              <w:ind w:left="116"/>
              <w:jc w:val="both"/>
              <w:rPr>
                <w:rFonts w:hint="default"/>
                <w:spacing w:val="-2"/>
                <w:highlight w:val="none"/>
                <w:lang w:val="en-US" w:eastAsia="zh-CN"/>
              </w:rPr>
            </w:pPr>
            <w:r>
              <w:rPr>
                <w:rFonts w:hint="eastAsia"/>
                <w:b/>
                <w:bCs/>
                <w:spacing w:val="-2"/>
                <w:highlight w:val="none"/>
                <w:lang w:eastAsia="zh-CN"/>
              </w:rPr>
              <w:t>标段</w:t>
            </w:r>
            <w:r>
              <w:rPr>
                <w:rFonts w:hint="eastAsia"/>
                <w:b/>
                <w:bCs/>
                <w:spacing w:val="-2"/>
                <w:highlight w:val="none"/>
                <w:lang w:val="en-US" w:eastAsia="zh-CN"/>
              </w:rPr>
              <w:t>四：2600000.00元；大写：贰佰陆拾万元整</w:t>
            </w:r>
          </w:p>
          <w:p w14:paraId="6461218C">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投标报价不得高于最高限价，否则视为无效投标。</w:t>
            </w:r>
          </w:p>
        </w:tc>
      </w:tr>
      <w:tr w14:paraId="2FD99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62B25D5B">
            <w:pPr>
              <w:pStyle w:val="27"/>
              <w:keepLines w:val="0"/>
              <w:pageBreakBefore w:val="0"/>
              <w:kinsoku/>
              <w:wordWrap/>
              <w:overflowPunct/>
              <w:topLinePunct w:val="0"/>
              <w:bidi w:val="0"/>
              <w:spacing w:before="300" w:line="180" w:lineRule="auto"/>
              <w:jc w:val="center"/>
              <w:rPr>
                <w:highlight w:val="none"/>
              </w:rPr>
            </w:pPr>
            <w:r>
              <w:rPr>
                <w:highlight w:val="none"/>
              </w:rPr>
              <w:t>8</w:t>
            </w:r>
          </w:p>
        </w:tc>
        <w:tc>
          <w:tcPr>
            <w:tcW w:w="1452" w:type="dxa"/>
            <w:vAlign w:val="center"/>
          </w:tcPr>
          <w:p w14:paraId="514E821A">
            <w:pPr>
              <w:pStyle w:val="27"/>
              <w:keepLines w:val="0"/>
              <w:pageBreakBefore w:val="0"/>
              <w:kinsoku/>
              <w:wordWrap/>
              <w:overflowPunct/>
              <w:topLinePunct w:val="0"/>
              <w:bidi w:val="0"/>
              <w:spacing w:before="234" w:line="223" w:lineRule="auto"/>
              <w:jc w:val="center"/>
              <w:rPr>
                <w:highlight w:val="none"/>
              </w:rPr>
            </w:pPr>
            <w:r>
              <w:rPr>
                <w:b/>
                <w:bCs/>
                <w:spacing w:val="-7"/>
                <w:highlight w:val="none"/>
              </w:rPr>
              <w:t>项目类别</w:t>
            </w:r>
          </w:p>
        </w:tc>
        <w:tc>
          <w:tcPr>
            <w:tcW w:w="7778" w:type="dxa"/>
            <w:tcBorders>
              <w:right w:val="single" w:color="000000" w:sz="4" w:space="0"/>
            </w:tcBorders>
            <w:vAlign w:val="center"/>
          </w:tcPr>
          <w:p w14:paraId="06F00C68">
            <w:pPr>
              <w:pStyle w:val="27"/>
              <w:keepLines w:val="0"/>
              <w:pageBreakBefore w:val="0"/>
              <w:kinsoku/>
              <w:wordWrap/>
              <w:overflowPunct/>
              <w:topLinePunct w:val="0"/>
              <w:bidi w:val="0"/>
              <w:spacing w:before="79" w:line="221" w:lineRule="auto"/>
              <w:ind w:left="116"/>
              <w:jc w:val="both"/>
              <w:rPr>
                <w:highlight w:val="none"/>
              </w:rPr>
            </w:pPr>
            <w:r>
              <w:rPr>
                <w:rFonts w:hint="eastAsia"/>
                <w:b/>
                <w:bCs/>
                <w:highlight w:val="none"/>
                <w:lang w:val="en-US" w:eastAsia="zh-CN"/>
              </w:rPr>
              <w:t>本项目所属行业工业。</w:t>
            </w:r>
          </w:p>
        </w:tc>
      </w:tr>
      <w:tr w14:paraId="47672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0" w:hRule="atLeast"/>
          <w:jc w:val="center"/>
        </w:trPr>
        <w:tc>
          <w:tcPr>
            <w:tcW w:w="516" w:type="dxa"/>
            <w:tcBorders>
              <w:left w:val="single" w:color="000000" w:sz="4" w:space="0"/>
            </w:tcBorders>
            <w:vAlign w:val="center"/>
          </w:tcPr>
          <w:p w14:paraId="29AE50B7">
            <w:pPr>
              <w:pStyle w:val="27"/>
              <w:keepLines w:val="0"/>
              <w:pageBreakBefore w:val="0"/>
              <w:kinsoku/>
              <w:wordWrap/>
              <w:overflowPunct/>
              <w:topLinePunct w:val="0"/>
              <w:bidi w:val="0"/>
              <w:spacing w:before="115" w:line="180" w:lineRule="auto"/>
              <w:jc w:val="center"/>
              <w:rPr>
                <w:highlight w:val="none"/>
              </w:rPr>
            </w:pPr>
            <w:r>
              <w:rPr>
                <w:highlight w:val="none"/>
              </w:rPr>
              <w:t>9</w:t>
            </w:r>
          </w:p>
        </w:tc>
        <w:tc>
          <w:tcPr>
            <w:tcW w:w="1452" w:type="dxa"/>
            <w:vAlign w:val="center"/>
          </w:tcPr>
          <w:p w14:paraId="34237F9F">
            <w:pPr>
              <w:pStyle w:val="27"/>
              <w:keepLines w:val="0"/>
              <w:pageBreakBefore w:val="0"/>
              <w:kinsoku/>
              <w:wordWrap/>
              <w:overflowPunct/>
              <w:topLinePunct w:val="0"/>
              <w:bidi w:val="0"/>
              <w:spacing w:before="73" w:line="222" w:lineRule="auto"/>
              <w:jc w:val="center"/>
              <w:rPr>
                <w:highlight w:val="none"/>
              </w:rPr>
            </w:pPr>
            <w:r>
              <w:rPr>
                <w:rFonts w:hint="eastAsia"/>
                <w:b/>
                <w:bCs/>
                <w:highlight w:val="none"/>
                <w:lang w:eastAsia="zh-CN"/>
              </w:rPr>
              <w:t>投标人</w:t>
            </w:r>
            <w:r>
              <w:rPr>
                <w:b/>
                <w:bCs/>
                <w:highlight w:val="none"/>
              </w:rPr>
              <w:t>资格、能</w:t>
            </w:r>
            <w:r>
              <w:rPr>
                <w:b/>
                <w:bCs/>
                <w:spacing w:val="-5"/>
                <w:highlight w:val="none"/>
              </w:rPr>
              <w:t>力、信誉</w:t>
            </w:r>
            <w:r>
              <w:rPr>
                <w:rFonts w:hint="eastAsia"/>
                <w:b/>
                <w:bCs/>
                <w:spacing w:val="-5"/>
                <w:highlight w:val="none"/>
                <w:lang w:eastAsia="zh-CN"/>
              </w:rPr>
              <w:t>及其他</w:t>
            </w:r>
            <w:r>
              <w:rPr>
                <w:b/>
                <w:bCs/>
                <w:spacing w:val="-13"/>
                <w:highlight w:val="none"/>
              </w:rPr>
              <w:t>要求</w:t>
            </w:r>
          </w:p>
        </w:tc>
        <w:tc>
          <w:tcPr>
            <w:tcW w:w="7778" w:type="dxa"/>
            <w:tcBorders>
              <w:right w:val="single" w:color="000000" w:sz="4" w:space="0"/>
            </w:tcBorders>
            <w:vAlign w:val="center"/>
          </w:tcPr>
          <w:p w14:paraId="1FD5B45F">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right="0"/>
              <w:rPr>
                <w:b/>
                <w:bCs/>
                <w:spacing w:val="-1"/>
                <w:highlight w:val="none"/>
              </w:rPr>
            </w:pP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p>
          <w:p w14:paraId="7DD9FD4A">
            <w:pPr>
              <w:pStyle w:val="27"/>
              <w:keepLines w:val="0"/>
              <w:pageBreakBefore w:val="0"/>
              <w:kinsoku/>
              <w:wordWrap/>
              <w:overflowPunct/>
              <w:topLinePunct w:val="0"/>
              <w:bidi w:val="0"/>
              <w:spacing w:before="62" w:line="222" w:lineRule="auto"/>
              <w:ind w:left="129"/>
              <w:jc w:val="both"/>
              <w:rPr>
                <w:highlight w:val="none"/>
              </w:rPr>
            </w:pPr>
            <w:r>
              <w:rPr>
                <w:b/>
                <w:bCs/>
                <w:spacing w:val="-1"/>
                <w:highlight w:val="none"/>
              </w:rPr>
              <w:t>1、满足《中华人民共和国政府采购法》第二十二条规</w:t>
            </w:r>
            <w:r>
              <w:rPr>
                <w:b/>
                <w:bCs/>
                <w:spacing w:val="-2"/>
                <w:highlight w:val="none"/>
              </w:rPr>
              <w:t>定</w:t>
            </w:r>
            <w:r>
              <w:rPr>
                <w:spacing w:val="-2"/>
                <w:highlight w:val="none"/>
              </w:rPr>
              <w:t>；</w:t>
            </w:r>
          </w:p>
          <w:p w14:paraId="61944D43">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(1)具有独立承担民事责任的能力（若供应商是企业（包括合伙企业）应提供有效的营业执照；若供应商是事业单位应提供有效的事业单位法人证书；若供应商是非企业机构的，应提供有效的“执业许可证”、“登记证书”等证明文件；若供应商是个体工商户应提供个体工商户营业执照；若供应商是自然人应提供自然人身份证明）；</w:t>
            </w:r>
          </w:p>
          <w:p w14:paraId="1398036E">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(2)具有良好的商业信誉和健全的财务会计制度（提供202</w:t>
            </w:r>
            <w:r>
              <w:rPr>
                <w:rFonts w:hint="eastAsia"/>
                <w:spacing w:val="-2"/>
                <w:highlight w:val="none"/>
                <w:lang w:val="en-US" w:eastAsia="zh-CN"/>
              </w:rPr>
              <w:t>5</w:t>
            </w:r>
            <w:r>
              <w:rPr>
                <w:rFonts w:hint="eastAsia"/>
                <w:spacing w:val="-2"/>
                <w:highlight w:val="none"/>
                <w:lang w:eastAsia="zh-CN"/>
              </w:rPr>
              <w:t>年经审计的</w:t>
            </w:r>
            <w:r>
              <w:rPr>
                <w:rFonts w:hint="eastAsia"/>
                <w:spacing w:val="-2"/>
                <w:highlight w:val="none"/>
                <w:lang w:val="en-US" w:eastAsia="zh-CN"/>
              </w:rPr>
              <w:t>审计报告或财务报表</w:t>
            </w:r>
            <w:r>
              <w:rPr>
                <w:rFonts w:hint="eastAsia"/>
                <w:spacing w:val="-2"/>
                <w:highlight w:val="none"/>
                <w:lang w:eastAsia="zh-CN"/>
              </w:rPr>
              <w:t>，新成立公司不足一年的提供成立至今的财务报表（包括资产负债表、利润表、现金流量表）；或提供财政部门认可的政府采购专业担保机构出具的投标担保函）；</w:t>
            </w:r>
          </w:p>
          <w:p w14:paraId="33677EC1">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(3)提供近期依法缴纳税收的证明；（供应商应提供</w:t>
            </w:r>
            <w:r>
              <w:rPr>
                <w:rFonts w:hint="eastAsia"/>
                <w:spacing w:val="-2"/>
                <w:highlight w:val="none"/>
                <w:lang w:val="en-US" w:eastAsia="zh-CN"/>
              </w:rPr>
              <w:t>近半年</w:t>
            </w:r>
            <w:r>
              <w:rPr>
                <w:rFonts w:hint="eastAsia"/>
                <w:spacing w:val="-2"/>
                <w:highlight w:val="none"/>
                <w:lang w:eastAsia="zh-CN"/>
              </w:rPr>
              <w:t>任意一个月的完税证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p w14:paraId="68DE816E">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(4)提供</w:t>
            </w:r>
            <w:r>
              <w:rPr>
                <w:rFonts w:hint="eastAsia"/>
                <w:spacing w:val="-2"/>
                <w:highlight w:val="none"/>
                <w:lang w:val="en-US" w:eastAsia="zh-CN"/>
              </w:rPr>
              <w:t>近三</w:t>
            </w:r>
            <w:r>
              <w:rPr>
                <w:rFonts w:hint="eastAsia"/>
                <w:spacing w:val="-2"/>
                <w:highlight w:val="none"/>
                <w:lang w:eastAsia="zh-CN"/>
              </w:rPr>
              <w:t>个月缴纳社会保险的凭据（专用收据或社会保险缴纳清单，供应商为其他组织或自然人的，也需要按此项规定提供缴纳税收的凭据和缴纳社会保险的凭据。如供应商的社会保险为委托第三方代缴，还需同时提供供应商与第三方服务机构签署的服务合同（合同中应明确写明第三方为供应商代缴其社会保险））加盖单位公章；</w:t>
            </w:r>
          </w:p>
          <w:p w14:paraId="3FB410EC">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(5)法定代表人参加应上传法定代表人身份证明和本人身份证；委托代理人参加应上传法定代表人身份证明、授权委托书、本人身份证；</w:t>
            </w:r>
          </w:p>
          <w:p w14:paraId="40CB152D">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(6)投标人如在“信用中国”网站、中国政府采购网被列入严重违法失信行为记录名单的（尚在处罚期内的），将拒绝其参加本次政府采购活动。（开标现场查询）</w:t>
            </w:r>
          </w:p>
          <w:p w14:paraId="1872DE6B">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b w:val="0"/>
                <w:bCs w:val="0"/>
                <w:color w:val="000000" w:themeColor="text1"/>
                <w:spacing w:val="-4"/>
                <w:highlight w:val="none"/>
                <w:lang w:eastAsia="zh-CN"/>
                <w14:textFill>
                  <w14:solidFill>
                    <w14:schemeClr w14:val="tx1"/>
                  </w14:solidFill>
                </w14:textFill>
              </w:rPr>
              <w:t>（</w:t>
            </w:r>
            <w:r>
              <w:rPr>
                <w:rFonts w:hint="eastAsia"/>
                <w:b w:val="0"/>
                <w:bCs w:val="0"/>
                <w:color w:val="000000" w:themeColor="text1"/>
                <w:spacing w:val="-4"/>
                <w:highlight w:val="none"/>
                <w:lang w:val="en-US" w:eastAsia="zh-CN"/>
                <w14:textFill>
                  <w14:solidFill>
                    <w14:schemeClr w14:val="tx1"/>
                  </w14:solidFill>
                </w14:textFill>
              </w:rPr>
              <w:t>7</w:t>
            </w:r>
            <w:r>
              <w:rPr>
                <w:rFonts w:hint="eastAsia"/>
                <w:b w:val="0"/>
                <w:bCs w:val="0"/>
                <w:color w:val="000000" w:themeColor="text1"/>
                <w:spacing w:val="-4"/>
                <w:highlight w:val="none"/>
                <w:lang w:eastAsia="zh-CN"/>
                <w14:textFill>
                  <w14:solidFill>
                    <w14:schemeClr w14:val="tx1"/>
                  </w14:solidFill>
                </w14:textFill>
              </w:rPr>
              <w:t>）</w:t>
            </w:r>
            <w:r>
              <w:rPr>
                <w:b w:val="0"/>
                <w:bCs w:val="0"/>
                <w:color w:val="000000" w:themeColor="text1"/>
                <w:spacing w:val="-4"/>
                <w:highlight w:val="none"/>
                <w14:textFill>
                  <w14:solidFill>
                    <w14:schemeClr w14:val="tx1"/>
                  </w14:solidFill>
                </w14:textFill>
              </w:rPr>
              <w:t>参加政府采购活动前三年内，在经营活动中没有重大违法记录：提供书面声明。</w:t>
            </w:r>
          </w:p>
          <w:p w14:paraId="076F1199">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zh-CN"/>
              </w:rPr>
            </w:pPr>
            <w:r>
              <w:rPr>
                <w:rFonts w:hint="eastAsia"/>
                <w:spacing w:val="-2"/>
                <w:highlight w:val="none"/>
                <w:lang w:val="en-US" w:eastAsia="zh-CN"/>
              </w:rPr>
              <w:t>（8）与招标人存在利害关系可能影响招标公正性的单位，不得参加投标。单位负责人为同一人或存在控股、管理关系的不同单位，不得参加同一标段谈判，否则，相关投标均无效；</w:t>
            </w:r>
          </w:p>
          <w:p w14:paraId="2988EC70">
            <w:pPr>
              <w:pStyle w:val="27"/>
              <w:keepLines w:val="0"/>
              <w:pageBreakBefore w:val="0"/>
              <w:kinsoku/>
              <w:wordWrap/>
              <w:overflowPunct/>
              <w:topLinePunct w:val="0"/>
              <w:bidi w:val="0"/>
              <w:spacing w:before="79" w:line="221" w:lineRule="auto"/>
              <w:ind w:left="116"/>
              <w:jc w:val="both"/>
              <w:rPr>
                <w:b w:val="0"/>
                <w:bCs w:val="0"/>
                <w:color w:val="000000" w:themeColor="text1"/>
                <w:spacing w:val="-4"/>
                <w:highlight w:val="none"/>
                <w14:textFill>
                  <w14:solidFill>
                    <w14:schemeClr w14:val="tx1"/>
                  </w14:solidFill>
                </w14:textFill>
              </w:rPr>
            </w:pPr>
            <w:r>
              <w:rPr>
                <w:rFonts w:hint="eastAsia"/>
                <w:spacing w:val="-2"/>
                <w:highlight w:val="none"/>
                <w:lang w:val="en-US" w:eastAsia="zh-CN"/>
              </w:rPr>
              <w:t>（9）</w:t>
            </w:r>
            <w:r>
              <w:rPr>
                <w:b w:val="0"/>
                <w:bCs w:val="0"/>
                <w:color w:val="000000" w:themeColor="text1"/>
                <w:spacing w:val="-4"/>
                <w:highlight w:val="none"/>
                <w14:textFill>
                  <w14:solidFill>
                    <w14:schemeClr w14:val="tx1"/>
                  </w14:solidFill>
                </w14:textFill>
              </w:rPr>
              <w:t>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p w14:paraId="2CF3ADAF">
            <w:pPr>
              <w:pStyle w:val="27"/>
              <w:keepLines w:val="0"/>
              <w:pageBreakBefore w:val="0"/>
              <w:kinsoku/>
              <w:wordWrap/>
              <w:overflowPunct/>
              <w:topLinePunct w:val="0"/>
              <w:bidi w:val="0"/>
              <w:spacing w:before="75" w:line="267" w:lineRule="auto"/>
              <w:ind w:left="118" w:right="119" w:hanging="4"/>
              <w:jc w:val="both"/>
              <w:rPr>
                <w:b/>
                <w:bCs/>
                <w:spacing w:val="-1"/>
                <w:highlight w:val="none"/>
              </w:rPr>
            </w:pPr>
            <w:r>
              <w:rPr>
                <w:b/>
                <w:bCs/>
                <w:spacing w:val="-1"/>
                <w:highlight w:val="none"/>
              </w:rPr>
              <w:t>2、落实政府采购政策需满足的资格要求：</w:t>
            </w:r>
          </w:p>
          <w:p w14:paraId="3CD0A1E4">
            <w:pPr>
              <w:pStyle w:val="27"/>
              <w:keepLines w:val="0"/>
              <w:pageBreakBefore w:val="0"/>
              <w:kinsoku/>
              <w:wordWrap/>
              <w:overflowPunct/>
              <w:topLinePunct w:val="0"/>
              <w:bidi w:val="0"/>
              <w:spacing w:before="75" w:line="267" w:lineRule="auto"/>
              <w:ind w:left="118" w:right="119" w:hanging="4"/>
              <w:jc w:val="both"/>
              <w:rPr>
                <w:rFonts w:hint="default" w:eastAsia="仿宋"/>
                <w:b/>
                <w:bCs/>
                <w:spacing w:val="-1"/>
                <w:highlight w:val="none"/>
                <w:lang w:val="en-US" w:eastAsia="zh-CN"/>
              </w:rPr>
            </w:pPr>
            <w:r>
              <w:rPr>
                <w:rFonts w:hint="eastAsia"/>
                <w:b/>
                <w:bCs/>
                <w:spacing w:val="-1"/>
                <w:highlight w:val="none"/>
                <w:lang w:val="en-US" w:eastAsia="zh-CN"/>
              </w:rPr>
              <w:t>本项目不专门面向中小企业</w:t>
            </w:r>
          </w:p>
          <w:p w14:paraId="32C41B41">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en-US"/>
              </w:rPr>
              <w:t>（1）《政府采购促进中小企业发展管理办法》（财库〔2020〕46号）及《关于进一步加大政府采购支持中小企业力度的通知》（财库〔2022〕 19 号）；（2）《财政部、司法部关于政府采购支持监狱企业发展有关问题的通知》 （财库〔2014〕68 号）；（3）《财政部 民政部 中国残疾人联合会关于促进残疾人就业政府采购政策的通知》财库〔2017〕141 号。（4）财政部、国家发展改革委、生态环境部、市场监管总局《关于调整优化节能产品、环境标志产品政府采购执行机制的通知》（财库[2019]9 号文）；（5）财政部、生态环境部《关于印发环境标志产品政府采购品目清单的通知》（财库[2019]18 号文）；（6）财政部、发展改革委《关于印发节能产品政府采购品目清单的通知》 （财库[2019]19 号文）；（7）市场监管总局《市场监管总局关于发布参与实施政府采购节能产品、环境标志产品认证机构名录的公告》（2019 年第 16 号）；</w:t>
            </w:r>
          </w:p>
          <w:p w14:paraId="506887CF">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en-US"/>
              </w:rPr>
              <w:t>支持中小企业发展，《政府采购促进中小企业发展管理办法》（财库[2020]46号）：</w:t>
            </w:r>
          </w:p>
          <w:p w14:paraId="02101FA3">
            <w:pPr>
              <w:pStyle w:val="27"/>
              <w:keepLines w:val="0"/>
              <w:pageBreakBefore w:val="0"/>
              <w:kinsoku/>
              <w:wordWrap/>
              <w:overflowPunct/>
              <w:topLinePunct w:val="0"/>
              <w:bidi w:val="0"/>
              <w:spacing w:before="79" w:line="221" w:lineRule="auto"/>
              <w:ind w:left="116"/>
              <w:jc w:val="both"/>
              <w:rPr>
                <w:rFonts w:hint="eastAsia"/>
                <w:spacing w:val="-2"/>
                <w:highlight w:val="none"/>
                <w:lang w:val="en-US" w:eastAsia="en-US"/>
              </w:rPr>
            </w:pPr>
            <w:r>
              <w:rPr>
                <w:rFonts w:hint="eastAsia"/>
                <w:spacing w:val="-2"/>
                <w:highlight w:val="none"/>
                <w:lang w:val="en-US" w:eastAsia="zh-CN"/>
              </w:rPr>
              <w:t>□本项目专门面向中小企业采购，投标人为中小企业，不再执行价格评审优惠政策。</w:t>
            </w:r>
          </w:p>
          <w:p w14:paraId="6FA1E3B6">
            <w:pPr>
              <w:pStyle w:val="27"/>
              <w:keepLines w:val="0"/>
              <w:pageBreakBefore w:val="0"/>
              <w:kinsoku/>
              <w:wordWrap/>
              <w:overflowPunct/>
              <w:topLinePunct w:val="0"/>
              <w:bidi w:val="0"/>
              <w:spacing w:before="79" w:line="221" w:lineRule="auto"/>
              <w:ind w:left="116"/>
              <w:jc w:val="both"/>
              <w:rPr>
                <w:rFonts w:hint="eastAsia"/>
                <w:b/>
                <w:bCs/>
                <w:spacing w:val="-2"/>
                <w:highlight w:val="none"/>
                <w:lang w:val="en-US" w:eastAsia="en-US"/>
              </w:rPr>
            </w:pPr>
            <w:r>
              <w:rPr>
                <w:rFonts w:hint="eastAsia"/>
                <w:b/>
                <w:bCs/>
                <w:spacing w:val="-2"/>
                <w:highlight w:val="none"/>
                <w:lang w:val="en-US" w:eastAsia="zh-CN"/>
              </w:rPr>
              <w:t>☑非专门面向中小企业采购，给予符合规定的小微企业、监狱企业或残疾人福利性单位的报价扣除10%后参与评审。</w:t>
            </w:r>
          </w:p>
          <w:p w14:paraId="03CE569E">
            <w:pPr>
              <w:pStyle w:val="27"/>
              <w:keepLines w:val="0"/>
              <w:pageBreakBefore w:val="0"/>
              <w:kinsoku/>
              <w:wordWrap/>
              <w:overflowPunct/>
              <w:topLinePunct w:val="0"/>
              <w:bidi w:val="0"/>
              <w:spacing w:before="79" w:line="221" w:lineRule="auto"/>
              <w:ind w:left="116"/>
              <w:jc w:val="both"/>
              <w:rPr>
                <w:rFonts w:hint="eastAsia"/>
                <w:b/>
                <w:bCs/>
                <w:spacing w:val="-2"/>
                <w:highlight w:val="none"/>
                <w:lang w:val="en-US" w:eastAsia="en-US"/>
              </w:rPr>
            </w:pPr>
            <w:r>
              <w:rPr>
                <w:rFonts w:hint="eastAsia"/>
                <w:b/>
                <w:bCs/>
                <w:spacing w:val="-2"/>
                <w:highlight w:val="none"/>
                <w:lang w:val="en-US" w:eastAsia="zh-CN"/>
              </w:rPr>
              <w:t>注：（监狱企业、残疾人福利性单位视同小型、微型企业）。</w:t>
            </w:r>
          </w:p>
          <w:p w14:paraId="55257FA5">
            <w:pPr>
              <w:pStyle w:val="27"/>
              <w:keepLines w:val="0"/>
              <w:pageBreakBefore w:val="0"/>
              <w:kinsoku/>
              <w:wordWrap/>
              <w:overflowPunct/>
              <w:topLinePunct w:val="0"/>
              <w:bidi w:val="0"/>
              <w:spacing w:before="78" w:line="222" w:lineRule="auto"/>
              <w:ind w:left="116"/>
              <w:jc w:val="both"/>
              <w:rPr>
                <w:b/>
                <w:bCs/>
                <w:highlight w:val="none"/>
              </w:rPr>
            </w:pPr>
            <w:r>
              <w:rPr>
                <w:b/>
                <w:bCs/>
                <w:spacing w:val="-2"/>
                <w:highlight w:val="none"/>
              </w:rPr>
              <w:t>3、本项目的特定资格要求：</w:t>
            </w:r>
          </w:p>
          <w:p w14:paraId="2E9673E9">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第二类、第三类</w:t>
            </w:r>
            <w:r>
              <w:rPr>
                <w:rFonts w:ascii="仿宋" w:hAnsi="仿宋" w:eastAsia="仿宋" w:cs="仿宋"/>
                <w:i w:val="0"/>
                <w:iCs w:val="0"/>
                <w:caps w:val="0"/>
                <w:color w:val="000000"/>
                <w:spacing w:val="0"/>
                <w:sz w:val="27"/>
                <w:szCs w:val="27"/>
                <w:highlight w:val="none"/>
              </w:rPr>
              <w:t>《医疗器械生产许可证》</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第二类《医疗器械经营备案凭证》或《医疗器械经营许可证》，第三类《医疗器械经营许可证》。</w:t>
            </w:r>
          </w:p>
          <w:p w14:paraId="5A77D8D8">
            <w:pPr>
              <w:pStyle w:val="27"/>
              <w:keepLines w:val="0"/>
              <w:pageBreakBefore w:val="0"/>
              <w:kinsoku/>
              <w:wordWrap/>
              <w:overflowPunct/>
              <w:topLinePunct w:val="0"/>
              <w:bidi w:val="0"/>
              <w:spacing w:before="79" w:line="252" w:lineRule="auto"/>
              <w:ind w:left="110" w:right="513" w:firstLine="11"/>
              <w:jc w:val="both"/>
              <w:rPr>
                <w:b/>
                <w:bCs/>
                <w:highlight w:val="none"/>
              </w:rPr>
            </w:pPr>
            <w:r>
              <w:rPr>
                <w:b/>
                <w:bCs/>
                <w:spacing w:val="-1"/>
                <w:highlight w:val="none"/>
              </w:rPr>
              <w:t>4、本项目不接受联合体参加。</w:t>
            </w:r>
          </w:p>
          <w:p w14:paraId="0A0885E2">
            <w:pPr>
              <w:pStyle w:val="27"/>
              <w:keepLines w:val="0"/>
              <w:pageBreakBefore w:val="0"/>
              <w:kinsoku/>
              <w:wordWrap/>
              <w:overflowPunct/>
              <w:topLinePunct w:val="0"/>
              <w:bidi w:val="0"/>
              <w:spacing w:before="78" w:line="220" w:lineRule="auto"/>
              <w:ind w:left="125"/>
              <w:jc w:val="both"/>
              <w:rPr>
                <w:highlight w:val="none"/>
              </w:rPr>
            </w:pPr>
            <w:r>
              <w:rPr>
                <w:b/>
                <w:bCs/>
                <w:spacing w:val="-3"/>
                <w:highlight w:val="none"/>
              </w:rPr>
              <w:t>注：</w:t>
            </w:r>
            <w:r>
              <w:rPr>
                <w:rFonts w:hint="eastAsia"/>
                <w:b/>
                <w:bCs/>
                <w:spacing w:val="-3"/>
                <w:highlight w:val="none"/>
                <w:lang w:eastAsia="zh-CN"/>
              </w:rPr>
              <w:t>投标人</w:t>
            </w:r>
            <w:r>
              <w:rPr>
                <w:b/>
                <w:bCs/>
                <w:spacing w:val="-3"/>
                <w:highlight w:val="none"/>
              </w:rPr>
              <w:t>提交的所有证明文件及材料必须清晰、准确、真实</w:t>
            </w:r>
            <w:r>
              <w:rPr>
                <w:spacing w:val="-3"/>
                <w:highlight w:val="none"/>
              </w:rPr>
              <w:t>。</w:t>
            </w:r>
          </w:p>
        </w:tc>
      </w:tr>
      <w:tr w14:paraId="77131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516" w:type="dxa"/>
            <w:tcBorders>
              <w:left w:val="single" w:color="000000" w:sz="4" w:space="0"/>
            </w:tcBorders>
            <w:vAlign w:val="center"/>
          </w:tcPr>
          <w:p w14:paraId="381969A8">
            <w:pPr>
              <w:pStyle w:val="27"/>
              <w:keepLines w:val="0"/>
              <w:pageBreakBefore w:val="0"/>
              <w:kinsoku/>
              <w:wordWrap/>
              <w:overflowPunct/>
              <w:topLinePunct w:val="0"/>
              <w:bidi w:val="0"/>
              <w:spacing w:before="194" w:line="181" w:lineRule="auto"/>
              <w:jc w:val="center"/>
              <w:rPr>
                <w:highlight w:val="none"/>
              </w:rPr>
            </w:pPr>
            <w:r>
              <w:rPr>
                <w:spacing w:val="-14"/>
                <w:highlight w:val="none"/>
              </w:rPr>
              <w:t>10</w:t>
            </w:r>
          </w:p>
        </w:tc>
        <w:tc>
          <w:tcPr>
            <w:tcW w:w="1452" w:type="dxa"/>
            <w:vAlign w:val="center"/>
          </w:tcPr>
          <w:p w14:paraId="32A4138F">
            <w:pPr>
              <w:pStyle w:val="27"/>
              <w:keepLines w:val="0"/>
              <w:pageBreakBefore w:val="0"/>
              <w:kinsoku/>
              <w:wordWrap/>
              <w:overflowPunct/>
              <w:topLinePunct w:val="0"/>
              <w:bidi w:val="0"/>
              <w:spacing w:before="154" w:line="222" w:lineRule="auto"/>
              <w:jc w:val="center"/>
              <w:rPr>
                <w:highlight w:val="none"/>
              </w:rPr>
            </w:pPr>
            <w:r>
              <w:rPr>
                <w:b/>
                <w:bCs/>
                <w:spacing w:val="-7"/>
                <w:highlight w:val="none"/>
              </w:rPr>
              <w:t>资格审查方式</w:t>
            </w:r>
          </w:p>
        </w:tc>
        <w:tc>
          <w:tcPr>
            <w:tcW w:w="7778" w:type="dxa"/>
            <w:tcBorders>
              <w:right w:val="single" w:color="000000" w:sz="4" w:space="0"/>
            </w:tcBorders>
            <w:vAlign w:val="center"/>
          </w:tcPr>
          <w:p w14:paraId="4DB6A280">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资格后审</w:t>
            </w:r>
          </w:p>
        </w:tc>
      </w:tr>
      <w:tr w14:paraId="014CE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516" w:type="dxa"/>
            <w:tcBorders>
              <w:left w:val="single" w:color="000000" w:sz="4" w:space="0"/>
            </w:tcBorders>
            <w:vAlign w:val="center"/>
          </w:tcPr>
          <w:p w14:paraId="31641DE0">
            <w:pPr>
              <w:pStyle w:val="27"/>
              <w:keepLines w:val="0"/>
              <w:pageBreakBefore w:val="0"/>
              <w:kinsoku/>
              <w:wordWrap/>
              <w:overflowPunct/>
              <w:topLinePunct w:val="0"/>
              <w:bidi w:val="0"/>
              <w:spacing w:before="185" w:line="181" w:lineRule="auto"/>
              <w:jc w:val="center"/>
              <w:rPr>
                <w:highlight w:val="none"/>
              </w:rPr>
            </w:pPr>
            <w:r>
              <w:rPr>
                <w:spacing w:val="-14"/>
                <w:highlight w:val="none"/>
              </w:rPr>
              <w:t>11</w:t>
            </w:r>
          </w:p>
        </w:tc>
        <w:tc>
          <w:tcPr>
            <w:tcW w:w="1452" w:type="dxa"/>
            <w:vAlign w:val="center"/>
          </w:tcPr>
          <w:p w14:paraId="413FC7F7">
            <w:pPr>
              <w:pStyle w:val="27"/>
              <w:keepLines w:val="0"/>
              <w:pageBreakBefore w:val="0"/>
              <w:kinsoku/>
              <w:wordWrap/>
              <w:overflowPunct/>
              <w:topLinePunct w:val="0"/>
              <w:bidi w:val="0"/>
              <w:spacing w:before="145" w:line="222" w:lineRule="auto"/>
              <w:jc w:val="center"/>
              <w:rPr>
                <w:highlight w:val="none"/>
              </w:rPr>
            </w:pPr>
            <w:r>
              <w:rPr>
                <w:b/>
                <w:bCs/>
                <w:spacing w:val="-6"/>
                <w:highlight w:val="none"/>
              </w:rPr>
              <w:t>投标语言</w:t>
            </w:r>
          </w:p>
        </w:tc>
        <w:tc>
          <w:tcPr>
            <w:tcW w:w="7778" w:type="dxa"/>
            <w:tcBorders>
              <w:right w:val="single" w:color="000000" w:sz="4" w:space="0"/>
            </w:tcBorders>
            <w:vAlign w:val="center"/>
          </w:tcPr>
          <w:p w14:paraId="38AA5B6A">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中文</w:t>
            </w:r>
          </w:p>
        </w:tc>
      </w:tr>
      <w:tr w14:paraId="6382A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516" w:type="dxa"/>
            <w:tcBorders>
              <w:left w:val="single" w:color="000000" w:sz="4" w:space="0"/>
            </w:tcBorders>
            <w:vAlign w:val="center"/>
          </w:tcPr>
          <w:p w14:paraId="212A7DB9">
            <w:pPr>
              <w:pStyle w:val="27"/>
              <w:keepLines w:val="0"/>
              <w:pageBreakBefore w:val="0"/>
              <w:kinsoku/>
              <w:wordWrap/>
              <w:overflowPunct/>
              <w:topLinePunct w:val="0"/>
              <w:bidi w:val="0"/>
              <w:spacing w:before="302" w:line="181" w:lineRule="auto"/>
              <w:jc w:val="center"/>
              <w:rPr>
                <w:highlight w:val="none"/>
              </w:rPr>
            </w:pPr>
            <w:r>
              <w:rPr>
                <w:spacing w:val="-14"/>
                <w:highlight w:val="none"/>
              </w:rPr>
              <w:t>12</w:t>
            </w:r>
          </w:p>
        </w:tc>
        <w:tc>
          <w:tcPr>
            <w:tcW w:w="1452" w:type="dxa"/>
            <w:vAlign w:val="center"/>
          </w:tcPr>
          <w:p w14:paraId="18573B83">
            <w:pPr>
              <w:pStyle w:val="27"/>
              <w:keepLines w:val="0"/>
              <w:pageBreakBefore w:val="0"/>
              <w:kinsoku/>
              <w:wordWrap/>
              <w:overflowPunct/>
              <w:topLinePunct w:val="0"/>
              <w:bidi w:val="0"/>
              <w:spacing w:before="262" w:line="222" w:lineRule="auto"/>
              <w:jc w:val="center"/>
              <w:rPr>
                <w:highlight w:val="none"/>
              </w:rPr>
            </w:pPr>
            <w:r>
              <w:rPr>
                <w:b/>
                <w:bCs/>
                <w:spacing w:val="-5"/>
                <w:highlight w:val="none"/>
              </w:rPr>
              <w:t>投标有效期</w:t>
            </w:r>
          </w:p>
        </w:tc>
        <w:tc>
          <w:tcPr>
            <w:tcW w:w="7778" w:type="dxa"/>
            <w:tcBorders>
              <w:right w:val="single" w:color="000000" w:sz="4" w:space="0"/>
            </w:tcBorders>
            <w:vAlign w:val="center"/>
          </w:tcPr>
          <w:p w14:paraId="58B94785">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90日历天；（从投标截止之日算起）</w:t>
            </w:r>
          </w:p>
        </w:tc>
      </w:tr>
      <w:tr w14:paraId="793E3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jc w:val="center"/>
        </w:trPr>
        <w:tc>
          <w:tcPr>
            <w:tcW w:w="516" w:type="dxa"/>
            <w:tcBorders>
              <w:left w:val="single" w:color="000000" w:sz="4" w:space="0"/>
            </w:tcBorders>
            <w:vAlign w:val="center"/>
          </w:tcPr>
          <w:p w14:paraId="7BCB981E">
            <w:pPr>
              <w:pStyle w:val="27"/>
              <w:keepLines w:val="0"/>
              <w:pageBreakBefore w:val="0"/>
              <w:kinsoku/>
              <w:wordWrap/>
              <w:overflowPunct/>
              <w:topLinePunct w:val="0"/>
              <w:bidi w:val="0"/>
              <w:spacing w:before="244" w:line="181" w:lineRule="auto"/>
              <w:jc w:val="center"/>
              <w:rPr>
                <w:highlight w:val="none"/>
              </w:rPr>
            </w:pPr>
            <w:r>
              <w:rPr>
                <w:spacing w:val="-14"/>
                <w:highlight w:val="none"/>
              </w:rPr>
              <w:t>13</w:t>
            </w:r>
          </w:p>
        </w:tc>
        <w:tc>
          <w:tcPr>
            <w:tcW w:w="1452" w:type="dxa"/>
            <w:vAlign w:val="center"/>
          </w:tcPr>
          <w:p w14:paraId="76072697">
            <w:pPr>
              <w:pStyle w:val="27"/>
              <w:keepLines w:val="0"/>
              <w:pageBreakBefore w:val="0"/>
              <w:kinsoku/>
              <w:wordWrap/>
              <w:overflowPunct/>
              <w:topLinePunct w:val="0"/>
              <w:bidi w:val="0"/>
              <w:spacing w:before="204" w:line="222" w:lineRule="auto"/>
              <w:jc w:val="center"/>
              <w:rPr>
                <w:highlight w:val="none"/>
              </w:rPr>
            </w:pPr>
            <w:r>
              <w:rPr>
                <w:b/>
                <w:bCs/>
                <w:spacing w:val="-7"/>
                <w:highlight w:val="none"/>
              </w:rPr>
              <w:t>采购方式</w:t>
            </w:r>
          </w:p>
        </w:tc>
        <w:tc>
          <w:tcPr>
            <w:tcW w:w="7778" w:type="dxa"/>
            <w:tcBorders>
              <w:right w:val="single" w:color="000000" w:sz="4" w:space="0"/>
            </w:tcBorders>
            <w:vAlign w:val="center"/>
          </w:tcPr>
          <w:p w14:paraId="315FF423">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公开招标</w:t>
            </w:r>
          </w:p>
        </w:tc>
      </w:tr>
      <w:tr w14:paraId="38ED8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516" w:type="dxa"/>
            <w:tcBorders>
              <w:left w:val="single" w:color="000000" w:sz="4" w:space="0"/>
            </w:tcBorders>
            <w:vAlign w:val="center"/>
          </w:tcPr>
          <w:p w14:paraId="268532C8">
            <w:pPr>
              <w:pStyle w:val="27"/>
              <w:keepLines w:val="0"/>
              <w:pageBreakBefore w:val="0"/>
              <w:kinsoku/>
              <w:wordWrap/>
              <w:overflowPunct/>
              <w:topLinePunct w:val="0"/>
              <w:bidi w:val="0"/>
              <w:spacing w:before="193" w:line="181" w:lineRule="auto"/>
              <w:jc w:val="center"/>
              <w:rPr>
                <w:highlight w:val="none"/>
              </w:rPr>
            </w:pPr>
            <w:r>
              <w:rPr>
                <w:spacing w:val="-14"/>
                <w:highlight w:val="none"/>
              </w:rPr>
              <w:t>14</w:t>
            </w:r>
          </w:p>
        </w:tc>
        <w:tc>
          <w:tcPr>
            <w:tcW w:w="1452" w:type="dxa"/>
            <w:vAlign w:val="center"/>
          </w:tcPr>
          <w:p w14:paraId="44F3E672">
            <w:pPr>
              <w:pStyle w:val="27"/>
              <w:keepLines w:val="0"/>
              <w:pageBreakBefore w:val="0"/>
              <w:kinsoku/>
              <w:wordWrap/>
              <w:overflowPunct/>
              <w:topLinePunct w:val="0"/>
              <w:bidi w:val="0"/>
              <w:spacing w:before="177" w:line="222" w:lineRule="auto"/>
              <w:jc w:val="center"/>
              <w:rPr>
                <w:highlight w:val="none"/>
              </w:rPr>
            </w:pPr>
            <w:r>
              <w:rPr>
                <w:b/>
                <w:bCs/>
                <w:spacing w:val="-7"/>
                <w:highlight w:val="none"/>
              </w:rPr>
              <w:t>评标办法</w:t>
            </w:r>
          </w:p>
        </w:tc>
        <w:tc>
          <w:tcPr>
            <w:tcW w:w="7778" w:type="dxa"/>
            <w:tcBorders>
              <w:right w:val="single" w:color="000000" w:sz="4" w:space="0"/>
            </w:tcBorders>
            <w:vAlign w:val="center"/>
          </w:tcPr>
          <w:p w14:paraId="5820A02B">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综合评分法</w:t>
            </w:r>
          </w:p>
        </w:tc>
      </w:tr>
      <w:tr w14:paraId="52020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jc w:val="center"/>
        </w:trPr>
        <w:tc>
          <w:tcPr>
            <w:tcW w:w="516" w:type="dxa"/>
            <w:tcBorders>
              <w:left w:val="single" w:color="000000" w:sz="4" w:space="0"/>
            </w:tcBorders>
            <w:vAlign w:val="center"/>
          </w:tcPr>
          <w:p w14:paraId="337C3176">
            <w:pPr>
              <w:pStyle w:val="27"/>
              <w:keepLines w:val="0"/>
              <w:pageBreakBefore w:val="0"/>
              <w:kinsoku/>
              <w:wordWrap/>
              <w:overflowPunct/>
              <w:topLinePunct w:val="0"/>
              <w:bidi w:val="0"/>
              <w:spacing w:before="316" w:line="181" w:lineRule="auto"/>
              <w:jc w:val="center"/>
              <w:rPr>
                <w:highlight w:val="none"/>
              </w:rPr>
            </w:pPr>
            <w:r>
              <w:rPr>
                <w:spacing w:val="-14"/>
                <w:highlight w:val="none"/>
              </w:rPr>
              <w:t>15</w:t>
            </w:r>
          </w:p>
        </w:tc>
        <w:tc>
          <w:tcPr>
            <w:tcW w:w="1452" w:type="dxa"/>
            <w:vAlign w:val="center"/>
          </w:tcPr>
          <w:p w14:paraId="5A6DF02F">
            <w:pPr>
              <w:pStyle w:val="27"/>
              <w:keepLines w:val="0"/>
              <w:pageBreakBefore w:val="0"/>
              <w:kinsoku/>
              <w:wordWrap/>
              <w:overflowPunct/>
              <w:topLinePunct w:val="0"/>
              <w:bidi w:val="0"/>
              <w:spacing w:before="115" w:line="255" w:lineRule="auto"/>
              <w:ind w:right="153"/>
              <w:jc w:val="center"/>
              <w:rPr>
                <w:highlight w:val="none"/>
              </w:rPr>
            </w:pPr>
            <w:r>
              <w:rPr>
                <w:b/>
                <w:bCs/>
                <w:spacing w:val="-5"/>
                <w:highlight w:val="none"/>
              </w:rPr>
              <w:t>评标委员会的组</w:t>
            </w:r>
            <w:r>
              <w:rPr>
                <w:b/>
                <w:bCs/>
                <w:spacing w:val="-3"/>
                <w:highlight w:val="none"/>
              </w:rPr>
              <w:t>建</w:t>
            </w:r>
          </w:p>
        </w:tc>
        <w:tc>
          <w:tcPr>
            <w:tcW w:w="7778" w:type="dxa"/>
            <w:tcBorders>
              <w:right w:val="single" w:color="000000" w:sz="4" w:space="0"/>
            </w:tcBorders>
            <w:vAlign w:val="center"/>
          </w:tcPr>
          <w:p w14:paraId="149C7744">
            <w:pPr>
              <w:pStyle w:val="27"/>
              <w:spacing w:before="65" w:line="268" w:lineRule="auto"/>
              <w:ind w:right="193"/>
              <w:jc w:val="both"/>
              <w:rPr>
                <w:rFonts w:hint="eastAsia" w:ascii="仿宋" w:hAnsi="仿宋" w:eastAsia="仿宋" w:cs="仿宋"/>
                <w:snapToGrid w:val="0"/>
                <w:color w:val="000000"/>
                <w:spacing w:val="-1"/>
                <w:kern w:val="0"/>
                <w:sz w:val="24"/>
                <w:szCs w:val="24"/>
                <w:highlight w:val="none"/>
                <w:lang w:val="en-US" w:eastAsia="zh-CN" w:bidi="ar-SA"/>
              </w:rPr>
            </w:pPr>
            <w:r>
              <w:rPr>
                <w:spacing w:val="-4"/>
                <w:highlight w:val="none"/>
              </w:rPr>
              <w:t>评标委员会构成：由采购人代表</w:t>
            </w:r>
            <w:r>
              <w:rPr>
                <w:spacing w:val="-30"/>
                <w:highlight w:val="none"/>
              </w:rPr>
              <w:t xml:space="preserve"> </w:t>
            </w:r>
            <w:r>
              <w:rPr>
                <w:rFonts w:hint="eastAsia"/>
                <w:spacing w:val="-30"/>
                <w:highlight w:val="none"/>
                <w:lang w:val="en-US" w:eastAsia="zh-CN"/>
              </w:rPr>
              <w:t>0</w:t>
            </w:r>
            <w:r>
              <w:rPr>
                <w:spacing w:val="-4"/>
                <w:highlight w:val="none"/>
              </w:rPr>
              <w:t>人和</w:t>
            </w:r>
            <w:r>
              <w:rPr>
                <w:rFonts w:hint="eastAsia"/>
                <w:spacing w:val="-4"/>
                <w:highlight w:val="none"/>
                <w:lang w:val="en-US" w:eastAsia="zh-CN"/>
              </w:rPr>
              <w:t>评审</w:t>
            </w:r>
            <w:r>
              <w:rPr>
                <w:spacing w:val="-4"/>
                <w:highlight w:val="none"/>
              </w:rPr>
              <w:t>专家</w:t>
            </w:r>
            <w:r>
              <w:rPr>
                <w:spacing w:val="-52"/>
                <w:highlight w:val="none"/>
              </w:rPr>
              <w:t xml:space="preserve"> </w:t>
            </w:r>
            <w:r>
              <w:rPr>
                <w:rFonts w:hint="eastAsia"/>
                <w:spacing w:val="-52"/>
                <w:highlight w:val="none"/>
                <w:lang w:val="en-US" w:eastAsia="zh-CN"/>
              </w:rPr>
              <w:t>5</w:t>
            </w:r>
            <w:r>
              <w:rPr>
                <w:spacing w:val="-4"/>
                <w:highlight w:val="none"/>
              </w:rPr>
              <w:t>人，共</w:t>
            </w:r>
            <w:r>
              <w:rPr>
                <w:spacing w:val="-46"/>
                <w:highlight w:val="none"/>
              </w:rPr>
              <w:t xml:space="preserve"> </w:t>
            </w:r>
            <w:r>
              <w:rPr>
                <w:spacing w:val="-4"/>
                <w:highlight w:val="none"/>
              </w:rPr>
              <w:t>5</w:t>
            </w:r>
            <w:r>
              <w:rPr>
                <w:highlight w:val="none"/>
              </w:rPr>
              <w:t xml:space="preserve"> </w:t>
            </w:r>
            <w:r>
              <w:rPr>
                <w:spacing w:val="-5"/>
                <w:highlight w:val="none"/>
              </w:rPr>
              <w:t>人组成。</w:t>
            </w:r>
          </w:p>
          <w:p w14:paraId="32D22AFB">
            <w:pPr>
              <w:pStyle w:val="27"/>
              <w:keepLines w:val="0"/>
              <w:pageBreakBefore w:val="0"/>
              <w:kinsoku/>
              <w:wordWrap/>
              <w:overflowPunct/>
              <w:topLinePunct w:val="0"/>
              <w:bidi w:val="0"/>
              <w:spacing w:before="79" w:line="221" w:lineRule="auto"/>
              <w:jc w:val="both"/>
              <w:rPr>
                <w:rFonts w:hint="eastAsia"/>
                <w:spacing w:val="-2"/>
                <w:highlight w:val="none"/>
                <w:lang w:eastAsia="zh-CN"/>
              </w:rPr>
            </w:pPr>
            <w:r>
              <w:rPr>
                <w:rFonts w:ascii="仿宋" w:hAnsi="仿宋" w:eastAsia="仿宋" w:cs="仿宋"/>
                <w:snapToGrid w:val="0"/>
                <w:color w:val="000000"/>
                <w:spacing w:val="-1"/>
                <w:kern w:val="0"/>
                <w:sz w:val="24"/>
                <w:szCs w:val="24"/>
                <w:highlight w:val="none"/>
                <w:lang w:val="en-US" w:eastAsia="en-US" w:bidi="ar-SA"/>
              </w:rPr>
              <w:t>评标专家确定方式：从政府采购评审专家库中随机抽取</w:t>
            </w:r>
          </w:p>
        </w:tc>
      </w:tr>
      <w:tr w14:paraId="69AB1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9" w:hRule="atLeast"/>
          <w:jc w:val="center"/>
        </w:trPr>
        <w:tc>
          <w:tcPr>
            <w:tcW w:w="516" w:type="dxa"/>
            <w:tcBorders>
              <w:left w:val="single" w:color="000000" w:sz="4" w:space="0"/>
            </w:tcBorders>
            <w:vAlign w:val="center"/>
          </w:tcPr>
          <w:p w14:paraId="76FC277D">
            <w:pPr>
              <w:pStyle w:val="27"/>
              <w:keepLines w:val="0"/>
              <w:pageBreakBefore w:val="0"/>
              <w:kinsoku/>
              <w:wordWrap/>
              <w:overflowPunct/>
              <w:topLinePunct w:val="0"/>
              <w:bidi w:val="0"/>
              <w:spacing w:before="78" w:line="181" w:lineRule="auto"/>
              <w:jc w:val="center"/>
              <w:rPr>
                <w:highlight w:val="none"/>
              </w:rPr>
            </w:pPr>
            <w:r>
              <w:rPr>
                <w:spacing w:val="-14"/>
                <w:highlight w:val="none"/>
              </w:rPr>
              <w:t>16</w:t>
            </w:r>
          </w:p>
        </w:tc>
        <w:tc>
          <w:tcPr>
            <w:tcW w:w="1452" w:type="dxa"/>
            <w:vAlign w:val="center"/>
          </w:tcPr>
          <w:p w14:paraId="6F3E57E4">
            <w:pPr>
              <w:pStyle w:val="27"/>
              <w:keepLines w:val="0"/>
              <w:pageBreakBefore w:val="0"/>
              <w:kinsoku/>
              <w:wordWrap/>
              <w:overflowPunct/>
              <w:topLinePunct w:val="0"/>
              <w:bidi w:val="0"/>
              <w:spacing w:before="68" w:line="222" w:lineRule="auto"/>
              <w:jc w:val="center"/>
              <w:rPr>
                <w:rFonts w:hint="eastAsia" w:eastAsia="仿宋"/>
                <w:highlight w:val="none"/>
                <w:lang w:eastAsia="zh-CN"/>
              </w:rPr>
            </w:pPr>
            <w:r>
              <w:rPr>
                <w:b/>
                <w:bCs/>
                <w:spacing w:val="-5"/>
                <w:highlight w:val="none"/>
              </w:rPr>
              <w:t>是否授权评标委</w:t>
            </w:r>
            <w:r>
              <w:rPr>
                <w:b/>
                <w:bCs/>
                <w:spacing w:val="-7"/>
                <w:highlight w:val="none"/>
              </w:rPr>
              <w:t>员会确定中标</w:t>
            </w:r>
            <w:r>
              <w:rPr>
                <w:rFonts w:hint="eastAsia"/>
                <w:b/>
                <w:bCs/>
                <w:spacing w:val="-7"/>
                <w:highlight w:val="none"/>
                <w:lang w:eastAsia="zh-CN"/>
              </w:rPr>
              <w:t>投标人</w:t>
            </w:r>
          </w:p>
        </w:tc>
        <w:tc>
          <w:tcPr>
            <w:tcW w:w="7778" w:type="dxa"/>
            <w:tcBorders>
              <w:right w:val="single" w:color="000000" w:sz="4" w:space="0"/>
            </w:tcBorders>
            <w:vAlign w:val="center"/>
          </w:tcPr>
          <w:p w14:paraId="66B35361">
            <w:pPr>
              <w:pStyle w:val="27"/>
              <w:keepLines w:val="0"/>
              <w:pageBreakBefore w:val="0"/>
              <w:kinsoku/>
              <w:wordWrap/>
              <w:overflowPunct/>
              <w:topLinePunct w:val="0"/>
              <w:bidi w:val="0"/>
              <w:spacing w:before="250" w:line="226" w:lineRule="auto"/>
              <w:ind w:left="136"/>
              <w:jc w:val="both"/>
              <w:rPr>
                <w:highlight w:val="none"/>
              </w:rPr>
            </w:pPr>
            <w:r>
              <w:rPr>
                <w:rFonts w:hint="eastAsia"/>
                <w:spacing w:val="-17"/>
                <w:highlight w:val="none"/>
                <w:lang w:eastAsia="zh-CN"/>
              </w:rPr>
              <w:t>□</w:t>
            </w:r>
            <w:r>
              <w:rPr>
                <w:spacing w:val="-17"/>
                <w:highlight w:val="none"/>
              </w:rPr>
              <w:t>是</w:t>
            </w:r>
          </w:p>
          <w:p w14:paraId="1A3B1D52">
            <w:pPr>
              <w:pStyle w:val="27"/>
              <w:keepLines w:val="0"/>
              <w:pageBreakBefore w:val="0"/>
              <w:kinsoku/>
              <w:wordWrap/>
              <w:overflowPunct/>
              <w:topLinePunct w:val="0"/>
              <w:bidi w:val="0"/>
              <w:spacing w:before="72" w:line="222" w:lineRule="auto"/>
              <w:ind w:left="121"/>
              <w:jc w:val="both"/>
              <w:rPr>
                <w:highlight w:val="none"/>
              </w:rPr>
            </w:pPr>
            <w:r>
              <w:rPr>
                <w:rFonts w:hint="eastAsia" w:ascii="MS UI Gothic" w:hAnsi="MS UI Gothic" w:eastAsia="宋体" w:cs="MS UI Gothic"/>
                <w:highlight w:val="none"/>
                <w:lang w:eastAsia="zh-CN"/>
              </w:rPr>
              <w:t>☑</w:t>
            </w:r>
            <w:r>
              <w:rPr>
                <w:highlight w:val="none"/>
              </w:rPr>
              <w:t>否，推荐的成交候选人数：3人</w:t>
            </w:r>
          </w:p>
        </w:tc>
      </w:tr>
      <w:tr w14:paraId="6E090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2" w:hRule="atLeast"/>
          <w:jc w:val="center"/>
        </w:trPr>
        <w:tc>
          <w:tcPr>
            <w:tcW w:w="516" w:type="dxa"/>
            <w:tcBorders>
              <w:left w:val="single" w:color="000000" w:sz="4" w:space="0"/>
            </w:tcBorders>
            <w:vAlign w:val="center"/>
          </w:tcPr>
          <w:p w14:paraId="5A3E9895">
            <w:pPr>
              <w:pStyle w:val="27"/>
              <w:keepLines w:val="0"/>
              <w:pageBreakBefore w:val="0"/>
              <w:kinsoku/>
              <w:wordWrap/>
              <w:overflowPunct/>
              <w:topLinePunct w:val="0"/>
              <w:bidi w:val="0"/>
              <w:spacing w:before="78" w:line="181" w:lineRule="auto"/>
              <w:jc w:val="center"/>
              <w:rPr>
                <w:highlight w:val="none"/>
              </w:rPr>
            </w:pPr>
            <w:r>
              <w:rPr>
                <w:spacing w:val="-14"/>
                <w:highlight w:val="none"/>
              </w:rPr>
              <w:t>17</w:t>
            </w:r>
          </w:p>
        </w:tc>
        <w:tc>
          <w:tcPr>
            <w:tcW w:w="1452" w:type="dxa"/>
            <w:vAlign w:val="center"/>
          </w:tcPr>
          <w:p w14:paraId="0A8850FB">
            <w:pPr>
              <w:pStyle w:val="27"/>
              <w:keepLines w:val="0"/>
              <w:pageBreakBefore w:val="0"/>
              <w:kinsoku/>
              <w:wordWrap/>
              <w:overflowPunct/>
              <w:topLinePunct w:val="0"/>
              <w:bidi w:val="0"/>
              <w:spacing w:before="78" w:line="253" w:lineRule="auto"/>
              <w:ind w:right="153"/>
              <w:jc w:val="center"/>
              <w:rPr>
                <w:highlight w:val="none"/>
              </w:rPr>
            </w:pPr>
            <w:r>
              <w:rPr>
                <w:b/>
                <w:bCs/>
                <w:spacing w:val="-4"/>
                <w:highlight w:val="none"/>
              </w:rPr>
              <w:t>现场踏勘、标前</w:t>
            </w:r>
            <w:r>
              <w:rPr>
                <w:highlight w:val="none"/>
              </w:rPr>
              <w:t xml:space="preserve"> </w:t>
            </w:r>
            <w:r>
              <w:rPr>
                <w:b/>
                <w:bCs/>
                <w:spacing w:val="-8"/>
                <w:highlight w:val="none"/>
              </w:rPr>
              <w:t>答疑会</w:t>
            </w:r>
          </w:p>
        </w:tc>
        <w:tc>
          <w:tcPr>
            <w:tcW w:w="7778" w:type="dxa"/>
            <w:tcBorders>
              <w:right w:val="single" w:color="000000" w:sz="4" w:space="0"/>
            </w:tcBorders>
            <w:vAlign w:val="center"/>
          </w:tcPr>
          <w:p w14:paraId="12FA6EAF">
            <w:pPr>
              <w:pStyle w:val="27"/>
              <w:keepLines w:val="0"/>
              <w:pageBreakBefore w:val="0"/>
              <w:kinsoku/>
              <w:wordWrap/>
              <w:overflowPunct/>
              <w:topLinePunct w:val="0"/>
              <w:bidi w:val="0"/>
              <w:spacing w:before="68" w:line="365" w:lineRule="exact"/>
              <w:ind w:left="121"/>
              <w:jc w:val="both"/>
              <w:rPr>
                <w:highlight w:val="none"/>
              </w:rPr>
            </w:pPr>
            <w:r>
              <w:rPr>
                <w:rFonts w:ascii="MS UI Gothic" w:hAnsi="MS UI Gothic" w:eastAsia="MS UI Gothic" w:cs="MS UI Gothic"/>
                <w:spacing w:val="-4"/>
                <w:position w:val="8"/>
                <w:highlight w:val="none"/>
              </w:rPr>
              <w:t>☑</w:t>
            </w:r>
            <w:r>
              <w:rPr>
                <w:spacing w:val="-4"/>
                <w:position w:val="8"/>
                <w:highlight w:val="none"/>
              </w:rPr>
              <w:t>自行踏勘</w:t>
            </w:r>
          </w:p>
          <w:p w14:paraId="20E14E5D">
            <w:pPr>
              <w:pStyle w:val="27"/>
              <w:keepLines w:val="0"/>
              <w:pageBreakBefore w:val="0"/>
              <w:kinsoku/>
              <w:wordWrap/>
              <w:overflowPunct/>
              <w:topLinePunct w:val="0"/>
              <w:bidi w:val="0"/>
              <w:spacing w:line="224" w:lineRule="auto"/>
              <w:ind w:left="136"/>
              <w:jc w:val="both"/>
              <w:rPr>
                <w:highlight w:val="none"/>
              </w:rPr>
            </w:pPr>
            <w:r>
              <w:rPr>
                <w:spacing w:val="-7"/>
                <w:highlight w:val="none"/>
              </w:rPr>
              <w:t>□统一组织</w:t>
            </w:r>
          </w:p>
          <w:p w14:paraId="246E96E5">
            <w:pPr>
              <w:pStyle w:val="27"/>
              <w:keepLines w:val="0"/>
              <w:pageBreakBefore w:val="0"/>
              <w:kinsoku/>
              <w:wordWrap/>
              <w:overflowPunct/>
              <w:topLinePunct w:val="0"/>
              <w:bidi w:val="0"/>
              <w:spacing w:before="75" w:line="224" w:lineRule="auto"/>
              <w:ind w:left="116"/>
              <w:jc w:val="both"/>
              <w:rPr>
                <w:highlight w:val="none"/>
              </w:rPr>
            </w:pPr>
            <w:r>
              <w:rPr>
                <w:spacing w:val="-4"/>
                <w:highlight w:val="none"/>
              </w:rPr>
              <w:t>联系人：</w:t>
            </w:r>
          </w:p>
          <w:p w14:paraId="3E67943F">
            <w:pPr>
              <w:pStyle w:val="27"/>
              <w:keepLines w:val="0"/>
              <w:pageBreakBefore w:val="0"/>
              <w:kinsoku/>
              <w:wordWrap/>
              <w:overflowPunct/>
              <w:topLinePunct w:val="0"/>
              <w:bidi w:val="0"/>
              <w:spacing w:before="75" w:line="367" w:lineRule="exact"/>
              <w:ind w:left="116"/>
              <w:jc w:val="both"/>
              <w:rPr>
                <w:highlight w:val="none"/>
              </w:rPr>
            </w:pPr>
            <w:r>
              <w:rPr>
                <w:spacing w:val="-3"/>
                <w:position w:val="8"/>
                <w:highlight w:val="none"/>
              </w:rPr>
              <w:t>联系电话：</w:t>
            </w:r>
          </w:p>
          <w:p w14:paraId="17F469E4">
            <w:pPr>
              <w:pStyle w:val="27"/>
              <w:keepLines w:val="0"/>
              <w:pageBreakBefore w:val="0"/>
              <w:kinsoku/>
              <w:wordWrap/>
              <w:overflowPunct/>
              <w:topLinePunct w:val="0"/>
              <w:bidi w:val="0"/>
              <w:spacing w:line="223" w:lineRule="auto"/>
              <w:ind w:left="120"/>
              <w:jc w:val="both"/>
              <w:rPr>
                <w:highlight w:val="none"/>
              </w:rPr>
            </w:pPr>
            <w:r>
              <w:rPr>
                <w:spacing w:val="-4"/>
                <w:highlight w:val="none"/>
              </w:rPr>
              <w:t>踏勘时间：</w:t>
            </w:r>
          </w:p>
          <w:p w14:paraId="34BEDE9C">
            <w:pPr>
              <w:pStyle w:val="27"/>
              <w:keepLines w:val="0"/>
              <w:pageBreakBefore w:val="0"/>
              <w:kinsoku/>
              <w:wordWrap/>
              <w:overflowPunct/>
              <w:topLinePunct w:val="0"/>
              <w:bidi w:val="0"/>
              <w:spacing w:before="78" w:line="223" w:lineRule="auto"/>
              <w:ind w:left="120"/>
              <w:jc w:val="both"/>
              <w:rPr>
                <w:highlight w:val="none"/>
              </w:rPr>
            </w:pPr>
            <w:r>
              <w:rPr>
                <w:spacing w:val="-4"/>
                <w:highlight w:val="none"/>
              </w:rPr>
              <w:t>踏勘地点：</w:t>
            </w:r>
          </w:p>
        </w:tc>
      </w:tr>
      <w:tr w14:paraId="46ACD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7" w:hRule="atLeast"/>
          <w:jc w:val="center"/>
        </w:trPr>
        <w:tc>
          <w:tcPr>
            <w:tcW w:w="516" w:type="dxa"/>
            <w:tcBorders>
              <w:left w:val="single" w:color="000000" w:sz="4" w:space="0"/>
            </w:tcBorders>
            <w:vAlign w:val="center"/>
          </w:tcPr>
          <w:p w14:paraId="1C82B64E">
            <w:pPr>
              <w:pStyle w:val="27"/>
              <w:keepLines w:val="0"/>
              <w:pageBreakBefore w:val="0"/>
              <w:kinsoku/>
              <w:wordWrap/>
              <w:overflowPunct/>
              <w:topLinePunct w:val="0"/>
              <w:bidi w:val="0"/>
              <w:spacing w:before="78" w:line="181" w:lineRule="auto"/>
              <w:jc w:val="center"/>
              <w:rPr>
                <w:highlight w:val="none"/>
              </w:rPr>
            </w:pPr>
            <w:r>
              <w:rPr>
                <w:spacing w:val="-14"/>
                <w:highlight w:val="none"/>
              </w:rPr>
              <w:t>18</w:t>
            </w:r>
          </w:p>
        </w:tc>
        <w:tc>
          <w:tcPr>
            <w:tcW w:w="1452" w:type="dxa"/>
            <w:vAlign w:val="center"/>
          </w:tcPr>
          <w:p w14:paraId="5B35F803">
            <w:pPr>
              <w:pStyle w:val="27"/>
              <w:keepLines w:val="0"/>
              <w:pageBreakBefore w:val="0"/>
              <w:kinsoku/>
              <w:wordWrap/>
              <w:overflowPunct/>
              <w:topLinePunct w:val="0"/>
              <w:bidi w:val="0"/>
              <w:spacing w:before="73" w:line="222" w:lineRule="auto"/>
              <w:jc w:val="center"/>
              <w:rPr>
                <w:highlight w:val="none"/>
              </w:rPr>
            </w:pPr>
            <w:r>
              <w:rPr>
                <w:rFonts w:hint="eastAsia"/>
                <w:b/>
                <w:bCs/>
                <w:spacing w:val="-4"/>
                <w:highlight w:val="none"/>
                <w:lang w:eastAsia="zh-CN"/>
              </w:rPr>
              <w:t>投标人</w:t>
            </w:r>
            <w:r>
              <w:rPr>
                <w:b/>
                <w:bCs/>
                <w:spacing w:val="-4"/>
                <w:highlight w:val="none"/>
              </w:rPr>
              <w:t>对招标文件提出质疑</w:t>
            </w:r>
            <w:r>
              <w:rPr>
                <w:b/>
                <w:bCs/>
                <w:spacing w:val="-12"/>
                <w:highlight w:val="none"/>
              </w:rPr>
              <w:t>的时间</w:t>
            </w:r>
          </w:p>
        </w:tc>
        <w:tc>
          <w:tcPr>
            <w:tcW w:w="7778" w:type="dxa"/>
            <w:tcBorders>
              <w:right w:val="single" w:color="000000" w:sz="4" w:space="0"/>
            </w:tcBorders>
            <w:vAlign w:val="center"/>
          </w:tcPr>
          <w:p w14:paraId="4DFEC2F2">
            <w:pPr>
              <w:pStyle w:val="27"/>
              <w:keepLines w:val="0"/>
              <w:pageBreakBefore w:val="0"/>
              <w:kinsoku/>
              <w:wordWrap/>
              <w:overflowPunct/>
              <w:topLinePunct w:val="0"/>
              <w:bidi w:val="0"/>
              <w:spacing w:before="256" w:line="251" w:lineRule="auto"/>
              <w:ind w:left="120" w:right="43" w:hanging="2"/>
              <w:jc w:val="both"/>
              <w:rPr>
                <w:highlight w:val="none"/>
              </w:rPr>
            </w:pPr>
            <w:r>
              <w:rPr>
                <w:rFonts w:hint="eastAsia"/>
                <w:highlight w:val="none"/>
                <w:lang w:val="en-US" w:eastAsia="zh-CN"/>
              </w:rPr>
              <w:t>潜在</w:t>
            </w:r>
            <w:r>
              <w:rPr>
                <w:rFonts w:hint="eastAsia"/>
                <w:highlight w:val="none"/>
                <w:lang w:eastAsia="zh-CN"/>
              </w:rPr>
              <w:t>供应商</w:t>
            </w:r>
            <w:r>
              <w:rPr>
                <w:rFonts w:hint="eastAsia"/>
                <w:highlight w:val="none"/>
                <w:lang w:val="en-US" w:eastAsia="zh-CN"/>
              </w:rPr>
              <w:t>已依法获取其可质疑的招标文件的，可以对该文件提出质疑。对招标文件提出质疑的，应当在获取招标文件或者招标文件公告期限届满之日起7个工作日内提出。</w:t>
            </w:r>
          </w:p>
        </w:tc>
      </w:tr>
      <w:tr w14:paraId="7BECF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8" w:hRule="atLeast"/>
          <w:jc w:val="center"/>
        </w:trPr>
        <w:tc>
          <w:tcPr>
            <w:tcW w:w="516" w:type="dxa"/>
            <w:tcBorders>
              <w:left w:val="single" w:color="000000" w:sz="4" w:space="0"/>
            </w:tcBorders>
            <w:vAlign w:val="center"/>
          </w:tcPr>
          <w:p w14:paraId="23758348">
            <w:pPr>
              <w:pStyle w:val="27"/>
              <w:keepLines w:val="0"/>
              <w:pageBreakBefore w:val="0"/>
              <w:kinsoku/>
              <w:wordWrap/>
              <w:overflowPunct/>
              <w:topLinePunct w:val="0"/>
              <w:bidi w:val="0"/>
              <w:spacing w:before="291" w:line="181" w:lineRule="auto"/>
              <w:jc w:val="center"/>
              <w:rPr>
                <w:highlight w:val="none"/>
              </w:rPr>
            </w:pPr>
            <w:r>
              <w:rPr>
                <w:spacing w:val="-14"/>
                <w:highlight w:val="none"/>
              </w:rPr>
              <w:t>19</w:t>
            </w:r>
          </w:p>
        </w:tc>
        <w:tc>
          <w:tcPr>
            <w:tcW w:w="1452" w:type="dxa"/>
            <w:vAlign w:val="center"/>
          </w:tcPr>
          <w:p w14:paraId="71B8D292">
            <w:pPr>
              <w:pStyle w:val="27"/>
              <w:keepLines w:val="0"/>
              <w:pageBreakBefore w:val="0"/>
              <w:kinsoku/>
              <w:wordWrap/>
              <w:overflowPunct/>
              <w:topLinePunct w:val="0"/>
              <w:bidi w:val="0"/>
              <w:spacing w:before="90" w:line="252" w:lineRule="auto"/>
              <w:ind w:right="153"/>
              <w:jc w:val="center"/>
              <w:rPr>
                <w:highlight w:val="none"/>
              </w:rPr>
            </w:pPr>
            <w:r>
              <w:rPr>
                <w:b/>
                <w:bCs/>
                <w:spacing w:val="-4"/>
                <w:highlight w:val="none"/>
              </w:rPr>
              <w:t>构成招标文件的</w:t>
            </w:r>
            <w:r>
              <w:rPr>
                <w:b/>
                <w:bCs/>
                <w:spacing w:val="-7"/>
                <w:highlight w:val="none"/>
              </w:rPr>
              <w:t>其他文件</w:t>
            </w:r>
          </w:p>
        </w:tc>
        <w:tc>
          <w:tcPr>
            <w:tcW w:w="7778" w:type="dxa"/>
            <w:tcBorders>
              <w:right w:val="single" w:color="000000" w:sz="4" w:space="0"/>
            </w:tcBorders>
            <w:vAlign w:val="center"/>
          </w:tcPr>
          <w:p w14:paraId="2987BD62">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招标文件的澄清、修改及有关补充通知为招标文件的有效组成部分。</w:t>
            </w:r>
          </w:p>
        </w:tc>
      </w:tr>
      <w:tr w14:paraId="38CE3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jc w:val="center"/>
        </w:trPr>
        <w:tc>
          <w:tcPr>
            <w:tcW w:w="516" w:type="dxa"/>
            <w:tcBorders>
              <w:left w:val="single" w:color="000000" w:sz="4" w:space="0"/>
              <w:bottom w:val="single" w:color="000000" w:sz="4" w:space="0"/>
            </w:tcBorders>
            <w:vAlign w:val="center"/>
          </w:tcPr>
          <w:p w14:paraId="6084A5D0">
            <w:pPr>
              <w:pStyle w:val="27"/>
              <w:keepLines w:val="0"/>
              <w:pageBreakBefore w:val="0"/>
              <w:kinsoku/>
              <w:wordWrap/>
              <w:overflowPunct/>
              <w:topLinePunct w:val="0"/>
              <w:bidi w:val="0"/>
              <w:spacing w:before="175" w:line="180" w:lineRule="auto"/>
              <w:jc w:val="center"/>
              <w:rPr>
                <w:highlight w:val="none"/>
              </w:rPr>
            </w:pPr>
            <w:r>
              <w:rPr>
                <w:spacing w:val="-6"/>
                <w:highlight w:val="none"/>
              </w:rPr>
              <w:t>20</w:t>
            </w:r>
          </w:p>
        </w:tc>
        <w:tc>
          <w:tcPr>
            <w:tcW w:w="1452" w:type="dxa"/>
            <w:tcBorders>
              <w:bottom w:val="single" w:color="000000" w:sz="4" w:space="0"/>
            </w:tcBorders>
            <w:vAlign w:val="center"/>
          </w:tcPr>
          <w:p w14:paraId="1B5094D8">
            <w:pPr>
              <w:pStyle w:val="27"/>
              <w:keepLines w:val="0"/>
              <w:pageBreakBefore w:val="0"/>
              <w:kinsoku/>
              <w:wordWrap/>
              <w:overflowPunct/>
              <w:topLinePunct w:val="0"/>
              <w:bidi w:val="0"/>
              <w:spacing w:before="157" w:line="219" w:lineRule="auto"/>
              <w:jc w:val="center"/>
              <w:rPr>
                <w:highlight w:val="none"/>
              </w:rPr>
            </w:pPr>
            <w:r>
              <w:rPr>
                <w:b/>
                <w:bCs/>
                <w:spacing w:val="-5"/>
                <w:highlight w:val="none"/>
              </w:rPr>
              <w:t>分包（转让）</w:t>
            </w:r>
          </w:p>
        </w:tc>
        <w:tc>
          <w:tcPr>
            <w:tcW w:w="7778" w:type="dxa"/>
            <w:tcBorders>
              <w:bottom w:val="single" w:color="000000" w:sz="4" w:space="0"/>
              <w:right w:val="single" w:color="000000" w:sz="4" w:space="0"/>
            </w:tcBorders>
            <w:vAlign w:val="center"/>
          </w:tcPr>
          <w:p w14:paraId="64250B00">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不允许。</w:t>
            </w:r>
          </w:p>
        </w:tc>
      </w:tr>
      <w:tr w14:paraId="3E390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516" w:type="dxa"/>
            <w:tcBorders>
              <w:top w:val="single" w:color="000000" w:sz="4" w:space="0"/>
              <w:left w:val="single" w:color="000000" w:sz="4" w:space="0"/>
            </w:tcBorders>
            <w:vAlign w:val="center"/>
          </w:tcPr>
          <w:p w14:paraId="688C4AFA">
            <w:pPr>
              <w:pStyle w:val="27"/>
              <w:keepLines w:val="0"/>
              <w:pageBreakBefore w:val="0"/>
              <w:kinsoku/>
              <w:wordWrap/>
              <w:overflowPunct/>
              <w:topLinePunct w:val="0"/>
              <w:bidi w:val="0"/>
              <w:spacing w:before="216" w:line="181" w:lineRule="auto"/>
              <w:jc w:val="center"/>
              <w:rPr>
                <w:highlight w:val="none"/>
              </w:rPr>
            </w:pPr>
            <w:r>
              <w:rPr>
                <w:spacing w:val="-6"/>
                <w:highlight w:val="none"/>
              </w:rPr>
              <w:t>21</w:t>
            </w:r>
          </w:p>
        </w:tc>
        <w:tc>
          <w:tcPr>
            <w:tcW w:w="1452" w:type="dxa"/>
            <w:tcBorders>
              <w:top w:val="single" w:color="000000" w:sz="4" w:space="0"/>
            </w:tcBorders>
            <w:vAlign w:val="center"/>
          </w:tcPr>
          <w:p w14:paraId="188DE27C">
            <w:pPr>
              <w:pStyle w:val="27"/>
              <w:keepLines w:val="0"/>
              <w:pageBreakBefore w:val="0"/>
              <w:kinsoku/>
              <w:wordWrap/>
              <w:overflowPunct/>
              <w:topLinePunct w:val="0"/>
              <w:bidi w:val="0"/>
              <w:spacing w:before="200" w:line="222" w:lineRule="auto"/>
              <w:jc w:val="center"/>
              <w:rPr>
                <w:highlight w:val="none"/>
              </w:rPr>
            </w:pPr>
            <w:r>
              <w:rPr>
                <w:b/>
                <w:bCs/>
                <w:spacing w:val="-6"/>
                <w:highlight w:val="none"/>
              </w:rPr>
              <w:t>联合投标</w:t>
            </w:r>
          </w:p>
        </w:tc>
        <w:tc>
          <w:tcPr>
            <w:tcW w:w="7778" w:type="dxa"/>
            <w:tcBorders>
              <w:top w:val="single" w:color="000000" w:sz="4" w:space="0"/>
              <w:right w:val="single" w:color="000000" w:sz="4" w:space="0"/>
            </w:tcBorders>
            <w:vAlign w:val="center"/>
          </w:tcPr>
          <w:p w14:paraId="68307D81">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本项目不接受联合体投标。</w:t>
            </w:r>
          </w:p>
        </w:tc>
      </w:tr>
      <w:tr w14:paraId="62BE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jc w:val="center"/>
        </w:trPr>
        <w:tc>
          <w:tcPr>
            <w:tcW w:w="516" w:type="dxa"/>
            <w:tcBorders>
              <w:left w:val="single" w:color="000000" w:sz="4" w:space="0"/>
            </w:tcBorders>
            <w:vAlign w:val="center"/>
          </w:tcPr>
          <w:p w14:paraId="322656C5">
            <w:pPr>
              <w:pStyle w:val="27"/>
              <w:keepLines w:val="0"/>
              <w:pageBreakBefore w:val="0"/>
              <w:kinsoku/>
              <w:wordWrap/>
              <w:overflowPunct/>
              <w:topLinePunct w:val="0"/>
              <w:bidi w:val="0"/>
              <w:spacing w:before="255" w:line="180" w:lineRule="auto"/>
              <w:jc w:val="center"/>
              <w:rPr>
                <w:highlight w:val="none"/>
              </w:rPr>
            </w:pPr>
            <w:r>
              <w:rPr>
                <w:spacing w:val="-6"/>
                <w:highlight w:val="none"/>
              </w:rPr>
              <w:t>22</w:t>
            </w:r>
          </w:p>
        </w:tc>
        <w:tc>
          <w:tcPr>
            <w:tcW w:w="1452" w:type="dxa"/>
            <w:vAlign w:val="center"/>
          </w:tcPr>
          <w:p w14:paraId="1E179EBD">
            <w:pPr>
              <w:pStyle w:val="27"/>
              <w:keepLines w:val="0"/>
              <w:pageBreakBefore w:val="0"/>
              <w:kinsoku/>
              <w:wordWrap/>
              <w:overflowPunct/>
              <w:topLinePunct w:val="0"/>
              <w:bidi w:val="0"/>
              <w:spacing w:before="35" w:line="249" w:lineRule="auto"/>
              <w:ind w:right="153"/>
              <w:jc w:val="center"/>
              <w:rPr>
                <w:highlight w:val="none"/>
              </w:rPr>
            </w:pPr>
            <w:r>
              <w:rPr>
                <w:b/>
                <w:bCs/>
                <w:spacing w:val="-5"/>
                <w:highlight w:val="none"/>
              </w:rPr>
              <w:t>是否退还投标文</w:t>
            </w:r>
            <w:r>
              <w:rPr>
                <w:b/>
                <w:bCs/>
                <w:spacing w:val="-3"/>
                <w:highlight w:val="none"/>
              </w:rPr>
              <w:t>件</w:t>
            </w:r>
          </w:p>
        </w:tc>
        <w:tc>
          <w:tcPr>
            <w:tcW w:w="7778" w:type="dxa"/>
            <w:tcBorders>
              <w:right w:val="single" w:color="000000" w:sz="4" w:space="0"/>
            </w:tcBorders>
            <w:vAlign w:val="center"/>
          </w:tcPr>
          <w:p w14:paraId="17BFBBF9">
            <w:pPr>
              <w:pStyle w:val="27"/>
              <w:keepLines w:val="0"/>
              <w:pageBreakBefore w:val="0"/>
              <w:kinsoku/>
              <w:wordWrap/>
              <w:overflowPunct/>
              <w:topLinePunct w:val="0"/>
              <w:bidi w:val="0"/>
              <w:spacing w:before="79" w:line="221" w:lineRule="auto"/>
              <w:ind w:left="116"/>
              <w:jc w:val="both"/>
              <w:rPr>
                <w:rFonts w:hint="eastAsia"/>
                <w:spacing w:val="-2"/>
                <w:highlight w:val="none"/>
                <w:lang w:eastAsia="zh-CN"/>
              </w:rPr>
            </w:pPr>
            <w:r>
              <w:rPr>
                <w:rFonts w:hint="eastAsia"/>
                <w:spacing w:val="-2"/>
                <w:highlight w:val="none"/>
                <w:lang w:eastAsia="zh-CN"/>
              </w:rPr>
              <w:t>否</w:t>
            </w:r>
          </w:p>
        </w:tc>
      </w:tr>
      <w:tr w14:paraId="312C4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4" w:hRule="atLeast"/>
          <w:jc w:val="center"/>
        </w:trPr>
        <w:tc>
          <w:tcPr>
            <w:tcW w:w="516" w:type="dxa"/>
            <w:tcBorders>
              <w:left w:val="single" w:color="000000" w:sz="4" w:space="0"/>
            </w:tcBorders>
            <w:vAlign w:val="center"/>
          </w:tcPr>
          <w:p w14:paraId="2AC25621">
            <w:pPr>
              <w:pStyle w:val="27"/>
              <w:keepLines w:val="0"/>
              <w:pageBreakBefore w:val="0"/>
              <w:kinsoku/>
              <w:wordWrap/>
              <w:overflowPunct/>
              <w:topLinePunct w:val="0"/>
              <w:bidi w:val="0"/>
              <w:spacing w:before="78" w:line="180" w:lineRule="auto"/>
              <w:jc w:val="center"/>
              <w:rPr>
                <w:highlight w:val="none"/>
              </w:rPr>
            </w:pPr>
            <w:r>
              <w:rPr>
                <w:spacing w:val="-6"/>
                <w:highlight w:val="none"/>
              </w:rPr>
              <w:t>23</w:t>
            </w:r>
          </w:p>
        </w:tc>
        <w:tc>
          <w:tcPr>
            <w:tcW w:w="1452" w:type="dxa"/>
            <w:vAlign w:val="center"/>
          </w:tcPr>
          <w:p w14:paraId="08440E23">
            <w:pPr>
              <w:pStyle w:val="27"/>
              <w:keepLines w:val="0"/>
              <w:pageBreakBefore w:val="0"/>
              <w:kinsoku/>
              <w:wordWrap/>
              <w:overflowPunct/>
              <w:topLinePunct w:val="0"/>
              <w:bidi w:val="0"/>
              <w:spacing w:before="289" w:line="221" w:lineRule="auto"/>
              <w:jc w:val="center"/>
              <w:rPr>
                <w:highlight w:val="none"/>
              </w:rPr>
            </w:pPr>
            <w:r>
              <w:rPr>
                <w:rFonts w:hint="eastAsia" w:ascii="微软雅黑" w:hAnsi="微软雅黑" w:eastAsia="微软雅黑" w:cs="微软雅黑"/>
                <w:b/>
                <w:bCs/>
                <w:spacing w:val="-5"/>
                <w:highlight w:val="none"/>
              </w:rPr>
              <w:t>★</w:t>
            </w:r>
            <w:r>
              <w:rPr>
                <w:b/>
                <w:bCs/>
                <w:spacing w:val="-5"/>
                <w:highlight w:val="none"/>
              </w:rPr>
              <w:t>投标保证金</w:t>
            </w:r>
          </w:p>
        </w:tc>
        <w:tc>
          <w:tcPr>
            <w:tcW w:w="7778" w:type="dxa"/>
            <w:tcBorders>
              <w:right w:val="single" w:color="000000" w:sz="4" w:space="0"/>
            </w:tcBorders>
            <w:vAlign w:val="center"/>
          </w:tcPr>
          <w:p w14:paraId="1FD06A10">
            <w:pPr>
              <w:kinsoku w:val="0"/>
              <w:autoSpaceDE w:val="0"/>
              <w:autoSpaceDN w:val="0"/>
              <w:adjustRightInd w:val="0"/>
              <w:snapToGrid w:val="0"/>
              <w:spacing w:before="102" w:line="219" w:lineRule="auto"/>
              <w:jc w:val="left"/>
              <w:textAlignment w:val="baseline"/>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b/>
                <w:bCs/>
                <w:snapToGrid w:val="0"/>
                <w:color w:val="000000" w:themeColor="text1"/>
                <w:spacing w:val="-12"/>
                <w:kern w:val="0"/>
                <w:sz w:val="24"/>
                <w:szCs w:val="24"/>
                <w:highlight w:val="none"/>
                <w:lang w:val="en-US" w:eastAsia="en-US" w:bidi="ar-SA"/>
                <w14:textFill>
                  <w14:solidFill>
                    <w14:schemeClr w14:val="tx1"/>
                  </w14:solidFill>
                </w14:textFill>
              </w:rPr>
              <w:t>【标项4】</w:t>
            </w:r>
          </w:p>
          <w:p w14:paraId="6292589F">
            <w:pPr>
              <w:kinsoku w:val="0"/>
              <w:autoSpaceDE w:val="0"/>
              <w:autoSpaceDN w:val="0"/>
              <w:adjustRightInd w:val="0"/>
              <w:snapToGrid w:val="0"/>
              <w:spacing w:before="102" w:line="219" w:lineRule="auto"/>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12"/>
                <w:kern w:val="0"/>
                <w:sz w:val="24"/>
                <w:szCs w:val="24"/>
                <w:highlight w:val="none"/>
                <w:lang w:val="en-US" w:eastAsia="en-US" w:bidi="ar-SA"/>
                <w14:textFill>
                  <w14:solidFill>
                    <w14:schemeClr w14:val="tx1"/>
                  </w14:solidFill>
                </w14:textFill>
              </w:rPr>
              <w:t>1、投标保证金的递交截止时间</w:t>
            </w:r>
            <w:r>
              <w:rPr>
                <w:rFonts w:hint="eastAsia" w:ascii="方正仿宋_GB2312" w:hAnsi="方正仿宋_GB2312" w:eastAsia="方正仿宋_GB2312" w:cs="方正仿宋_GB2312"/>
                <w:snapToGrid w:val="0"/>
                <w:color w:val="000000" w:themeColor="text1"/>
                <w:spacing w:val="-12"/>
                <w:kern w:val="0"/>
                <w:sz w:val="24"/>
                <w:szCs w:val="24"/>
                <w:highlight w:val="none"/>
                <w:lang w:val="en-US" w:eastAsia="en-US" w:bidi="ar-SA"/>
                <w14:textFill>
                  <w14:solidFill>
                    <w14:schemeClr w14:val="tx1"/>
                  </w14:solidFill>
                </w14:textFill>
              </w:rPr>
              <w:t>：</w:t>
            </w:r>
            <w:r>
              <w:rPr>
                <w:rFonts w:hint="eastAsia" w:ascii="方正仿宋_GB2312" w:hAnsi="方正仿宋_GB2312" w:eastAsia="方正仿宋_GB2312" w:cs="方正仿宋_GB2312"/>
                <w:snapToGrid w:val="0"/>
                <w:color w:val="000000" w:themeColor="text1"/>
                <w:spacing w:val="-12"/>
                <w:kern w:val="0"/>
                <w:sz w:val="24"/>
                <w:szCs w:val="24"/>
                <w:highlight w:val="none"/>
                <w:lang w:val="en-US" w:eastAsia="zh-CN" w:bidi="ar-SA"/>
                <w14:textFill>
                  <w14:solidFill>
                    <w14:schemeClr w14:val="tx1"/>
                  </w14:solidFill>
                </w14:textFill>
              </w:rPr>
              <w:t>本项目不做要求</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北京时间）</w:t>
            </w:r>
          </w:p>
          <w:p w14:paraId="59FAAFB4">
            <w:pPr>
              <w:kinsoku w:val="0"/>
              <w:autoSpaceDE w:val="0"/>
              <w:autoSpaceDN w:val="0"/>
              <w:adjustRightInd w:val="0"/>
              <w:snapToGrid w:val="0"/>
              <w:spacing w:before="102"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投标保证金：</w:t>
            </w:r>
            <w:r>
              <w:rPr>
                <w:rFonts w:hint="eastAsia" w:ascii="方正仿宋_GB2312" w:hAnsi="方正仿宋_GB2312" w:eastAsia="方正仿宋_GB2312" w:cs="方正仿宋_GB2312"/>
                <w:snapToGrid w:val="0"/>
                <w:color w:val="000000" w:themeColor="text1"/>
                <w:kern w:val="0"/>
                <w:sz w:val="24"/>
                <w:szCs w:val="24"/>
                <w:highlight w:val="none"/>
                <w:lang w:val="en-US" w:eastAsia="zh-CN" w:bidi="ar-SA"/>
                <w14:textFill>
                  <w14:solidFill>
                    <w14:schemeClr w14:val="tx1"/>
                  </w14:solidFill>
                </w14:textFill>
              </w:rPr>
              <w:t>0</w:t>
            </w:r>
          </w:p>
          <w:p w14:paraId="6B964ACF">
            <w:pPr>
              <w:kinsoku w:val="0"/>
              <w:autoSpaceDE w:val="0"/>
              <w:autoSpaceDN w:val="0"/>
              <w:adjustRightInd w:val="0"/>
              <w:snapToGrid w:val="0"/>
              <w:spacing w:before="193" w:line="367" w:lineRule="auto"/>
              <w:ind w:left="116" w:right="106" w:firstLine="1"/>
              <w:jc w:val="both"/>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投标保证金提交方式：投标保证金应当以支</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票（需背书人盖章</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并写明支付密码，以兑换到账时间为准）、汇票</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、本票或者金</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融机构、担保机构出具的保函等非现金形式提交</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（基本户对公</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转账、电汇均认可）。</w:t>
            </w:r>
          </w:p>
          <w:p w14:paraId="2C561762">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收款户名：阿克苏市政务服务和公共资源交易中心</w:t>
            </w:r>
          </w:p>
          <w:p w14:paraId="2BFD136F">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收款账号：201000219725984</w:t>
            </w:r>
          </w:p>
          <w:p w14:paraId="10D11CC9">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开户银行：杭州联合农村商业银行股份有限公司阿克苏分行</w:t>
            </w:r>
          </w:p>
          <w:p w14:paraId="39EE33BE">
            <w:pPr>
              <w:kinsoku w:val="0"/>
              <w:autoSpaceDE w:val="0"/>
              <w:autoSpaceDN w:val="0"/>
              <w:adjustRightInd w:val="0"/>
              <w:snapToGrid w:val="0"/>
              <w:spacing w:before="191"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备注：“****项目</w:t>
            </w:r>
            <w:r>
              <w:rPr>
                <w:rFonts w:hint="eastAsia" w:ascii="方正仿宋_GB2312" w:hAnsi="方正仿宋_GB2312" w:eastAsia="方正仿宋_GB2312" w:cs="方正仿宋_GB2312"/>
                <w:snapToGrid w:val="0"/>
                <w:color w:val="000000" w:themeColor="text1"/>
                <w:spacing w:val="-78"/>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”“项目编号</w:t>
            </w:r>
            <w:r>
              <w:rPr>
                <w:rFonts w:hint="eastAsia" w:ascii="方正仿宋_GB2312" w:hAnsi="方正仿宋_GB2312" w:eastAsia="方正仿宋_GB2312" w:cs="方正仿宋_GB2312"/>
                <w:snapToGrid w:val="0"/>
                <w:color w:val="000000" w:themeColor="text1"/>
                <w:spacing w:val="-88"/>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”投标保证金</w:t>
            </w:r>
          </w:p>
          <w:p w14:paraId="75427437">
            <w:pPr>
              <w:kinsoku w:val="0"/>
              <w:autoSpaceDE w:val="0"/>
              <w:autoSpaceDN w:val="0"/>
              <w:adjustRightInd w:val="0"/>
              <w:snapToGrid w:val="0"/>
              <w:spacing w:before="218" w:line="219" w:lineRule="auto"/>
              <w:ind w:left="118"/>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2、采用电子保函形式应按以下要求办理：</w:t>
            </w:r>
          </w:p>
          <w:p w14:paraId="19E53BED">
            <w:pPr>
              <w:kinsoku w:val="0"/>
              <w:autoSpaceDE w:val="0"/>
              <w:autoSpaceDN w:val="0"/>
              <w:adjustRightInd w:val="0"/>
              <w:snapToGrid w:val="0"/>
              <w:spacing w:before="155" w:line="219" w:lineRule="auto"/>
              <w:ind w:left="126"/>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（1）电子保函按照“一项目一保函</w:t>
            </w:r>
            <w:r>
              <w:rPr>
                <w:rFonts w:hint="eastAsia" w:ascii="方正仿宋_GB2312" w:hAnsi="方正仿宋_GB2312" w:eastAsia="方正仿宋_GB2312" w:cs="方正仿宋_GB2312"/>
                <w:snapToGrid w:val="0"/>
                <w:color w:val="000000" w:themeColor="text1"/>
                <w:spacing w:val="-79"/>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”的原则。</w:t>
            </w:r>
          </w:p>
          <w:p w14:paraId="274B8308">
            <w:pPr>
              <w:kinsoku w:val="0"/>
              <w:autoSpaceDE w:val="0"/>
              <w:autoSpaceDN w:val="0"/>
              <w:adjustRightInd w:val="0"/>
              <w:snapToGrid w:val="0"/>
              <w:spacing w:before="206" w:line="343" w:lineRule="auto"/>
              <w:ind w:left="114" w:right="106" w:firstLine="12"/>
              <w:jc w:val="left"/>
              <w:textAlignment w:val="baseline"/>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pPr>
            <w:r>
              <w:rPr>
                <w:rFonts w:hint="eastAsia" w:ascii="方正仿宋_GB2312" w:hAnsi="方正仿宋_GB2312" w:eastAsia="方正仿宋_GB2312" w:cs="方正仿宋_GB2312"/>
                <w:snapToGrid w:val="0"/>
                <w:color w:val="000000" w:themeColor="text1"/>
                <w:spacing w:val="-3"/>
                <w:kern w:val="0"/>
                <w:sz w:val="24"/>
                <w:szCs w:val="24"/>
                <w:highlight w:val="none"/>
                <w:lang w:val="en-US" w:eastAsia="en-US" w:bidi="ar-SA"/>
                <w14:textFill>
                  <w14:solidFill>
                    <w14:schemeClr w14:val="tx1"/>
                  </w14:solidFill>
                </w14:textFill>
              </w:rPr>
              <w:t>（2）供应商以保函形式缴纳投标保证金的，应通过“新疆政府</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采购-电子保函-电子保函服务</w:t>
            </w:r>
            <w:r>
              <w:rPr>
                <w:rFonts w:hint="eastAsia" w:ascii="方正仿宋_GB2312" w:hAnsi="方正仿宋_GB2312" w:eastAsia="方正仿宋_GB2312" w:cs="方正仿宋_GB2312"/>
                <w:snapToGrid w:val="0"/>
                <w:color w:val="000000" w:themeColor="text1"/>
                <w:spacing w:val="-72"/>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”，购买电子投标保函所支付的</w:t>
            </w:r>
            <w:r>
              <w:rPr>
                <w:rFonts w:hint="eastAsia" w:ascii="方正仿宋_GB2312" w:hAnsi="方正仿宋_GB2312" w:eastAsia="方正仿宋_GB2312" w:cs="方正仿宋_GB2312"/>
                <w:snapToGrid w:val="0"/>
                <w:color w:val="000000" w:themeColor="text1"/>
                <w:spacing w:val="2"/>
                <w:kern w:val="0"/>
                <w:sz w:val="24"/>
                <w:szCs w:val="24"/>
                <w:highlight w:val="none"/>
                <w:lang w:val="en-US" w:eastAsia="en-US" w:bidi="ar-SA"/>
                <w14:textFill>
                  <w14:solidFill>
                    <w14:schemeClr w14:val="tx1"/>
                  </w14:solidFill>
                </w14:textFill>
              </w:rPr>
              <w:t>费用应从供应商企业基本账户转出，同时将电子投标</w:t>
            </w: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保单作为</w:t>
            </w:r>
            <w:r>
              <w:rPr>
                <w:rFonts w:hint="eastAsia" w:ascii="方正仿宋_GB2312" w:hAnsi="方正仿宋_GB2312" w:eastAsia="方正仿宋_GB2312" w:cs="方正仿宋_GB2312"/>
                <w:snapToGrid w:val="0"/>
                <w:color w:val="000000" w:themeColor="text1"/>
                <w:kern w:val="0"/>
                <w:sz w:val="24"/>
                <w:szCs w:val="24"/>
                <w:highlight w:val="none"/>
                <w:lang w:val="en-US" w:eastAsia="en-US" w:bidi="ar-SA"/>
                <w14:textFill>
                  <w14:solidFill>
                    <w14:schemeClr w14:val="tx1"/>
                  </w14:solidFill>
                </w14:textFill>
              </w:rPr>
              <w:t>电子投标文件组成部分在投标时一并提交。</w:t>
            </w:r>
          </w:p>
          <w:p w14:paraId="614C5FDD">
            <w:pPr>
              <w:pStyle w:val="27"/>
              <w:keepLines w:val="0"/>
              <w:pageBreakBefore w:val="0"/>
              <w:kinsoku/>
              <w:wordWrap/>
              <w:overflowPunct/>
              <w:topLinePunct w:val="0"/>
              <w:bidi w:val="0"/>
              <w:spacing w:before="289" w:line="221" w:lineRule="auto"/>
              <w:ind w:left="119"/>
              <w:jc w:val="both"/>
              <w:rPr>
                <w:rFonts w:hint="eastAsia"/>
                <w:highlight w:val="none"/>
                <w:lang w:val="en-US" w:eastAsia="zh-CN"/>
              </w:rPr>
            </w:pPr>
            <w:r>
              <w:rPr>
                <w:rFonts w:hint="eastAsia" w:ascii="方正仿宋_GB2312" w:hAnsi="方正仿宋_GB2312" w:eastAsia="方正仿宋_GB2312" w:cs="方正仿宋_GB2312"/>
                <w:snapToGrid w:val="0"/>
                <w:color w:val="000000" w:themeColor="text1"/>
                <w:spacing w:val="1"/>
                <w:kern w:val="0"/>
                <w:sz w:val="24"/>
                <w:szCs w:val="24"/>
                <w:highlight w:val="none"/>
                <w:lang w:val="en-US" w:eastAsia="en-US" w:bidi="ar-SA"/>
                <w14:textFill>
                  <w14:solidFill>
                    <w14:schemeClr w14:val="tx1"/>
                  </w14:solidFill>
                </w14:textFill>
              </w:rPr>
              <w:t>（备注：如采用电子保函形式缴纳的，在投标截止日之前须从</w:t>
            </w:r>
            <w:r>
              <w:rPr>
                <w:rFonts w:hint="eastAsia" w:ascii="方正仿宋_GB2312" w:hAnsi="方正仿宋_GB2312" w:eastAsia="方正仿宋_GB2312" w:cs="方正仿宋_GB2312"/>
                <w:snapToGrid w:val="0"/>
                <w:color w:val="000000" w:themeColor="text1"/>
                <w:spacing w:val="-4"/>
                <w:kern w:val="0"/>
                <w:sz w:val="24"/>
                <w:szCs w:val="24"/>
                <w:highlight w:val="none"/>
                <w:lang w:val="en-US" w:eastAsia="en-US" w:bidi="ar-SA"/>
                <w14:textFill>
                  <w14:solidFill>
                    <w14:schemeClr w14:val="tx1"/>
                  </w14:solidFill>
                </w14:textFill>
              </w:rPr>
              <w:t>“新疆政府采购-电子保函-电子保函服务</w:t>
            </w:r>
            <w:r>
              <w:rPr>
                <w:rFonts w:hint="eastAsia" w:ascii="方正仿宋_GB2312" w:hAnsi="方正仿宋_GB2312" w:eastAsia="方正仿宋_GB2312" w:cs="方正仿宋_GB2312"/>
                <w:snapToGrid w:val="0"/>
                <w:color w:val="000000" w:themeColor="text1"/>
                <w:spacing w:val="-86"/>
                <w:kern w:val="0"/>
                <w:sz w:val="24"/>
                <w:szCs w:val="24"/>
                <w:highlight w:val="none"/>
                <w:lang w:val="en-US" w:eastAsia="en-US" w:bidi="ar-SA"/>
                <w14:textFill>
                  <w14:solidFill>
                    <w14:schemeClr w14:val="tx1"/>
                  </w14:solidFill>
                </w14:textFill>
              </w:rPr>
              <w:t xml:space="preserve"> </w:t>
            </w:r>
            <w:r>
              <w:rPr>
                <w:rFonts w:hint="eastAsia" w:ascii="方正仿宋_GB2312" w:hAnsi="方正仿宋_GB2312" w:eastAsia="方正仿宋_GB2312" w:cs="方正仿宋_GB2312"/>
                <w:snapToGrid w:val="0"/>
                <w:color w:val="000000" w:themeColor="text1"/>
                <w:spacing w:val="-4"/>
                <w:kern w:val="0"/>
                <w:sz w:val="24"/>
                <w:szCs w:val="24"/>
                <w:highlight w:val="none"/>
                <w:lang w:val="en-US" w:eastAsia="en-US" w:bidi="ar-SA"/>
                <w14:textFill>
                  <w14:solidFill>
                    <w14:schemeClr w14:val="tx1"/>
                  </w14:solidFill>
                </w14:textFill>
              </w:rPr>
              <w:t>”中确认是否生效。）</w:t>
            </w:r>
          </w:p>
        </w:tc>
      </w:tr>
      <w:tr w14:paraId="0A919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6" w:hRule="atLeast"/>
          <w:jc w:val="center"/>
        </w:trPr>
        <w:tc>
          <w:tcPr>
            <w:tcW w:w="516" w:type="dxa"/>
            <w:tcBorders>
              <w:left w:val="single" w:color="000000" w:sz="4" w:space="0"/>
            </w:tcBorders>
            <w:vAlign w:val="center"/>
          </w:tcPr>
          <w:p w14:paraId="26607E6D">
            <w:pPr>
              <w:pStyle w:val="27"/>
              <w:keepLines w:val="0"/>
              <w:pageBreakBefore w:val="0"/>
              <w:kinsoku/>
              <w:wordWrap/>
              <w:overflowPunct/>
              <w:topLinePunct w:val="0"/>
              <w:bidi w:val="0"/>
              <w:spacing w:before="78" w:line="180" w:lineRule="auto"/>
              <w:jc w:val="center"/>
              <w:rPr>
                <w:highlight w:val="none"/>
              </w:rPr>
            </w:pPr>
            <w:r>
              <w:rPr>
                <w:spacing w:val="-6"/>
                <w:highlight w:val="none"/>
              </w:rPr>
              <w:t>24</w:t>
            </w:r>
          </w:p>
        </w:tc>
        <w:tc>
          <w:tcPr>
            <w:tcW w:w="1452" w:type="dxa"/>
            <w:vAlign w:val="center"/>
          </w:tcPr>
          <w:p w14:paraId="76F74960">
            <w:pPr>
              <w:pStyle w:val="27"/>
              <w:keepLines w:val="0"/>
              <w:pageBreakBefore w:val="0"/>
              <w:kinsoku/>
              <w:wordWrap/>
              <w:overflowPunct/>
              <w:topLinePunct w:val="0"/>
              <w:bidi w:val="0"/>
              <w:spacing w:before="252" w:line="265" w:lineRule="auto"/>
              <w:ind w:right="153"/>
              <w:jc w:val="center"/>
              <w:rPr>
                <w:highlight w:val="none"/>
              </w:rPr>
            </w:pPr>
            <w:r>
              <w:rPr>
                <w:b/>
                <w:bCs/>
                <w:spacing w:val="-5"/>
                <w:highlight w:val="none"/>
              </w:rPr>
              <w:t>《投标文件》的</w:t>
            </w:r>
            <w:r>
              <w:rPr>
                <w:b/>
                <w:bCs/>
                <w:spacing w:val="-7"/>
                <w:highlight w:val="none"/>
              </w:rPr>
              <w:t>编制要求</w:t>
            </w:r>
          </w:p>
        </w:tc>
        <w:tc>
          <w:tcPr>
            <w:tcW w:w="7778" w:type="dxa"/>
            <w:tcBorders>
              <w:right w:val="single" w:color="000000" w:sz="4" w:space="0"/>
            </w:tcBorders>
            <w:vAlign w:val="center"/>
          </w:tcPr>
          <w:p w14:paraId="7DE5D4DA">
            <w:pPr>
              <w:pStyle w:val="27"/>
              <w:keepLines w:val="0"/>
              <w:pageBreakBefore w:val="0"/>
              <w:kinsoku/>
              <w:wordWrap/>
              <w:overflowPunct/>
              <w:topLinePunct w:val="0"/>
              <w:bidi w:val="0"/>
              <w:spacing w:before="38" w:line="238" w:lineRule="auto"/>
              <w:ind w:left="119" w:right="119" w:firstLine="1"/>
              <w:jc w:val="both"/>
              <w:rPr>
                <w:rFonts w:hint="eastAsia" w:eastAsia="仿宋"/>
                <w:highlight w:val="none"/>
                <w:lang w:eastAsia="zh-CN"/>
              </w:rPr>
            </w:pPr>
            <w:r>
              <w:rPr>
                <w:spacing w:val="3"/>
                <w:highlight w:val="none"/>
              </w:rPr>
              <w:t>具体详见</w:t>
            </w:r>
            <w:r>
              <w:rPr>
                <w:rFonts w:hint="eastAsia"/>
                <w:spacing w:val="3"/>
                <w:highlight w:val="none"/>
                <w:lang w:eastAsia="zh-CN"/>
              </w:rPr>
              <w:t>投标人</w:t>
            </w:r>
            <w:r>
              <w:rPr>
                <w:spacing w:val="3"/>
                <w:highlight w:val="none"/>
              </w:rPr>
              <w:t>须知投标文件的组成及编制</w:t>
            </w:r>
            <w:r>
              <w:rPr>
                <w:spacing w:val="2"/>
                <w:highlight w:val="none"/>
              </w:rPr>
              <w:t>要求</w:t>
            </w:r>
            <w:r>
              <w:rPr>
                <w:rFonts w:hint="eastAsia"/>
                <w:spacing w:val="2"/>
                <w:highlight w:val="none"/>
                <w:lang w:eastAsia="zh-CN"/>
              </w:rPr>
              <w:t>。</w:t>
            </w:r>
          </w:p>
        </w:tc>
      </w:tr>
      <w:tr w14:paraId="20CB1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8" w:hRule="atLeast"/>
          <w:jc w:val="center"/>
        </w:trPr>
        <w:tc>
          <w:tcPr>
            <w:tcW w:w="516" w:type="dxa"/>
            <w:tcBorders>
              <w:left w:val="single" w:color="000000" w:sz="4" w:space="0"/>
            </w:tcBorders>
            <w:vAlign w:val="center"/>
          </w:tcPr>
          <w:p w14:paraId="13CD0895">
            <w:pPr>
              <w:pStyle w:val="27"/>
              <w:keepLines w:val="0"/>
              <w:pageBreakBefore w:val="0"/>
              <w:kinsoku/>
              <w:wordWrap/>
              <w:overflowPunct/>
              <w:topLinePunct w:val="0"/>
              <w:bidi w:val="0"/>
              <w:spacing w:before="78" w:line="180" w:lineRule="auto"/>
              <w:jc w:val="center"/>
              <w:rPr>
                <w:highlight w:val="none"/>
              </w:rPr>
            </w:pPr>
            <w:r>
              <w:rPr>
                <w:spacing w:val="-6"/>
                <w:highlight w:val="none"/>
              </w:rPr>
              <w:t>25</w:t>
            </w:r>
          </w:p>
        </w:tc>
        <w:tc>
          <w:tcPr>
            <w:tcW w:w="1452" w:type="dxa"/>
            <w:vAlign w:val="center"/>
          </w:tcPr>
          <w:p w14:paraId="1BC905D9">
            <w:pPr>
              <w:pStyle w:val="27"/>
              <w:keepLines w:val="0"/>
              <w:pageBreakBefore w:val="0"/>
              <w:kinsoku/>
              <w:wordWrap/>
              <w:overflowPunct/>
              <w:topLinePunct w:val="0"/>
              <w:bidi w:val="0"/>
              <w:spacing w:before="78" w:line="222" w:lineRule="auto"/>
              <w:jc w:val="center"/>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《投标文件》递交份数、时间及地点</w:t>
            </w:r>
          </w:p>
        </w:tc>
        <w:tc>
          <w:tcPr>
            <w:tcW w:w="7778" w:type="dxa"/>
            <w:tcBorders>
              <w:right w:val="single" w:color="000000" w:sz="4" w:space="0"/>
            </w:tcBorders>
            <w:vAlign w:val="center"/>
          </w:tcPr>
          <w:p w14:paraId="7E10E90F">
            <w:pPr>
              <w:pStyle w:val="27"/>
              <w:keepLines w:val="0"/>
              <w:pageBreakBefore w:val="0"/>
              <w:kinsoku/>
              <w:wordWrap/>
              <w:overflowPunct/>
              <w:topLinePunct w:val="0"/>
              <w:bidi w:val="0"/>
              <w:spacing w:before="65" w:line="262" w:lineRule="auto"/>
              <w:ind w:left="118" w:firstLine="10"/>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1.投标文件电子版要求：按照本</w:t>
            </w:r>
            <w:r>
              <w:rPr>
                <w:rFonts w:hint="eastAsia" w:cs="仿宋"/>
                <w:b/>
                <w:bCs/>
                <w:snapToGrid w:val="0"/>
                <w:color w:val="000000"/>
                <w:spacing w:val="-4"/>
                <w:kern w:val="0"/>
                <w:sz w:val="24"/>
                <w:szCs w:val="24"/>
                <w:highlight w:val="none"/>
                <w:lang w:val="en-US" w:eastAsia="zh-CN" w:bidi="ar-SA"/>
              </w:rPr>
              <w:t>招标文件</w:t>
            </w:r>
            <w:r>
              <w:rPr>
                <w:rFonts w:ascii="仿宋" w:hAnsi="仿宋" w:eastAsia="仿宋" w:cs="仿宋"/>
                <w:b/>
                <w:bCs/>
                <w:snapToGrid w:val="0"/>
                <w:color w:val="000000"/>
                <w:spacing w:val="-4"/>
                <w:kern w:val="0"/>
                <w:sz w:val="24"/>
                <w:szCs w:val="24"/>
                <w:highlight w:val="none"/>
                <w:lang w:val="en-US" w:eastAsia="en-US" w:bidi="ar-SA"/>
              </w:rPr>
              <w:t>“第六章 投标文件格式”编写（第六章未附格式的，由</w:t>
            </w:r>
            <w:r>
              <w:rPr>
                <w:rFonts w:hint="eastAsia" w:cs="仿宋"/>
                <w:b/>
                <w:bCs/>
                <w:snapToGrid w:val="0"/>
                <w:color w:val="000000"/>
                <w:spacing w:val="-4"/>
                <w:kern w:val="0"/>
                <w:sz w:val="24"/>
                <w:szCs w:val="24"/>
                <w:highlight w:val="none"/>
                <w:lang w:val="en-US" w:eastAsia="zh-CN" w:bidi="ar-SA"/>
              </w:rPr>
              <w:t>投标人</w:t>
            </w:r>
            <w:r>
              <w:rPr>
                <w:rFonts w:ascii="仿宋" w:hAnsi="仿宋" w:eastAsia="仿宋" w:cs="仿宋"/>
                <w:b/>
                <w:bCs/>
                <w:snapToGrid w:val="0"/>
                <w:color w:val="000000"/>
                <w:spacing w:val="-4"/>
                <w:kern w:val="0"/>
                <w:sz w:val="24"/>
                <w:szCs w:val="24"/>
                <w:highlight w:val="none"/>
                <w:lang w:val="en-US" w:eastAsia="en-US" w:bidi="ar-SA"/>
              </w:rPr>
              <w:t>自行拟定），不可涂改并在规定加盖公章处加盖电子公章，否则投标文件按无效</w:t>
            </w:r>
            <w:r>
              <w:rPr>
                <w:rFonts w:hint="eastAsia" w:cs="仿宋"/>
                <w:b/>
                <w:bCs/>
                <w:snapToGrid w:val="0"/>
                <w:color w:val="000000"/>
                <w:spacing w:val="-4"/>
                <w:kern w:val="0"/>
                <w:sz w:val="24"/>
                <w:szCs w:val="24"/>
                <w:highlight w:val="none"/>
                <w:lang w:val="en-US" w:eastAsia="zh-CN" w:bidi="ar-SA"/>
              </w:rPr>
              <w:t>投标</w:t>
            </w:r>
            <w:r>
              <w:rPr>
                <w:rFonts w:ascii="仿宋" w:hAnsi="仿宋" w:eastAsia="仿宋" w:cs="仿宋"/>
                <w:b/>
                <w:bCs/>
                <w:snapToGrid w:val="0"/>
                <w:color w:val="000000"/>
                <w:spacing w:val="-4"/>
                <w:kern w:val="0"/>
                <w:sz w:val="24"/>
                <w:szCs w:val="24"/>
                <w:highlight w:val="none"/>
                <w:lang w:val="en-US" w:eastAsia="en-US" w:bidi="ar-SA"/>
              </w:rPr>
              <w:t>处理。</w:t>
            </w:r>
          </w:p>
          <w:p w14:paraId="7F4AB919">
            <w:pPr>
              <w:pStyle w:val="27"/>
              <w:keepLines w:val="0"/>
              <w:pageBreakBefore w:val="0"/>
              <w:kinsoku/>
              <w:wordWrap/>
              <w:overflowPunct/>
              <w:topLinePunct w:val="0"/>
              <w:bidi w:val="0"/>
              <w:spacing w:before="78" w:line="261" w:lineRule="auto"/>
              <w:ind w:left="118" w:right="119" w:hanging="4"/>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2.投标文件电子版密封方式：电子投标文件通过平台有效CA加密后在“政采云”平台投送。（操作方式见公告要求“电子投标文件制作与投送教程”）</w:t>
            </w:r>
          </w:p>
          <w:p w14:paraId="074CF364">
            <w:pPr>
              <w:pStyle w:val="27"/>
              <w:keepLines w:val="0"/>
              <w:pageBreakBefore w:val="0"/>
              <w:kinsoku/>
              <w:wordWrap/>
              <w:overflowPunct/>
              <w:topLinePunct w:val="0"/>
              <w:bidi w:val="0"/>
              <w:spacing w:before="80" w:line="251" w:lineRule="auto"/>
              <w:ind w:left="121" w:right="119" w:firstLine="2"/>
              <w:jc w:val="both"/>
              <w:rPr>
                <w:rFonts w:ascii="仿宋" w:hAnsi="仿宋" w:eastAsia="仿宋" w:cs="仿宋"/>
                <w:b/>
                <w:bCs/>
                <w:snapToGrid w:val="0"/>
                <w:color w:val="000000"/>
                <w:spacing w:val="-4"/>
                <w:kern w:val="0"/>
                <w:sz w:val="24"/>
                <w:szCs w:val="24"/>
                <w:highlight w:val="none"/>
                <w:lang w:val="en-US" w:eastAsia="en-US" w:bidi="ar-SA"/>
              </w:rPr>
            </w:pPr>
            <w:r>
              <w:rPr>
                <w:rFonts w:hint="eastAsia" w:cs="仿宋"/>
                <w:b/>
                <w:bCs/>
                <w:snapToGrid w:val="0"/>
                <w:color w:val="000000"/>
                <w:spacing w:val="-4"/>
                <w:kern w:val="0"/>
                <w:sz w:val="24"/>
                <w:szCs w:val="24"/>
                <w:highlight w:val="none"/>
                <w:lang w:val="en-US" w:eastAsia="zh-CN" w:bidi="ar-SA"/>
              </w:rPr>
              <w:t>(2)</w:t>
            </w:r>
            <w:r>
              <w:rPr>
                <w:rFonts w:ascii="仿宋" w:hAnsi="仿宋" w:eastAsia="仿宋" w:cs="仿宋"/>
                <w:b/>
                <w:bCs/>
                <w:snapToGrid w:val="0"/>
                <w:color w:val="000000"/>
                <w:spacing w:val="-4"/>
                <w:kern w:val="0"/>
                <w:sz w:val="24"/>
                <w:szCs w:val="24"/>
                <w:highlight w:val="none"/>
                <w:lang w:val="en-US" w:eastAsia="en-US" w:bidi="ar-SA"/>
              </w:rPr>
              <w:t>政采云投标文件递交截止时间</w:t>
            </w:r>
            <w:r>
              <w:rPr>
                <w:rFonts w:ascii="仿宋" w:hAnsi="仿宋" w:eastAsia="仿宋" w:cs="仿宋"/>
                <w:b/>
                <w:bCs/>
                <w:snapToGrid w:val="0"/>
                <w:color w:val="000000"/>
                <w:spacing w:val="-4"/>
                <w:kern w:val="0"/>
                <w:sz w:val="24"/>
                <w:szCs w:val="24"/>
                <w:highlight w:val="none"/>
                <w:lang w:val="en-US" w:eastAsia="en-US" w:bidi="ar-SA"/>
              </w:rPr>
              <w:t>：</w:t>
            </w:r>
            <w:r>
              <w:rPr>
                <w:rFonts w:hint="eastAsia" w:cs="仿宋"/>
                <w:b/>
                <w:bCs/>
                <w:snapToGrid w:val="0"/>
                <w:color w:val="000000"/>
                <w:spacing w:val="-4"/>
                <w:kern w:val="0"/>
                <w:sz w:val="24"/>
                <w:szCs w:val="24"/>
                <w:highlight w:val="none"/>
                <w:lang w:val="en-US" w:eastAsia="zh-CN" w:bidi="ar-SA"/>
              </w:rPr>
              <w:t>2026年10月28日11：00</w:t>
            </w:r>
            <w:r>
              <w:rPr>
                <w:rFonts w:ascii="仿宋" w:hAnsi="仿宋" w:eastAsia="仿宋" w:cs="仿宋"/>
                <w:b/>
                <w:bCs/>
                <w:snapToGrid w:val="0"/>
                <w:color w:val="000000"/>
                <w:spacing w:val="-4"/>
                <w:kern w:val="0"/>
                <w:sz w:val="24"/>
                <w:szCs w:val="24"/>
                <w:highlight w:val="none"/>
                <w:lang w:val="en-US" w:eastAsia="en-US" w:bidi="ar-SA"/>
              </w:rPr>
              <w:t>（</w:t>
            </w:r>
            <w:r>
              <w:rPr>
                <w:rFonts w:ascii="仿宋" w:hAnsi="仿宋" w:eastAsia="仿宋" w:cs="仿宋"/>
                <w:b/>
                <w:bCs/>
                <w:snapToGrid w:val="0"/>
                <w:color w:val="000000"/>
                <w:spacing w:val="-4"/>
                <w:kern w:val="0"/>
                <w:sz w:val="24"/>
                <w:szCs w:val="24"/>
                <w:highlight w:val="none"/>
                <w:lang w:val="en-US" w:eastAsia="en-US" w:bidi="ar-SA"/>
              </w:rPr>
              <w:t>北京时间）</w:t>
            </w:r>
          </w:p>
          <w:p w14:paraId="200252AD">
            <w:pPr>
              <w:pStyle w:val="27"/>
              <w:keepLines w:val="0"/>
              <w:pageBreakBefore w:val="0"/>
              <w:kinsoku/>
              <w:wordWrap/>
              <w:overflowPunct/>
              <w:topLinePunct w:val="0"/>
              <w:bidi w:val="0"/>
              <w:spacing w:before="78" w:line="222" w:lineRule="auto"/>
              <w:ind w:left="123"/>
              <w:jc w:val="both"/>
              <w:rPr>
                <w:rFonts w:ascii="仿宋" w:hAnsi="仿宋" w:eastAsia="仿宋" w:cs="仿宋"/>
                <w:b/>
                <w:bCs/>
                <w:snapToGrid w:val="0"/>
                <w:color w:val="000000"/>
                <w:spacing w:val="-4"/>
                <w:kern w:val="0"/>
                <w:sz w:val="24"/>
                <w:szCs w:val="24"/>
                <w:highlight w:val="none"/>
                <w:lang w:val="en-US" w:eastAsia="en-US" w:bidi="ar-SA"/>
              </w:rPr>
            </w:pPr>
            <w:r>
              <w:rPr>
                <w:rFonts w:hint="eastAsia" w:cs="仿宋"/>
                <w:b/>
                <w:bCs/>
                <w:snapToGrid w:val="0"/>
                <w:color w:val="000000"/>
                <w:spacing w:val="-4"/>
                <w:kern w:val="0"/>
                <w:sz w:val="24"/>
                <w:szCs w:val="24"/>
                <w:highlight w:val="none"/>
                <w:lang w:val="en-US" w:eastAsia="zh-CN" w:bidi="ar-SA"/>
              </w:rPr>
              <w:t>(3)</w:t>
            </w:r>
            <w:r>
              <w:rPr>
                <w:rFonts w:ascii="仿宋" w:hAnsi="仿宋" w:eastAsia="仿宋" w:cs="仿宋"/>
                <w:b/>
                <w:bCs/>
                <w:snapToGrid w:val="0"/>
                <w:color w:val="000000"/>
                <w:spacing w:val="-4"/>
                <w:kern w:val="0"/>
                <w:sz w:val="24"/>
                <w:szCs w:val="24"/>
                <w:highlight w:val="none"/>
                <w:lang w:val="en-US" w:eastAsia="en-US" w:bidi="ar-SA"/>
              </w:rPr>
              <w:t>递交地点：政采云网上不见面开标系统</w:t>
            </w:r>
          </w:p>
        </w:tc>
      </w:tr>
      <w:tr w14:paraId="3007B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4" w:hRule="atLeast"/>
          <w:jc w:val="center"/>
        </w:trPr>
        <w:tc>
          <w:tcPr>
            <w:tcW w:w="516" w:type="dxa"/>
            <w:tcBorders>
              <w:left w:val="single" w:color="000000" w:sz="4" w:space="0"/>
            </w:tcBorders>
            <w:vAlign w:val="center"/>
          </w:tcPr>
          <w:p w14:paraId="37B10717">
            <w:pPr>
              <w:pStyle w:val="27"/>
              <w:keepLines w:val="0"/>
              <w:pageBreakBefore w:val="0"/>
              <w:kinsoku/>
              <w:wordWrap/>
              <w:overflowPunct/>
              <w:topLinePunct w:val="0"/>
              <w:bidi w:val="0"/>
              <w:spacing w:before="78" w:line="180" w:lineRule="auto"/>
              <w:jc w:val="center"/>
              <w:rPr>
                <w:highlight w:val="none"/>
              </w:rPr>
            </w:pPr>
            <w:r>
              <w:rPr>
                <w:spacing w:val="-6"/>
                <w:highlight w:val="none"/>
              </w:rPr>
              <w:t>26</w:t>
            </w:r>
          </w:p>
        </w:tc>
        <w:tc>
          <w:tcPr>
            <w:tcW w:w="1452" w:type="dxa"/>
            <w:vAlign w:val="center"/>
          </w:tcPr>
          <w:p w14:paraId="07367743">
            <w:pPr>
              <w:pStyle w:val="27"/>
              <w:keepLines w:val="0"/>
              <w:pageBreakBefore w:val="0"/>
              <w:kinsoku/>
              <w:wordWrap/>
              <w:overflowPunct/>
              <w:topLinePunct w:val="0"/>
              <w:bidi w:val="0"/>
              <w:spacing w:before="78" w:line="222" w:lineRule="auto"/>
              <w:jc w:val="center"/>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开标时间及地点</w:t>
            </w:r>
          </w:p>
        </w:tc>
        <w:tc>
          <w:tcPr>
            <w:tcW w:w="7778" w:type="dxa"/>
            <w:tcBorders>
              <w:right w:val="single" w:color="000000" w:sz="4" w:space="0"/>
            </w:tcBorders>
            <w:vAlign w:val="center"/>
          </w:tcPr>
          <w:p w14:paraId="540271A6">
            <w:pPr>
              <w:pStyle w:val="27"/>
              <w:keepLines w:val="0"/>
              <w:pageBreakBefore w:val="0"/>
              <w:kinsoku/>
              <w:wordWrap/>
              <w:overflowPunct/>
              <w:topLinePunct w:val="0"/>
              <w:bidi w:val="0"/>
              <w:spacing w:before="216" w:line="222" w:lineRule="auto"/>
              <w:ind w:left="118"/>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开标时间</w:t>
            </w:r>
            <w:r>
              <w:rPr>
                <w:rFonts w:ascii="仿宋" w:hAnsi="仿宋" w:eastAsia="仿宋" w:cs="仿宋"/>
                <w:b/>
                <w:bCs/>
                <w:snapToGrid w:val="0"/>
                <w:color w:val="000000"/>
                <w:spacing w:val="-4"/>
                <w:kern w:val="0"/>
                <w:sz w:val="24"/>
                <w:szCs w:val="24"/>
                <w:highlight w:val="none"/>
                <w:lang w:val="en-US" w:eastAsia="en-US" w:bidi="ar-SA"/>
              </w:rPr>
              <w:t>：</w:t>
            </w:r>
            <w:r>
              <w:rPr>
                <w:rFonts w:hint="eastAsia" w:cs="仿宋"/>
                <w:b/>
                <w:bCs/>
                <w:snapToGrid w:val="0"/>
                <w:color w:val="000000"/>
                <w:spacing w:val="-4"/>
                <w:kern w:val="0"/>
                <w:sz w:val="24"/>
                <w:szCs w:val="24"/>
                <w:highlight w:val="none"/>
                <w:lang w:val="en-US" w:eastAsia="zh-CN" w:bidi="ar-SA"/>
              </w:rPr>
              <w:t>2026年10月28日11：00</w:t>
            </w:r>
            <w:r>
              <w:rPr>
                <w:rFonts w:ascii="仿宋" w:hAnsi="仿宋" w:eastAsia="仿宋" w:cs="仿宋"/>
                <w:b/>
                <w:bCs/>
                <w:snapToGrid w:val="0"/>
                <w:color w:val="000000"/>
                <w:spacing w:val="-4"/>
                <w:kern w:val="0"/>
                <w:sz w:val="24"/>
                <w:szCs w:val="24"/>
                <w:highlight w:val="none"/>
                <w:lang w:val="en-US" w:eastAsia="en-US" w:bidi="ar-SA"/>
              </w:rPr>
              <w:t>（北京时间）</w:t>
            </w:r>
          </w:p>
          <w:p w14:paraId="2CD95C8D">
            <w:pPr>
              <w:pStyle w:val="27"/>
              <w:keepLines w:val="0"/>
              <w:pageBreakBefore w:val="0"/>
              <w:kinsoku/>
              <w:wordWrap/>
              <w:overflowPunct/>
              <w:topLinePunct w:val="0"/>
              <w:bidi w:val="0"/>
              <w:spacing w:before="78" w:line="222" w:lineRule="auto"/>
              <w:ind w:left="118"/>
              <w:jc w:val="both"/>
              <w:rPr>
                <w:rFonts w:ascii="仿宋" w:hAnsi="仿宋" w:eastAsia="仿宋" w:cs="仿宋"/>
                <w:b/>
                <w:bCs/>
                <w:snapToGrid w:val="0"/>
                <w:color w:val="000000"/>
                <w:spacing w:val="-4"/>
                <w:kern w:val="0"/>
                <w:sz w:val="24"/>
                <w:szCs w:val="24"/>
                <w:highlight w:val="none"/>
                <w:lang w:val="en-US" w:eastAsia="en-US" w:bidi="ar-SA"/>
              </w:rPr>
            </w:pPr>
            <w:r>
              <w:rPr>
                <w:rFonts w:ascii="仿宋" w:hAnsi="仿宋" w:eastAsia="仿宋" w:cs="仿宋"/>
                <w:b/>
                <w:bCs/>
                <w:snapToGrid w:val="0"/>
                <w:color w:val="000000"/>
                <w:spacing w:val="-4"/>
                <w:kern w:val="0"/>
                <w:sz w:val="24"/>
                <w:szCs w:val="24"/>
                <w:highlight w:val="none"/>
                <w:lang w:val="en-US" w:eastAsia="en-US" w:bidi="ar-SA"/>
              </w:rPr>
              <w:t>开标地点：政采云网上不见面开标系统</w:t>
            </w:r>
          </w:p>
        </w:tc>
      </w:tr>
      <w:tr w14:paraId="092F2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jc w:val="center"/>
        </w:trPr>
        <w:tc>
          <w:tcPr>
            <w:tcW w:w="516" w:type="dxa"/>
            <w:tcBorders>
              <w:left w:val="single" w:color="000000" w:sz="4" w:space="0"/>
            </w:tcBorders>
            <w:vAlign w:val="center"/>
          </w:tcPr>
          <w:p w14:paraId="2E4507AE">
            <w:pPr>
              <w:pStyle w:val="27"/>
              <w:keepLines w:val="0"/>
              <w:pageBreakBefore w:val="0"/>
              <w:kinsoku/>
              <w:wordWrap/>
              <w:overflowPunct/>
              <w:topLinePunct w:val="0"/>
              <w:bidi w:val="0"/>
              <w:spacing w:before="78" w:line="180" w:lineRule="auto"/>
              <w:jc w:val="center"/>
              <w:rPr>
                <w:highlight w:val="none"/>
              </w:rPr>
            </w:pPr>
            <w:r>
              <w:rPr>
                <w:spacing w:val="-6"/>
                <w:highlight w:val="none"/>
              </w:rPr>
              <w:t>27</w:t>
            </w:r>
          </w:p>
        </w:tc>
        <w:tc>
          <w:tcPr>
            <w:tcW w:w="1452" w:type="dxa"/>
            <w:vAlign w:val="center"/>
          </w:tcPr>
          <w:p w14:paraId="7FFB5B32">
            <w:pPr>
              <w:pStyle w:val="27"/>
              <w:keepLines w:val="0"/>
              <w:pageBreakBefore w:val="0"/>
              <w:kinsoku/>
              <w:wordWrap/>
              <w:overflowPunct/>
              <w:topLinePunct w:val="0"/>
              <w:bidi w:val="0"/>
              <w:spacing w:before="78" w:line="221" w:lineRule="auto"/>
              <w:jc w:val="center"/>
              <w:rPr>
                <w:highlight w:val="none"/>
              </w:rPr>
            </w:pPr>
            <w:r>
              <w:rPr>
                <w:b/>
                <w:bCs/>
                <w:spacing w:val="-6"/>
                <w:highlight w:val="none"/>
              </w:rPr>
              <w:t>履约保证金</w:t>
            </w:r>
          </w:p>
        </w:tc>
        <w:tc>
          <w:tcPr>
            <w:tcW w:w="7778" w:type="dxa"/>
            <w:tcBorders>
              <w:right w:val="single" w:color="000000" w:sz="4" w:space="0"/>
            </w:tcBorders>
            <w:vAlign w:val="center"/>
          </w:tcPr>
          <w:p w14:paraId="62351695">
            <w:pPr>
              <w:pStyle w:val="27"/>
              <w:keepLines w:val="0"/>
              <w:pageBreakBefore w:val="0"/>
              <w:kinsoku/>
              <w:wordWrap/>
              <w:overflowPunct/>
              <w:topLinePunct w:val="0"/>
              <w:bidi w:val="0"/>
              <w:spacing w:before="120" w:line="279" w:lineRule="auto"/>
              <w:ind w:left="118" w:right="215" w:firstLine="10"/>
              <w:jc w:val="both"/>
              <w:rPr>
                <w:spacing w:val="-1"/>
                <w:highlight w:val="none"/>
                <w:lang w:val="en-US" w:eastAsia="en-US"/>
              </w:rPr>
            </w:pPr>
            <w:r>
              <w:rPr>
                <w:rFonts w:hint="eastAsia"/>
                <w:spacing w:val="-1"/>
                <w:highlight w:val="none"/>
                <w:lang w:val="en-US" w:eastAsia="zh-CN"/>
              </w:rPr>
              <w:t>□</w:t>
            </w:r>
            <w:r>
              <w:rPr>
                <w:spacing w:val="-1"/>
                <w:highlight w:val="none"/>
                <w:lang w:val="en-US" w:eastAsia="en-US"/>
              </w:rPr>
              <w:t>要求，履约保证金的形式：支票、汇票、本票或者金融机构、担保机构出具的保函等非现金形式提交。</w:t>
            </w:r>
          </w:p>
          <w:p w14:paraId="4D40137B">
            <w:pPr>
              <w:pStyle w:val="27"/>
              <w:keepLines w:val="0"/>
              <w:pageBreakBefore w:val="0"/>
              <w:kinsoku/>
              <w:wordWrap/>
              <w:overflowPunct/>
              <w:topLinePunct w:val="0"/>
              <w:bidi w:val="0"/>
              <w:spacing w:before="120" w:line="279" w:lineRule="auto"/>
              <w:ind w:left="118" w:right="215" w:firstLine="10"/>
              <w:jc w:val="both"/>
              <w:rPr>
                <w:spacing w:val="-1"/>
                <w:highlight w:val="none"/>
                <w:lang w:val="en-US" w:eastAsia="en-US"/>
              </w:rPr>
            </w:pPr>
            <w:r>
              <w:rPr>
                <w:spacing w:val="-1"/>
                <w:highlight w:val="none"/>
                <w:lang w:val="en-US" w:eastAsia="en-US"/>
              </w:rPr>
              <w:t>履约保证金的金额：以中标价的 10%以内收取，确定中标单位后具体金额与采购人商议后确定；未按要求足额缴纳履约保证金的视为放弃第一中标候选人资格。</w:t>
            </w:r>
          </w:p>
          <w:p w14:paraId="62CA03DE">
            <w:pPr>
              <w:pStyle w:val="27"/>
              <w:keepLines w:val="0"/>
              <w:pageBreakBefore w:val="0"/>
              <w:kinsoku/>
              <w:wordWrap/>
              <w:overflowPunct/>
              <w:topLinePunct w:val="0"/>
              <w:bidi w:val="0"/>
              <w:spacing w:before="120" w:line="279" w:lineRule="auto"/>
              <w:ind w:left="118" w:right="215" w:firstLine="10"/>
              <w:jc w:val="both"/>
              <w:rPr>
                <w:rFonts w:hint="eastAsia" w:eastAsia="仿宋"/>
                <w:highlight w:val="none"/>
                <w:lang w:eastAsia="zh-CN"/>
              </w:rPr>
            </w:pPr>
            <w:r>
              <w:rPr>
                <w:rFonts w:hint="eastAsia"/>
                <w:spacing w:val="-1"/>
                <w:highlight w:val="none"/>
                <w:lang w:val="en-US" w:eastAsia="zh-CN"/>
              </w:rPr>
              <w:t>☑</w:t>
            </w:r>
            <w:r>
              <w:rPr>
                <w:spacing w:val="-1"/>
                <w:highlight w:val="none"/>
                <w:lang w:val="en-US" w:eastAsia="en-US"/>
              </w:rPr>
              <w:t>不要求</w:t>
            </w:r>
          </w:p>
        </w:tc>
      </w:tr>
      <w:tr w14:paraId="0280D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jc w:val="center"/>
        </w:trPr>
        <w:tc>
          <w:tcPr>
            <w:tcW w:w="516" w:type="dxa"/>
            <w:tcBorders>
              <w:left w:val="single" w:color="000000" w:sz="4" w:space="0"/>
            </w:tcBorders>
            <w:vAlign w:val="center"/>
          </w:tcPr>
          <w:p w14:paraId="77DB41F2">
            <w:pPr>
              <w:pStyle w:val="27"/>
              <w:keepLines w:val="0"/>
              <w:pageBreakBefore w:val="0"/>
              <w:kinsoku/>
              <w:wordWrap/>
              <w:overflowPunct/>
              <w:topLinePunct w:val="0"/>
              <w:bidi w:val="0"/>
              <w:spacing w:before="78" w:line="180" w:lineRule="auto"/>
              <w:jc w:val="center"/>
              <w:rPr>
                <w:rFonts w:ascii="仿宋" w:hAnsi="仿宋" w:eastAsia="仿宋" w:cs="仿宋"/>
                <w:snapToGrid w:val="0"/>
                <w:color w:val="000000"/>
                <w:kern w:val="0"/>
                <w:sz w:val="24"/>
                <w:szCs w:val="24"/>
                <w:highlight w:val="none"/>
                <w:lang w:val="en-US" w:eastAsia="en-US" w:bidi="ar-SA"/>
              </w:rPr>
            </w:pPr>
            <w:r>
              <w:rPr>
                <w:spacing w:val="-6"/>
                <w:highlight w:val="none"/>
              </w:rPr>
              <w:t>28</w:t>
            </w:r>
          </w:p>
        </w:tc>
        <w:tc>
          <w:tcPr>
            <w:tcW w:w="1452" w:type="dxa"/>
            <w:vAlign w:val="center"/>
          </w:tcPr>
          <w:p w14:paraId="75281640">
            <w:pPr>
              <w:pStyle w:val="27"/>
              <w:keepLines w:val="0"/>
              <w:pageBreakBefore w:val="0"/>
              <w:kinsoku/>
              <w:wordWrap/>
              <w:overflowPunct/>
              <w:topLinePunct w:val="0"/>
              <w:bidi w:val="0"/>
              <w:spacing w:before="78" w:line="222" w:lineRule="auto"/>
              <w:jc w:val="center"/>
              <w:rPr>
                <w:rFonts w:ascii="仿宋" w:hAnsi="仿宋" w:eastAsia="仿宋" w:cs="仿宋"/>
                <w:snapToGrid w:val="0"/>
                <w:color w:val="000000"/>
                <w:kern w:val="0"/>
                <w:sz w:val="24"/>
                <w:szCs w:val="24"/>
                <w:highlight w:val="none"/>
                <w:lang w:val="en-US" w:eastAsia="en-US" w:bidi="ar-SA"/>
              </w:rPr>
            </w:pPr>
            <w:r>
              <w:rPr>
                <w:b/>
                <w:bCs/>
                <w:spacing w:val="-6"/>
                <w:highlight w:val="none"/>
              </w:rPr>
              <w:t>开标程序</w:t>
            </w:r>
          </w:p>
        </w:tc>
        <w:tc>
          <w:tcPr>
            <w:tcW w:w="7778" w:type="dxa"/>
            <w:tcBorders>
              <w:right w:val="single" w:color="000000" w:sz="4" w:space="0"/>
            </w:tcBorders>
            <w:vAlign w:val="center"/>
          </w:tcPr>
          <w:p w14:paraId="7F18FFCA">
            <w:pPr>
              <w:pStyle w:val="27"/>
              <w:keepLines w:val="0"/>
              <w:pageBreakBefore w:val="0"/>
              <w:kinsoku/>
              <w:wordWrap/>
              <w:overflowPunct/>
              <w:topLinePunct w:val="0"/>
              <w:bidi w:val="0"/>
              <w:spacing w:before="120" w:line="279" w:lineRule="auto"/>
              <w:ind w:left="118" w:right="215" w:firstLine="10"/>
              <w:jc w:val="both"/>
              <w:rPr>
                <w:highlight w:val="none"/>
              </w:rPr>
            </w:pPr>
            <w:r>
              <w:rPr>
                <w:spacing w:val="-1"/>
                <w:highlight w:val="none"/>
              </w:rPr>
              <w:t>1.在招标文件确定的投标文件提交截止时间停止接受投标文件。开标会主持人确定</w:t>
            </w:r>
            <w:r>
              <w:rPr>
                <w:rFonts w:hint="eastAsia"/>
                <w:spacing w:val="-1"/>
                <w:highlight w:val="none"/>
                <w:lang w:eastAsia="zh-CN"/>
              </w:rPr>
              <w:t>投标人</w:t>
            </w:r>
            <w:r>
              <w:rPr>
                <w:spacing w:val="-1"/>
                <w:highlight w:val="none"/>
              </w:rPr>
              <w:t>数量是否符合开标要求（</w:t>
            </w:r>
            <w:r>
              <w:rPr>
                <w:rFonts w:hint="eastAsia"/>
                <w:spacing w:val="-1"/>
                <w:highlight w:val="none"/>
                <w:lang w:eastAsia="zh-CN"/>
              </w:rPr>
              <w:t>请</w:t>
            </w:r>
            <w:r>
              <w:rPr>
                <w:spacing w:val="-1"/>
                <w:highlight w:val="none"/>
              </w:rPr>
              <w:t>所有投标</w:t>
            </w:r>
            <w:r>
              <w:rPr>
                <w:highlight w:val="none"/>
              </w:rPr>
              <w:t>人提前一小时准备好开标相关资料，调试好电脑设备</w:t>
            </w:r>
            <w:r>
              <w:rPr>
                <w:spacing w:val="-9"/>
                <w:highlight w:val="none"/>
              </w:rPr>
              <w:t>）；</w:t>
            </w:r>
          </w:p>
          <w:p w14:paraId="06D36458">
            <w:pPr>
              <w:pStyle w:val="27"/>
              <w:keepLines w:val="0"/>
              <w:pageBreakBefore w:val="0"/>
              <w:kinsoku/>
              <w:wordWrap/>
              <w:overflowPunct/>
              <w:topLinePunct w:val="0"/>
              <w:bidi w:val="0"/>
              <w:spacing w:before="111" w:line="262" w:lineRule="auto"/>
              <w:ind w:left="121" w:right="119" w:hanging="7"/>
              <w:jc w:val="both"/>
              <w:rPr>
                <w:highlight w:val="none"/>
              </w:rPr>
            </w:pPr>
            <w:r>
              <w:rPr>
                <w:spacing w:val="-2"/>
                <w:highlight w:val="none"/>
              </w:rPr>
              <w:t>2.本项目采用“政采云不见面</w:t>
            </w:r>
            <w:r>
              <w:rPr>
                <w:spacing w:val="-88"/>
                <w:highlight w:val="none"/>
              </w:rPr>
              <w:t xml:space="preserve"> </w:t>
            </w:r>
            <w:r>
              <w:rPr>
                <w:spacing w:val="-2"/>
                <w:highlight w:val="none"/>
              </w:rPr>
              <w:t>”开标，</w:t>
            </w:r>
            <w:r>
              <w:rPr>
                <w:rFonts w:hint="eastAsia"/>
                <w:spacing w:val="-2"/>
                <w:highlight w:val="none"/>
                <w:lang w:eastAsia="zh-CN"/>
              </w:rPr>
              <w:t>投标人</w:t>
            </w:r>
            <w:r>
              <w:rPr>
                <w:spacing w:val="-3"/>
                <w:highlight w:val="none"/>
              </w:rPr>
              <w:t>须在投标截止时间</w:t>
            </w:r>
            <w:r>
              <w:rPr>
                <w:spacing w:val="-1"/>
                <w:highlight w:val="none"/>
              </w:rPr>
              <w:t>前登录政采云平台</w:t>
            </w:r>
            <w:r>
              <w:rPr>
                <w:highlight w:val="none"/>
              </w:rPr>
              <w:fldChar w:fldCharType="begin"/>
            </w:r>
            <w:r>
              <w:rPr>
                <w:highlight w:val="none"/>
              </w:rPr>
              <w:instrText xml:space="preserve"> HYPERLINK "http://www.zcygov.cn/" </w:instrText>
            </w:r>
            <w:r>
              <w:rPr>
                <w:highlight w:val="none"/>
              </w:rPr>
              <w:fldChar w:fldCharType="separate"/>
            </w:r>
            <w:r>
              <w:rPr>
                <w:spacing w:val="-1"/>
                <w:highlight w:val="none"/>
              </w:rPr>
              <w:t>http://www.zcygov.cn/</w:t>
            </w:r>
            <w:r>
              <w:rPr>
                <w:spacing w:val="-1"/>
                <w:highlight w:val="none"/>
              </w:rPr>
              <w:fldChar w:fldCharType="end"/>
            </w:r>
            <w:r>
              <w:rPr>
                <w:spacing w:val="-1"/>
                <w:highlight w:val="none"/>
              </w:rPr>
              <w:t>进行签到。</w:t>
            </w:r>
          </w:p>
          <w:p w14:paraId="70D09576">
            <w:pPr>
              <w:pStyle w:val="27"/>
              <w:keepLines w:val="0"/>
              <w:pageBreakBefore w:val="0"/>
              <w:kinsoku/>
              <w:wordWrap/>
              <w:overflowPunct/>
              <w:topLinePunct w:val="0"/>
              <w:bidi w:val="0"/>
              <w:spacing w:before="121" w:line="220" w:lineRule="auto"/>
              <w:ind w:left="116"/>
              <w:jc w:val="both"/>
              <w:rPr>
                <w:highlight w:val="none"/>
              </w:rPr>
            </w:pPr>
            <w:r>
              <w:rPr>
                <w:spacing w:val="-1"/>
                <w:highlight w:val="none"/>
              </w:rPr>
              <w:t>3.主持人宣布开标会开始，宣布开标纪律；</w:t>
            </w:r>
          </w:p>
          <w:p w14:paraId="75C4B55B">
            <w:pPr>
              <w:pStyle w:val="27"/>
              <w:keepLines w:val="0"/>
              <w:pageBreakBefore w:val="0"/>
              <w:kinsoku/>
              <w:wordWrap/>
              <w:overflowPunct/>
              <w:topLinePunct w:val="0"/>
              <w:bidi w:val="0"/>
              <w:spacing w:before="112" w:line="220" w:lineRule="auto"/>
              <w:ind w:left="110"/>
              <w:jc w:val="both"/>
              <w:rPr>
                <w:highlight w:val="none"/>
              </w:rPr>
            </w:pPr>
            <w:r>
              <w:rPr>
                <w:highlight w:val="none"/>
              </w:rPr>
              <w:t>4.宣布主持人、开标人、唱标人、记录人、</w:t>
            </w:r>
            <w:r>
              <w:rPr>
                <w:spacing w:val="-1"/>
                <w:highlight w:val="none"/>
              </w:rPr>
              <w:t>监督人等工作人员姓</w:t>
            </w:r>
            <w:r>
              <w:rPr>
                <w:spacing w:val="-9"/>
                <w:highlight w:val="none"/>
              </w:rPr>
              <w:t>名；</w:t>
            </w:r>
          </w:p>
          <w:p w14:paraId="5B556FF4">
            <w:pPr>
              <w:pStyle w:val="27"/>
              <w:keepLines w:val="0"/>
              <w:pageBreakBefore w:val="0"/>
              <w:kinsoku/>
              <w:wordWrap/>
              <w:overflowPunct/>
              <w:topLinePunct w:val="0"/>
              <w:bidi w:val="0"/>
              <w:spacing w:before="110" w:line="265" w:lineRule="auto"/>
              <w:ind w:left="120" w:right="215" w:hanging="4"/>
              <w:jc w:val="both"/>
              <w:rPr>
                <w:highlight w:val="none"/>
              </w:rPr>
            </w:pPr>
            <w:r>
              <w:rPr>
                <w:spacing w:val="-1"/>
                <w:highlight w:val="none"/>
              </w:rPr>
              <w:t>5.解密：法定代表人或授权委托人须全程在线准时参加开标活动</w:t>
            </w:r>
            <w:r>
              <w:rPr>
                <w:spacing w:val="-2"/>
                <w:highlight w:val="none"/>
              </w:rPr>
              <w:t>进行文件解密、异议、质疑及澄清等。</w:t>
            </w:r>
          </w:p>
          <w:p w14:paraId="6002DC9C">
            <w:pPr>
              <w:pStyle w:val="27"/>
              <w:keepLines w:val="0"/>
              <w:pageBreakBefore w:val="0"/>
              <w:kinsoku/>
              <w:wordWrap/>
              <w:overflowPunct/>
              <w:topLinePunct w:val="0"/>
              <w:bidi w:val="0"/>
              <w:spacing w:before="114" w:line="290" w:lineRule="auto"/>
              <w:ind w:left="117" w:right="119" w:hanging="4"/>
              <w:jc w:val="both"/>
              <w:rPr>
                <w:highlight w:val="none"/>
              </w:rPr>
            </w:pPr>
            <w:r>
              <w:rPr>
                <w:spacing w:val="-2"/>
                <w:highlight w:val="none"/>
              </w:rPr>
              <w:t>6 .参与“政采云不见面”开标的各</w:t>
            </w:r>
            <w:r>
              <w:rPr>
                <w:rFonts w:hint="eastAsia"/>
                <w:spacing w:val="-2"/>
                <w:highlight w:val="none"/>
                <w:lang w:eastAsia="zh-CN"/>
              </w:rPr>
              <w:t>投标人</w:t>
            </w:r>
            <w:r>
              <w:rPr>
                <w:spacing w:val="-2"/>
                <w:highlight w:val="none"/>
              </w:rPr>
              <w:t>，请</w:t>
            </w:r>
            <w:r>
              <w:rPr>
                <w:spacing w:val="-3"/>
                <w:highlight w:val="none"/>
              </w:rPr>
              <w:t>在互联网网络环境</w:t>
            </w:r>
            <w:r>
              <w:rPr>
                <w:spacing w:val="-1"/>
                <w:highlight w:val="none"/>
              </w:rPr>
              <w:t>较好的电脑端登录政采云不见面开标大厅参与开标；不要在电</w:t>
            </w:r>
            <w:r>
              <w:rPr>
                <w:rFonts w:hint="eastAsia"/>
                <w:spacing w:val="-1"/>
                <w:highlight w:val="none"/>
                <w:lang w:eastAsia="zh-CN"/>
              </w:rPr>
              <w:t>脑上</w:t>
            </w:r>
            <w:r>
              <w:rPr>
                <w:spacing w:val="-1"/>
                <w:highlight w:val="none"/>
              </w:rPr>
              <w:t>进行下载、安装等工作，认真耐心等待指令并及时操作，并保持手机畅通；因</w:t>
            </w:r>
            <w:r>
              <w:rPr>
                <w:rFonts w:hint="eastAsia"/>
                <w:spacing w:val="-1"/>
                <w:highlight w:val="none"/>
                <w:lang w:eastAsia="zh-CN"/>
              </w:rPr>
              <w:t>投标人</w:t>
            </w:r>
            <w:r>
              <w:rPr>
                <w:spacing w:val="-1"/>
                <w:highlight w:val="none"/>
              </w:rPr>
              <w:t>网络环境或硬件配备不达标等原因，影响开标的，造成的后果由</w:t>
            </w:r>
            <w:r>
              <w:rPr>
                <w:rFonts w:hint="eastAsia"/>
                <w:spacing w:val="-1"/>
                <w:highlight w:val="none"/>
                <w:lang w:eastAsia="zh-CN"/>
              </w:rPr>
              <w:t>投标人</w:t>
            </w:r>
            <w:r>
              <w:rPr>
                <w:spacing w:val="-1"/>
                <w:highlight w:val="none"/>
              </w:rPr>
              <w:t>自行承担。</w:t>
            </w:r>
          </w:p>
          <w:p w14:paraId="08454D38">
            <w:pPr>
              <w:pStyle w:val="27"/>
              <w:keepLines w:val="0"/>
              <w:pageBreakBefore w:val="0"/>
              <w:kinsoku/>
              <w:wordWrap/>
              <w:overflowPunct/>
              <w:topLinePunct w:val="0"/>
              <w:bidi w:val="0"/>
              <w:spacing w:before="113" w:line="220" w:lineRule="auto"/>
              <w:ind w:left="117"/>
              <w:jc w:val="both"/>
              <w:rPr>
                <w:highlight w:val="none"/>
              </w:rPr>
            </w:pPr>
            <w:r>
              <w:rPr>
                <w:spacing w:val="-3"/>
                <w:highlight w:val="none"/>
              </w:rPr>
              <w:t>7.开标结束。</w:t>
            </w:r>
          </w:p>
          <w:p w14:paraId="6384EA38">
            <w:pPr>
              <w:pStyle w:val="27"/>
              <w:keepLines w:val="0"/>
              <w:pageBreakBefore w:val="0"/>
              <w:kinsoku/>
              <w:wordWrap/>
              <w:overflowPunct/>
              <w:topLinePunct w:val="0"/>
              <w:bidi w:val="0"/>
              <w:spacing w:before="112" w:line="214" w:lineRule="auto"/>
              <w:ind w:left="118" w:leftChars="0"/>
              <w:jc w:val="both"/>
              <w:rPr>
                <w:rFonts w:hint="eastAsia" w:ascii="仿宋" w:hAnsi="仿宋" w:eastAsia="仿宋" w:cs="仿宋"/>
                <w:snapToGrid w:val="0"/>
                <w:color w:val="000000"/>
                <w:kern w:val="0"/>
                <w:sz w:val="24"/>
                <w:szCs w:val="24"/>
                <w:highlight w:val="none"/>
                <w:lang w:val="en-US" w:eastAsia="zh-CN" w:bidi="ar-SA"/>
              </w:rPr>
            </w:pPr>
            <w:r>
              <w:rPr>
                <w:rFonts w:hint="eastAsia"/>
                <w:spacing w:val="-1"/>
                <w:highlight w:val="none"/>
                <w:lang w:eastAsia="zh-CN"/>
              </w:rPr>
              <w:t>采购代理机构</w:t>
            </w:r>
            <w:r>
              <w:rPr>
                <w:spacing w:val="-1"/>
                <w:highlight w:val="none"/>
              </w:rPr>
              <w:t>应当对上述开标过程做好记录，存档备查。</w:t>
            </w:r>
          </w:p>
        </w:tc>
      </w:tr>
      <w:tr w14:paraId="319C2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jc w:val="center"/>
        </w:trPr>
        <w:tc>
          <w:tcPr>
            <w:tcW w:w="516" w:type="dxa"/>
            <w:tcBorders>
              <w:left w:val="single" w:color="000000" w:sz="4" w:space="0"/>
            </w:tcBorders>
            <w:vAlign w:val="center"/>
          </w:tcPr>
          <w:p w14:paraId="76BF1BA4">
            <w:pPr>
              <w:pStyle w:val="27"/>
              <w:keepLines w:val="0"/>
              <w:pageBreakBefore w:val="0"/>
              <w:kinsoku/>
              <w:wordWrap/>
              <w:overflowPunct/>
              <w:topLinePunct w:val="0"/>
              <w:bidi w:val="0"/>
              <w:spacing w:before="78" w:line="180" w:lineRule="auto"/>
              <w:jc w:val="center"/>
              <w:rPr>
                <w:highlight w:val="none"/>
              </w:rPr>
            </w:pPr>
            <w:r>
              <w:rPr>
                <w:spacing w:val="-6"/>
                <w:highlight w:val="none"/>
              </w:rPr>
              <w:t>29</w:t>
            </w:r>
          </w:p>
        </w:tc>
        <w:tc>
          <w:tcPr>
            <w:tcW w:w="1452" w:type="dxa"/>
            <w:vAlign w:val="center"/>
          </w:tcPr>
          <w:p w14:paraId="62968D16">
            <w:pPr>
              <w:pStyle w:val="27"/>
              <w:keepLines w:val="0"/>
              <w:pageBreakBefore w:val="0"/>
              <w:kinsoku/>
              <w:wordWrap/>
              <w:overflowPunct/>
              <w:topLinePunct w:val="0"/>
              <w:bidi w:val="0"/>
              <w:spacing w:before="231" w:line="266" w:lineRule="auto"/>
              <w:ind w:right="153"/>
              <w:jc w:val="center"/>
              <w:rPr>
                <w:highlight w:val="none"/>
              </w:rPr>
            </w:pPr>
            <w:r>
              <w:rPr>
                <w:b/>
                <w:bCs/>
                <w:spacing w:val="-9"/>
                <w:highlight w:val="none"/>
              </w:rPr>
              <w:t>中标成交结果公</w:t>
            </w:r>
            <w:r>
              <w:rPr>
                <w:b/>
                <w:bCs/>
                <w:spacing w:val="-3"/>
                <w:highlight w:val="none"/>
              </w:rPr>
              <w:t>告</w:t>
            </w:r>
          </w:p>
        </w:tc>
        <w:tc>
          <w:tcPr>
            <w:tcW w:w="7778" w:type="dxa"/>
            <w:tcBorders>
              <w:right w:val="single" w:color="000000" w:sz="4" w:space="0"/>
            </w:tcBorders>
            <w:vAlign w:val="center"/>
          </w:tcPr>
          <w:p w14:paraId="7025C6DD">
            <w:pPr>
              <w:pStyle w:val="27"/>
              <w:keepLines w:val="0"/>
              <w:pageBreakBefore w:val="0"/>
              <w:kinsoku/>
              <w:wordWrap/>
              <w:overflowPunct/>
              <w:topLinePunct w:val="0"/>
              <w:bidi w:val="0"/>
              <w:spacing w:before="232" w:line="264" w:lineRule="auto"/>
              <w:ind w:left="122" w:right="215"/>
              <w:jc w:val="both"/>
              <w:rPr>
                <w:highlight w:val="none"/>
              </w:rPr>
            </w:pPr>
            <w:r>
              <w:rPr>
                <w:rFonts w:hint="eastAsia"/>
                <w:spacing w:val="-2"/>
                <w:highlight w:val="none"/>
                <w:lang w:eastAsia="zh-CN"/>
              </w:rPr>
              <w:t>中标</w:t>
            </w:r>
            <w:r>
              <w:rPr>
                <w:spacing w:val="-2"/>
                <w:highlight w:val="none"/>
              </w:rPr>
              <w:t>成</w:t>
            </w:r>
            <w:r>
              <w:rPr>
                <w:spacing w:val="-2"/>
                <w:highlight w:val="none"/>
              </w:rPr>
              <w:t>交结果公告在新疆政府采购网予以公告，公</w:t>
            </w:r>
            <w:r>
              <w:rPr>
                <w:spacing w:val="-3"/>
                <w:highlight w:val="none"/>
              </w:rPr>
              <w:t>告期不少于</w:t>
            </w:r>
            <w:r>
              <w:rPr>
                <w:rFonts w:hint="eastAsia"/>
                <w:spacing w:val="-43"/>
                <w:highlight w:val="none"/>
                <w:lang w:val="en-US" w:eastAsia="zh-CN"/>
              </w:rPr>
              <w:t>1</w:t>
            </w:r>
            <w:r>
              <w:rPr>
                <w:spacing w:val="-3"/>
                <w:highlight w:val="none"/>
              </w:rPr>
              <w:t>个工</w:t>
            </w:r>
            <w:r>
              <w:rPr>
                <w:spacing w:val="-7"/>
                <w:highlight w:val="none"/>
              </w:rPr>
              <w:t>作日。</w:t>
            </w:r>
          </w:p>
        </w:tc>
      </w:tr>
      <w:tr w14:paraId="18AD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jc w:val="center"/>
        </w:trPr>
        <w:tc>
          <w:tcPr>
            <w:tcW w:w="516" w:type="dxa"/>
            <w:tcBorders>
              <w:left w:val="single" w:color="000000" w:sz="4" w:space="0"/>
            </w:tcBorders>
            <w:vAlign w:val="center"/>
          </w:tcPr>
          <w:p w14:paraId="394840F1">
            <w:pPr>
              <w:pStyle w:val="27"/>
              <w:keepLines w:val="0"/>
              <w:pageBreakBefore w:val="0"/>
              <w:kinsoku/>
              <w:wordWrap/>
              <w:overflowPunct/>
              <w:topLinePunct w:val="0"/>
              <w:bidi w:val="0"/>
              <w:spacing w:before="78" w:line="181" w:lineRule="auto"/>
              <w:jc w:val="center"/>
              <w:rPr>
                <w:rFonts w:ascii="仿宋" w:hAnsi="仿宋" w:eastAsia="仿宋" w:cs="仿宋"/>
                <w:snapToGrid w:val="0"/>
                <w:color w:val="000000"/>
                <w:kern w:val="0"/>
                <w:sz w:val="24"/>
                <w:szCs w:val="24"/>
                <w:highlight w:val="none"/>
                <w:lang w:val="en-US" w:eastAsia="en-US" w:bidi="ar-SA"/>
              </w:rPr>
            </w:pPr>
            <w:r>
              <w:rPr>
                <w:spacing w:val="-7"/>
                <w:highlight w:val="none"/>
              </w:rPr>
              <w:t>31</w:t>
            </w:r>
          </w:p>
        </w:tc>
        <w:tc>
          <w:tcPr>
            <w:tcW w:w="1452" w:type="dxa"/>
            <w:vAlign w:val="center"/>
          </w:tcPr>
          <w:p w14:paraId="36DE0A54">
            <w:pPr>
              <w:pStyle w:val="27"/>
              <w:keepLines w:val="0"/>
              <w:pageBreakBefore w:val="0"/>
              <w:kinsoku/>
              <w:wordWrap/>
              <w:overflowPunct/>
              <w:topLinePunct w:val="0"/>
              <w:bidi w:val="0"/>
              <w:spacing w:before="78" w:line="265" w:lineRule="auto"/>
              <w:ind w:right="153" w:rightChars="0"/>
              <w:jc w:val="center"/>
              <w:rPr>
                <w:rFonts w:ascii="仿宋" w:hAnsi="仿宋" w:eastAsia="仿宋" w:cs="仿宋"/>
                <w:snapToGrid w:val="0"/>
                <w:color w:val="000000"/>
                <w:kern w:val="0"/>
                <w:sz w:val="24"/>
                <w:szCs w:val="24"/>
                <w:highlight w:val="none"/>
                <w:lang w:val="en-US" w:eastAsia="en-US" w:bidi="ar-SA"/>
              </w:rPr>
            </w:pPr>
            <w:r>
              <w:rPr>
                <w:b/>
                <w:bCs/>
                <w:spacing w:val="-6"/>
                <w:highlight w:val="none"/>
              </w:rPr>
              <w:t>落实政府采购政</w:t>
            </w:r>
            <w:r>
              <w:rPr>
                <w:b/>
                <w:bCs/>
                <w:spacing w:val="-3"/>
                <w:highlight w:val="none"/>
              </w:rPr>
              <w:t>策</w:t>
            </w:r>
          </w:p>
        </w:tc>
        <w:tc>
          <w:tcPr>
            <w:tcW w:w="7778" w:type="dxa"/>
            <w:tcBorders>
              <w:right w:val="single" w:color="000000" w:sz="4" w:space="0"/>
            </w:tcBorders>
            <w:vAlign w:val="center"/>
          </w:tcPr>
          <w:p w14:paraId="491C3FB4">
            <w:pPr>
              <w:pStyle w:val="27"/>
              <w:keepLines w:val="0"/>
              <w:pageBreakBefore w:val="0"/>
              <w:kinsoku/>
              <w:wordWrap/>
              <w:overflowPunct/>
              <w:topLinePunct w:val="0"/>
              <w:bidi w:val="0"/>
              <w:spacing w:before="120" w:line="265" w:lineRule="auto"/>
              <w:ind w:left="121" w:right="119" w:hanging="3"/>
              <w:jc w:val="both"/>
              <w:rPr>
                <w:b/>
                <w:bCs/>
                <w:color w:val="000000" w:themeColor="text1"/>
                <w:spacing w:val="-6"/>
                <w:highlight w:val="none"/>
                <w14:textFill>
                  <w14:solidFill>
                    <w14:schemeClr w14:val="tx1"/>
                  </w14:solidFill>
                </w14:textFill>
              </w:rPr>
            </w:pPr>
            <w:r>
              <w:rPr>
                <w:rFonts w:hint="eastAsia"/>
                <w:b/>
                <w:bCs/>
                <w:color w:val="000000" w:themeColor="text1"/>
                <w:spacing w:val="-6"/>
                <w:highlight w:val="none"/>
                <w14:textFill>
                  <w14:solidFill>
                    <w14:schemeClr w14:val="tx1"/>
                  </w14:solidFill>
                </w14:textFill>
              </w:rPr>
              <w:t>【标项4】</w:t>
            </w:r>
          </w:p>
          <w:p w14:paraId="1591603D">
            <w:pPr>
              <w:pStyle w:val="27"/>
              <w:keepLines w:val="0"/>
              <w:pageBreakBefore w:val="0"/>
              <w:kinsoku/>
              <w:wordWrap/>
              <w:overflowPunct/>
              <w:topLinePunct w:val="0"/>
              <w:bidi w:val="0"/>
              <w:spacing w:before="120" w:line="265" w:lineRule="auto"/>
              <w:ind w:left="121" w:right="119" w:hanging="3"/>
              <w:jc w:val="both"/>
              <w:rPr>
                <w:color w:val="000000" w:themeColor="text1"/>
                <w:spacing w:val="3"/>
                <w:highlight w:val="none"/>
                <w14:textFill>
                  <w14:solidFill>
                    <w14:schemeClr w14:val="tx1"/>
                  </w14:solidFill>
                </w14:textFill>
              </w:rPr>
            </w:pPr>
            <w:r>
              <w:rPr>
                <w:color w:val="000000" w:themeColor="text1"/>
                <w:spacing w:val="-6"/>
                <w:highlight w:val="none"/>
                <w14:textFill>
                  <w14:solidFill>
                    <w14:schemeClr w14:val="tx1"/>
                  </w14:solidFill>
                </w14:textFill>
              </w:rPr>
              <w:t>支持中小企业发展，《政府采购促进中小企业发展管理办法》（财</w:t>
            </w:r>
            <w:r>
              <w:rPr>
                <w:color w:val="000000" w:themeColor="text1"/>
                <w:spacing w:val="-5"/>
                <w:highlight w:val="none"/>
                <w14:textFill>
                  <w14:solidFill>
                    <w14:schemeClr w14:val="tx1"/>
                  </w14:solidFill>
                </w14:textFill>
              </w:rPr>
              <w:t>库[2020]46号</w:t>
            </w:r>
            <w:r>
              <w:rPr>
                <w:color w:val="000000" w:themeColor="text1"/>
                <w:spacing w:val="3"/>
                <w:highlight w:val="none"/>
                <w14:textFill>
                  <w14:solidFill>
                    <w14:schemeClr w14:val="tx1"/>
                  </w14:solidFill>
                </w14:textFill>
              </w:rPr>
              <w:t>）：</w:t>
            </w:r>
          </w:p>
          <w:p w14:paraId="5E68A17D">
            <w:pPr>
              <w:pStyle w:val="27"/>
              <w:keepLines w:val="0"/>
              <w:pageBreakBefore w:val="0"/>
              <w:kinsoku/>
              <w:wordWrap/>
              <w:overflowPunct/>
              <w:topLinePunct w:val="0"/>
              <w:bidi w:val="0"/>
              <w:spacing w:before="120" w:line="265" w:lineRule="auto"/>
              <w:ind w:left="121" w:right="119" w:hanging="3"/>
              <w:jc w:val="both"/>
              <w:rPr>
                <w:color w:val="000000" w:themeColor="text1"/>
                <w:spacing w:val="3"/>
                <w:highlight w:val="none"/>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□本项目专门面向中小企业采购，投标人为中小企业，不再执行价格评审优惠政策。</w:t>
            </w:r>
          </w:p>
          <w:p w14:paraId="4D5AD019">
            <w:pPr>
              <w:pStyle w:val="27"/>
              <w:keepLines w:val="0"/>
              <w:pageBreakBefore w:val="0"/>
              <w:kinsoku/>
              <w:wordWrap/>
              <w:overflowPunct/>
              <w:topLinePunct w:val="0"/>
              <w:bidi w:val="0"/>
              <w:spacing w:before="120" w:line="265" w:lineRule="auto"/>
              <w:ind w:left="121" w:right="119" w:hanging="3"/>
              <w:jc w:val="both"/>
              <w:rPr>
                <w:color w:val="000000" w:themeColor="text1"/>
                <w:highlight w:val="none"/>
                <w14:textFill>
                  <w14:solidFill>
                    <w14:schemeClr w14:val="tx1"/>
                  </w14:solidFill>
                </w14:textFill>
              </w:rPr>
            </w:pPr>
            <w:r>
              <w:rPr>
                <w:rFonts w:hint="eastAsia"/>
                <w:color w:val="000000" w:themeColor="text1"/>
                <w:spacing w:val="3"/>
                <w:highlight w:val="none"/>
                <w:lang w:val="en-US" w:eastAsia="zh-CN"/>
                <w14:textFill>
                  <w14:solidFill>
                    <w14:schemeClr w14:val="tx1"/>
                  </w14:solidFill>
                </w14:textFill>
              </w:rPr>
              <w:t>☑</w:t>
            </w:r>
            <w:r>
              <w:rPr>
                <w:rFonts w:hint="eastAsia"/>
                <w:b/>
                <w:bCs/>
                <w:color w:val="000000" w:themeColor="text1"/>
                <w:spacing w:val="3"/>
                <w:highlight w:val="none"/>
                <w:lang w:val="en-US" w:eastAsia="zh-CN"/>
                <w14:textFill>
                  <w14:solidFill>
                    <w14:schemeClr w14:val="tx1"/>
                  </w14:solidFill>
                </w14:textFill>
              </w:rPr>
              <w:t>非专门面向中小企业采购，给予符合规定的小微企业、监狱企业或残疾人福利性单位的报价扣除10%后参与评审。</w:t>
            </w:r>
          </w:p>
          <w:p w14:paraId="657BFEC0">
            <w:pPr>
              <w:pStyle w:val="27"/>
              <w:keepLines w:val="0"/>
              <w:pageBreakBefore w:val="0"/>
              <w:kinsoku/>
              <w:wordWrap/>
              <w:overflowPunct/>
              <w:topLinePunct w:val="0"/>
              <w:bidi w:val="0"/>
              <w:spacing w:before="109" w:line="287" w:lineRule="auto"/>
              <w:ind w:left="118" w:right="119" w:hanging="4"/>
              <w:jc w:val="both"/>
              <w:rPr>
                <w:rFonts w:hint="eastAsia"/>
                <w:b/>
                <w:bCs/>
                <w:spacing w:val="-2"/>
                <w:highlight w:val="none"/>
                <w:lang w:eastAsia="zh-CN"/>
              </w:rPr>
            </w:pPr>
            <w:r>
              <w:rPr>
                <w:rFonts w:hint="eastAsia"/>
                <w:b/>
                <w:bCs/>
                <w:spacing w:val="-2"/>
                <w:highlight w:val="none"/>
                <w:lang w:eastAsia="zh-CN"/>
              </w:rPr>
              <w:t>注：（监狱企业、残疾人福利性单位视同小型、微型企业）。</w:t>
            </w:r>
          </w:p>
          <w:p w14:paraId="6E8D524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1、采购限额标准以上，200万元以下的货物和服务采购项目、400万元以下的工程采购项目，适宜由中小企业提供的，采购人应当专门面向中小企业采购。</w:t>
            </w:r>
          </w:p>
          <w:p w14:paraId="5B6EE10A">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2、超过200万元的货物和服务采购项目，预留该部分采购项目预算总额的30%以上专门面向中小企业采购，其中预留给小微企业的比例不低于60%。</w:t>
            </w:r>
          </w:p>
          <w:p w14:paraId="1F18D652">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3、超过400万元的工程采购项目中适宜由中小企业提供的，预留该部分采购项目预算总额的40%以上专门面向中小企业采购，其中预留给小微企业的比例不低于60%。</w:t>
            </w:r>
          </w:p>
          <w:p w14:paraId="158EF71E">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napToGrid w:val="0"/>
                <w:color w:val="000000"/>
                <w:spacing w:val="3"/>
                <w:kern w:val="0"/>
                <w:sz w:val="24"/>
                <w:szCs w:val="24"/>
                <w:highlight w:val="none"/>
                <w:lang w:val="en-US" w:eastAsia="zh-CN" w:bidi="ar-SA"/>
              </w:rPr>
            </w:pPr>
            <w:r>
              <w:rPr>
                <w:rFonts w:hint="eastAsia" w:ascii="仿宋" w:hAnsi="仿宋" w:eastAsia="仿宋" w:cs="仿宋"/>
                <w:snapToGrid w:val="0"/>
                <w:color w:val="000000"/>
                <w:spacing w:val="3"/>
                <w:kern w:val="0"/>
                <w:sz w:val="24"/>
                <w:szCs w:val="24"/>
                <w:highlight w:val="none"/>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92504C1">
            <w:pPr>
              <w:pStyle w:val="27"/>
              <w:keepLines w:val="0"/>
              <w:pageBreakBefore w:val="0"/>
              <w:kinsoku/>
              <w:wordWrap/>
              <w:overflowPunct/>
              <w:topLinePunct w:val="0"/>
              <w:bidi w:val="0"/>
              <w:spacing w:before="115" w:line="264" w:lineRule="auto"/>
              <w:ind w:left="122" w:leftChars="0" w:right="215" w:rightChars="0" w:hanging="12" w:firstLineChars="0"/>
              <w:jc w:val="both"/>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3"/>
                <w:kern w:val="0"/>
                <w:sz w:val="24"/>
                <w:szCs w:val="24"/>
                <w:highlight w:val="none"/>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r>
              <w:rPr>
                <w:rFonts w:hint="eastAsia" w:ascii="仿宋" w:hAnsi="仿宋" w:eastAsia="仿宋" w:cs="仿宋"/>
                <w:i w:val="0"/>
                <w:iCs w:val="0"/>
                <w:caps w:val="0"/>
                <w:color w:val="000000"/>
                <w:spacing w:val="0"/>
                <w:sz w:val="27"/>
                <w:szCs w:val="27"/>
                <w:highlight w:val="none"/>
              </w:rPr>
              <w:t>。</w:t>
            </w:r>
          </w:p>
        </w:tc>
      </w:tr>
      <w:tr w14:paraId="2435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6" w:hRule="atLeast"/>
          <w:jc w:val="center"/>
        </w:trPr>
        <w:tc>
          <w:tcPr>
            <w:tcW w:w="516" w:type="dxa"/>
            <w:tcBorders>
              <w:left w:val="single" w:color="000000" w:sz="4" w:space="0"/>
            </w:tcBorders>
            <w:vAlign w:val="center"/>
          </w:tcPr>
          <w:p w14:paraId="7FFDD248">
            <w:pPr>
              <w:pStyle w:val="27"/>
              <w:keepLines w:val="0"/>
              <w:pageBreakBefore w:val="0"/>
              <w:kinsoku/>
              <w:wordWrap/>
              <w:overflowPunct/>
              <w:topLinePunct w:val="0"/>
              <w:bidi w:val="0"/>
              <w:spacing w:before="78" w:line="180" w:lineRule="auto"/>
              <w:jc w:val="center"/>
              <w:rPr>
                <w:rFonts w:hint="eastAsia" w:eastAsia="仿宋"/>
                <w:highlight w:val="none"/>
                <w:lang w:val="en-US" w:eastAsia="zh-CN"/>
              </w:rPr>
            </w:pPr>
            <w:r>
              <w:rPr>
                <w:spacing w:val="-7"/>
                <w:highlight w:val="none"/>
              </w:rPr>
              <w:t>3</w:t>
            </w:r>
            <w:r>
              <w:rPr>
                <w:rFonts w:hint="eastAsia"/>
                <w:spacing w:val="-7"/>
                <w:highlight w:val="none"/>
                <w:lang w:val="en-US" w:eastAsia="zh-CN"/>
              </w:rPr>
              <w:t>2</w:t>
            </w:r>
          </w:p>
        </w:tc>
        <w:tc>
          <w:tcPr>
            <w:tcW w:w="1452" w:type="dxa"/>
            <w:vAlign w:val="center"/>
          </w:tcPr>
          <w:p w14:paraId="52019668">
            <w:pPr>
              <w:pStyle w:val="27"/>
              <w:keepLines w:val="0"/>
              <w:pageBreakBefore w:val="0"/>
              <w:kinsoku/>
              <w:wordWrap/>
              <w:overflowPunct/>
              <w:topLinePunct w:val="0"/>
              <w:bidi w:val="0"/>
              <w:spacing w:before="78" w:line="222" w:lineRule="auto"/>
              <w:jc w:val="center"/>
              <w:rPr>
                <w:highlight w:val="none"/>
              </w:rPr>
            </w:pPr>
            <w:r>
              <w:rPr>
                <w:b/>
                <w:bCs/>
                <w:spacing w:val="-7"/>
                <w:highlight w:val="none"/>
              </w:rPr>
              <w:t>补充内容</w:t>
            </w:r>
          </w:p>
        </w:tc>
        <w:tc>
          <w:tcPr>
            <w:tcW w:w="7778" w:type="dxa"/>
            <w:tcBorders>
              <w:right w:val="single" w:color="000000" w:sz="4" w:space="0"/>
            </w:tcBorders>
            <w:vAlign w:val="center"/>
          </w:tcPr>
          <w:p w14:paraId="6EA171B6">
            <w:pPr>
              <w:pStyle w:val="27"/>
              <w:keepLines w:val="0"/>
              <w:pageBreakBefore w:val="0"/>
              <w:kinsoku/>
              <w:wordWrap/>
              <w:overflowPunct/>
              <w:topLinePunct w:val="0"/>
              <w:bidi w:val="0"/>
              <w:spacing w:before="116" w:line="279" w:lineRule="auto"/>
              <w:ind w:left="120" w:right="20" w:firstLine="8"/>
              <w:jc w:val="both"/>
              <w:rPr>
                <w:highlight w:val="none"/>
              </w:rPr>
            </w:pPr>
            <w:r>
              <w:rPr>
                <w:spacing w:val="2"/>
                <w:highlight w:val="none"/>
              </w:rPr>
              <w:t>1.电子投标文件使用“新疆维吾尔自治区全流程电子招投标项目</w:t>
            </w:r>
            <w:r>
              <w:rPr>
                <w:spacing w:val="-7"/>
                <w:highlight w:val="none"/>
              </w:rPr>
              <w:t>管理系统--</w:t>
            </w:r>
            <w:r>
              <w:rPr>
                <w:rFonts w:hint="eastAsia"/>
                <w:spacing w:val="-7"/>
                <w:highlight w:val="none"/>
                <w:lang w:eastAsia="zh-CN"/>
              </w:rPr>
              <w:t>投标人</w:t>
            </w:r>
            <w:r>
              <w:rPr>
                <w:spacing w:val="-7"/>
                <w:highlight w:val="none"/>
              </w:rPr>
              <w:t>客户端”制作完成，生成电子加密标书（.jmbs）</w:t>
            </w:r>
            <w:r>
              <w:rPr>
                <w:spacing w:val="-2"/>
                <w:highlight w:val="none"/>
              </w:rPr>
              <w:t>上传至政采云平台。</w:t>
            </w:r>
          </w:p>
          <w:p w14:paraId="20D769FB">
            <w:pPr>
              <w:pStyle w:val="27"/>
              <w:keepLines w:val="0"/>
              <w:pageBreakBefore w:val="0"/>
              <w:kinsoku/>
              <w:wordWrap/>
              <w:overflowPunct/>
              <w:topLinePunct w:val="0"/>
              <w:bidi w:val="0"/>
              <w:spacing w:before="114" w:line="286" w:lineRule="auto"/>
              <w:ind w:left="117" w:right="119" w:hanging="3"/>
              <w:jc w:val="both"/>
              <w:rPr>
                <w:highlight w:val="none"/>
              </w:rPr>
            </w:pPr>
            <w:r>
              <w:rPr>
                <w:spacing w:val="1"/>
                <w:highlight w:val="none"/>
              </w:rPr>
              <w:t>2.备份标书：</w:t>
            </w:r>
            <w:r>
              <w:rPr>
                <w:rFonts w:hint="eastAsia"/>
                <w:spacing w:val="1"/>
                <w:highlight w:val="none"/>
                <w:lang w:eastAsia="zh-CN"/>
              </w:rPr>
              <w:t>投标人</w:t>
            </w:r>
            <w:r>
              <w:rPr>
                <w:spacing w:val="1"/>
                <w:highlight w:val="none"/>
              </w:rPr>
              <w:t>根据自身情况自愿制作备份标书（.</w:t>
            </w:r>
            <w:r>
              <w:rPr>
                <w:highlight w:val="none"/>
              </w:rPr>
              <w:t>bfbs</w:t>
            </w:r>
            <w:r>
              <w:rPr>
                <w:spacing w:val="1"/>
                <w:highlight w:val="none"/>
              </w:rPr>
              <w:t>）,</w:t>
            </w:r>
            <w:r>
              <w:rPr>
                <w:spacing w:val="3"/>
                <w:highlight w:val="none"/>
              </w:rPr>
              <w:t>备份标书在开标时，因开标系统原因解密不成功时方</w:t>
            </w:r>
            <w:r>
              <w:rPr>
                <w:spacing w:val="2"/>
                <w:highlight w:val="none"/>
              </w:rPr>
              <w:t>可上传备份</w:t>
            </w:r>
            <w:r>
              <w:rPr>
                <w:highlight w:val="none"/>
              </w:rPr>
              <w:t>标书。其他因</w:t>
            </w:r>
            <w:r>
              <w:rPr>
                <w:rFonts w:hint="eastAsia"/>
                <w:highlight w:val="none"/>
                <w:lang w:eastAsia="zh-CN"/>
              </w:rPr>
              <w:t>投标人</w:t>
            </w:r>
            <w:r>
              <w:rPr>
                <w:highlight w:val="none"/>
              </w:rPr>
              <w:t>制作标书失误问题，数字证书（CA锁）问题</w:t>
            </w:r>
            <w:r>
              <w:rPr>
                <w:spacing w:val="-1"/>
                <w:highlight w:val="none"/>
              </w:rPr>
              <w:t>导致不能现场解密的情况不允许上传备份文件。</w:t>
            </w:r>
          </w:p>
          <w:p w14:paraId="3EE9C418">
            <w:pPr>
              <w:pStyle w:val="27"/>
              <w:keepLines w:val="0"/>
              <w:pageBreakBefore w:val="0"/>
              <w:kinsoku/>
              <w:wordWrap/>
              <w:overflowPunct/>
              <w:topLinePunct w:val="0"/>
              <w:bidi w:val="0"/>
              <w:spacing w:before="110" w:line="279" w:lineRule="auto"/>
              <w:ind w:left="117" w:right="119" w:hanging="1"/>
              <w:jc w:val="both"/>
              <w:rPr>
                <w:highlight w:val="none"/>
              </w:rPr>
            </w:pPr>
            <w:r>
              <w:rPr>
                <w:spacing w:val="3"/>
                <w:highlight w:val="none"/>
              </w:rPr>
              <w:t>3.</w:t>
            </w:r>
            <w:r>
              <w:rPr>
                <w:rFonts w:hint="eastAsia"/>
                <w:spacing w:val="3"/>
                <w:highlight w:val="none"/>
                <w:lang w:eastAsia="zh-CN"/>
              </w:rPr>
              <w:t>投标人</w:t>
            </w:r>
            <w:r>
              <w:rPr>
                <w:spacing w:val="3"/>
                <w:highlight w:val="none"/>
              </w:rPr>
              <w:t>制作电子投标书加密文件应与开标现场解</w:t>
            </w:r>
            <w:r>
              <w:rPr>
                <w:spacing w:val="2"/>
                <w:highlight w:val="none"/>
              </w:rPr>
              <w:t>密时的数字证</w:t>
            </w:r>
            <w:r>
              <w:rPr>
                <w:spacing w:val="-3"/>
                <w:highlight w:val="none"/>
              </w:rPr>
              <w:t>书（CA锁）同为一把，若因数字证书（CA锁）不是同一把锁导致</w:t>
            </w:r>
            <w:r>
              <w:rPr>
                <w:spacing w:val="-1"/>
                <w:highlight w:val="none"/>
              </w:rPr>
              <w:t>现场解密失败的，</w:t>
            </w:r>
            <w:r>
              <w:rPr>
                <w:rFonts w:hint="eastAsia"/>
                <w:spacing w:val="-1"/>
                <w:highlight w:val="none"/>
                <w:lang w:eastAsia="zh-CN"/>
              </w:rPr>
              <w:t>投标人</w:t>
            </w:r>
            <w:r>
              <w:rPr>
                <w:spacing w:val="-1"/>
                <w:highlight w:val="none"/>
              </w:rPr>
              <w:t>自行承担后果。</w:t>
            </w:r>
          </w:p>
          <w:p w14:paraId="77CBF6DD">
            <w:pPr>
              <w:pStyle w:val="27"/>
              <w:keepLines w:val="0"/>
              <w:pageBreakBefore w:val="0"/>
              <w:kinsoku/>
              <w:wordWrap/>
              <w:overflowPunct/>
              <w:topLinePunct w:val="0"/>
              <w:bidi w:val="0"/>
              <w:spacing w:before="112" w:line="265" w:lineRule="auto"/>
              <w:ind w:left="127" w:right="119" w:hanging="17"/>
              <w:jc w:val="both"/>
              <w:rPr>
                <w:highlight w:val="none"/>
              </w:rPr>
            </w:pPr>
            <w:r>
              <w:rPr>
                <w:highlight w:val="none"/>
              </w:rPr>
              <w:t>4.数字证书办理：</w:t>
            </w:r>
            <w:r>
              <w:rPr>
                <w:rFonts w:hint="eastAsia"/>
                <w:highlight w:val="none"/>
                <w:lang w:eastAsia="zh-CN"/>
              </w:rPr>
              <w:t>投标人</w:t>
            </w:r>
            <w:r>
              <w:rPr>
                <w:highlight w:val="none"/>
              </w:rPr>
              <w:t>须自行办理政采云数字证书（CA锁）联</w:t>
            </w:r>
            <w:r>
              <w:rPr>
                <w:spacing w:val="-2"/>
                <w:highlight w:val="none"/>
              </w:rPr>
              <w:t>系方式：政采云热线：95763</w:t>
            </w:r>
          </w:p>
          <w:p w14:paraId="78A39361">
            <w:pPr>
              <w:pStyle w:val="27"/>
              <w:keepLines w:val="0"/>
              <w:pageBreakBefore w:val="0"/>
              <w:kinsoku/>
              <w:wordWrap/>
              <w:overflowPunct/>
              <w:topLinePunct w:val="0"/>
              <w:bidi w:val="0"/>
              <w:spacing w:before="113" w:line="263" w:lineRule="auto"/>
              <w:ind w:left="144" w:hanging="28"/>
              <w:jc w:val="both"/>
              <w:rPr>
                <w:highlight w:val="none"/>
              </w:rPr>
            </w:pPr>
            <w:r>
              <w:rPr>
                <w:spacing w:val="-2"/>
                <w:highlight w:val="none"/>
              </w:rPr>
              <w:t>5.</w:t>
            </w:r>
            <w:r>
              <w:rPr>
                <w:rFonts w:hint="eastAsia"/>
                <w:spacing w:val="-2"/>
                <w:highlight w:val="none"/>
                <w:lang w:eastAsia="zh-CN"/>
              </w:rPr>
              <w:t>投标人</w:t>
            </w:r>
            <w:r>
              <w:rPr>
                <w:spacing w:val="-2"/>
                <w:highlight w:val="none"/>
              </w:rPr>
              <w:t>应认真学习关于开展自治区政府采</w:t>
            </w:r>
            <w:r>
              <w:rPr>
                <w:spacing w:val="-3"/>
                <w:highlight w:val="none"/>
              </w:rPr>
              <w:t>购“不见面开标系统”</w:t>
            </w:r>
            <w:r>
              <w:rPr>
                <w:spacing w:val="-7"/>
                <w:highlight w:val="none"/>
              </w:rPr>
              <w:t>网络培训的通知，制作电子投标书。</w:t>
            </w:r>
          </w:p>
        </w:tc>
      </w:tr>
      <w:tr w14:paraId="20057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1" w:hRule="atLeast"/>
          <w:jc w:val="center"/>
        </w:trPr>
        <w:tc>
          <w:tcPr>
            <w:tcW w:w="516" w:type="dxa"/>
            <w:tcBorders>
              <w:left w:val="single" w:color="000000" w:sz="4" w:space="0"/>
            </w:tcBorders>
            <w:vAlign w:val="center"/>
          </w:tcPr>
          <w:p w14:paraId="3C5C3824">
            <w:pPr>
              <w:pStyle w:val="27"/>
              <w:keepLines w:val="0"/>
              <w:pageBreakBefore w:val="0"/>
              <w:kinsoku/>
              <w:wordWrap/>
              <w:overflowPunct/>
              <w:topLinePunct w:val="0"/>
              <w:bidi w:val="0"/>
              <w:spacing w:before="78" w:line="180" w:lineRule="auto"/>
              <w:jc w:val="center"/>
              <w:rPr>
                <w:rFonts w:hint="default" w:eastAsia="仿宋"/>
                <w:spacing w:val="-7"/>
                <w:highlight w:val="none"/>
                <w:lang w:val="en-US" w:eastAsia="zh-CN"/>
              </w:rPr>
            </w:pPr>
            <w:r>
              <w:rPr>
                <w:rFonts w:hint="eastAsia"/>
                <w:spacing w:val="-7"/>
                <w:highlight w:val="none"/>
                <w:lang w:val="en-US" w:eastAsia="zh-CN"/>
              </w:rPr>
              <w:t>33</w:t>
            </w:r>
          </w:p>
        </w:tc>
        <w:tc>
          <w:tcPr>
            <w:tcW w:w="1452" w:type="dxa"/>
            <w:shd w:val="clear" w:color="auto" w:fill="auto"/>
            <w:vAlign w:val="top"/>
          </w:tcPr>
          <w:p w14:paraId="60339BC0">
            <w:pPr>
              <w:pStyle w:val="27"/>
              <w:keepLines w:val="0"/>
              <w:pageBreakBefore w:val="0"/>
              <w:kinsoku/>
              <w:wordWrap/>
              <w:overflowPunct/>
              <w:topLinePunct w:val="0"/>
              <w:bidi w:val="0"/>
              <w:spacing w:before="113" w:line="263" w:lineRule="auto"/>
              <w:ind w:left="144" w:hanging="28"/>
              <w:jc w:val="both"/>
              <w:rPr>
                <w:spacing w:val="-2"/>
                <w:highlight w:val="none"/>
              </w:rPr>
            </w:pPr>
          </w:p>
          <w:p w14:paraId="47D5C5AC">
            <w:pPr>
              <w:pStyle w:val="27"/>
              <w:keepLines w:val="0"/>
              <w:pageBreakBefore w:val="0"/>
              <w:kinsoku/>
              <w:wordWrap/>
              <w:overflowPunct/>
              <w:topLinePunct w:val="0"/>
              <w:bidi w:val="0"/>
              <w:spacing w:before="113" w:line="263" w:lineRule="auto"/>
              <w:ind w:left="144" w:hanging="28"/>
              <w:jc w:val="both"/>
              <w:rPr>
                <w:spacing w:val="-2"/>
                <w:highlight w:val="none"/>
              </w:rPr>
            </w:pPr>
          </w:p>
          <w:p w14:paraId="01C23870">
            <w:pPr>
              <w:pStyle w:val="27"/>
              <w:keepLines w:val="0"/>
              <w:pageBreakBefore w:val="0"/>
              <w:kinsoku/>
              <w:wordWrap/>
              <w:overflowPunct/>
              <w:topLinePunct w:val="0"/>
              <w:bidi w:val="0"/>
              <w:spacing w:before="113" w:line="263" w:lineRule="auto"/>
              <w:jc w:val="both"/>
              <w:rPr>
                <w:spacing w:val="-2"/>
                <w:highlight w:val="none"/>
              </w:rPr>
            </w:pPr>
          </w:p>
          <w:p w14:paraId="3FC1A74D">
            <w:pPr>
              <w:pStyle w:val="27"/>
              <w:keepLines w:val="0"/>
              <w:pageBreakBefore w:val="0"/>
              <w:kinsoku/>
              <w:wordWrap/>
              <w:overflowPunct/>
              <w:topLinePunct w:val="0"/>
              <w:bidi w:val="0"/>
              <w:spacing w:before="113" w:line="263" w:lineRule="auto"/>
              <w:ind w:left="144" w:hanging="28"/>
              <w:jc w:val="both"/>
              <w:rPr>
                <w:spacing w:val="-2"/>
                <w:highlight w:val="none"/>
              </w:rPr>
            </w:pPr>
          </w:p>
          <w:p w14:paraId="782068D5">
            <w:pPr>
              <w:pStyle w:val="27"/>
              <w:keepLines w:val="0"/>
              <w:pageBreakBefore w:val="0"/>
              <w:kinsoku/>
              <w:wordWrap/>
              <w:overflowPunct/>
              <w:topLinePunct w:val="0"/>
              <w:bidi w:val="0"/>
              <w:spacing w:before="113" w:line="263" w:lineRule="auto"/>
              <w:ind w:left="144" w:hanging="28"/>
              <w:jc w:val="both"/>
              <w:rPr>
                <w:spacing w:val="-2"/>
                <w:highlight w:val="none"/>
              </w:rPr>
            </w:pPr>
          </w:p>
          <w:p w14:paraId="59A9A2AF">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低于成本价不正当竞争预防措施</w:t>
            </w:r>
          </w:p>
        </w:tc>
        <w:tc>
          <w:tcPr>
            <w:tcW w:w="7778" w:type="dxa"/>
            <w:tcBorders>
              <w:right w:val="single" w:color="000000" w:sz="4" w:space="0"/>
            </w:tcBorders>
            <w:shd w:val="clear" w:color="auto" w:fill="auto"/>
            <w:vAlign w:val="top"/>
          </w:tcPr>
          <w:p w14:paraId="577232FF">
            <w:pPr>
              <w:pStyle w:val="27"/>
              <w:keepLines w:val="0"/>
              <w:pageBreakBefore w:val="0"/>
              <w:kinsoku/>
              <w:wordWrap/>
              <w:overflowPunct/>
              <w:topLinePunct w:val="0"/>
              <w:bidi w:val="0"/>
              <w:spacing w:before="110" w:line="279" w:lineRule="auto"/>
              <w:ind w:left="117" w:right="119" w:hanging="1"/>
              <w:jc w:val="both"/>
              <w:rPr>
                <w:b/>
                <w:bCs/>
                <w:spacing w:val="-3"/>
                <w:highlight w:val="none"/>
                <w:lang w:val="en-US" w:eastAsia="en-US"/>
              </w:rPr>
            </w:pPr>
            <w:r>
              <w:rPr>
                <w:rFonts w:hint="eastAsia"/>
                <w:b/>
                <w:bCs/>
                <w:spacing w:val="-3"/>
                <w:highlight w:val="none"/>
                <w:lang w:val="en-US" w:eastAsia="en-US"/>
              </w:rPr>
              <w:t>【标项4】</w:t>
            </w:r>
          </w:p>
          <w:p w14:paraId="5A282C5B">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低价不正当竞争预防措施依据，财库【2026】2号文:采购 人应当在采购文件中明确，政府采购评审中出现下列情形 之一的，评审委员会应当启动异常低价投标（响应）审查 程序：</w:t>
            </w:r>
          </w:p>
          <w:p w14:paraId="1EDA1C60">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1.投标（响应）报价低于全部通过符合性审查供应商投标 （响应）报价平均值50%的，即投标（响应）报价&lt;全部通 过符合性审查供应商投标（响应）报价平均值×50%；</w:t>
            </w:r>
          </w:p>
          <w:p w14:paraId="042370B5">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2.投标（响应）报价低于通过符合性审查的次低报价供应 商投标（响应）报价50%的，即投标（响应）报价&lt;通过符 合性审查的次低报价供应商投标（响应）报价×50%；</w:t>
            </w:r>
          </w:p>
          <w:p w14:paraId="04A71EA8">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3.投标（响应）报价低于采购项目最高限价45%的，即投标 （响应）报价&lt;采购项目最高限价×45%；</w:t>
            </w:r>
          </w:p>
          <w:p w14:paraId="46B249AF">
            <w:pPr>
              <w:pStyle w:val="27"/>
              <w:keepLines w:val="0"/>
              <w:pageBreakBefore w:val="0"/>
              <w:kinsoku/>
              <w:wordWrap/>
              <w:overflowPunct/>
              <w:topLinePunct w:val="0"/>
              <w:bidi w:val="0"/>
              <w:spacing w:before="110" w:line="279" w:lineRule="auto"/>
              <w:ind w:left="117" w:right="119" w:hanging="1"/>
              <w:jc w:val="both"/>
              <w:rPr>
                <w:spacing w:val="-3"/>
                <w:highlight w:val="none"/>
                <w:lang w:val="en-US" w:eastAsia="en-US"/>
              </w:rPr>
            </w:pPr>
            <w:r>
              <w:rPr>
                <w:spacing w:val="-3"/>
                <w:highlight w:val="none"/>
                <w:lang w:val="en-US" w:eastAsia="en-US"/>
              </w:rPr>
              <w:t>4.评审委员会基于专业判断，认为供应商报价过低，有可 能影响产品质量或者不能诚信履约的其他情形。</w:t>
            </w:r>
          </w:p>
          <w:p w14:paraId="1E403D5D">
            <w:pPr>
              <w:pStyle w:val="27"/>
              <w:keepLines w:val="0"/>
              <w:pageBreakBefore w:val="0"/>
              <w:kinsoku/>
              <w:wordWrap/>
              <w:overflowPunct/>
              <w:topLinePunct w:val="0"/>
              <w:bidi w:val="0"/>
              <w:spacing w:before="110" w:line="279" w:lineRule="auto"/>
              <w:ind w:left="117" w:right="119" w:hanging="1"/>
              <w:jc w:val="both"/>
              <w:rPr>
                <w:spacing w:val="-2"/>
                <w:highlight w:val="none"/>
                <w:lang w:val="en-US" w:eastAsia="en-US"/>
              </w:rPr>
            </w:pPr>
            <w:r>
              <w:rPr>
                <w:spacing w:val="-3"/>
                <w:highlight w:val="none"/>
                <w:lang w:val="en-US" w:eastAsia="en-US"/>
              </w:rPr>
              <w:t>磋商小组认为投标人报价明显低于其他通过符合性审查投 标人的报价，有可能影响产品质量或者不能诚信履约的， 应当要求其在评标现场合理的时间内提供书面说明，必要 时提交相关证明材料；投标人不能证明其报价合理性的磋 商小组应当将其作为无效投标处理。磋商小组应当要求其 在评标现场合理的时间内提供成本构成书面说明，并提交相关证明材料。供应商书面说明应当按照国家财务会计制度 的规定要求，逐项就供应商提供的货物、工程和服务的主营 业务成本(应根据供应商企业类型予以区别)、税金及附加、 销售费用、管理费用、财务费用等成本构成事项详细陈述。 供应商书面说明应当签字确认或者加盖公章，否则无效。 书面说明的签字确认，供应商为法人的， 由其法定代表人 或者代理人签字确认；供应商为其他组织的， 由其主要负 责人或者代理人签字确认；供应商为自然人的由其本人或 者代理人签字确认。供应商提供书面说明后，磋商小组应 当结合采购项目服务需求、专业实际情况、供应商财务状 况报告、与其他供应商比较情况等就供应商书面说明进行 审查评价。供应商拒绝或者变相拒绝提供有效书面说明或 者书面说明不能证明其报价合理性的或未在规定时间内 递交有效书面说明书的，磋商小组应当将其响应文件作为无 效处理。</w:t>
            </w:r>
          </w:p>
        </w:tc>
      </w:tr>
      <w:tr w14:paraId="64E07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6" w:type="dxa"/>
            <w:tcBorders>
              <w:left w:val="single" w:color="000000" w:sz="4" w:space="0"/>
            </w:tcBorders>
            <w:vAlign w:val="center"/>
          </w:tcPr>
          <w:p w14:paraId="511A9542">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34</w:t>
            </w:r>
          </w:p>
        </w:tc>
        <w:tc>
          <w:tcPr>
            <w:tcW w:w="1452" w:type="dxa"/>
            <w:shd w:val="clear" w:color="auto" w:fill="auto"/>
            <w:vAlign w:val="center"/>
          </w:tcPr>
          <w:p w14:paraId="5ACAE7AE">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设备</w:t>
            </w:r>
          </w:p>
        </w:tc>
        <w:tc>
          <w:tcPr>
            <w:tcW w:w="7778" w:type="dxa"/>
            <w:tcBorders>
              <w:right w:val="single" w:color="000000" w:sz="4" w:space="0"/>
            </w:tcBorders>
            <w:shd w:val="clear" w:color="auto" w:fill="auto"/>
            <w:vAlign w:val="top"/>
          </w:tcPr>
          <w:p w14:paraId="451D0F60">
            <w:pPr>
              <w:pStyle w:val="27"/>
              <w:keepLines w:val="0"/>
              <w:pageBreakBefore w:val="0"/>
              <w:kinsoku/>
              <w:wordWrap/>
              <w:overflowPunct/>
              <w:topLinePunct w:val="0"/>
              <w:bidi w:val="0"/>
              <w:spacing w:before="113" w:line="263" w:lineRule="auto"/>
              <w:ind w:left="144" w:hanging="28"/>
              <w:jc w:val="both"/>
              <w:rPr>
                <w:spacing w:val="-2"/>
                <w:highlight w:val="none"/>
              </w:rPr>
            </w:pPr>
            <w:r>
              <w:rPr>
                <w:spacing w:val="-2"/>
                <w:highlight w:val="none"/>
              </w:rPr>
              <w:t>设备进口： □是 优先向我国企业转让技术、与我国企业签订消化吸收再创新方案的供应商的进口产品</w:t>
            </w:r>
          </w:p>
          <w:p w14:paraId="05378009">
            <w:pPr>
              <w:pStyle w:val="27"/>
              <w:keepLines w:val="0"/>
              <w:pageBreakBefore w:val="0"/>
              <w:kinsoku/>
              <w:wordWrap/>
              <w:overflowPunct/>
              <w:topLinePunct w:val="0"/>
              <w:bidi w:val="0"/>
              <w:spacing w:before="113" w:line="263" w:lineRule="auto"/>
              <w:ind w:left="336" w:leftChars="160" w:firstLine="1142" w:firstLineChars="484"/>
              <w:jc w:val="both"/>
              <w:rPr>
                <w:spacing w:val="-2"/>
                <w:highlight w:val="none"/>
                <w:lang w:val="en-US" w:eastAsia="en-US"/>
              </w:rPr>
            </w:pPr>
            <w:r>
              <w:rPr>
                <w:spacing w:val="-2"/>
                <w:highlight w:val="none"/>
              </w:rPr>
              <w:t>☑否</w:t>
            </w:r>
          </w:p>
        </w:tc>
      </w:tr>
      <w:tr w14:paraId="3AFBE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jc w:val="center"/>
        </w:trPr>
        <w:tc>
          <w:tcPr>
            <w:tcW w:w="516" w:type="dxa"/>
          </w:tcPr>
          <w:p w14:paraId="3B3AE664">
            <w:pPr>
              <w:pStyle w:val="27"/>
              <w:keepLines w:val="0"/>
              <w:pageBreakBefore w:val="0"/>
              <w:kinsoku/>
              <w:wordWrap/>
              <w:overflowPunct/>
              <w:topLinePunct w:val="0"/>
              <w:bidi w:val="0"/>
              <w:spacing w:before="113" w:line="263" w:lineRule="auto"/>
              <w:ind w:left="144" w:hanging="28"/>
              <w:jc w:val="both"/>
              <w:rPr>
                <w:rFonts w:hint="eastAsia"/>
                <w:spacing w:val="-2"/>
                <w:highlight w:val="none"/>
                <w:lang w:val="en-US" w:eastAsia="zh-CN"/>
              </w:rPr>
            </w:pPr>
          </w:p>
          <w:p w14:paraId="51C42914">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35</w:t>
            </w:r>
          </w:p>
        </w:tc>
        <w:tc>
          <w:tcPr>
            <w:tcW w:w="1452" w:type="dxa"/>
            <w:shd w:val="clear" w:color="auto" w:fill="auto"/>
            <w:vAlign w:val="center"/>
          </w:tcPr>
          <w:p w14:paraId="1E70452A">
            <w:pPr>
              <w:pStyle w:val="27"/>
              <w:keepLines w:val="0"/>
              <w:pageBreakBefore w:val="0"/>
              <w:kinsoku/>
              <w:wordWrap/>
              <w:overflowPunct/>
              <w:topLinePunct w:val="0"/>
              <w:bidi w:val="0"/>
              <w:spacing w:before="113" w:line="263" w:lineRule="auto"/>
              <w:ind w:left="144" w:hanging="28"/>
              <w:jc w:val="center"/>
              <w:rPr>
                <w:spacing w:val="-2"/>
                <w:highlight w:val="none"/>
              </w:rPr>
            </w:pPr>
          </w:p>
          <w:p w14:paraId="59554ABE">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补充</w:t>
            </w:r>
          </w:p>
        </w:tc>
        <w:tc>
          <w:tcPr>
            <w:tcW w:w="7778" w:type="dxa"/>
            <w:shd w:val="clear" w:color="auto" w:fill="auto"/>
            <w:vAlign w:val="top"/>
          </w:tcPr>
          <w:p w14:paraId="2E9B3CB1">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投标企业必须对提供的企业和人员资质负责，如出现资质不符将取消投标资格。若有涉嫌造假的行为，将上报自治区行业主管部门启动失信黑名单处罚措施。</w:t>
            </w:r>
          </w:p>
        </w:tc>
      </w:tr>
      <w:tr w14:paraId="2CB7F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tcPr>
          <w:p w14:paraId="040BC50A">
            <w:pPr>
              <w:pStyle w:val="27"/>
              <w:keepLines w:val="0"/>
              <w:pageBreakBefore w:val="0"/>
              <w:kinsoku/>
              <w:wordWrap/>
              <w:overflowPunct/>
              <w:topLinePunct w:val="0"/>
              <w:bidi w:val="0"/>
              <w:spacing w:before="113" w:line="263" w:lineRule="auto"/>
              <w:ind w:left="144" w:hanging="28"/>
              <w:jc w:val="both"/>
              <w:rPr>
                <w:rFonts w:hint="default"/>
                <w:spacing w:val="-2"/>
                <w:highlight w:val="none"/>
                <w:lang w:val="en-US" w:eastAsia="zh-CN"/>
              </w:rPr>
            </w:pPr>
            <w:r>
              <w:rPr>
                <w:rFonts w:hint="eastAsia"/>
                <w:spacing w:val="-2"/>
                <w:highlight w:val="none"/>
                <w:lang w:val="en-US" w:eastAsia="zh-CN"/>
              </w:rPr>
              <w:t>36</w:t>
            </w:r>
          </w:p>
        </w:tc>
        <w:tc>
          <w:tcPr>
            <w:tcW w:w="1452" w:type="dxa"/>
            <w:shd w:val="clear" w:color="auto" w:fill="auto"/>
            <w:vAlign w:val="center"/>
          </w:tcPr>
          <w:p w14:paraId="43B2F3F3">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spacing w:val="-2"/>
                <w:highlight w:val="none"/>
              </w:rPr>
              <w:t>备注</w:t>
            </w:r>
          </w:p>
        </w:tc>
        <w:tc>
          <w:tcPr>
            <w:tcW w:w="7778" w:type="dxa"/>
            <w:shd w:val="clear" w:color="auto" w:fill="auto"/>
            <w:vAlign w:val="top"/>
          </w:tcPr>
          <w:p w14:paraId="1FF8ABFB">
            <w:pPr>
              <w:pStyle w:val="27"/>
              <w:keepLines w:val="0"/>
              <w:pageBreakBefore w:val="0"/>
              <w:kinsoku/>
              <w:wordWrap/>
              <w:overflowPunct/>
              <w:topLinePunct w:val="0"/>
              <w:bidi w:val="0"/>
              <w:spacing w:before="113" w:line="263" w:lineRule="auto"/>
              <w:ind w:left="144" w:hanging="28"/>
              <w:jc w:val="both"/>
              <w:rPr>
                <w:spacing w:val="-2"/>
                <w:highlight w:val="none"/>
                <w:lang w:val="en-US" w:eastAsia="en-US"/>
              </w:rPr>
            </w:pPr>
            <w:r>
              <w:rPr>
                <w:spacing w:val="-2"/>
                <w:highlight w:val="none"/>
              </w:rPr>
              <w:t>若参数中出现品牌型号，仅供参考，采购人未指定任何品牌及型号</w:t>
            </w:r>
          </w:p>
        </w:tc>
      </w:tr>
      <w:tr w14:paraId="01AD2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vAlign w:val="center"/>
          </w:tcPr>
          <w:p w14:paraId="4581DAB6">
            <w:pPr>
              <w:pStyle w:val="27"/>
              <w:keepLines w:val="0"/>
              <w:pageBreakBefore w:val="0"/>
              <w:kinsoku/>
              <w:wordWrap/>
              <w:overflowPunct/>
              <w:topLinePunct w:val="0"/>
              <w:bidi w:val="0"/>
              <w:spacing w:before="113" w:line="263" w:lineRule="auto"/>
              <w:ind w:left="144" w:hanging="28"/>
              <w:jc w:val="center"/>
              <w:rPr>
                <w:rFonts w:hint="default"/>
                <w:spacing w:val="-2"/>
                <w:highlight w:val="none"/>
                <w:lang w:val="en-US" w:eastAsia="zh-CN"/>
              </w:rPr>
            </w:pPr>
            <w:r>
              <w:rPr>
                <w:rFonts w:hint="eastAsia"/>
                <w:spacing w:val="-2"/>
                <w:highlight w:val="none"/>
                <w:lang w:val="en-US" w:eastAsia="zh-CN"/>
              </w:rPr>
              <w:t>37</w:t>
            </w:r>
          </w:p>
        </w:tc>
        <w:tc>
          <w:tcPr>
            <w:tcW w:w="1452" w:type="dxa"/>
            <w:shd w:val="clear" w:color="auto" w:fill="auto"/>
            <w:vAlign w:val="center"/>
          </w:tcPr>
          <w:p w14:paraId="5B5BE996">
            <w:pPr>
              <w:pStyle w:val="27"/>
              <w:keepLines w:val="0"/>
              <w:pageBreakBefore w:val="0"/>
              <w:kinsoku/>
              <w:wordWrap/>
              <w:overflowPunct/>
              <w:topLinePunct w:val="0"/>
              <w:bidi w:val="0"/>
              <w:spacing w:before="113" w:line="263" w:lineRule="auto"/>
              <w:ind w:left="144" w:hanging="28"/>
              <w:jc w:val="center"/>
              <w:rPr>
                <w:spacing w:val="-2"/>
                <w:highlight w:val="none"/>
                <w:lang w:val="en-US" w:eastAsia="en-US"/>
              </w:rPr>
            </w:pPr>
            <w:r>
              <w:rPr>
                <w:rFonts w:hint="eastAsia"/>
                <w:spacing w:val="-2"/>
                <w:highlight w:val="none"/>
                <w:lang w:val="en-US" w:eastAsia="zh-CN"/>
              </w:rPr>
              <w:t>政策落实</w:t>
            </w:r>
          </w:p>
        </w:tc>
        <w:tc>
          <w:tcPr>
            <w:tcW w:w="7778" w:type="dxa"/>
            <w:shd w:val="clear" w:color="auto" w:fill="auto"/>
            <w:vAlign w:val="center"/>
          </w:tcPr>
          <w:p w14:paraId="17AD3669">
            <w:pPr>
              <w:pStyle w:val="27"/>
              <w:keepLines w:val="0"/>
              <w:pageBreakBefore w:val="0"/>
              <w:kinsoku/>
              <w:wordWrap/>
              <w:overflowPunct/>
              <w:topLinePunct w:val="0"/>
              <w:bidi w:val="0"/>
              <w:spacing w:before="113" w:line="263" w:lineRule="auto"/>
              <w:ind w:left="144" w:hanging="28"/>
              <w:jc w:val="left"/>
              <w:rPr>
                <w:rFonts w:hint="eastAsia"/>
                <w:b/>
                <w:bCs/>
                <w:spacing w:val="-2"/>
                <w:highlight w:val="none"/>
                <w:lang w:val="en-US" w:eastAsia="zh-CN"/>
              </w:rPr>
            </w:pPr>
            <w:r>
              <w:rPr>
                <w:rFonts w:hint="eastAsia"/>
                <w:b/>
                <w:bCs/>
                <w:spacing w:val="-2"/>
                <w:highlight w:val="none"/>
                <w:lang w:val="en-US" w:eastAsia="zh-CN"/>
              </w:rPr>
              <w:t>【标项4】</w:t>
            </w:r>
          </w:p>
          <w:p w14:paraId="026A3CCE">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根据关于贯彻落实《国务院办公厅关于在政府采购中实施本国产品标准及相关政策的通知》的意见，对本国产品的报价给予20%的价格扣除。供应商应逐项填写《关于符合本国产品标准的声明函》。</w:t>
            </w:r>
          </w:p>
        </w:tc>
      </w:tr>
      <w:tr w14:paraId="1BF40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top"/>
          </w:tcPr>
          <w:p w14:paraId="778D44AD">
            <w:pPr>
              <w:pStyle w:val="27"/>
              <w:keepLines w:val="0"/>
              <w:pageBreakBefore w:val="0"/>
              <w:kinsoku/>
              <w:wordWrap/>
              <w:overflowPunct/>
              <w:topLinePunct w:val="0"/>
              <w:bidi w:val="0"/>
              <w:spacing w:before="113" w:line="263" w:lineRule="auto"/>
              <w:jc w:val="both"/>
              <w:rPr>
                <w:rFonts w:hint="eastAsia"/>
                <w:spacing w:val="-2"/>
                <w:highlight w:val="none"/>
                <w:lang w:val="en-US" w:eastAsia="zh-CN"/>
              </w:rPr>
            </w:pPr>
          </w:p>
          <w:p w14:paraId="3AA0F3B6">
            <w:pPr>
              <w:pStyle w:val="27"/>
              <w:keepLines w:val="0"/>
              <w:pageBreakBefore w:val="0"/>
              <w:kinsoku/>
              <w:wordWrap/>
              <w:overflowPunct/>
              <w:topLinePunct w:val="0"/>
              <w:bidi w:val="0"/>
              <w:spacing w:before="113" w:line="263" w:lineRule="auto"/>
              <w:ind w:left="144" w:hanging="28"/>
              <w:jc w:val="center"/>
              <w:rPr>
                <w:rFonts w:hint="eastAsia"/>
                <w:spacing w:val="-2"/>
                <w:highlight w:val="none"/>
                <w:lang w:val="en-US" w:eastAsia="zh-CN"/>
              </w:rPr>
            </w:pPr>
          </w:p>
          <w:p w14:paraId="23DD1D53">
            <w:pPr>
              <w:pStyle w:val="27"/>
              <w:keepLines w:val="0"/>
              <w:pageBreakBefore w:val="0"/>
              <w:kinsoku/>
              <w:wordWrap/>
              <w:overflowPunct/>
              <w:topLinePunct w:val="0"/>
              <w:bidi w:val="0"/>
              <w:spacing w:before="113" w:line="263" w:lineRule="auto"/>
              <w:ind w:left="144" w:hanging="28"/>
              <w:jc w:val="center"/>
              <w:rPr>
                <w:rFonts w:hint="default"/>
                <w:spacing w:val="-2"/>
                <w:highlight w:val="none"/>
                <w:lang w:val="en-US" w:eastAsia="zh-CN"/>
              </w:rPr>
            </w:pPr>
            <w:r>
              <w:rPr>
                <w:rFonts w:hint="eastAsia"/>
                <w:spacing w:val="-2"/>
                <w:highlight w:val="none"/>
                <w:lang w:val="en-US" w:eastAsia="zh-CN"/>
              </w:rPr>
              <w:t>38</w:t>
            </w:r>
          </w:p>
        </w:tc>
        <w:tc>
          <w:tcPr>
            <w:tcW w:w="1452" w:type="dxa"/>
            <w:shd w:val="clear" w:color="auto" w:fill="auto"/>
            <w:vAlign w:val="top"/>
          </w:tcPr>
          <w:p w14:paraId="16CAD182">
            <w:pPr>
              <w:pStyle w:val="27"/>
              <w:keepLines w:val="0"/>
              <w:pageBreakBefore w:val="0"/>
              <w:kinsoku/>
              <w:wordWrap/>
              <w:overflowPunct/>
              <w:topLinePunct w:val="0"/>
              <w:bidi w:val="0"/>
              <w:spacing w:before="113" w:line="263" w:lineRule="auto"/>
              <w:jc w:val="both"/>
              <w:rPr>
                <w:rFonts w:hint="eastAsia"/>
                <w:spacing w:val="-2"/>
                <w:highlight w:val="none"/>
                <w:lang w:val="en-US" w:eastAsia="zh-CN"/>
              </w:rPr>
            </w:pPr>
          </w:p>
          <w:p w14:paraId="16F448E2">
            <w:pPr>
              <w:pStyle w:val="27"/>
              <w:keepLines w:val="0"/>
              <w:pageBreakBefore w:val="0"/>
              <w:kinsoku/>
              <w:wordWrap/>
              <w:overflowPunct/>
              <w:topLinePunct w:val="0"/>
              <w:bidi w:val="0"/>
              <w:spacing w:before="113" w:line="263" w:lineRule="auto"/>
              <w:ind w:left="144" w:hanging="28"/>
              <w:jc w:val="center"/>
              <w:rPr>
                <w:rFonts w:hint="eastAsia"/>
                <w:spacing w:val="-2"/>
                <w:highlight w:val="none"/>
                <w:lang w:val="en-US" w:eastAsia="zh-CN"/>
              </w:rPr>
            </w:pPr>
            <w:r>
              <w:rPr>
                <w:rFonts w:hint="eastAsia"/>
                <w:spacing w:val="-2"/>
                <w:highlight w:val="none"/>
                <w:lang w:val="en-US" w:eastAsia="zh-CN"/>
              </w:rPr>
              <w:t>投标文件签字或盖章要求</w:t>
            </w:r>
          </w:p>
        </w:tc>
        <w:tc>
          <w:tcPr>
            <w:tcW w:w="7778" w:type="dxa"/>
            <w:shd w:val="clear" w:color="auto" w:fill="auto"/>
            <w:vAlign w:val="top"/>
          </w:tcPr>
          <w:p w14:paraId="014707E9">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1.招标文件要求供应商法定代表人或者被授权代表签字处，均须加盖其个人电子印章，并逐页加盖单位公章的电子印章。</w:t>
            </w:r>
          </w:p>
          <w:p w14:paraId="25F07A23">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2.被授权代表人签章的，投标文件应附法人授权委托书。</w:t>
            </w:r>
          </w:p>
          <w:p w14:paraId="0F4BBE92">
            <w:pPr>
              <w:pStyle w:val="27"/>
              <w:keepLines w:val="0"/>
              <w:pageBreakBefore w:val="0"/>
              <w:kinsoku/>
              <w:wordWrap/>
              <w:overflowPunct/>
              <w:topLinePunct w:val="0"/>
              <w:bidi w:val="0"/>
              <w:spacing w:before="113" w:line="263" w:lineRule="auto"/>
              <w:ind w:left="144" w:hanging="28"/>
              <w:jc w:val="left"/>
              <w:rPr>
                <w:rFonts w:hint="eastAsia"/>
                <w:spacing w:val="-2"/>
                <w:highlight w:val="none"/>
                <w:lang w:val="en-US" w:eastAsia="zh-CN"/>
              </w:rPr>
            </w:pPr>
            <w:r>
              <w:rPr>
                <w:rFonts w:hint="eastAsia"/>
                <w:spacing w:val="-2"/>
                <w:highlight w:val="none"/>
                <w:lang w:val="en-US" w:eastAsia="zh-CN"/>
              </w:rPr>
              <w:t>3.供应商在投标文件以及相关书面文件中的单位盖章(包括印章、公章等)均指与供应商名称全称相一致的标准公章，不得使用其他形式(如带有“专用章 ”、“合同章 ”、“财务章 ”、“业务章 ”等)的印章。</w:t>
            </w:r>
          </w:p>
        </w:tc>
      </w:tr>
      <w:tr w14:paraId="15283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top"/>
          </w:tcPr>
          <w:p w14:paraId="3CB465F6">
            <w:pPr>
              <w:spacing w:line="292" w:lineRule="auto"/>
              <w:rPr>
                <w:rFonts w:ascii="Arial"/>
                <w:b w:val="0"/>
                <w:bCs w:val="0"/>
                <w:color w:val="000000" w:themeColor="text1"/>
                <w:sz w:val="21"/>
                <w:highlight w:val="none"/>
                <w14:textFill>
                  <w14:solidFill>
                    <w14:schemeClr w14:val="tx1"/>
                  </w14:solidFill>
                </w14:textFill>
              </w:rPr>
            </w:pPr>
          </w:p>
          <w:p w14:paraId="07FF8153">
            <w:pPr>
              <w:spacing w:line="292" w:lineRule="auto"/>
              <w:rPr>
                <w:rFonts w:ascii="Arial"/>
                <w:b w:val="0"/>
                <w:bCs w:val="0"/>
                <w:color w:val="000000" w:themeColor="text1"/>
                <w:sz w:val="21"/>
                <w:highlight w:val="none"/>
                <w14:textFill>
                  <w14:solidFill>
                    <w14:schemeClr w14:val="tx1"/>
                  </w14:solidFill>
                </w14:textFill>
              </w:rPr>
            </w:pPr>
          </w:p>
          <w:p w14:paraId="75BF0778">
            <w:pPr>
              <w:spacing w:line="292" w:lineRule="auto"/>
              <w:rPr>
                <w:rFonts w:ascii="Arial"/>
                <w:b w:val="0"/>
                <w:bCs w:val="0"/>
                <w:color w:val="000000" w:themeColor="text1"/>
                <w:sz w:val="21"/>
                <w:highlight w:val="none"/>
                <w14:textFill>
                  <w14:solidFill>
                    <w14:schemeClr w14:val="tx1"/>
                  </w14:solidFill>
                </w14:textFill>
              </w:rPr>
            </w:pPr>
          </w:p>
          <w:p w14:paraId="1310AF79">
            <w:pPr>
              <w:pStyle w:val="27"/>
              <w:spacing w:before="79"/>
              <w:ind w:left="252" w:leftChars="0"/>
              <w:rPr>
                <w:rFonts w:hint="default" w:ascii="仿宋" w:hAnsi="仿宋" w:eastAsia="仿宋" w:cs="仿宋"/>
                <w:b w:val="0"/>
                <w:bCs w:val="0"/>
                <w:snapToGrid w:val="0"/>
                <w:color w:val="000000" w:themeColor="text1"/>
                <w:kern w:val="0"/>
                <w:sz w:val="24"/>
                <w:szCs w:val="24"/>
                <w:highlight w:val="none"/>
                <w:lang w:val="en-US" w:eastAsia="zh-CN" w:bidi="ar-SA"/>
                <w14:textFill>
                  <w14:solidFill>
                    <w14:schemeClr w14:val="tx1"/>
                  </w14:solidFill>
                </w14:textFill>
              </w:rPr>
            </w:pPr>
            <w:r>
              <w:rPr>
                <w:rFonts w:hint="eastAsia"/>
                <w:b w:val="0"/>
                <w:bCs w:val="0"/>
                <w:color w:val="000000" w:themeColor="text1"/>
                <w:spacing w:val="-6"/>
                <w:highlight w:val="none"/>
                <w:lang w:val="en-US" w:eastAsia="zh-CN"/>
                <w14:textFill>
                  <w14:solidFill>
                    <w14:schemeClr w14:val="tx1"/>
                  </w14:solidFill>
                </w14:textFill>
              </w:rPr>
              <w:t>39</w:t>
            </w:r>
          </w:p>
        </w:tc>
        <w:tc>
          <w:tcPr>
            <w:tcW w:w="1452" w:type="dxa"/>
            <w:shd w:val="clear" w:color="auto" w:fill="auto"/>
            <w:vAlign w:val="top"/>
          </w:tcPr>
          <w:p w14:paraId="61F1AEBA">
            <w:pPr>
              <w:spacing w:line="298" w:lineRule="auto"/>
              <w:rPr>
                <w:rFonts w:ascii="Arial"/>
                <w:b w:val="0"/>
                <w:bCs w:val="0"/>
                <w:color w:val="000000" w:themeColor="text1"/>
                <w:sz w:val="21"/>
                <w:highlight w:val="none"/>
                <w14:textFill>
                  <w14:solidFill>
                    <w14:schemeClr w14:val="tx1"/>
                  </w14:solidFill>
                </w14:textFill>
              </w:rPr>
            </w:pPr>
          </w:p>
          <w:p w14:paraId="546D7CF4">
            <w:pPr>
              <w:spacing w:line="298" w:lineRule="auto"/>
              <w:rPr>
                <w:rFonts w:ascii="Arial"/>
                <w:b w:val="0"/>
                <w:bCs w:val="0"/>
                <w:color w:val="000000" w:themeColor="text1"/>
                <w:sz w:val="21"/>
                <w:highlight w:val="none"/>
                <w14:textFill>
                  <w14:solidFill>
                    <w14:schemeClr w14:val="tx1"/>
                  </w14:solidFill>
                </w14:textFill>
              </w:rPr>
            </w:pPr>
          </w:p>
          <w:p w14:paraId="503A3591">
            <w:pPr>
              <w:spacing w:line="298" w:lineRule="auto"/>
              <w:rPr>
                <w:rFonts w:ascii="Arial"/>
                <w:b w:val="0"/>
                <w:bCs w:val="0"/>
                <w:color w:val="000000" w:themeColor="text1"/>
                <w:sz w:val="21"/>
                <w:highlight w:val="none"/>
                <w14:textFill>
                  <w14:solidFill>
                    <w14:schemeClr w14:val="tx1"/>
                  </w14:solidFill>
                </w14:textFill>
              </w:rPr>
            </w:pPr>
          </w:p>
          <w:p w14:paraId="78FAE08C">
            <w:pPr>
              <w:pStyle w:val="27"/>
              <w:spacing w:before="78" w:line="219" w:lineRule="auto"/>
              <w:ind w:left="259" w:leftChars="0"/>
              <w:rPr>
                <w:rFonts w:hint="eastAsia" w:ascii="仿宋" w:hAnsi="仿宋" w:eastAsia="仿宋" w:cs="仿宋"/>
                <w:b w:val="0"/>
                <w:bCs w:val="0"/>
                <w:snapToGrid w:val="0"/>
                <w:color w:val="000000" w:themeColor="text1"/>
                <w:kern w:val="0"/>
                <w:sz w:val="24"/>
                <w:szCs w:val="24"/>
                <w:highlight w:val="none"/>
                <w:lang w:val="en-US" w:eastAsia="zh-CN" w:bidi="ar-SA"/>
                <w14:textFill>
                  <w14:solidFill>
                    <w14:schemeClr w14:val="tx1"/>
                  </w14:solidFill>
                </w14:textFill>
              </w:rPr>
            </w:pPr>
            <w:r>
              <w:rPr>
                <w:b w:val="0"/>
                <w:bCs w:val="0"/>
                <w:color w:val="000000" w:themeColor="text1"/>
                <w:spacing w:val="-2"/>
                <w:highlight w:val="none"/>
                <w14:textFill>
                  <w14:solidFill>
                    <w14:schemeClr w14:val="tx1"/>
                  </w14:solidFill>
                </w14:textFill>
              </w:rPr>
              <w:t>投标文件解密时间</w:t>
            </w:r>
          </w:p>
        </w:tc>
        <w:tc>
          <w:tcPr>
            <w:tcW w:w="7778" w:type="dxa"/>
            <w:shd w:val="clear" w:color="auto" w:fill="auto"/>
            <w:vAlign w:val="top"/>
          </w:tcPr>
          <w:p w14:paraId="16CEC5FA">
            <w:pPr>
              <w:pStyle w:val="27"/>
              <w:spacing w:before="88" w:line="265" w:lineRule="auto"/>
              <w:ind w:left="115" w:leftChars="0" w:right="34" w:rightChars="0"/>
              <w:jc w:val="both"/>
              <w:rPr>
                <w:rFonts w:hint="default" w:ascii="仿宋" w:hAnsi="仿宋" w:eastAsia="仿宋" w:cs="仿宋"/>
                <w:snapToGrid w:val="0"/>
                <w:color w:val="000000" w:themeColor="text1"/>
                <w:kern w:val="0"/>
                <w:sz w:val="24"/>
                <w:szCs w:val="24"/>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供应商应当在投标文件提交截止时间前，将生成的“</w:t>
            </w:r>
            <w:r>
              <w:rPr>
                <w:color w:val="000000" w:themeColor="text1"/>
                <w:spacing w:val="-73"/>
                <w:highlight w:val="none"/>
                <w14:textFill>
                  <w14:solidFill>
                    <w14:schemeClr w14:val="tx1"/>
                  </w14:solidFill>
                </w14:textFill>
              </w:rPr>
              <w:t xml:space="preserve"> </w:t>
            </w:r>
            <w:r>
              <w:rPr>
                <w:color w:val="000000" w:themeColor="text1"/>
                <w:highlight w:val="none"/>
                <w14:textFill>
                  <w14:solidFill>
                    <w14:schemeClr w14:val="tx1"/>
                  </w14:solidFill>
                </w14:textFill>
              </w:rPr>
              <w:t>电子加密</w:t>
            </w:r>
            <w:r>
              <w:rPr>
                <w:color w:val="000000" w:themeColor="text1"/>
                <w:spacing w:val="-1"/>
                <w:highlight w:val="none"/>
                <w14:textFill>
                  <w14:solidFill>
                    <w14:schemeClr w14:val="tx1"/>
                  </w14:solidFill>
                </w14:textFill>
              </w:rPr>
              <w:t>投标文件</w:t>
            </w:r>
            <w:r>
              <w:rPr>
                <w:color w:val="000000" w:themeColor="text1"/>
                <w:spacing w:val="-79"/>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”上传递交至“政府采购云平台</w:t>
            </w:r>
            <w:r>
              <w:rPr>
                <w:color w:val="000000" w:themeColor="text1"/>
                <w:spacing w:val="-88"/>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”。投标文件提交截</w:t>
            </w:r>
            <w:r>
              <w:rPr>
                <w:color w:val="000000" w:themeColor="text1"/>
                <w:spacing w:val="-5"/>
                <w:highlight w:val="none"/>
                <w14:textFill>
                  <w14:solidFill>
                    <w14:schemeClr w14:val="tx1"/>
                  </w14:solidFill>
                </w14:textFill>
              </w:rPr>
              <w:t>止时间以后上传提交的投标文件将被“政府采购云</w:t>
            </w:r>
            <w:r>
              <w:rPr>
                <w:color w:val="000000" w:themeColor="text1"/>
                <w:spacing w:val="-6"/>
                <w:highlight w:val="none"/>
                <w14:textFill>
                  <w14:solidFill>
                    <w14:schemeClr w14:val="tx1"/>
                  </w14:solidFill>
                </w14:textFill>
              </w:rPr>
              <w:t>平台</w:t>
            </w:r>
            <w:r>
              <w:rPr>
                <w:color w:val="000000" w:themeColor="text1"/>
                <w:spacing w:val="-88"/>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”拒收。</w:t>
            </w:r>
            <w:r>
              <w:rPr>
                <w:color w:val="000000" w:themeColor="text1"/>
                <w:spacing w:val="-10"/>
                <w:highlight w:val="none"/>
                <w14:textFill>
                  <w14:solidFill>
                    <w14:schemeClr w14:val="tx1"/>
                  </w14:solidFill>
                </w14:textFill>
              </w:rPr>
              <w:t>投标文件开启时间后</w:t>
            </w:r>
            <w:r>
              <w:rPr>
                <w:color w:val="000000" w:themeColor="text1"/>
                <w:spacing w:val="-43"/>
                <w:highlight w:val="none"/>
                <w14:textFill>
                  <w14:solidFill>
                    <w14:schemeClr w14:val="tx1"/>
                  </w14:solidFill>
                </w14:textFill>
              </w:rPr>
              <w:t xml:space="preserve"> </w:t>
            </w:r>
            <w:r>
              <w:rPr>
                <w:color w:val="000000" w:themeColor="text1"/>
                <w:spacing w:val="-10"/>
                <w:highlight w:val="none"/>
                <w14:textFill>
                  <w14:solidFill>
                    <w14:schemeClr w14:val="tx1"/>
                  </w14:solidFill>
                </w14:textFill>
              </w:rPr>
              <w:t>30</w:t>
            </w:r>
            <w:r>
              <w:rPr>
                <w:color w:val="000000" w:themeColor="text1"/>
                <w:spacing w:val="-48"/>
                <w:highlight w:val="none"/>
                <w14:textFill>
                  <w14:solidFill>
                    <w14:schemeClr w14:val="tx1"/>
                  </w14:solidFill>
                </w14:textFill>
              </w:rPr>
              <w:t xml:space="preserve"> </w:t>
            </w:r>
            <w:r>
              <w:rPr>
                <w:color w:val="000000" w:themeColor="text1"/>
                <w:spacing w:val="-10"/>
                <w:highlight w:val="none"/>
                <w14:textFill>
                  <w14:solidFill>
                    <w14:schemeClr w14:val="tx1"/>
                  </w14:solidFill>
                </w14:textFill>
              </w:rPr>
              <w:t>分钟内供应商可以登录“政采</w:t>
            </w:r>
            <w:r>
              <w:rPr>
                <w:color w:val="000000" w:themeColor="text1"/>
                <w:spacing w:val="-11"/>
                <w:highlight w:val="none"/>
                <w14:textFill>
                  <w14:solidFill>
                    <w14:schemeClr w14:val="tx1"/>
                  </w14:solidFill>
                </w14:textFill>
              </w:rPr>
              <w:t>云</w:t>
            </w:r>
            <w:r>
              <w:rPr>
                <w:color w:val="000000" w:themeColor="text1"/>
                <w:spacing w:val="-88"/>
                <w:highlight w:val="none"/>
                <w14:textFill>
                  <w14:solidFill>
                    <w14:schemeClr w14:val="tx1"/>
                  </w14:solidFill>
                </w14:textFill>
              </w:rPr>
              <w:t xml:space="preserve"> </w:t>
            </w:r>
            <w:r>
              <w:rPr>
                <w:color w:val="000000" w:themeColor="text1"/>
                <w:spacing w:val="-11"/>
                <w:highlight w:val="none"/>
                <w14:textFill>
                  <w14:solidFill>
                    <w14:schemeClr w14:val="tx1"/>
                  </w14:solidFill>
                </w14:textFill>
              </w:rPr>
              <w:t>”平台，</w:t>
            </w:r>
            <w:r>
              <w:rPr>
                <w:color w:val="000000" w:themeColor="text1"/>
                <w:spacing w:val="-4"/>
                <w:highlight w:val="none"/>
                <w14:textFill>
                  <w14:solidFill>
                    <w14:schemeClr w14:val="tx1"/>
                  </w14:solidFill>
                </w14:textFill>
              </w:rPr>
              <w:t>用“项目采购-开标评标</w:t>
            </w:r>
            <w:r>
              <w:rPr>
                <w:color w:val="000000" w:themeColor="text1"/>
                <w:spacing w:val="-82"/>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”功能进行解密投标文件。若供应商在</w:t>
            </w:r>
            <w:r>
              <w:rPr>
                <w:color w:val="000000" w:themeColor="text1"/>
                <w:highlight w:val="none"/>
                <w14:textFill>
                  <w14:solidFill>
                    <w14:schemeClr w14:val="tx1"/>
                  </w14:solidFill>
                </w14:textFill>
              </w:rPr>
              <w:t>规定时间内未按时解密的，视为投标文件撤回。</w:t>
            </w:r>
            <w:r>
              <w:rPr>
                <w:rFonts w:hint="eastAsia"/>
                <w:color w:val="000000" w:themeColor="text1"/>
                <w:highlight w:val="none"/>
                <w:lang w:val="en-US" w:eastAsia="zh-CN"/>
                <w14:textFill>
                  <w14:solidFill>
                    <w14:schemeClr w14:val="tx1"/>
                  </w14:solidFill>
                </w14:textFill>
              </w:rPr>
              <w:t>报价确认10分钟，超时未确认视同认可报价。</w:t>
            </w:r>
          </w:p>
        </w:tc>
      </w:tr>
      <w:tr w14:paraId="50CAC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516" w:type="dxa"/>
            <w:shd w:val="clear" w:color="auto" w:fill="auto"/>
            <w:vAlign w:val="center"/>
          </w:tcPr>
          <w:p w14:paraId="2F8DD3FF">
            <w:pPr>
              <w:pStyle w:val="27"/>
              <w:spacing w:before="78" w:line="180" w:lineRule="auto"/>
              <w:ind w:left="263" w:leftChars="0"/>
              <w:jc w:val="both"/>
              <w:rPr>
                <w:rFonts w:hint="default" w:ascii="仿宋" w:hAnsi="仿宋" w:eastAsia="仿宋" w:cs="仿宋"/>
                <w:snapToGrid w:val="0"/>
                <w:color w:val="000000"/>
                <w:spacing w:val="-7"/>
                <w:kern w:val="0"/>
                <w:sz w:val="24"/>
                <w:szCs w:val="24"/>
                <w:highlight w:val="none"/>
                <w:lang w:val="en-US" w:eastAsia="zh-CN" w:bidi="ar-SA"/>
              </w:rPr>
            </w:pPr>
            <w:r>
              <w:rPr>
                <w:rFonts w:hint="eastAsia"/>
                <w:spacing w:val="-7"/>
                <w:highlight w:val="none"/>
                <w:lang w:val="en-US" w:eastAsia="zh-CN"/>
              </w:rPr>
              <w:t>40</w:t>
            </w:r>
          </w:p>
        </w:tc>
        <w:tc>
          <w:tcPr>
            <w:tcW w:w="1452" w:type="dxa"/>
            <w:shd w:val="clear" w:color="auto" w:fill="auto"/>
            <w:vAlign w:val="center"/>
          </w:tcPr>
          <w:p w14:paraId="69248B64">
            <w:pPr>
              <w:pStyle w:val="27"/>
              <w:spacing w:before="78" w:line="222" w:lineRule="auto"/>
              <w:jc w:val="both"/>
              <w:rPr>
                <w:b/>
                <w:bCs/>
                <w:spacing w:val="-7"/>
                <w:highlight w:val="none"/>
              </w:rPr>
            </w:pPr>
            <w:r>
              <w:rPr>
                <w:rFonts w:hint="eastAsia"/>
                <w:b/>
                <w:bCs/>
                <w:spacing w:val="-7"/>
                <w:highlight w:val="none"/>
                <w:lang w:val="en-US" w:eastAsia="zh-CN"/>
              </w:rPr>
              <w:t>无效投标条款</w:t>
            </w:r>
          </w:p>
          <w:p w14:paraId="4F67D8CC">
            <w:pPr>
              <w:pStyle w:val="27"/>
              <w:spacing w:before="78" w:line="222" w:lineRule="auto"/>
              <w:ind w:left="567" w:leftChars="0"/>
              <w:jc w:val="both"/>
              <w:rPr>
                <w:rFonts w:ascii="仿宋" w:hAnsi="仿宋" w:eastAsia="仿宋" w:cs="仿宋"/>
                <w:b/>
                <w:bCs/>
                <w:snapToGrid w:val="0"/>
                <w:color w:val="000000"/>
                <w:spacing w:val="-7"/>
                <w:kern w:val="0"/>
                <w:sz w:val="24"/>
                <w:szCs w:val="24"/>
                <w:highlight w:val="none"/>
                <w:lang w:val="en-US" w:eastAsia="en-US" w:bidi="ar-SA"/>
              </w:rPr>
            </w:pPr>
          </w:p>
        </w:tc>
        <w:tc>
          <w:tcPr>
            <w:tcW w:w="7778" w:type="dxa"/>
            <w:shd w:val="clear" w:color="auto" w:fill="auto"/>
            <w:vAlign w:val="top"/>
          </w:tcPr>
          <w:p w14:paraId="65579C05">
            <w:pPr>
              <w:pStyle w:val="27"/>
              <w:spacing w:before="36" w:line="299" w:lineRule="auto"/>
              <w:ind w:left="115" w:right="94"/>
              <w:jc w:val="both"/>
              <w:rPr>
                <w:rFonts w:hint="default"/>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不同投标人的电子投标文件（包含上传的所有 PDF 文件）由同一台计算机编制、创建或上传，即出现作者信息、IP 地址、MAC 地址等关键技术标识信息一致，其投标视为无效</w:t>
            </w:r>
            <w:r>
              <w:rPr>
                <w:rFonts w:hint="default"/>
                <w:color w:val="000000" w:themeColor="text1"/>
                <w:highlight w:val="none"/>
                <w:lang w:val="en-US" w:eastAsia="zh-CN"/>
                <w14:textFill>
                  <w14:solidFill>
                    <w14:schemeClr w14:val="tx1"/>
                  </w14:solidFill>
                </w14:textFill>
              </w:rPr>
              <w:t>。</w:t>
            </w:r>
          </w:p>
          <w:p w14:paraId="3CE7DFFA">
            <w:pPr>
              <w:pStyle w:val="27"/>
              <w:spacing w:before="36" w:line="299" w:lineRule="auto"/>
              <w:ind w:left="115" w:leftChars="0" w:right="94" w:rightChars="0"/>
              <w:jc w:val="both"/>
              <w:rPr>
                <w:rFonts w:hint="default" w:ascii="仿宋" w:hAnsi="仿宋" w:eastAsia="仿宋" w:cs="仿宋"/>
                <w:snapToGrid w:val="0"/>
                <w:color w:val="000000" w:themeColor="text1"/>
                <w:kern w:val="0"/>
                <w:sz w:val="24"/>
                <w:szCs w:val="24"/>
                <w:highlight w:val="none"/>
                <w:lang w:val="en-US" w:eastAsia="zh-CN" w:bidi="ar-SA"/>
                <w14:textFill>
                  <w14:solidFill>
                    <w14:schemeClr w14:val="tx1"/>
                  </w14:solidFill>
                </w14:textFill>
              </w:rPr>
            </w:pPr>
            <w:r>
              <w:rPr>
                <w:rFonts w:hint="default"/>
                <w:b/>
                <w:bCs/>
                <w:color w:val="FF0000"/>
                <w:highlight w:val="none"/>
                <w:lang w:val="en-US" w:eastAsia="zh-CN"/>
              </w:rPr>
              <w:t>注：作者信息是指上传的 PDF 电子投标文件的文档属性作者名字，如果一致，其投标视为无效；如果作者名字为 Administrator、Admin、Guest 等电脑默认作者时，评审专家根据标书情况综合评判其投标是否无效。</w:t>
            </w:r>
          </w:p>
        </w:tc>
      </w:tr>
    </w:tbl>
    <w:p w14:paraId="70993B83">
      <w:pPr>
        <w:widowControl w:val="0"/>
        <w:spacing w:line="360" w:lineRule="auto"/>
        <w:ind w:right="-733"/>
        <w:jc w:val="both"/>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本</w:t>
      </w:r>
      <w:r>
        <w:rPr>
          <w:rFonts w:hint="eastAsia" w:ascii="宋体" w:hAnsi="宋体" w:eastAsia="宋体" w:cs="宋体"/>
          <w:b/>
          <w:bCs/>
          <w:kern w:val="2"/>
          <w:sz w:val="21"/>
          <w:szCs w:val="21"/>
          <w:highlight w:val="none"/>
          <w:lang w:val="en-US" w:eastAsia="zh-CN" w:bidi="ar-SA"/>
        </w:rPr>
        <w:t>表是本招标项目的具体资料，是对投标人须知的具体补充和修改，如有矛盾，以本资料表为准。</w:t>
      </w:r>
    </w:p>
    <w:p w14:paraId="2EF44FED">
      <w:pPr>
        <w:pStyle w:val="9"/>
        <w:keepLines w:val="0"/>
        <w:pageBreakBefore w:val="0"/>
        <w:kinsoku/>
        <w:wordWrap/>
        <w:overflowPunct/>
        <w:topLinePunct w:val="0"/>
        <w:bidi w:val="0"/>
        <w:spacing w:line="398" w:lineRule="auto"/>
        <w:rPr>
          <w:highlight w:val="none"/>
        </w:rPr>
      </w:pPr>
    </w:p>
    <w:p w14:paraId="36CDBDB8">
      <w:pPr>
        <w:keepLines w:val="0"/>
        <w:pageBreakBefore w:val="0"/>
        <w:kinsoku/>
        <w:wordWrap/>
        <w:overflowPunct/>
        <w:topLinePunct w:val="0"/>
        <w:bidi w:val="0"/>
        <w:spacing w:before="65" w:line="232" w:lineRule="auto"/>
        <w:ind w:left="4494"/>
        <w:outlineLvl w:val="1"/>
        <w:rPr>
          <w:rFonts w:ascii="仿宋" w:hAnsi="仿宋" w:eastAsia="仿宋" w:cs="仿宋"/>
          <w:b/>
          <w:bCs/>
          <w:spacing w:val="4"/>
          <w:sz w:val="24"/>
          <w:szCs w:val="24"/>
          <w:highlight w:val="none"/>
        </w:rPr>
      </w:pPr>
    </w:p>
    <w:p w14:paraId="4FE34771">
      <w:pPr>
        <w:keepLines w:val="0"/>
        <w:pageBreakBefore w:val="0"/>
        <w:kinsoku/>
        <w:wordWrap/>
        <w:overflowPunct/>
        <w:topLinePunct w:val="0"/>
        <w:bidi w:val="0"/>
        <w:spacing w:before="65" w:line="232" w:lineRule="auto"/>
        <w:ind w:left="4494"/>
        <w:outlineLvl w:val="1"/>
        <w:rPr>
          <w:rFonts w:ascii="仿宋" w:hAnsi="仿宋" w:eastAsia="仿宋" w:cs="仿宋"/>
          <w:b/>
          <w:bCs/>
          <w:spacing w:val="4"/>
          <w:sz w:val="24"/>
          <w:szCs w:val="24"/>
          <w:highlight w:val="none"/>
        </w:rPr>
      </w:pPr>
    </w:p>
    <w:p w14:paraId="1ED2DB76">
      <w:pPr>
        <w:rPr>
          <w:rFonts w:ascii="仿宋" w:hAnsi="仿宋" w:eastAsia="仿宋" w:cs="仿宋"/>
          <w:b/>
          <w:bCs/>
          <w:spacing w:val="4"/>
          <w:sz w:val="24"/>
          <w:szCs w:val="24"/>
          <w:highlight w:val="none"/>
        </w:rPr>
      </w:pPr>
      <w:r>
        <w:rPr>
          <w:rFonts w:ascii="仿宋" w:hAnsi="仿宋" w:eastAsia="仿宋" w:cs="仿宋"/>
          <w:b/>
          <w:bCs/>
          <w:spacing w:val="4"/>
          <w:sz w:val="24"/>
          <w:szCs w:val="24"/>
          <w:highlight w:val="none"/>
        </w:rPr>
        <w:br w:type="page"/>
      </w:r>
    </w:p>
    <w:p w14:paraId="3FBFA59A">
      <w:pPr>
        <w:keepLines w:val="0"/>
        <w:pageBreakBefore w:val="0"/>
        <w:kinsoku/>
        <w:wordWrap/>
        <w:overflowPunct/>
        <w:topLinePunct w:val="0"/>
        <w:bidi w:val="0"/>
        <w:spacing w:before="65" w:line="232" w:lineRule="auto"/>
        <w:ind w:left="4494"/>
        <w:outlineLvl w:val="1"/>
        <w:rPr>
          <w:rFonts w:ascii="仿宋" w:hAnsi="仿宋" w:eastAsia="仿宋" w:cs="仿宋"/>
          <w:sz w:val="24"/>
          <w:szCs w:val="24"/>
          <w:highlight w:val="none"/>
        </w:rPr>
      </w:pPr>
      <w:r>
        <w:rPr>
          <w:rFonts w:ascii="仿宋" w:hAnsi="仿宋" w:eastAsia="仿宋" w:cs="仿宋"/>
          <w:b/>
          <w:bCs/>
          <w:spacing w:val="4"/>
          <w:sz w:val="24"/>
          <w:szCs w:val="24"/>
          <w:highlight w:val="none"/>
        </w:rPr>
        <w:t>一、总则</w:t>
      </w:r>
    </w:p>
    <w:p w14:paraId="75485D6A">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1.适用法律、法规</w:t>
      </w:r>
    </w:p>
    <w:p w14:paraId="2E9F1E5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本招标文件是依据《中华人民共和国政府采购法》《中华人民共和国政府采购法实施条例》《政府采购货物和服务招标投标管理办法》等有关法律、法规、规章和规范性文件的规定，根据本招标项目的特点和需要编制的。</w:t>
      </w:r>
    </w:p>
    <w:p w14:paraId="47C6FBE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2.资金</w:t>
      </w:r>
    </w:p>
    <w:p w14:paraId="449F42B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2.1.本项目实施资金来源为</w:t>
      </w:r>
      <w:r>
        <w:rPr>
          <w:rFonts w:hint="eastAsia" w:ascii="仿宋" w:hAnsi="仿宋" w:eastAsia="仿宋" w:cs="仿宋"/>
          <w:spacing w:val="7"/>
          <w:sz w:val="24"/>
          <w:szCs w:val="24"/>
          <w:highlight w:val="none"/>
        </w:rPr>
        <w:t>202</w:t>
      </w:r>
      <w:r>
        <w:rPr>
          <w:rFonts w:hint="eastAsia" w:ascii="仿宋" w:hAnsi="仿宋" w:eastAsia="仿宋" w:cs="仿宋"/>
          <w:spacing w:val="7"/>
          <w:sz w:val="24"/>
          <w:szCs w:val="24"/>
          <w:highlight w:val="none"/>
          <w:lang w:val="en-US" w:eastAsia="zh-CN"/>
        </w:rPr>
        <w:t>6</w:t>
      </w:r>
      <w:r>
        <w:rPr>
          <w:rFonts w:hint="eastAsia" w:ascii="仿宋" w:hAnsi="仿宋" w:eastAsia="仿宋" w:cs="仿宋"/>
          <w:spacing w:val="7"/>
          <w:sz w:val="24"/>
          <w:szCs w:val="24"/>
          <w:highlight w:val="none"/>
        </w:rPr>
        <w:t>年度援疆资金</w:t>
      </w:r>
      <w:r>
        <w:rPr>
          <w:rFonts w:ascii="仿宋" w:hAnsi="仿宋" w:eastAsia="仿宋" w:cs="仿宋"/>
          <w:spacing w:val="7"/>
          <w:sz w:val="24"/>
          <w:szCs w:val="24"/>
          <w:highlight w:val="none"/>
        </w:rPr>
        <w:t>，计划用于支付本次采购后所签订的合同项下的款项。</w:t>
      </w:r>
    </w:p>
    <w:p w14:paraId="5A9DD98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3.释义</w:t>
      </w:r>
    </w:p>
    <w:p w14:paraId="1F77CEA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、买方、甲方”指</w:t>
      </w:r>
      <w:r>
        <w:rPr>
          <w:rFonts w:hint="eastAsia" w:ascii="仿宋" w:hAnsi="仿宋" w:eastAsia="仿宋" w:cs="仿宋"/>
          <w:spacing w:val="7"/>
          <w:sz w:val="24"/>
          <w:szCs w:val="24"/>
          <w:highlight w:val="none"/>
          <w:lang w:eastAsia="zh-CN"/>
        </w:rPr>
        <w:t>阿克苏市卫生健康委员会</w:t>
      </w:r>
      <w:r>
        <w:rPr>
          <w:rFonts w:ascii="仿宋" w:hAnsi="仿宋" w:eastAsia="仿宋" w:cs="仿宋"/>
          <w:spacing w:val="7"/>
          <w:sz w:val="24"/>
          <w:szCs w:val="24"/>
          <w:highlight w:val="none"/>
        </w:rPr>
        <w:t>；</w:t>
      </w:r>
    </w:p>
    <w:p w14:paraId="1AFD8A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ascii="仿宋" w:hAnsi="仿宋" w:eastAsia="仿宋" w:cs="仿宋"/>
          <w:spacing w:val="7"/>
          <w:sz w:val="24"/>
          <w:szCs w:val="24"/>
          <w:highlight w:val="none"/>
        </w:rPr>
        <w:t>3.2.</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：指为本次招标项目提供招投标服务组织工作的机构</w:t>
      </w:r>
      <w:r>
        <w:rPr>
          <w:rFonts w:hint="eastAsia" w:ascii="仿宋" w:hAnsi="仿宋" w:eastAsia="仿宋" w:cs="仿宋"/>
          <w:spacing w:val="7"/>
          <w:sz w:val="24"/>
          <w:szCs w:val="24"/>
          <w:highlight w:val="none"/>
          <w:lang w:eastAsia="zh-CN"/>
        </w:rPr>
        <w:t>；</w:t>
      </w:r>
    </w:p>
    <w:p w14:paraId="403CC46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3.3.</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：指按照招标文件要求投标并向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提交投标文件的法人</w:t>
      </w:r>
      <w:r>
        <w:rPr>
          <w:rFonts w:hint="eastAsia" w:ascii="仿宋" w:hAnsi="仿宋" w:eastAsia="仿宋" w:cs="仿宋"/>
          <w:spacing w:val="7"/>
          <w:sz w:val="24"/>
          <w:szCs w:val="24"/>
          <w:highlight w:val="none"/>
          <w:lang w:eastAsia="zh-CN"/>
        </w:rPr>
        <w:t>或者其他</w:t>
      </w:r>
      <w:r>
        <w:rPr>
          <w:rFonts w:ascii="仿宋" w:hAnsi="仿宋" w:eastAsia="仿宋" w:cs="仿宋"/>
          <w:spacing w:val="7"/>
          <w:sz w:val="24"/>
          <w:szCs w:val="24"/>
          <w:highlight w:val="none"/>
        </w:rPr>
        <w:t>组织；</w:t>
      </w:r>
    </w:p>
    <w:p w14:paraId="22F34FE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3.4.法人：包括企业法人、机关法人、事业单位法人和社会团体法人；</w:t>
      </w:r>
    </w:p>
    <w:p w14:paraId="288596E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3.5.其他组织：包括合伙企业、非企业专业服务机构、个体工商户、农村承包经营户；</w:t>
      </w:r>
    </w:p>
    <w:p w14:paraId="41F148B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3.6.自然人：指《中华人民共和国民法通则》或《民法总则》规定的具有完全民事行为能力、能够承担民事责任和义务的中国公民。</w:t>
      </w:r>
    </w:p>
    <w:p w14:paraId="5F8F271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3.7.</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、卖方：指依法确定成交资格并授予合同的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w:t>
      </w:r>
    </w:p>
    <w:p w14:paraId="200326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3.8.货物：系指</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按招标文件要求，向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提供的各种形态和种类的物品，包括原材料、设备、产品(包括软件)及相关的备品备件、工具、手册</w:t>
      </w:r>
      <w:r>
        <w:rPr>
          <w:rFonts w:hint="eastAsia" w:ascii="仿宋" w:hAnsi="仿宋" w:eastAsia="仿宋" w:cs="仿宋"/>
          <w:spacing w:val="7"/>
          <w:sz w:val="24"/>
          <w:szCs w:val="24"/>
          <w:highlight w:val="none"/>
          <w:lang w:eastAsia="zh-CN"/>
        </w:rPr>
        <w:t>及其他</w:t>
      </w:r>
      <w:r>
        <w:rPr>
          <w:rFonts w:ascii="仿宋" w:hAnsi="仿宋" w:eastAsia="仿宋" w:cs="仿宋"/>
          <w:spacing w:val="7"/>
          <w:sz w:val="24"/>
          <w:szCs w:val="24"/>
          <w:highlight w:val="none"/>
        </w:rPr>
        <w:t>技术资料和材料。</w:t>
      </w:r>
    </w:p>
    <w:p w14:paraId="48CC19B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3.9.服务：系指招标文件规定</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须承担的安装、调试、技术协助、校准、培训</w:t>
      </w:r>
      <w:r>
        <w:rPr>
          <w:rFonts w:hint="eastAsia" w:ascii="仿宋" w:hAnsi="仿宋" w:eastAsia="仿宋" w:cs="仿宋"/>
          <w:spacing w:val="7"/>
          <w:sz w:val="24"/>
          <w:szCs w:val="24"/>
          <w:highlight w:val="none"/>
          <w:lang w:eastAsia="zh-CN"/>
        </w:rPr>
        <w:t>以及其他</w:t>
      </w:r>
      <w:r>
        <w:rPr>
          <w:rFonts w:ascii="仿宋" w:hAnsi="仿宋" w:eastAsia="仿宋" w:cs="仿宋"/>
          <w:spacing w:val="7"/>
          <w:sz w:val="24"/>
          <w:szCs w:val="24"/>
          <w:highlight w:val="none"/>
        </w:rPr>
        <w:t>类似的义务。</w:t>
      </w:r>
    </w:p>
    <w:p w14:paraId="7693539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3.10.偏离：是指投标文件对招标文件的偏离，即不满足</w:t>
      </w:r>
      <w:r>
        <w:rPr>
          <w:rFonts w:hint="eastAsia" w:ascii="仿宋" w:hAnsi="仿宋" w:eastAsia="仿宋" w:cs="仿宋"/>
          <w:spacing w:val="7"/>
          <w:sz w:val="24"/>
          <w:szCs w:val="24"/>
          <w:highlight w:val="none"/>
          <w:lang w:eastAsia="zh-CN"/>
        </w:rPr>
        <w:t>或</w:t>
      </w:r>
      <w:r>
        <w:rPr>
          <w:rFonts w:ascii="仿宋" w:hAnsi="仿宋" w:eastAsia="仿宋" w:cs="仿宋"/>
          <w:spacing w:val="7"/>
          <w:sz w:val="24"/>
          <w:szCs w:val="24"/>
          <w:highlight w:val="none"/>
        </w:rPr>
        <w:t>不</w:t>
      </w:r>
      <w:r>
        <w:rPr>
          <w:rFonts w:hint="eastAsia" w:ascii="仿宋" w:hAnsi="仿宋" w:eastAsia="仿宋" w:cs="仿宋"/>
          <w:spacing w:val="7"/>
          <w:sz w:val="24"/>
          <w:szCs w:val="24"/>
          <w:highlight w:val="none"/>
          <w:lang w:val="en-US" w:eastAsia="zh-CN"/>
        </w:rPr>
        <w:t>响应</w:t>
      </w:r>
      <w:r>
        <w:rPr>
          <w:rFonts w:ascii="仿宋" w:hAnsi="仿宋" w:eastAsia="仿宋" w:cs="仿宋"/>
          <w:spacing w:val="7"/>
          <w:sz w:val="24"/>
          <w:szCs w:val="24"/>
          <w:highlight w:val="none"/>
        </w:rPr>
        <w:t>招标文件的要求。偏离分为对招标文件的实质性要求条款偏离和对招标文件的一般商务和技术条款（参数）偏离。</w:t>
      </w:r>
    </w:p>
    <w:p w14:paraId="66A4995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3.11.实质性条款：除法律、法规和规章规定外，招标文件中用“拒绝”、“不接受”、“无效”、“不得”、“未</w:t>
      </w:r>
      <w:r>
        <w:rPr>
          <w:rFonts w:hint="eastAsia" w:ascii="仿宋" w:hAnsi="仿宋" w:eastAsia="仿宋" w:cs="仿宋"/>
          <w:spacing w:val="7"/>
          <w:sz w:val="24"/>
          <w:szCs w:val="24"/>
          <w:highlight w:val="none"/>
          <w:lang w:eastAsia="zh-CN"/>
        </w:rPr>
        <w:t>投标</w:t>
      </w:r>
      <w:r>
        <w:rPr>
          <w:rFonts w:ascii="仿宋" w:hAnsi="仿宋" w:eastAsia="仿宋" w:cs="仿宋"/>
          <w:spacing w:val="7"/>
          <w:sz w:val="24"/>
          <w:szCs w:val="24"/>
          <w:highlight w:val="none"/>
        </w:rPr>
        <w:t>”、“废标”等文字规定或标注“★”符号的条款为实质性要求条款，对其中任何一条的偏离，在评审时将其视为无效投标。未用上述文字规定或符号标注的条款为非实质性要求条款(即一般条款)。</w:t>
      </w:r>
    </w:p>
    <w:p w14:paraId="4FF7D9F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3.12.日期、天数、时间：未有特别说明时，均为公历日（天）及北京时间。</w:t>
      </w:r>
    </w:p>
    <w:p w14:paraId="6DB8B48F">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4.★</w:t>
      </w:r>
      <w:r>
        <w:rPr>
          <w:rFonts w:hint="eastAsia" w:ascii="仿宋" w:hAnsi="仿宋" w:eastAsia="仿宋" w:cs="仿宋"/>
          <w:b/>
          <w:bCs/>
          <w:spacing w:val="7"/>
          <w:sz w:val="24"/>
          <w:szCs w:val="24"/>
          <w:highlight w:val="none"/>
          <w:lang w:eastAsia="zh-CN"/>
        </w:rPr>
        <w:t>投标人</w:t>
      </w:r>
      <w:r>
        <w:rPr>
          <w:rFonts w:ascii="仿宋" w:hAnsi="仿宋" w:eastAsia="仿宋" w:cs="仿宋"/>
          <w:b/>
          <w:bCs/>
          <w:spacing w:val="7"/>
          <w:sz w:val="24"/>
          <w:szCs w:val="24"/>
          <w:highlight w:val="none"/>
        </w:rPr>
        <w:t>资格条件</w:t>
      </w:r>
    </w:p>
    <w:p w14:paraId="6CF574E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详见</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须知前附表；</w:t>
      </w:r>
    </w:p>
    <w:p w14:paraId="306861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4.1.符合招标文件中规定的其他特定资格要求；</w:t>
      </w:r>
    </w:p>
    <w:p w14:paraId="7AA9030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须在中国大陆境内有合法的注册登记，符合政府采购法规规定的必备条件，于本文件指定时效内均能满足投标资格及相关重要要求。</w:t>
      </w:r>
    </w:p>
    <w:p w14:paraId="0548711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4.3.属于国内制造商</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满足：在中国大陆合法注册的生产经营性企业，符合行业的生产专业技术条件、标准和履约供应能力，能独立承担主体设备或核心技术的设计与生产安装，具备品质检测技术和手段，具有完善持续可靠和最便利的售后服务保障。国外制造商须在中国大陆设有合法注册的直辖专属机构。</w:t>
      </w:r>
    </w:p>
    <w:p w14:paraId="0034BFA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4.4.属于经销代理资格性质的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满足：合法有效的经营范围，符合投标准入资格和专业技术条件，遵从制造商或其驻中国大陆有授权资格的直辖专属机构所核定的业务范围和供货渠道，能独立承担项目实施与交付验收的一切责任义务，具有完善持续可靠和最便利的售后服务保障。</w:t>
      </w:r>
    </w:p>
    <w:p w14:paraId="33F0F4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4.5.中小企业须符合财库〔2020〕46号文关于中型、小型、微型企业的要求，且在政府采购活动中，</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提供的货物、工程或者服务符合下列情形的，享受中小企业扶持政策：</w:t>
      </w:r>
    </w:p>
    <w:p w14:paraId="58D92A9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(1)在货物采购项目中，货物由中小企业制造，即货物由中小企业生产且使用该中小企业商号或者注册商标；</w:t>
      </w:r>
    </w:p>
    <w:p w14:paraId="4E6A1B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(2)在工程采购项目中，工程由中小企业承建，即工程施工单位为中小企业；</w:t>
      </w:r>
    </w:p>
    <w:p w14:paraId="5AB0F0A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(3)在服务采购项目中，服务由中小企业承接，即提供服务的人员为中小企业依照《中华人民共和国劳动合同法》订立劳动合同的从业人员。在货物采购项目中，</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提供的货物既有中小企业制造货物，也有大型企业制造货物的，不享受中小企业扶持政策。</w:t>
      </w:r>
    </w:p>
    <w:p w14:paraId="05DF41B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4.6.根据《财政部司法部关于政府采购支持监狱企业发展有关问题的通知》（财库〔2014〕68号）的有关规定，监狱企业视同小型、微型企业，享受预留份额、评审中价格扣除等政府采购促进中小企业发展的政府采购政策。向监狱企业采购的金额，计入面向中小企业采购的统计数据。监狱企业参加政府采购活动时，应当提供由省级以上监狱管理局</w:t>
      </w:r>
      <w:r>
        <w:rPr>
          <w:rFonts w:hint="eastAsia" w:ascii="仿宋" w:hAnsi="仿宋" w:eastAsia="仿宋" w:cs="仿宋"/>
          <w:spacing w:val="7"/>
          <w:sz w:val="24"/>
          <w:szCs w:val="24"/>
          <w:highlight w:val="none"/>
          <w:lang w:eastAsia="zh-CN"/>
        </w:rPr>
        <w:t>，</w:t>
      </w:r>
      <w:r>
        <w:rPr>
          <w:rFonts w:ascii="仿宋" w:hAnsi="仿宋" w:eastAsia="仿宋" w:cs="仿宋"/>
          <w:spacing w:val="7"/>
          <w:sz w:val="24"/>
          <w:szCs w:val="24"/>
          <w:highlight w:val="none"/>
        </w:rPr>
        <w:t>戒毒管理局(含新疆生产建设兵团)出具的属于监狱企业的证明文件。</w:t>
      </w:r>
    </w:p>
    <w:p w14:paraId="2459CE3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4.7.根据《财政部民政部中国残疾人联合会关于促进残疾人就业政府采购政策的通知》（财库〔2017〕141号），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残疾人福利性单位声明函》，并对声明的真实性负责。</w:t>
      </w:r>
    </w:p>
    <w:p w14:paraId="11D21CC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4.8.知识产权与保密事项：(1)所有涉及知识产权的产品及设计，</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必须确保采购人拥有其合法的、不受限制的无偿使用权，并免受任何侵权诉讼或索偿，否则，由此产生的一切经济损失和法律责任由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承担。(2)由采购人向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提供的用户需求书、图纸、样品、模型、模件和所有其他资料，</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获得后，应对其保密。除非采购人同意，</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不得向第三方透露或将其用于本次投标以外的任何用途。开标后，若采购人有要求，</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须归还采购人认为需保密的文件和资料，并销毁</w:t>
      </w:r>
      <w:r>
        <w:rPr>
          <w:rFonts w:hint="eastAsia" w:ascii="仿宋" w:hAnsi="仿宋" w:eastAsia="仿宋" w:cs="仿宋"/>
          <w:spacing w:val="7"/>
          <w:sz w:val="24"/>
          <w:szCs w:val="24"/>
          <w:highlight w:val="none"/>
          <w:lang w:eastAsia="zh-CN"/>
        </w:rPr>
        <w:t>所有</w:t>
      </w:r>
      <w:r>
        <w:rPr>
          <w:rFonts w:ascii="仿宋" w:hAnsi="仿宋" w:eastAsia="仿宋" w:cs="仿宋"/>
          <w:spacing w:val="7"/>
          <w:sz w:val="24"/>
          <w:szCs w:val="24"/>
          <w:highlight w:val="none"/>
        </w:rPr>
        <w:t>的备份文件及资料。</w:t>
      </w:r>
    </w:p>
    <w:p w14:paraId="2654A13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4.9.</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参加投标不得存在下列情形之一：</w:t>
      </w:r>
    </w:p>
    <w:p w14:paraId="397A1F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(1)</w:t>
      </w:r>
      <w:r>
        <w:rPr>
          <w:rFonts w:ascii="仿宋" w:hAnsi="仿宋" w:eastAsia="仿宋" w:cs="仿宋"/>
          <w:spacing w:val="7"/>
          <w:sz w:val="24"/>
          <w:szCs w:val="24"/>
          <w:highlight w:val="none"/>
        </w:rPr>
        <w:t>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存在隶属关系或者其他利害关系；</w:t>
      </w:r>
    </w:p>
    <w:p w14:paraId="29B442F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(2)</w:t>
      </w:r>
      <w:r>
        <w:rPr>
          <w:rFonts w:ascii="仿宋" w:hAnsi="仿宋" w:eastAsia="仿宋" w:cs="仿宋"/>
          <w:spacing w:val="7"/>
          <w:sz w:val="24"/>
          <w:szCs w:val="24"/>
          <w:highlight w:val="none"/>
        </w:rPr>
        <w:t>法定代表人或者负责人为同一人或者存在控股、管理关系的两个以上</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，不得参加同</w:t>
      </w:r>
      <w:r>
        <w:rPr>
          <w:rFonts w:hint="eastAsia" w:ascii="仿宋" w:hAnsi="仿宋" w:eastAsia="仿宋" w:cs="仿宋"/>
          <w:spacing w:val="7"/>
          <w:sz w:val="24"/>
          <w:szCs w:val="24"/>
          <w:highlight w:val="none"/>
        </w:rPr>
        <w:t>一合同项下的</w:t>
      </w:r>
      <w:r>
        <w:rPr>
          <w:rFonts w:hint="eastAsia" w:ascii="仿宋" w:hAnsi="仿宋" w:eastAsia="仿宋" w:cs="仿宋"/>
          <w:spacing w:val="7"/>
          <w:sz w:val="24"/>
          <w:szCs w:val="24"/>
          <w:highlight w:val="none"/>
          <w:lang w:eastAsia="zh-CN"/>
        </w:rPr>
        <w:t>政府采购活动</w:t>
      </w:r>
      <w:r>
        <w:rPr>
          <w:rFonts w:ascii="仿宋" w:hAnsi="仿宋" w:eastAsia="仿宋" w:cs="仿宋"/>
          <w:spacing w:val="7"/>
          <w:sz w:val="24"/>
          <w:szCs w:val="24"/>
          <w:highlight w:val="none"/>
        </w:rPr>
        <w:t>；</w:t>
      </w:r>
    </w:p>
    <w:p w14:paraId="34659BC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(3)</w:t>
      </w:r>
      <w:r>
        <w:rPr>
          <w:rFonts w:ascii="仿宋" w:hAnsi="仿宋" w:eastAsia="仿宋" w:cs="仿宋"/>
          <w:spacing w:val="7"/>
          <w:sz w:val="24"/>
          <w:szCs w:val="24"/>
          <w:highlight w:val="none"/>
        </w:rPr>
        <w:t>自然人与参与本项目投标的法人或其他组织存在隶属关系或者其他利害关系。</w:t>
      </w:r>
    </w:p>
    <w:p w14:paraId="4E1FF9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4.10.</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领取了招标文件并非意味着完全满足了合格</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的条件，一切均以评标委员会审核的结果为准。</w:t>
      </w:r>
    </w:p>
    <w:p w14:paraId="4168136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4.11.不接受联合体投标。</w:t>
      </w:r>
    </w:p>
    <w:p w14:paraId="667B4F8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5.授权委托</w:t>
      </w:r>
    </w:p>
    <w:p w14:paraId="0F18B5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5.1.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代表不是</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的法定代表人或其他组织负责人，应持有授权委托书，并附法定代表人或负责人身份证明。</w:t>
      </w:r>
    </w:p>
    <w:p w14:paraId="319E150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5.2.自然人参与本项目投标时不得再委托其他自然人进行投标，且持自然人身份证明投标。</w:t>
      </w:r>
    </w:p>
    <w:p w14:paraId="43F6829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5.3.法定代表人或其他组织负责人出席开标仪式或者直接办理投标相关事宜者无须提供授权委托书，但须提供法定代表人或其他组织负责人身份证明。</w:t>
      </w:r>
    </w:p>
    <w:p w14:paraId="0CA0664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6.投标费用</w:t>
      </w:r>
    </w:p>
    <w:p w14:paraId="35B8E4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应承担所有与准备和参加投标有关的费用。不论投标的结果如何，</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和</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在任何情况下均无义务和责任承担这些费用。</w:t>
      </w:r>
    </w:p>
    <w:p w14:paraId="5B77BEB9">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二、招标文件</w:t>
      </w:r>
    </w:p>
    <w:p w14:paraId="7265A4C9">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7.招标文件组成</w:t>
      </w:r>
    </w:p>
    <w:p w14:paraId="5428BFE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7.1.招标文件共分六章，其内容如下：</w:t>
      </w:r>
    </w:p>
    <w:p w14:paraId="5B977E3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第一章 招标公告</w:t>
      </w:r>
    </w:p>
    <w:p w14:paraId="233AE69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第二章 投标须知</w:t>
      </w:r>
    </w:p>
    <w:p w14:paraId="0B7A12A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第三章 评标办法</w:t>
      </w:r>
    </w:p>
    <w:p w14:paraId="1BE2643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第四章 合同条款</w:t>
      </w:r>
    </w:p>
    <w:p w14:paraId="7C7EDCF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第五章 采购需求及技术参数</w:t>
      </w:r>
    </w:p>
    <w:p w14:paraId="0F51387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第六章 投标文件格式</w:t>
      </w:r>
    </w:p>
    <w:p w14:paraId="3762A91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7.2.对招标文件所</w:t>
      </w:r>
      <w:r>
        <w:rPr>
          <w:rFonts w:hint="eastAsia" w:ascii="仿宋" w:hAnsi="仿宋" w:eastAsia="仿宋" w:cs="仿宋"/>
          <w:spacing w:val="7"/>
          <w:sz w:val="24"/>
          <w:szCs w:val="24"/>
          <w:highlight w:val="none"/>
          <w:lang w:eastAsia="zh-CN"/>
        </w:rPr>
        <w:t>做</w:t>
      </w:r>
      <w:r>
        <w:rPr>
          <w:rFonts w:ascii="仿宋" w:hAnsi="仿宋" w:eastAsia="仿宋" w:cs="仿宋"/>
          <w:spacing w:val="7"/>
          <w:sz w:val="24"/>
          <w:szCs w:val="24"/>
          <w:highlight w:val="none"/>
        </w:rPr>
        <w:t>的澄清、修改，构成招标文件的组成部分。</w:t>
      </w:r>
    </w:p>
    <w:p w14:paraId="1B5A63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7.3.</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应仔细阅读招标文件的全部内容，按照招标文件要求编制投标文件。任何对招 标文件的忽略或误解不能作为投标文件存在缺陷或瑕疵的理由，其风险由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自行承担。</w:t>
      </w:r>
    </w:p>
    <w:p w14:paraId="094948F1">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8.招标文件的</w:t>
      </w:r>
      <w:r>
        <w:rPr>
          <w:rFonts w:hint="eastAsia" w:ascii="仿宋" w:hAnsi="仿宋" w:eastAsia="仿宋" w:cs="仿宋"/>
          <w:b/>
          <w:bCs/>
          <w:spacing w:val="7"/>
          <w:sz w:val="24"/>
          <w:szCs w:val="24"/>
          <w:highlight w:val="none"/>
          <w:lang w:eastAsia="zh-CN"/>
        </w:rPr>
        <w:t>质疑</w:t>
      </w:r>
      <w:r>
        <w:rPr>
          <w:rFonts w:ascii="仿宋" w:hAnsi="仿宋" w:eastAsia="仿宋" w:cs="仿宋"/>
          <w:b/>
          <w:bCs/>
          <w:spacing w:val="7"/>
          <w:sz w:val="24"/>
          <w:szCs w:val="24"/>
          <w:highlight w:val="none"/>
        </w:rPr>
        <w:t>、修改</w:t>
      </w:r>
    </w:p>
    <w:p w14:paraId="4E0D87EA">
      <w:pPr>
        <w:keepNext w:val="0"/>
        <w:keepLines w:val="0"/>
        <w:pageBreakBefore w:val="0"/>
        <w:widowControl/>
        <w:kinsoku w:val="0"/>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8.1.任何要求对招标文件进行澄清的</w:t>
      </w:r>
      <w:r>
        <w:rPr>
          <w:rFonts w:hint="eastAsia" w:ascii="仿宋" w:hAnsi="仿宋" w:eastAsia="仿宋" w:cs="仿宋"/>
          <w:spacing w:val="7"/>
          <w:sz w:val="24"/>
          <w:szCs w:val="24"/>
          <w:highlight w:val="none"/>
          <w:lang w:eastAsia="zh-CN"/>
        </w:rPr>
        <w:t>供应商</w:t>
      </w:r>
      <w:r>
        <w:rPr>
          <w:rFonts w:ascii="仿宋" w:hAnsi="仿宋" w:eastAsia="仿宋" w:cs="仿宋"/>
          <w:spacing w:val="7"/>
          <w:sz w:val="24"/>
          <w:szCs w:val="24"/>
          <w:highlight w:val="none"/>
        </w:rPr>
        <w:t>，均应以书面形式通知</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联系方式见“投标须知前附表”。</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对其</w:t>
      </w:r>
      <w:r>
        <w:rPr>
          <w:rFonts w:hint="eastAsia" w:ascii="仿宋" w:hAnsi="仿宋" w:eastAsia="仿宋" w:cs="仿宋"/>
          <w:spacing w:val="7"/>
          <w:sz w:val="24"/>
          <w:szCs w:val="24"/>
          <w:highlight w:val="none"/>
          <w:lang w:val="en-US" w:eastAsia="zh-CN"/>
        </w:rPr>
        <w:t>获取招标文件或者招标文件公告期限届满之日起7个工作日</w:t>
      </w:r>
      <w:r>
        <w:rPr>
          <w:rFonts w:ascii="仿宋" w:hAnsi="仿宋" w:eastAsia="仿宋" w:cs="仿宋"/>
          <w:spacing w:val="7"/>
          <w:sz w:val="24"/>
          <w:szCs w:val="24"/>
          <w:highlight w:val="none"/>
        </w:rPr>
        <w:t>内收到的对招标文件的澄清要求，如认为有必要，将以书面形式予以答复，同时将书面答复发给每个领取招标文件的</w:t>
      </w:r>
      <w:r>
        <w:rPr>
          <w:rFonts w:hint="eastAsia" w:ascii="仿宋" w:hAnsi="仿宋" w:eastAsia="仿宋" w:cs="仿宋"/>
          <w:spacing w:val="7"/>
          <w:sz w:val="24"/>
          <w:szCs w:val="24"/>
          <w:highlight w:val="none"/>
          <w:lang w:eastAsia="zh-CN"/>
        </w:rPr>
        <w:t>供应商</w:t>
      </w:r>
      <w:r>
        <w:rPr>
          <w:rFonts w:ascii="仿宋" w:hAnsi="仿宋" w:eastAsia="仿宋" w:cs="仿宋"/>
          <w:spacing w:val="7"/>
          <w:sz w:val="24"/>
          <w:szCs w:val="24"/>
          <w:highlight w:val="none"/>
        </w:rPr>
        <w:t>(答复中不包括问题的来源)，否则将视为所有</w:t>
      </w:r>
      <w:r>
        <w:rPr>
          <w:rFonts w:hint="eastAsia" w:ascii="仿宋" w:hAnsi="仿宋" w:eastAsia="仿宋" w:cs="仿宋"/>
          <w:spacing w:val="7"/>
          <w:sz w:val="24"/>
          <w:szCs w:val="24"/>
          <w:highlight w:val="none"/>
          <w:lang w:eastAsia="zh-CN"/>
        </w:rPr>
        <w:t>供应商</w:t>
      </w:r>
      <w:r>
        <w:rPr>
          <w:rFonts w:ascii="仿宋" w:hAnsi="仿宋" w:eastAsia="仿宋" w:cs="仿宋"/>
          <w:spacing w:val="7"/>
          <w:sz w:val="24"/>
          <w:szCs w:val="24"/>
          <w:highlight w:val="none"/>
        </w:rPr>
        <w:t>已详细阅读招标文件并能够响应招标文件实质性要求。</w:t>
      </w:r>
    </w:p>
    <w:p w14:paraId="25CB975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8.2.投标截止期前十五（15）天，无论出于何种原因，</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可主动地或在解答</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提出的问题时对招标文件进行修改，招标文件的修改书将构成招标文件的一部分。</w:t>
      </w:r>
    </w:p>
    <w:p w14:paraId="5865855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8.3.招标文件的修改将以</w:t>
      </w:r>
      <w:r>
        <w:rPr>
          <w:rFonts w:hint="eastAsia" w:ascii="仿宋" w:hAnsi="仿宋" w:eastAsia="仿宋" w:cs="仿宋"/>
          <w:spacing w:val="7"/>
          <w:sz w:val="24"/>
          <w:szCs w:val="24"/>
          <w:highlight w:val="none"/>
          <w:lang w:eastAsia="zh-CN"/>
        </w:rPr>
        <w:t>变更公告的形式在发布招标公告的网站予以公布</w:t>
      </w:r>
      <w:r>
        <w:rPr>
          <w:rFonts w:ascii="仿宋" w:hAnsi="仿宋" w:eastAsia="仿宋" w:cs="仿宋"/>
          <w:spacing w:val="7"/>
          <w:sz w:val="24"/>
          <w:szCs w:val="24"/>
          <w:highlight w:val="none"/>
        </w:rPr>
        <w:t>，并对其具有约束力。</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在收到上述通知后，应立即以传真形式向</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予以确认；在规定时间内未收到回复确认的，将视为默认接受。</w:t>
      </w:r>
    </w:p>
    <w:p w14:paraId="2B6F37C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8.</w:t>
      </w:r>
      <w:r>
        <w:rPr>
          <w:rFonts w:hint="eastAsia" w:ascii="仿宋" w:hAnsi="仿宋" w:eastAsia="仿宋" w:cs="仿宋"/>
          <w:spacing w:val="7"/>
          <w:sz w:val="24"/>
          <w:szCs w:val="24"/>
          <w:highlight w:val="none"/>
          <w:lang w:val="en-US" w:eastAsia="zh-CN"/>
        </w:rPr>
        <w:t>4</w:t>
      </w:r>
      <w:r>
        <w:rPr>
          <w:rFonts w:ascii="仿宋" w:hAnsi="仿宋" w:eastAsia="仿宋" w:cs="仿宋"/>
          <w:spacing w:val="7"/>
          <w:sz w:val="24"/>
          <w:szCs w:val="24"/>
          <w:highlight w:val="none"/>
        </w:rPr>
        <w:t>.</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投标文件内出现组价、开标阶段报价或投标文件内前后报价出现不一致，使得评审工作无法继续者，评标委员会可以要求该</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做出书面澄清，</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拒不履行评标委员会澄清要求的将视为无效投标；投标文件其他应予修正范围和标准以《政府采购货物和服务招标投标管理办法》第五十九条执行。</w:t>
      </w:r>
    </w:p>
    <w:p w14:paraId="75795FA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三、投标文件的组成及编制</w:t>
      </w:r>
    </w:p>
    <w:p w14:paraId="0095EE3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9.投标文件的组成</w:t>
      </w:r>
    </w:p>
    <w:p w14:paraId="19D7BA45">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spacing w:val="7"/>
          <w:sz w:val="24"/>
          <w:szCs w:val="24"/>
          <w:highlight w:val="none"/>
        </w:rPr>
        <w:t>9.1.投标文件由内容如下组成：</w:t>
      </w:r>
    </w:p>
    <w:p w14:paraId="1CF3DA74">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spacing w:val="7"/>
          <w:sz w:val="24"/>
          <w:szCs w:val="24"/>
          <w:highlight w:val="none"/>
        </w:rPr>
        <w:t>报价文件部分：</w:t>
      </w:r>
    </w:p>
    <w:p w14:paraId="52352B40">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spacing w:val="7"/>
          <w:sz w:val="24"/>
          <w:szCs w:val="24"/>
          <w:highlight w:val="none"/>
        </w:rPr>
        <w:t>商务技术文件部分：</w:t>
      </w:r>
    </w:p>
    <w:p w14:paraId="2BED8C6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10.编制原则</w:t>
      </w:r>
    </w:p>
    <w:p w14:paraId="60F2425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10.1.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在认真阅读招标文件所有内容的基础上，按照招标文件的要求编制完整的投标文件。★招标文件中对投标文件格式有要求的，应按格式逐项填写内容，不准有空项；无相应内容可填的项应填写“无”、“没有相应指标”等明确的回答文字。投标文件中留有空项的，将被视为不完整</w:t>
      </w:r>
      <w:r>
        <w:rPr>
          <w:rFonts w:hint="eastAsia" w:ascii="仿宋" w:hAnsi="仿宋" w:eastAsia="仿宋" w:cs="仿宋"/>
          <w:spacing w:val="7"/>
          <w:sz w:val="24"/>
          <w:szCs w:val="24"/>
          <w:highlight w:val="none"/>
          <w:lang w:eastAsia="zh-CN"/>
        </w:rPr>
        <w:t>投标</w:t>
      </w:r>
      <w:r>
        <w:rPr>
          <w:rFonts w:ascii="仿宋" w:hAnsi="仿宋" w:eastAsia="仿宋" w:cs="仿宋"/>
          <w:spacing w:val="7"/>
          <w:sz w:val="24"/>
          <w:szCs w:val="24"/>
          <w:highlight w:val="none"/>
        </w:rPr>
        <w:t>的投标文件，其投标将有可能被视为无效投标。</w:t>
      </w:r>
    </w:p>
    <w:p w14:paraId="27D5069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10.2.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必须保证投标文件所提供的全部资料真实可靠，并接受评标委员会对其中任何资料进一步审查的要求。</w:t>
      </w:r>
    </w:p>
    <w:p w14:paraId="66330AD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10.3.投标文件须对招标文件中的内容做出实质性和完整的</w:t>
      </w:r>
      <w:r>
        <w:rPr>
          <w:rFonts w:hint="eastAsia" w:ascii="仿宋" w:hAnsi="仿宋" w:eastAsia="仿宋" w:cs="仿宋"/>
          <w:spacing w:val="7"/>
          <w:sz w:val="24"/>
          <w:szCs w:val="24"/>
          <w:highlight w:val="none"/>
          <w:lang w:eastAsia="zh-CN"/>
        </w:rPr>
        <w:t>投标</w:t>
      </w:r>
      <w:r>
        <w:rPr>
          <w:rFonts w:ascii="仿宋" w:hAnsi="仿宋" w:eastAsia="仿宋" w:cs="仿宋"/>
          <w:spacing w:val="7"/>
          <w:sz w:val="24"/>
          <w:szCs w:val="24"/>
          <w:highlight w:val="none"/>
        </w:rPr>
        <w:t>，否则其投标将被视为无效投标。</w:t>
      </w:r>
    </w:p>
    <w:p w14:paraId="2E75408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10.4.投标文件的编制及相关参数、证明材料、认证或报告等投标文件组成部分均应为简体中文版或中英文双语版否则在评审时将不予认可。</w:t>
      </w:r>
    </w:p>
    <w:p w14:paraId="625277D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11.1.投标文件应按照“投标文件格式”的要求以A4版面统一编制。</w:t>
      </w:r>
    </w:p>
    <w:p w14:paraId="2AD4BC6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投报多个（标包）段的，须对每个（标包）段分别制作投标文件并报价。</w:t>
      </w:r>
    </w:p>
    <w:p w14:paraId="42DF62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11.3.对于有特定格式要求的，不允许改动其内容，否则，其投标无效。</w:t>
      </w:r>
    </w:p>
    <w:p w14:paraId="41E69DE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11.4.投标文件的制作，应使用简体中文（包括</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对其投标文件进行支持的第三方证明文件，如审计报告、产品说明书、检验报告、评估报告等，均须采用简体中文进行编制或提交）。</w:t>
      </w:r>
    </w:p>
    <w:p w14:paraId="65D264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ascii="仿宋" w:hAnsi="仿宋" w:eastAsia="仿宋" w:cs="仿宋"/>
          <w:spacing w:val="7"/>
          <w:sz w:val="24"/>
          <w:szCs w:val="24"/>
          <w:highlight w:val="none"/>
        </w:rPr>
        <w:t>11.5.投标文件应该用计算机打印，并加注页码，用不可拆卸的无线胶装方式整册装订牢固</w:t>
      </w:r>
      <w:r>
        <w:rPr>
          <w:rFonts w:hint="eastAsia" w:ascii="仿宋" w:hAnsi="仿宋" w:eastAsia="仿宋" w:cs="仿宋"/>
          <w:spacing w:val="7"/>
          <w:sz w:val="24"/>
          <w:szCs w:val="24"/>
          <w:highlight w:val="none"/>
          <w:lang w:eastAsia="zh-CN"/>
        </w:rPr>
        <w:t>。</w:t>
      </w:r>
    </w:p>
    <w:p w14:paraId="42044BE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11.6.任何行间插字、涂改和增删，须由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法定代表人（或其他组织负责人，或自然人直接签字）或其授权委托书在旁边签字、盖章后方为有效；否则其内容将不被认可，涉及资格认定的未进行签字盖章的行间插字、涂改和增删均不予认可，并一同视为无效投标。</w:t>
      </w:r>
    </w:p>
    <w:p w14:paraId="4D73855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11.7.投标文件商务文件部分与技术文件部分原则上应采用一本进行装订提交；如因文本过厚无法一本装订的，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必须在投标文件封面连续注明“上册</w:t>
      </w:r>
      <w:r>
        <w:rPr>
          <w:rFonts w:hint="eastAsia" w:ascii="仿宋" w:hAnsi="仿宋" w:eastAsia="仿宋" w:cs="仿宋"/>
          <w:spacing w:val="7"/>
          <w:sz w:val="24"/>
          <w:szCs w:val="24"/>
          <w:highlight w:val="none"/>
          <w:lang w:eastAsia="zh-CN"/>
        </w:rPr>
        <w:t>”“</w:t>
      </w:r>
      <w:r>
        <w:rPr>
          <w:rFonts w:ascii="仿宋" w:hAnsi="仿宋" w:eastAsia="仿宋" w:cs="仿宋"/>
          <w:spacing w:val="7"/>
          <w:sz w:val="24"/>
          <w:szCs w:val="24"/>
          <w:highlight w:val="none"/>
        </w:rPr>
        <w:t>下册”或“上册</w:t>
      </w:r>
      <w:r>
        <w:rPr>
          <w:rFonts w:hint="eastAsia" w:ascii="仿宋" w:hAnsi="仿宋" w:eastAsia="仿宋" w:cs="仿宋"/>
          <w:spacing w:val="7"/>
          <w:sz w:val="24"/>
          <w:szCs w:val="24"/>
          <w:highlight w:val="none"/>
          <w:lang w:eastAsia="zh-CN"/>
        </w:rPr>
        <w:t>”“</w:t>
      </w:r>
      <w:r>
        <w:rPr>
          <w:rFonts w:ascii="仿宋" w:hAnsi="仿宋" w:eastAsia="仿宋" w:cs="仿宋"/>
          <w:spacing w:val="7"/>
          <w:sz w:val="24"/>
          <w:szCs w:val="24"/>
          <w:highlight w:val="none"/>
        </w:rPr>
        <w:t>中册</w:t>
      </w:r>
      <w:r>
        <w:rPr>
          <w:rFonts w:hint="eastAsia" w:ascii="仿宋" w:hAnsi="仿宋" w:eastAsia="仿宋" w:cs="仿宋"/>
          <w:spacing w:val="7"/>
          <w:sz w:val="24"/>
          <w:szCs w:val="24"/>
          <w:highlight w:val="none"/>
          <w:lang w:eastAsia="zh-CN"/>
        </w:rPr>
        <w:t>”“</w:t>
      </w:r>
      <w:r>
        <w:rPr>
          <w:rFonts w:ascii="仿宋" w:hAnsi="仿宋" w:eastAsia="仿宋" w:cs="仿宋"/>
          <w:spacing w:val="7"/>
          <w:sz w:val="24"/>
          <w:szCs w:val="24"/>
          <w:highlight w:val="none"/>
        </w:rPr>
        <w:t>下册”。</w:t>
      </w:r>
    </w:p>
    <w:p w14:paraId="049A0A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11.8.《投标文件》应根据《招标文件》的要求编制，签署、盖章和内容应完整，如有遗漏或与《招标文件》要求不</w:t>
      </w:r>
      <w:r>
        <w:rPr>
          <w:rFonts w:hint="eastAsia" w:ascii="仿宋" w:hAnsi="仿宋" w:eastAsia="仿宋" w:cs="仿宋"/>
          <w:spacing w:val="7"/>
          <w:sz w:val="24"/>
          <w:szCs w:val="24"/>
          <w:highlight w:val="none"/>
          <w:lang w:eastAsia="zh-CN"/>
        </w:rPr>
        <w:t>符</w:t>
      </w:r>
      <w:r>
        <w:rPr>
          <w:rFonts w:ascii="仿宋" w:hAnsi="仿宋" w:eastAsia="仿宋" w:cs="仿宋"/>
          <w:spacing w:val="7"/>
          <w:sz w:val="24"/>
          <w:szCs w:val="24"/>
          <w:highlight w:val="none"/>
        </w:rPr>
        <w:t>的将被视为无效投标。</w:t>
      </w:r>
    </w:p>
    <w:p w14:paraId="0035121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12.★投标报价</w:t>
      </w:r>
    </w:p>
    <w:p w14:paraId="1E08202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12.1.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应按招标文件规定的供货及服务要求、责任范围和合同条件，以人民币进行报价。</w:t>
      </w:r>
    </w:p>
    <w:p w14:paraId="0020FAE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12.2.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按投标报价一览表和分项价格表的内容和格式要求填写各项货物及服务的分项价格和总价。投标总价中不得包含招标文件要求以外的内容，否则，在评审时不予核减。投标总价中也不得缺漏招标文件所要求的内容，否则，在评审时将其视为无效投标。</w:t>
      </w:r>
    </w:p>
    <w:p w14:paraId="469D1E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12.3.</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对每种货物及服务只允许有一个报价，不接受选择性报价，否则，在评审时将其视为无效投标。</w:t>
      </w:r>
    </w:p>
    <w:p w14:paraId="4F4EC6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12.4.投标报价范围及说明：</w:t>
      </w:r>
    </w:p>
    <w:p w14:paraId="14C4374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报价：包括完成采购内容中全部</w:t>
      </w:r>
      <w:r>
        <w:rPr>
          <w:rFonts w:hint="eastAsia" w:ascii="仿宋" w:hAnsi="仿宋" w:eastAsia="仿宋" w:cs="仿宋"/>
          <w:spacing w:val="7"/>
          <w:sz w:val="24"/>
          <w:szCs w:val="24"/>
          <w:highlight w:val="none"/>
          <w:lang w:eastAsia="zh-CN"/>
        </w:rPr>
        <w:t>货物</w:t>
      </w:r>
      <w:r>
        <w:rPr>
          <w:rFonts w:ascii="仿宋" w:hAnsi="仿宋" w:eastAsia="仿宋" w:cs="仿宋"/>
          <w:spacing w:val="7"/>
          <w:sz w:val="24"/>
          <w:szCs w:val="24"/>
          <w:highlight w:val="none"/>
        </w:rPr>
        <w:t>服务等全过程的全部费用。</w:t>
      </w:r>
    </w:p>
    <w:p w14:paraId="3372FD6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rPr>
        <w:t>12.5.支持中小企业发展，《政府采购促进中小企业发展管理办法》（财库[2020]46号）。</w:t>
      </w:r>
    </w:p>
    <w:p w14:paraId="1435B78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rPr>
        <w:t>1、采购限额标准以上，200万元以下的货物和服务采购项目、400万元以下的工程采购项目，适宜由中小企业提供的，采购人应当专门面向中小企业采购。</w:t>
      </w:r>
    </w:p>
    <w:p w14:paraId="4F33D19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2、超过200万元的货物和服务采购项目，预留该部分采购项目预算总额的30%以上专门面向中小企业采购，其中预留给小微企业的比例不低于60%。</w:t>
      </w:r>
    </w:p>
    <w:p w14:paraId="666D0F8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3、超过400万元的工程采购项目中适宜由中小企业提供的，预留该部分采购项目预算总额的40%以上专门面向中小企业采购，其中预留给小微企业的比例不低于60%。</w:t>
      </w:r>
    </w:p>
    <w:p w14:paraId="55CFAAE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C51AA2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rPr>
      </w:pPr>
      <w:r>
        <w:rPr>
          <w:rFonts w:hint="eastAsia" w:ascii="仿宋" w:hAnsi="仿宋" w:eastAsia="仿宋" w:cs="仿宋"/>
          <w:spacing w:val="7"/>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E4D4325">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spacing w:val="7"/>
          <w:sz w:val="24"/>
          <w:szCs w:val="24"/>
          <w:highlight w:val="none"/>
        </w:rPr>
        <w:t>12.6.不符合下列要求的除外：</w:t>
      </w:r>
    </w:p>
    <w:p w14:paraId="3FB4D5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（1）不符合招标文件规定格式要求提供</w:t>
      </w:r>
      <w:r>
        <w:rPr>
          <w:rFonts w:hint="eastAsia" w:ascii="仿宋" w:hAnsi="仿宋" w:eastAsia="仿宋" w:cs="仿宋"/>
          <w:spacing w:val="7"/>
          <w:sz w:val="24"/>
          <w:szCs w:val="24"/>
          <w:highlight w:val="none"/>
          <w:lang w:eastAsia="zh-CN"/>
        </w:rPr>
        <w:t>中小企业</w:t>
      </w:r>
      <w:r>
        <w:rPr>
          <w:rFonts w:ascii="仿宋" w:hAnsi="仿宋" w:eastAsia="仿宋" w:cs="仿宋"/>
          <w:spacing w:val="7"/>
          <w:sz w:val="24"/>
          <w:szCs w:val="24"/>
          <w:highlight w:val="none"/>
        </w:rPr>
        <w:t>声明函的。</w:t>
      </w:r>
    </w:p>
    <w:p w14:paraId="7CF1E4B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（2）不符合（财库〔2020〕46号）文件的规定企业的产品价格不予扣除。</w:t>
      </w:r>
    </w:p>
    <w:p w14:paraId="723461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（3）不符合招标文件规定格式要求并未提供“残疾人福利性单位声明函”声明函及证明材料的。</w:t>
      </w:r>
    </w:p>
    <w:p w14:paraId="490FC97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（4）不符合财政部、民政部、中国残疾人联合会发布的《关于促进残疾人就业政府采购政策的通知》规定的不予扣除。</w:t>
      </w:r>
    </w:p>
    <w:p w14:paraId="74FA626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（5）不符合《政府采购促进中小企业发展暂行办法》（财库〔2020〕46号）和《财政部司法部关于政府采购支持监狱企业发展有关问题的通知》（财库（2015）68号）的规定的不予扣除。</w:t>
      </w:r>
    </w:p>
    <w:p w14:paraId="6C8FE5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（6）不符合《国务院办公厅关于建立政府强制采购节能产品制度的通知》--国办发[2007]51号规定的不予扣除。</w:t>
      </w:r>
    </w:p>
    <w:p w14:paraId="4924551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7）不符合《国务院办公厅关于建立政府强制采购节能产品制度的通知》（国办发〔2007〕51号），投标产品为计算机、打印机、空调、照明产品、电视机、电热水器、显示器、便器、水嘴等九大类政府强制采购的产品，必须为国家财政部、环境保护部、国家发改委等有关部门发布的《环境标志产品政府采购清单》和《节能产品政府采购清单》中的产品的不予扣除。</w:t>
      </w:r>
    </w:p>
    <w:p w14:paraId="24FCDFF3">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13.备选方案</w:t>
      </w:r>
    </w:p>
    <w:p w14:paraId="13676C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13.1.备选方案是指在本招标文件已明确的货物（设备）或服务的基本要求，如货物（设备）或服务的用途、用意、服务基本需求等；但</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应标的货物（设备）或服务分部分项内容优于招标文件基本要求的，不在备选方案之列。</w:t>
      </w:r>
    </w:p>
    <w:p w14:paraId="3F410E0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13.2.本采购项目不接受备选方案投标。</w:t>
      </w:r>
    </w:p>
    <w:p w14:paraId="4EF8E66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14.★</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的资格证明文件</w:t>
      </w:r>
    </w:p>
    <w:p w14:paraId="3174B01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应提交满足资格条件要求的证明文件，该证明文件作为投标文件的一部分。</w:t>
      </w:r>
    </w:p>
    <w:p w14:paraId="184F3C2C">
      <w:pPr>
        <w:keepLines w:val="0"/>
        <w:pageBreakBefore w:val="0"/>
        <w:kinsoku/>
        <w:wordWrap/>
        <w:overflowPunct/>
        <w:topLinePunct w:val="0"/>
        <w:bidi w:val="0"/>
        <w:spacing w:before="230" w:line="443" w:lineRule="auto"/>
        <w:ind w:left="808" w:right="18" w:hanging="568"/>
        <w:rPr>
          <w:rFonts w:hint="eastAsia" w:ascii="仿宋" w:hAnsi="仿宋" w:eastAsia="仿宋" w:cs="仿宋"/>
          <w:b/>
          <w:bCs/>
          <w:spacing w:val="7"/>
          <w:sz w:val="24"/>
          <w:szCs w:val="24"/>
          <w:highlight w:val="none"/>
          <w:lang w:eastAsia="zh-CN"/>
        </w:rPr>
      </w:pPr>
      <w:r>
        <w:rPr>
          <w:rFonts w:ascii="仿宋" w:hAnsi="仿宋" w:eastAsia="仿宋" w:cs="仿宋"/>
          <w:b/>
          <w:bCs/>
          <w:spacing w:val="7"/>
          <w:sz w:val="24"/>
          <w:szCs w:val="24"/>
          <w:highlight w:val="none"/>
        </w:rPr>
        <w:t>15.★投标保证金</w:t>
      </w:r>
    </w:p>
    <w:p w14:paraId="030E11A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15.1.投标保证金金额及缴纳方式详见“投标须知前附表”。</w:t>
      </w:r>
    </w:p>
    <w:p w14:paraId="7D2C2B7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15.2.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须将凭证</w:t>
      </w:r>
      <w:r>
        <w:rPr>
          <w:rFonts w:hint="eastAsia" w:ascii="仿宋" w:hAnsi="仿宋" w:eastAsia="仿宋" w:cs="仿宋"/>
          <w:spacing w:val="7"/>
          <w:sz w:val="24"/>
          <w:szCs w:val="24"/>
          <w:highlight w:val="none"/>
          <w:lang w:eastAsia="zh-CN"/>
        </w:rPr>
        <w:t>附</w:t>
      </w:r>
      <w:r>
        <w:rPr>
          <w:rFonts w:ascii="仿宋" w:hAnsi="仿宋" w:eastAsia="仿宋" w:cs="仿宋"/>
          <w:spacing w:val="7"/>
          <w:sz w:val="24"/>
          <w:szCs w:val="24"/>
          <w:highlight w:val="none"/>
        </w:rPr>
        <w:t>在投标文件内，证明其具有投标资格。</w:t>
      </w:r>
    </w:p>
    <w:p w14:paraId="592B5FE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15.3.未中标</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的保证金应当在中标通知书发出后5个工作日内退还，</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的保证金应当在采购合同签订后5个工作日内退还。有下列情形之一的，保证金不予退还：</w:t>
      </w:r>
    </w:p>
    <w:p w14:paraId="7198182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(1)投标人</w:t>
      </w:r>
      <w:r>
        <w:rPr>
          <w:rFonts w:ascii="仿宋" w:hAnsi="仿宋" w:eastAsia="仿宋" w:cs="仿宋"/>
          <w:spacing w:val="7"/>
          <w:sz w:val="24"/>
          <w:szCs w:val="24"/>
          <w:highlight w:val="none"/>
        </w:rPr>
        <w:t>在提交投标文件截止时间后撤回投标文件的；</w:t>
      </w:r>
    </w:p>
    <w:p w14:paraId="23FAE9C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(2)投标人</w:t>
      </w:r>
      <w:r>
        <w:rPr>
          <w:rFonts w:ascii="仿宋" w:hAnsi="仿宋" w:eastAsia="仿宋" w:cs="仿宋"/>
          <w:spacing w:val="7"/>
          <w:sz w:val="24"/>
          <w:szCs w:val="24"/>
          <w:highlight w:val="none"/>
        </w:rPr>
        <w:t>在投标文件中提供虚假材料的；</w:t>
      </w:r>
    </w:p>
    <w:p w14:paraId="3F5529B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(3)</w:t>
      </w:r>
      <w:r>
        <w:rPr>
          <w:rFonts w:ascii="仿宋" w:hAnsi="仿宋" w:eastAsia="仿宋" w:cs="仿宋"/>
          <w:spacing w:val="7"/>
          <w:sz w:val="24"/>
          <w:szCs w:val="24"/>
          <w:highlight w:val="none"/>
        </w:rPr>
        <w:t>除因不可抗力或招标文件认可的情形以外，</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不与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签订合同的；</w:t>
      </w:r>
    </w:p>
    <w:p w14:paraId="2EA4E9E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(4)投标人</w:t>
      </w:r>
      <w:r>
        <w:rPr>
          <w:rFonts w:ascii="仿宋" w:hAnsi="仿宋" w:eastAsia="仿宋" w:cs="仿宋"/>
          <w:spacing w:val="7"/>
          <w:sz w:val="24"/>
          <w:szCs w:val="24"/>
          <w:highlight w:val="none"/>
        </w:rPr>
        <w:t>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、其他</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或者</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恶意串通的；</w:t>
      </w:r>
    </w:p>
    <w:p w14:paraId="7271796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(5)</w:t>
      </w:r>
      <w:r>
        <w:rPr>
          <w:rFonts w:ascii="仿宋" w:hAnsi="仿宋" w:eastAsia="仿宋" w:cs="仿宋"/>
          <w:spacing w:val="7"/>
          <w:sz w:val="24"/>
          <w:szCs w:val="24"/>
          <w:highlight w:val="none"/>
        </w:rPr>
        <w:t>招标文件规定的其他情形。</w:t>
      </w:r>
    </w:p>
    <w:p w14:paraId="58C9936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16.★投标有效期</w:t>
      </w:r>
    </w:p>
    <w:p w14:paraId="0062B3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16.1.投标有效期为90</w:t>
      </w:r>
      <w:r>
        <w:rPr>
          <w:rFonts w:hint="eastAsia" w:ascii="仿宋" w:hAnsi="仿宋" w:eastAsia="仿宋" w:cs="仿宋"/>
          <w:spacing w:val="7"/>
          <w:sz w:val="24"/>
          <w:szCs w:val="24"/>
          <w:highlight w:val="none"/>
          <w:lang w:eastAsia="zh-CN"/>
        </w:rPr>
        <w:t>日历</w:t>
      </w:r>
      <w:r>
        <w:rPr>
          <w:rFonts w:ascii="仿宋" w:hAnsi="仿宋" w:eastAsia="仿宋" w:cs="仿宋"/>
          <w:spacing w:val="7"/>
          <w:sz w:val="24"/>
          <w:szCs w:val="24"/>
          <w:highlight w:val="none"/>
        </w:rPr>
        <w:t>天</w:t>
      </w:r>
      <w:r>
        <w:rPr>
          <w:rFonts w:hint="eastAsia" w:ascii="仿宋" w:hAnsi="仿宋" w:eastAsia="仿宋" w:cs="仿宋"/>
          <w:spacing w:val="5"/>
          <w:sz w:val="24"/>
          <w:szCs w:val="24"/>
          <w:highlight w:val="none"/>
        </w:rPr>
        <w:t>（从</w:t>
      </w:r>
      <w:r>
        <w:rPr>
          <w:rFonts w:hint="eastAsia" w:ascii="仿宋" w:hAnsi="仿宋" w:eastAsia="仿宋" w:cs="仿宋"/>
          <w:spacing w:val="5"/>
          <w:sz w:val="24"/>
          <w:szCs w:val="24"/>
          <w:highlight w:val="none"/>
          <w:lang w:eastAsia="zh-CN"/>
        </w:rPr>
        <w:t>投标</w:t>
      </w:r>
      <w:r>
        <w:rPr>
          <w:rFonts w:hint="eastAsia" w:ascii="仿宋" w:hAnsi="仿宋" w:eastAsia="仿宋" w:cs="仿宋"/>
          <w:spacing w:val="5"/>
          <w:sz w:val="24"/>
          <w:szCs w:val="24"/>
          <w:highlight w:val="none"/>
        </w:rPr>
        <w:t>截止之日算起）</w:t>
      </w:r>
      <w:r>
        <w:rPr>
          <w:rFonts w:ascii="仿宋" w:hAnsi="仿宋" w:eastAsia="仿宋" w:cs="仿宋"/>
          <w:spacing w:val="7"/>
          <w:sz w:val="24"/>
          <w:szCs w:val="24"/>
          <w:highlight w:val="none"/>
        </w:rPr>
        <w:t>，在此期间投标文件对</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具有法律约束力，以保证</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有足够的时间完成评审、定标以及签订合同。投标有效期从规定的投标文件递交截止之日起计算</w:t>
      </w:r>
      <w:r>
        <w:rPr>
          <w:rFonts w:hint="eastAsia" w:ascii="仿宋" w:hAnsi="仿宋" w:eastAsia="仿宋" w:cs="仿宋"/>
          <w:spacing w:val="7"/>
          <w:sz w:val="24"/>
          <w:szCs w:val="24"/>
          <w:highlight w:val="none"/>
          <w:lang w:eastAsia="zh-CN"/>
        </w:rPr>
        <w:t>。投标人须在投标文件中做出</w:t>
      </w:r>
      <w:r>
        <w:rPr>
          <w:rFonts w:hint="eastAsia" w:ascii="仿宋" w:hAnsi="仿宋" w:eastAsia="仿宋" w:cs="仿宋"/>
          <w:spacing w:val="7"/>
          <w:sz w:val="24"/>
          <w:szCs w:val="24"/>
          <w:highlight w:val="none"/>
          <w:lang w:val="en-US" w:eastAsia="zh-CN"/>
        </w:rPr>
        <w:t>响应</w:t>
      </w:r>
      <w:r>
        <w:rPr>
          <w:rFonts w:ascii="仿宋" w:hAnsi="仿宋" w:eastAsia="仿宋" w:cs="仿宋"/>
          <w:spacing w:val="7"/>
          <w:sz w:val="24"/>
          <w:szCs w:val="24"/>
          <w:highlight w:val="none"/>
        </w:rPr>
        <w:t>。投标有效期</w:t>
      </w:r>
      <w:r>
        <w:rPr>
          <w:rFonts w:hint="eastAsia" w:ascii="仿宋" w:hAnsi="仿宋" w:eastAsia="仿宋" w:cs="仿宋"/>
          <w:spacing w:val="7"/>
          <w:sz w:val="24"/>
          <w:szCs w:val="24"/>
          <w:highlight w:val="none"/>
          <w:lang w:eastAsia="zh-CN"/>
        </w:rPr>
        <w:t>无</w:t>
      </w:r>
      <w:r>
        <w:rPr>
          <w:rFonts w:hint="eastAsia" w:ascii="仿宋" w:hAnsi="仿宋" w:eastAsia="仿宋" w:cs="仿宋"/>
          <w:spacing w:val="7"/>
          <w:sz w:val="24"/>
          <w:szCs w:val="24"/>
          <w:highlight w:val="none"/>
          <w:lang w:val="en-US" w:eastAsia="zh-CN"/>
        </w:rPr>
        <w:t>响应</w:t>
      </w:r>
      <w:r>
        <w:rPr>
          <w:rFonts w:hint="eastAsia" w:ascii="仿宋" w:hAnsi="仿宋" w:eastAsia="仿宋" w:cs="仿宋"/>
          <w:spacing w:val="7"/>
          <w:sz w:val="24"/>
          <w:szCs w:val="24"/>
          <w:highlight w:val="none"/>
          <w:lang w:eastAsia="zh-CN"/>
        </w:rPr>
        <w:t>或</w:t>
      </w:r>
      <w:r>
        <w:rPr>
          <w:rFonts w:ascii="仿宋" w:hAnsi="仿宋" w:eastAsia="仿宋" w:cs="仿宋"/>
          <w:spacing w:val="7"/>
          <w:sz w:val="24"/>
          <w:szCs w:val="24"/>
          <w:highlight w:val="none"/>
        </w:rPr>
        <w:t>不足的，在评审时将其视为无效投标。</w:t>
      </w:r>
    </w:p>
    <w:p w14:paraId="47FA44E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16.2.特殊情况需延长投标有效期的，</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可于投标有效期届满之前，要求</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同意延长有效期，</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的要求与</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的答复均应为书面形式。</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拒绝延长的，其投标在原投标</w:t>
      </w:r>
      <w:r>
        <w:rPr>
          <w:rFonts w:hint="eastAsia" w:ascii="仿宋" w:hAnsi="仿宋" w:eastAsia="仿宋" w:cs="仿宋"/>
          <w:spacing w:val="7"/>
          <w:sz w:val="24"/>
          <w:szCs w:val="24"/>
          <w:highlight w:val="none"/>
          <w:lang w:eastAsia="zh-CN"/>
        </w:rPr>
        <w:t>有效期</w:t>
      </w:r>
      <w:r>
        <w:rPr>
          <w:rFonts w:ascii="仿宋" w:hAnsi="仿宋" w:eastAsia="仿宋" w:cs="仿宋"/>
          <w:spacing w:val="7"/>
          <w:sz w:val="24"/>
          <w:szCs w:val="24"/>
          <w:highlight w:val="none"/>
        </w:rPr>
        <w:t>届满后将不再有效，但有权收回其投标保证金；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同意延长的，应相应延长其投标保证金的有效期，但不允许修改或撤回投标文件。</w:t>
      </w:r>
    </w:p>
    <w:p w14:paraId="5C6C7F30">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17.★投标文件份数和签署、盖章</w:t>
      </w:r>
    </w:p>
    <w:p w14:paraId="226FC77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应按“投标须知前附表”规定的份数提交《投标文件》，否则视为无效投标。</w:t>
      </w:r>
    </w:p>
    <w:p w14:paraId="6C4C1E8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17.2.投标文件电子版要求：按照本招标文件“第六章投标文件格式”编写（第六章未附格式的，由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自行拟定），不可涂改并在规定加盖公章处加盖电子公章，否则投标文件按无效</w:t>
      </w:r>
      <w:r>
        <w:rPr>
          <w:rFonts w:hint="eastAsia" w:ascii="仿宋" w:hAnsi="仿宋" w:eastAsia="仿宋" w:cs="仿宋"/>
          <w:spacing w:val="7"/>
          <w:sz w:val="24"/>
          <w:szCs w:val="24"/>
          <w:highlight w:val="none"/>
          <w:lang w:eastAsia="zh-CN"/>
        </w:rPr>
        <w:t>投标</w:t>
      </w:r>
      <w:r>
        <w:rPr>
          <w:rFonts w:ascii="仿宋" w:hAnsi="仿宋" w:eastAsia="仿宋" w:cs="仿宋"/>
          <w:spacing w:val="7"/>
          <w:sz w:val="24"/>
          <w:szCs w:val="24"/>
          <w:highlight w:val="none"/>
        </w:rPr>
        <w:t>处理。</w:t>
      </w:r>
    </w:p>
    <w:p w14:paraId="0BF943F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17.3.投标文件电子版密封方式：电子投标文件通过平台有效CA加密后在“政采云”平台投送。（操作方式见公告要求“电子投标文件制作与投送教程”）</w:t>
      </w:r>
    </w:p>
    <w:p w14:paraId="5202742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17.4.本项目采用电子招投标，开标现场无需提供纸质版投标文件，</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在中标公示期满后提交</w:t>
      </w:r>
      <w:r>
        <w:rPr>
          <w:rFonts w:hint="eastAsia" w:ascii="仿宋" w:hAnsi="仿宋" w:eastAsia="仿宋" w:cs="仿宋"/>
          <w:spacing w:val="7"/>
          <w:sz w:val="24"/>
          <w:szCs w:val="24"/>
          <w:highlight w:val="none"/>
          <w:lang w:eastAsia="zh-CN"/>
        </w:rPr>
        <w:t>二</w:t>
      </w:r>
      <w:r>
        <w:rPr>
          <w:rFonts w:ascii="仿宋" w:hAnsi="仿宋" w:eastAsia="仿宋" w:cs="仿宋"/>
          <w:spacing w:val="7"/>
          <w:sz w:val="24"/>
          <w:szCs w:val="24"/>
          <w:highlight w:val="none"/>
        </w:rPr>
        <w:t>份纸质版投标文件给代理机构存档。特别提示：</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提交的纸质版《投标文件》文字内容与开标时电子投标书应完全一致。</w:t>
      </w:r>
    </w:p>
    <w:p w14:paraId="082C8EA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17.5.除</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对错误处须修改外，全套《投标文件》应无涂改或行间插字和增删。如有修改，修改处应由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加盖投标单位的印章或由《投标文件》签字人签字或盖章。字迹潦草、表达不清或可能导致非唯一理解的投标文件可能视为无效投标。</w:t>
      </w:r>
    </w:p>
    <w:p w14:paraId="614185D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17.6《投标文件》应根据《招标文件》的要求签署及盖章，内容应完整详细，如有遗漏，将被视为无效投标。</w:t>
      </w:r>
    </w:p>
    <w:p w14:paraId="541F734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17.7.未按招标文件要求签署盖章的投标文件视为无效投标。</w:t>
      </w:r>
    </w:p>
    <w:p w14:paraId="1F1A976B">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四、投标文件的密封标记和递交</w:t>
      </w:r>
    </w:p>
    <w:p w14:paraId="6748EAE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18.★投标文件的密封和标记</w:t>
      </w:r>
    </w:p>
    <w:p w14:paraId="22BA06C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18.1.电子投标文件使用“新疆维吾尔自治区全流程电子招投标项目管理系统--</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客户端”制作完成，生成电子加密标书（.jmbs）上传至政采云平台。</w:t>
      </w:r>
    </w:p>
    <w:p w14:paraId="6EA626B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18.2.备份标书：</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根据自身情况自愿制作备份标书（.bfbs）,备份标书在开标时，因开标系统原因解密不成功时方可上传备份标书。其他因</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制作标书失误问题，数字证书（CA锁）问题导致不能现场解密的情况不允许上传备份文件。</w:t>
      </w:r>
    </w:p>
    <w:p w14:paraId="7EE7192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18.3.</w:t>
      </w:r>
      <w:r>
        <w:rPr>
          <w:rFonts w:hint="eastAsia" w:ascii="仿宋" w:hAnsi="仿宋" w:eastAsia="仿宋" w:cs="仿宋"/>
          <w:b/>
          <w:bCs/>
          <w:spacing w:val="7"/>
          <w:sz w:val="24"/>
          <w:szCs w:val="24"/>
          <w:highlight w:val="none"/>
          <w:lang w:eastAsia="zh-CN"/>
        </w:rPr>
        <w:t>投标人</w:t>
      </w:r>
      <w:r>
        <w:rPr>
          <w:rFonts w:ascii="仿宋" w:hAnsi="仿宋" w:eastAsia="仿宋" w:cs="仿宋"/>
          <w:b/>
          <w:bCs/>
          <w:spacing w:val="7"/>
          <w:sz w:val="24"/>
          <w:szCs w:val="24"/>
          <w:highlight w:val="none"/>
        </w:rPr>
        <w:t>制作电子投标书加密文件应与开标现场解密时的数字证书（CA锁）同为一把</w:t>
      </w:r>
      <w:r>
        <w:rPr>
          <w:rFonts w:ascii="仿宋" w:hAnsi="仿宋" w:eastAsia="仿宋" w:cs="仿宋"/>
          <w:spacing w:val="7"/>
          <w:sz w:val="24"/>
          <w:szCs w:val="24"/>
          <w:highlight w:val="none"/>
        </w:rPr>
        <w:t>，若因数字证书（CA锁）不是同一把锁导致现场解密失败的，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自行承担后果。</w:t>
      </w:r>
    </w:p>
    <w:p w14:paraId="549E5EF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19.投标文件的递交</w:t>
      </w:r>
    </w:p>
    <w:p w14:paraId="16D842D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19.1.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w:t>
      </w:r>
      <w:r>
        <w:rPr>
          <w:rFonts w:hint="eastAsia" w:ascii="仿宋" w:hAnsi="仿宋" w:eastAsia="仿宋" w:cs="仿宋"/>
          <w:spacing w:val="7"/>
          <w:sz w:val="24"/>
          <w:szCs w:val="24"/>
          <w:highlight w:val="none"/>
          <w:lang w:eastAsia="zh-CN"/>
        </w:rPr>
        <w:t>按照</w:t>
      </w:r>
      <w:r>
        <w:rPr>
          <w:rFonts w:ascii="仿宋" w:hAnsi="仿宋" w:eastAsia="仿宋" w:cs="仿宋"/>
          <w:spacing w:val="7"/>
          <w:sz w:val="24"/>
          <w:szCs w:val="24"/>
          <w:highlight w:val="none"/>
        </w:rPr>
        <w:t>本须知前附表所规定的地点，于递交截止时间前递交投标文件。</w:t>
      </w:r>
    </w:p>
    <w:p w14:paraId="679301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19.2.投标截止时间为《招标文件》“</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须知前附表”中规定时间，逾期送达的《投标文件》</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和采购人概不接受。</w:t>
      </w:r>
    </w:p>
    <w:p w14:paraId="3B071E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19.3.到投标截止时间止，采购人收到的投标文件少于3个的，采购人将依法重新组织招标。</w:t>
      </w:r>
    </w:p>
    <w:p w14:paraId="32E82155">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五、开标、评标、定标</w:t>
      </w:r>
    </w:p>
    <w:p w14:paraId="2916483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20.开标</w:t>
      </w:r>
    </w:p>
    <w:p w14:paraId="6688B3C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(1)</w:t>
      </w:r>
      <w:r>
        <w:rPr>
          <w:rFonts w:ascii="仿宋" w:hAnsi="仿宋" w:eastAsia="仿宋" w:cs="仿宋"/>
          <w:spacing w:val="7"/>
          <w:sz w:val="24"/>
          <w:szCs w:val="24"/>
          <w:highlight w:val="none"/>
        </w:rPr>
        <w:t>开标时，投标文件中出现下列情况，修正原则为：</w:t>
      </w:r>
    </w:p>
    <w:p w14:paraId="21FE482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A、大写金额和小写金额不一致的，以大写金额为准；</w:t>
      </w:r>
    </w:p>
    <w:p w14:paraId="418278F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B、单价金额小数点或者百分比有明显错位的，以投标报价一览表的总价为准，并修改单价；</w:t>
      </w:r>
    </w:p>
    <w:p w14:paraId="64B6AE2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C、总价金额与按单价汇总金额不一致的，以单价金额计算结果为准；</w:t>
      </w:r>
    </w:p>
    <w:p w14:paraId="0668226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D、投标文件正本与副本不一致的，以正本为准；</w:t>
      </w:r>
    </w:p>
    <w:p w14:paraId="2E98B7B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E、多处内容交叉不符的，以评标委员会评审结果为准；</w:t>
      </w:r>
    </w:p>
    <w:p w14:paraId="3023977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F、文字与图表不符的，以文字为准。同时出现两种以上不一致的，按照前款规定的顺序修正。按上述修正错误的原则及方法调整或修正投标文件的报价和内容，</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同意后，调整后的报价和内容对</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起约束作用。如果</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不接受修正后的报价和内容，则其投标无效。</w:t>
      </w:r>
    </w:p>
    <w:p w14:paraId="3DE4BA3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（2）公开开标后，直到向中标的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授予合同为止，凡审查、澄清、评价和比较投标的有关资料及被</w:t>
      </w:r>
      <w:r>
        <w:rPr>
          <w:rFonts w:hint="eastAsia" w:ascii="仿宋" w:hAnsi="仿宋" w:eastAsia="仿宋" w:cs="仿宋"/>
          <w:spacing w:val="7"/>
          <w:sz w:val="24"/>
          <w:szCs w:val="24"/>
          <w:highlight w:val="none"/>
          <w:lang w:eastAsia="zh-CN"/>
        </w:rPr>
        <w:t>投标</w:t>
      </w:r>
      <w:r>
        <w:rPr>
          <w:rFonts w:ascii="仿宋" w:hAnsi="仿宋" w:eastAsia="仿宋" w:cs="仿宋"/>
          <w:spacing w:val="7"/>
          <w:sz w:val="24"/>
          <w:szCs w:val="24"/>
          <w:highlight w:val="none"/>
        </w:rPr>
        <w:t>意见等内容，评标委员会成员均不得向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及与评标无关的其他人透露。</w:t>
      </w:r>
    </w:p>
    <w:p w14:paraId="2A52A855">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21.评标委员会</w:t>
      </w:r>
    </w:p>
    <w:p w14:paraId="24778E0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为确保评标工作公开、公平、公正，依法成立评标委员会。评标委员会由</w:t>
      </w:r>
      <w:r>
        <w:rPr>
          <w:rFonts w:hint="eastAsia" w:ascii="仿宋" w:hAnsi="仿宋" w:eastAsia="仿宋" w:cs="仿宋"/>
          <w:spacing w:val="7"/>
          <w:sz w:val="24"/>
          <w:szCs w:val="24"/>
          <w:highlight w:val="none"/>
          <w:lang w:val="en-US" w:eastAsia="zh-CN"/>
        </w:rPr>
        <w:t>5</w:t>
      </w:r>
      <w:r>
        <w:rPr>
          <w:rFonts w:ascii="仿宋" w:hAnsi="仿宋" w:eastAsia="仿宋" w:cs="仿宋"/>
          <w:spacing w:val="7"/>
          <w:sz w:val="24"/>
          <w:szCs w:val="24"/>
          <w:highlight w:val="none"/>
        </w:rPr>
        <w:t>人以上单数评审专家组成</w:t>
      </w:r>
      <w:r>
        <w:rPr>
          <w:rFonts w:hint="eastAsia" w:ascii="仿宋" w:hAnsi="仿宋" w:eastAsia="仿宋" w:cs="仿宋"/>
          <w:spacing w:val="7"/>
          <w:sz w:val="24"/>
          <w:szCs w:val="24"/>
          <w:highlight w:val="none"/>
          <w:lang w:val="en-US" w:eastAsia="zh-CN"/>
        </w:rPr>
        <w:t>。</w:t>
      </w:r>
      <w:r>
        <w:rPr>
          <w:rFonts w:ascii="仿宋" w:hAnsi="仿宋" w:eastAsia="仿宋" w:cs="仿宋"/>
          <w:spacing w:val="7"/>
          <w:sz w:val="24"/>
          <w:szCs w:val="24"/>
          <w:highlight w:val="none"/>
        </w:rPr>
        <w:t>专家名单从政府采购评审专家库中随机抽取，评标委员会成员应当遵守并履行下列责任和义务：</w:t>
      </w:r>
    </w:p>
    <w:p w14:paraId="49CA9C5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A、要严格遵守政府采购相关法律制度，依法履行各自职责，公正、客观、审慎地组织和参与评审工作；</w:t>
      </w:r>
    </w:p>
    <w:p w14:paraId="44D86D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B、审查、评价投标文件是否符合招标文件的商务、技术等实质性要求；</w:t>
      </w:r>
    </w:p>
    <w:p w14:paraId="6EDB8A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C、要求</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对投标文件有关事项作出澄清或说明；</w:t>
      </w:r>
    </w:p>
    <w:p w14:paraId="1A43A82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D、按招标文件规定的评审方法和标准，对投标文件进行比较和评价；对</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的客观评分项的评分应当一致；</w:t>
      </w:r>
    </w:p>
    <w:p w14:paraId="5F34A9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E、要依法独立评审，按照招标文件的要求和评标标准进行评标，推荐中标候选人名单，对评审意见承担个人责任；</w:t>
      </w:r>
    </w:p>
    <w:p w14:paraId="0F94D8C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F、对需要共同认定的事项存在争议的，按照少数服从多数的原则</w:t>
      </w:r>
      <w:r>
        <w:rPr>
          <w:rFonts w:hint="eastAsia" w:ascii="仿宋" w:hAnsi="仿宋" w:eastAsia="仿宋" w:cs="仿宋"/>
          <w:spacing w:val="7"/>
          <w:sz w:val="24"/>
          <w:szCs w:val="24"/>
          <w:highlight w:val="none"/>
          <w:lang w:eastAsia="zh-CN"/>
        </w:rPr>
        <w:t>作出</w:t>
      </w:r>
      <w:r>
        <w:rPr>
          <w:rFonts w:ascii="仿宋" w:hAnsi="仿宋" w:eastAsia="仿宋" w:cs="仿宋"/>
          <w:spacing w:val="7"/>
          <w:sz w:val="24"/>
          <w:szCs w:val="24"/>
          <w:highlight w:val="none"/>
        </w:rPr>
        <w:t>结论。持不同意见的评审委员会成员应当在评审报告上签署不同意见并说明理由，否则视为同意；</w:t>
      </w:r>
    </w:p>
    <w:p w14:paraId="513EC81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G、对评审情况以及在评审过程中获悉的国家秘密、商业秘密负有保密责任；</w:t>
      </w:r>
    </w:p>
    <w:p w14:paraId="1BE6E0A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H、向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、代理机构或者有关部门报告评标中发现的违法行为；</w:t>
      </w:r>
    </w:p>
    <w:p w14:paraId="594C83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I、配合</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、代理机构答复</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提出的质疑；</w:t>
      </w:r>
    </w:p>
    <w:p w14:paraId="6D0055D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J、配合处理投诉工作；</w:t>
      </w:r>
    </w:p>
    <w:p w14:paraId="0F1175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招标文件及法律法律规定的其他评标委员会须履行的义务。</w:t>
      </w:r>
    </w:p>
    <w:p w14:paraId="4091C523">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22.评审</w:t>
      </w:r>
    </w:p>
    <w:p w14:paraId="52970D8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22.1.评标委员会按照“评标办法”规定的评审标准对投标文件进行评审。</w:t>
      </w:r>
    </w:p>
    <w:p w14:paraId="5D17EC42">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23.★无效投标的情形</w:t>
      </w:r>
    </w:p>
    <w:p w14:paraId="1969285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法定代表人（或其他组织负责人，或自然人）或授权代理人未参加开标会议的；</w:t>
      </w:r>
    </w:p>
    <w:p w14:paraId="4780D10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未按招标文件要求提供法人（或其他组织负责人，或自然人）身份证复印件，被授权人身份证复印件和法人授权委托书等证明文件和资料的，或提供的证件不齐或无效；</w:t>
      </w:r>
    </w:p>
    <w:p w14:paraId="290A99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23.3.《投标文件》未按照《招标文件》规定要求签署、盖章或提交的投标文件份数不全的；</w:t>
      </w:r>
    </w:p>
    <w:p w14:paraId="371D2A8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23.4.投标文件未按照招标文件规定的格式填写，或者填写的内容不全，或者辨认不清产生歧义，或者涂改处未加盖</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公章及法人或法人授权委托人的印章或签字的；</w:t>
      </w:r>
    </w:p>
    <w:p w14:paraId="64D424B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23.5.《投标文件》不符合《招标文件》规定格式的；</w:t>
      </w:r>
    </w:p>
    <w:p w14:paraId="378B6CB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23.6.投标总报价超出项目采购预算的。</w:t>
      </w:r>
    </w:p>
    <w:p w14:paraId="65BB7B6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23.7.应交未交投标保证金或不能提供有效缴纳凭证的；</w:t>
      </w:r>
    </w:p>
    <w:p w14:paraId="02A5B98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23.8.不具备招标文件中规</w:t>
      </w:r>
      <w:r>
        <w:rPr>
          <w:rFonts w:hint="eastAsia" w:ascii="仿宋" w:hAnsi="仿宋" w:eastAsia="仿宋" w:cs="仿宋"/>
          <w:spacing w:val="7"/>
          <w:sz w:val="24"/>
          <w:szCs w:val="24"/>
          <w:highlight w:val="none"/>
          <w:lang w:eastAsia="zh-CN"/>
        </w:rPr>
        <w:t>定的</w:t>
      </w:r>
      <w:r>
        <w:rPr>
          <w:rFonts w:ascii="仿宋" w:hAnsi="仿宋" w:eastAsia="仿宋" w:cs="仿宋"/>
          <w:spacing w:val="7"/>
          <w:sz w:val="24"/>
          <w:szCs w:val="24"/>
          <w:highlight w:val="none"/>
        </w:rPr>
        <w:t>资格要求或资格证明文件不全或是虚假的；</w:t>
      </w:r>
    </w:p>
    <w:p w14:paraId="546EFB2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23.9.投标有效期不符合《招标文件》要求的；</w:t>
      </w:r>
    </w:p>
    <w:p w14:paraId="749B218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23.10.不能按评标委员会要求提供相应证件原件或提供的原件与投标文件复印件不一致，且存在伪造行为的；</w:t>
      </w:r>
    </w:p>
    <w:p w14:paraId="7FE0339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的投标报价是可变动价格的，或包含了价格调整要求的，或投标报价中提供两个（含两个）以上的报价且未声明哪个有效的（招标文件规定提交备选投标方案的除外）；</w:t>
      </w:r>
    </w:p>
    <w:p w14:paraId="4C9C817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23.12.评审专家中有2/3认定</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投标价格有恶意报价行为的；</w:t>
      </w:r>
    </w:p>
    <w:p w14:paraId="3E0540E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23.13.《投标文件》含有</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不能接受的条件或声明的；</w:t>
      </w:r>
    </w:p>
    <w:p w14:paraId="5DE18C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23.14.在评标过程中，如果</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试图在投标审查、澄清、比较及授予合同方面向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施加任何影响的；</w:t>
      </w:r>
    </w:p>
    <w:p w14:paraId="650A7E4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23.15.</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以他人名义投标、串通投标、以行贿手段谋取中标或者以弄虚作假等方式投标的；</w:t>
      </w:r>
    </w:p>
    <w:p w14:paraId="27C14BC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23.16.经核实两个或两个以上</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的投标文件有雷同或有抄袭行为的；</w:t>
      </w:r>
    </w:p>
    <w:p w14:paraId="76C5433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23.17.违反《中华人民共和国政府采购法》的投标；</w:t>
      </w:r>
    </w:p>
    <w:p w14:paraId="763B34C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23.18.招标文件中已明确无效投标的其他条款。</w:t>
      </w:r>
    </w:p>
    <w:p w14:paraId="28FCB3E0">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24.定标</w:t>
      </w:r>
    </w:p>
    <w:p w14:paraId="70966C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定标及确定</w:t>
      </w:r>
      <w:r>
        <w:rPr>
          <w:rFonts w:hint="eastAsia" w:ascii="仿宋" w:hAnsi="仿宋" w:eastAsia="仿宋" w:cs="仿宋"/>
          <w:spacing w:val="7"/>
          <w:sz w:val="24"/>
          <w:szCs w:val="24"/>
          <w:highlight w:val="none"/>
          <w:lang w:eastAsia="zh-CN"/>
        </w:rPr>
        <w:t>中标候选人</w:t>
      </w:r>
      <w:r>
        <w:rPr>
          <w:rFonts w:ascii="仿宋" w:hAnsi="仿宋" w:eastAsia="仿宋" w:cs="仿宋"/>
          <w:spacing w:val="7"/>
          <w:sz w:val="24"/>
          <w:szCs w:val="24"/>
          <w:highlight w:val="none"/>
        </w:rPr>
        <w:t>的原则：投标文件满足招标文件全部实质性要求，且按照评审因素的量化指标评审得分最高的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为排名第一的中标候选人。得分相同的，选择最低报价的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为排名第一的中标候选人。</w:t>
      </w:r>
    </w:p>
    <w:p w14:paraId="1E1C439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六、质疑</w:t>
      </w:r>
    </w:p>
    <w:p w14:paraId="5A6FE89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25.</w:t>
      </w:r>
      <w:r>
        <w:rPr>
          <w:rFonts w:hint="eastAsia" w:ascii="仿宋" w:hAnsi="仿宋" w:eastAsia="仿宋" w:cs="仿宋"/>
          <w:b/>
          <w:bCs/>
          <w:spacing w:val="7"/>
          <w:sz w:val="24"/>
          <w:szCs w:val="24"/>
          <w:highlight w:val="none"/>
          <w:lang w:eastAsia="zh-CN"/>
        </w:rPr>
        <w:t>投标人</w:t>
      </w:r>
      <w:r>
        <w:rPr>
          <w:rFonts w:ascii="仿宋" w:hAnsi="仿宋" w:eastAsia="仿宋" w:cs="仿宋"/>
          <w:b/>
          <w:bCs/>
          <w:spacing w:val="7"/>
          <w:sz w:val="24"/>
          <w:szCs w:val="24"/>
          <w:highlight w:val="none"/>
        </w:rPr>
        <w:t>质疑</w:t>
      </w:r>
    </w:p>
    <w:p w14:paraId="5B27DBC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25.1.</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对政府采购活动事项有疑问的，可以向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提出询问。</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收到质疑函后7个工作日内作出答复。本次招标</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如对招标文件或招投标过程进行质疑，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须一次性提出针对同一采购程序环节的所有质疑内容，多次质疑将不予受理。</w:t>
      </w:r>
    </w:p>
    <w:p w14:paraId="7A857D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若认为招标文件、采购过程和中标结果使自己的权益受到损害，应当在下列时间内以书面形式向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提出：</w:t>
      </w:r>
    </w:p>
    <w:p w14:paraId="77344F5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（1）关于招标文件的质疑，</w:t>
      </w:r>
      <w:r>
        <w:rPr>
          <w:rFonts w:hint="eastAsia" w:ascii="仿宋" w:hAnsi="仿宋" w:eastAsia="仿宋" w:cs="仿宋"/>
          <w:spacing w:val="7"/>
          <w:sz w:val="24"/>
          <w:szCs w:val="24"/>
          <w:highlight w:val="none"/>
          <w:lang w:eastAsia="zh-CN"/>
        </w:rPr>
        <w:t>应在</w:t>
      </w:r>
      <w:r>
        <w:rPr>
          <w:rFonts w:hint="eastAsia" w:ascii="仿宋" w:hAnsi="仿宋" w:eastAsia="仿宋" w:cs="仿宋"/>
          <w:spacing w:val="7"/>
          <w:sz w:val="24"/>
          <w:szCs w:val="24"/>
          <w:highlight w:val="none"/>
          <w:lang w:val="en-US" w:eastAsia="zh-CN"/>
        </w:rPr>
        <w:t>获取招标文件或者招标文件公告期限届满之日起7个工作日内</w:t>
      </w:r>
      <w:r>
        <w:rPr>
          <w:rFonts w:ascii="仿宋" w:hAnsi="仿宋" w:eastAsia="仿宋" w:cs="仿宋"/>
          <w:spacing w:val="7"/>
          <w:sz w:val="24"/>
          <w:szCs w:val="24"/>
          <w:highlight w:val="none"/>
        </w:rPr>
        <w:t>提出。</w:t>
      </w:r>
    </w:p>
    <w:p w14:paraId="73F3AF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（2）关于招标过程的质疑，应在招标程序环节结束之日起七个工作日内提出。</w:t>
      </w:r>
    </w:p>
    <w:p w14:paraId="6658B08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（3）关于中标结果的质疑，应在中标结果信息发布后七个工作日内提出。</w:t>
      </w:r>
    </w:p>
    <w:p w14:paraId="0A6206A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25.3.</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提出质疑的，应提供质疑书原件。</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应当向质疑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签收回执。</w:t>
      </w:r>
    </w:p>
    <w:p w14:paraId="35FE28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25.4.质疑书应当包括下列内容：</w:t>
      </w:r>
    </w:p>
    <w:p w14:paraId="10BB6E5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(1)投标人</w:t>
      </w:r>
      <w:r>
        <w:rPr>
          <w:rFonts w:ascii="仿宋" w:hAnsi="仿宋" w:eastAsia="仿宋" w:cs="仿宋"/>
          <w:spacing w:val="7"/>
          <w:sz w:val="24"/>
          <w:szCs w:val="24"/>
          <w:highlight w:val="none"/>
        </w:rPr>
        <w:t>的姓名或者名称、地址、邮编、联系人及联系电话；</w:t>
      </w:r>
    </w:p>
    <w:p w14:paraId="1136943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(2)</w:t>
      </w:r>
      <w:r>
        <w:rPr>
          <w:rFonts w:ascii="仿宋" w:hAnsi="仿宋" w:eastAsia="仿宋" w:cs="仿宋"/>
          <w:spacing w:val="7"/>
          <w:sz w:val="24"/>
          <w:szCs w:val="24"/>
          <w:highlight w:val="none"/>
        </w:rPr>
        <w:t>质疑项目的名称、编号；</w:t>
      </w:r>
    </w:p>
    <w:p w14:paraId="5A851A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(3)</w:t>
      </w:r>
      <w:r>
        <w:rPr>
          <w:rFonts w:ascii="仿宋" w:hAnsi="仿宋" w:eastAsia="仿宋" w:cs="仿宋"/>
          <w:spacing w:val="7"/>
          <w:sz w:val="24"/>
          <w:szCs w:val="24"/>
          <w:highlight w:val="none"/>
        </w:rPr>
        <w:t>具体、明确的质疑事项和与质疑事项相关的请求；</w:t>
      </w:r>
    </w:p>
    <w:p w14:paraId="5BFDE57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(4)</w:t>
      </w:r>
      <w:r>
        <w:rPr>
          <w:rFonts w:ascii="仿宋" w:hAnsi="仿宋" w:eastAsia="仿宋" w:cs="仿宋"/>
          <w:spacing w:val="7"/>
          <w:sz w:val="24"/>
          <w:szCs w:val="24"/>
          <w:highlight w:val="none"/>
        </w:rPr>
        <w:t>事实依据；</w:t>
      </w:r>
    </w:p>
    <w:p w14:paraId="11C08BE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(5)</w:t>
      </w:r>
      <w:r>
        <w:rPr>
          <w:rFonts w:ascii="仿宋" w:hAnsi="仿宋" w:eastAsia="仿宋" w:cs="仿宋"/>
          <w:spacing w:val="7"/>
          <w:sz w:val="24"/>
          <w:szCs w:val="24"/>
          <w:highlight w:val="none"/>
        </w:rPr>
        <w:t>必要的法律依据；</w:t>
      </w:r>
    </w:p>
    <w:p w14:paraId="610FFE0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(6)</w:t>
      </w:r>
      <w:r>
        <w:rPr>
          <w:rFonts w:ascii="仿宋" w:hAnsi="仿宋" w:eastAsia="仿宋" w:cs="仿宋"/>
          <w:spacing w:val="7"/>
          <w:sz w:val="24"/>
          <w:szCs w:val="24"/>
          <w:highlight w:val="none"/>
        </w:rPr>
        <w:t>提出质疑的日期。</w:t>
      </w:r>
    </w:p>
    <w:p w14:paraId="254B6EE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25.5.质疑书应当由</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法定代表人（或其他组织负责人，或自然人）或其授权委托人签 字并加盖</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单位章，质疑书由授权委托人签字的应附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授权委托书（自然人除外）。</w:t>
      </w:r>
    </w:p>
    <w:p w14:paraId="74CC9F9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25.6.</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将在签收回执之日起七个工作日内作出书面答复，并以书面形式通知质疑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和其他有关的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w:t>
      </w:r>
    </w:p>
    <w:p w14:paraId="2426525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sectPr>
          <w:footerReference r:id="rId8" w:type="default"/>
          <w:pgSz w:w="11906" w:h="16839"/>
          <w:pgMar w:top="1440" w:right="1080" w:bottom="1440" w:left="1080" w:header="0" w:footer="989" w:gutter="0"/>
          <w:pgNumType w:fmt="decimal"/>
          <w:cols w:space="720" w:num="1"/>
        </w:sectPr>
      </w:pPr>
      <w:r>
        <w:rPr>
          <w:rFonts w:ascii="仿宋" w:hAnsi="仿宋" w:eastAsia="仿宋" w:cs="仿宋"/>
          <w:spacing w:val="7"/>
          <w:sz w:val="24"/>
          <w:szCs w:val="24"/>
          <w:highlight w:val="none"/>
        </w:rPr>
        <w:t>25.7.</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对</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的答复不满意，或</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未在规定的期限作出答复的，可在答复期满后十五个工作日内，按政府采购相关法律法规规章的规定及程序，向同级财政部门提出投诉。</w:t>
      </w:r>
    </w:p>
    <w:p w14:paraId="24F7A41D">
      <w:pPr>
        <w:keepLines w:val="0"/>
        <w:pageBreakBefore w:val="0"/>
        <w:kinsoku/>
        <w:wordWrap/>
        <w:overflowPunct/>
        <w:topLinePunct w:val="0"/>
        <w:bidi w:val="0"/>
        <w:spacing w:line="230" w:lineRule="auto"/>
        <w:ind w:left="232"/>
        <w:rPr>
          <w:rFonts w:ascii="Times New Roman" w:hAnsi="Times New Roman" w:eastAsia="Times New Roman" w:cs="Times New Roman"/>
          <w:spacing w:val="4"/>
          <w:sz w:val="24"/>
          <w:szCs w:val="24"/>
          <w:highlight w:val="none"/>
        </w:rPr>
      </w:pPr>
    </w:p>
    <w:p w14:paraId="18F10101">
      <w:pPr>
        <w:keepLines w:val="0"/>
        <w:pageBreakBefore w:val="0"/>
        <w:kinsoku/>
        <w:wordWrap/>
        <w:overflowPunct/>
        <w:topLinePunct w:val="0"/>
        <w:bidi w:val="0"/>
        <w:spacing w:line="230" w:lineRule="auto"/>
        <w:ind w:left="232"/>
        <w:rPr>
          <w:rFonts w:ascii="仿宋" w:hAnsi="仿宋" w:eastAsia="仿宋" w:cs="仿宋"/>
          <w:spacing w:val="7"/>
          <w:sz w:val="24"/>
          <w:szCs w:val="24"/>
          <w:highlight w:val="none"/>
        </w:rPr>
      </w:pPr>
      <w:r>
        <w:rPr>
          <w:rFonts w:ascii="Times New Roman" w:hAnsi="Times New Roman" w:eastAsia="Times New Roman" w:cs="Times New Roman"/>
          <w:spacing w:val="4"/>
          <w:sz w:val="24"/>
          <w:szCs w:val="24"/>
          <w:highlight w:val="none"/>
        </w:rPr>
        <w:t xml:space="preserve">25.8.   </w:t>
      </w:r>
      <w:r>
        <w:rPr>
          <w:rFonts w:ascii="仿宋" w:hAnsi="仿宋" w:eastAsia="仿宋" w:cs="仿宋"/>
          <w:spacing w:val="4"/>
          <w:sz w:val="24"/>
          <w:szCs w:val="24"/>
          <w:highlight w:val="none"/>
        </w:rPr>
        <w:t>质疑函范本：</w:t>
      </w:r>
    </w:p>
    <w:p w14:paraId="150A6B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一、质疑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基本信息</w:t>
      </w:r>
    </w:p>
    <w:p w14:paraId="77E6A03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质疑</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w:t>
      </w:r>
      <w:r>
        <w:rPr>
          <w:rFonts w:ascii="仿宋" w:hAnsi="仿宋" w:eastAsia="仿宋" w:cs="仿宋"/>
          <w:spacing w:val="7"/>
          <w:sz w:val="24"/>
          <w:szCs w:val="24"/>
          <w:highlight w:val="none"/>
        </w:rPr>
        <w:drawing>
          <wp:inline distT="0" distB="0" distL="0" distR="0">
            <wp:extent cx="4133850" cy="57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0"/>
                    <a:stretch>
                      <a:fillRect/>
                    </a:stretch>
                  </pic:blipFill>
                  <pic:spPr>
                    <a:xfrm>
                      <a:off x="0" y="0"/>
                      <a:ext cx="4134484" cy="6096"/>
                    </a:xfrm>
                    <a:prstGeom prst="rect">
                      <a:avLst/>
                    </a:prstGeom>
                  </pic:spPr>
                </pic:pic>
              </a:graphicData>
            </a:graphic>
          </wp:inline>
        </w:drawing>
      </w:r>
    </w:p>
    <w:p w14:paraId="75A6BD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地址：</w:t>
      </w:r>
      <w:r>
        <w:rPr>
          <w:rFonts w:ascii="仿宋" w:hAnsi="仿宋" w:eastAsia="仿宋" w:cs="仿宋"/>
          <w:spacing w:val="7"/>
          <w:sz w:val="24"/>
          <w:szCs w:val="24"/>
          <w:highlight w:val="none"/>
        </w:rPr>
        <w:drawing>
          <wp:inline distT="0" distB="0" distL="0" distR="0">
            <wp:extent cx="1931670" cy="571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1"/>
                    <a:stretch>
                      <a:fillRect/>
                    </a:stretch>
                  </pic:blipFill>
                  <pic:spPr>
                    <a:xfrm>
                      <a:off x="0" y="0"/>
                      <a:ext cx="1932304" cy="6095"/>
                    </a:xfrm>
                    <a:prstGeom prst="rect">
                      <a:avLst/>
                    </a:prstGeom>
                  </pic:spPr>
                </pic:pic>
              </a:graphicData>
            </a:graphic>
          </wp:inline>
        </w:drawing>
      </w:r>
      <w:r>
        <w:rPr>
          <w:rFonts w:ascii="仿宋" w:hAnsi="仿宋" w:eastAsia="仿宋" w:cs="仿宋"/>
          <w:spacing w:val="7"/>
          <w:sz w:val="24"/>
          <w:szCs w:val="24"/>
          <w:highlight w:val="none"/>
        </w:rPr>
        <w:t xml:space="preserve"> 邮编：</w:t>
      </w:r>
      <w:r>
        <w:rPr>
          <w:rFonts w:ascii="仿宋" w:hAnsi="仿宋" w:eastAsia="仿宋" w:cs="仿宋"/>
          <w:spacing w:val="7"/>
          <w:sz w:val="24"/>
          <w:szCs w:val="24"/>
          <w:highlight w:val="none"/>
        </w:rPr>
        <w:drawing>
          <wp:inline distT="0" distB="0" distL="0" distR="0">
            <wp:extent cx="2400300" cy="571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2"/>
                    <a:stretch>
                      <a:fillRect/>
                    </a:stretch>
                  </pic:blipFill>
                  <pic:spPr>
                    <a:xfrm>
                      <a:off x="0" y="0"/>
                      <a:ext cx="2400300" cy="6095"/>
                    </a:xfrm>
                    <a:prstGeom prst="rect">
                      <a:avLst/>
                    </a:prstGeom>
                  </pic:spPr>
                </pic:pic>
              </a:graphicData>
            </a:graphic>
          </wp:inline>
        </w:drawing>
      </w:r>
    </w:p>
    <w:p w14:paraId="36FE55D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联系人：</w:t>
      </w:r>
      <w:r>
        <w:rPr>
          <w:rFonts w:ascii="仿宋" w:hAnsi="仿宋" w:eastAsia="仿宋" w:cs="仿宋"/>
          <w:spacing w:val="7"/>
          <w:sz w:val="24"/>
          <w:szCs w:val="24"/>
          <w:highlight w:val="none"/>
        </w:rPr>
        <w:drawing>
          <wp:inline distT="0" distB="0" distL="0" distR="0">
            <wp:extent cx="1798955" cy="571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3"/>
                    <a:stretch>
                      <a:fillRect/>
                    </a:stretch>
                  </pic:blipFill>
                  <pic:spPr>
                    <a:xfrm>
                      <a:off x="0" y="0"/>
                      <a:ext cx="1799589" cy="6095"/>
                    </a:xfrm>
                    <a:prstGeom prst="rect">
                      <a:avLst/>
                    </a:prstGeom>
                  </pic:spPr>
                </pic:pic>
              </a:graphicData>
            </a:graphic>
          </wp:inline>
        </w:drawing>
      </w:r>
      <w:r>
        <w:rPr>
          <w:rFonts w:ascii="仿宋" w:hAnsi="仿宋" w:eastAsia="仿宋" w:cs="仿宋"/>
          <w:spacing w:val="7"/>
          <w:sz w:val="24"/>
          <w:szCs w:val="24"/>
          <w:highlight w:val="none"/>
        </w:rPr>
        <w:t xml:space="preserve"> 联系电话：</w:t>
      </w:r>
      <w:r>
        <w:rPr>
          <w:rFonts w:ascii="仿宋" w:hAnsi="仿宋" w:eastAsia="仿宋" w:cs="仿宋"/>
          <w:spacing w:val="7"/>
          <w:sz w:val="24"/>
          <w:szCs w:val="24"/>
          <w:highlight w:val="none"/>
        </w:rPr>
        <w:drawing>
          <wp:inline distT="0" distB="0" distL="0" distR="0">
            <wp:extent cx="2270760" cy="571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4"/>
                    <a:stretch>
                      <a:fillRect/>
                    </a:stretch>
                  </pic:blipFill>
                  <pic:spPr>
                    <a:xfrm>
                      <a:off x="0" y="0"/>
                      <a:ext cx="2270760" cy="6095"/>
                    </a:xfrm>
                    <a:prstGeom prst="rect">
                      <a:avLst/>
                    </a:prstGeom>
                  </pic:spPr>
                </pic:pic>
              </a:graphicData>
            </a:graphic>
          </wp:inline>
        </w:drawing>
      </w:r>
    </w:p>
    <w:p w14:paraId="28A8EE7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授权代表：</w:t>
      </w:r>
      <w:r>
        <w:rPr>
          <w:rFonts w:ascii="仿宋" w:hAnsi="仿宋" w:eastAsia="仿宋" w:cs="仿宋"/>
          <w:spacing w:val="7"/>
          <w:sz w:val="24"/>
          <w:szCs w:val="24"/>
          <w:highlight w:val="none"/>
        </w:rPr>
        <w:drawing>
          <wp:inline distT="0" distB="0" distL="0" distR="0">
            <wp:extent cx="4331970" cy="5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5"/>
                    <a:stretch>
                      <a:fillRect/>
                    </a:stretch>
                  </pic:blipFill>
                  <pic:spPr>
                    <a:xfrm>
                      <a:off x="0" y="0"/>
                      <a:ext cx="4332604" cy="6095"/>
                    </a:xfrm>
                    <a:prstGeom prst="rect">
                      <a:avLst/>
                    </a:prstGeom>
                  </pic:spPr>
                </pic:pic>
              </a:graphicData>
            </a:graphic>
          </wp:inline>
        </w:drawing>
      </w:r>
    </w:p>
    <w:p w14:paraId="53A1811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联系电话：</w:t>
      </w:r>
      <w:r>
        <w:rPr>
          <w:rFonts w:ascii="仿宋" w:hAnsi="仿宋" w:eastAsia="仿宋" w:cs="仿宋"/>
          <w:spacing w:val="7"/>
          <w:sz w:val="24"/>
          <w:szCs w:val="24"/>
          <w:highlight w:val="none"/>
        </w:rPr>
        <w:drawing>
          <wp:inline distT="0" distB="0" distL="0" distR="0">
            <wp:extent cx="4267200" cy="57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6"/>
                    <a:stretch>
                      <a:fillRect/>
                    </a:stretch>
                  </pic:blipFill>
                  <pic:spPr>
                    <a:xfrm>
                      <a:off x="0" y="0"/>
                      <a:ext cx="4267200" cy="6095"/>
                    </a:xfrm>
                    <a:prstGeom prst="rect">
                      <a:avLst/>
                    </a:prstGeom>
                  </pic:spPr>
                </pic:pic>
              </a:graphicData>
            </a:graphic>
          </wp:inline>
        </w:drawing>
      </w:r>
    </w:p>
    <w:p w14:paraId="4962420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 xml:space="preserve">地址： </w:t>
      </w:r>
      <w:r>
        <w:rPr>
          <w:rFonts w:ascii="仿宋" w:hAnsi="仿宋" w:eastAsia="仿宋" w:cs="仿宋"/>
          <w:spacing w:val="7"/>
          <w:sz w:val="24"/>
          <w:szCs w:val="24"/>
          <w:highlight w:val="none"/>
        </w:rPr>
        <w:drawing>
          <wp:inline distT="0" distB="0" distL="0" distR="0">
            <wp:extent cx="1934210" cy="571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7"/>
                    <a:stretch>
                      <a:fillRect/>
                    </a:stretch>
                  </pic:blipFill>
                  <pic:spPr>
                    <a:xfrm>
                      <a:off x="0" y="0"/>
                      <a:ext cx="1934210" cy="6095"/>
                    </a:xfrm>
                    <a:prstGeom prst="rect">
                      <a:avLst/>
                    </a:prstGeom>
                  </pic:spPr>
                </pic:pic>
              </a:graphicData>
            </a:graphic>
          </wp:inline>
        </w:drawing>
      </w:r>
      <w:r>
        <w:rPr>
          <w:rFonts w:ascii="仿宋" w:hAnsi="仿宋" w:eastAsia="仿宋" w:cs="仿宋"/>
          <w:spacing w:val="7"/>
          <w:sz w:val="24"/>
          <w:szCs w:val="24"/>
          <w:highlight w:val="none"/>
        </w:rPr>
        <w:t xml:space="preserve"> 邮编：</w:t>
      </w:r>
      <w:r>
        <w:rPr>
          <w:rFonts w:ascii="仿宋" w:hAnsi="仿宋" w:eastAsia="仿宋" w:cs="仿宋"/>
          <w:spacing w:val="7"/>
          <w:sz w:val="24"/>
          <w:szCs w:val="24"/>
          <w:highlight w:val="none"/>
        </w:rPr>
        <w:drawing>
          <wp:inline distT="0" distB="0" distL="0" distR="0">
            <wp:extent cx="2465070" cy="571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8"/>
                    <a:stretch>
                      <a:fillRect/>
                    </a:stretch>
                  </pic:blipFill>
                  <pic:spPr>
                    <a:xfrm>
                      <a:off x="0" y="0"/>
                      <a:ext cx="2465704" cy="6095"/>
                    </a:xfrm>
                    <a:prstGeom prst="rect">
                      <a:avLst/>
                    </a:prstGeom>
                  </pic:spPr>
                </pic:pic>
              </a:graphicData>
            </a:graphic>
          </wp:inline>
        </w:drawing>
      </w:r>
    </w:p>
    <w:p w14:paraId="1BC884F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二、质疑项目基本情况</w:t>
      </w:r>
    </w:p>
    <w:p w14:paraId="59AD53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质疑项目的名称：</w:t>
      </w:r>
      <w:r>
        <w:rPr>
          <w:rFonts w:ascii="仿宋" w:hAnsi="仿宋" w:eastAsia="仿宋" w:cs="仿宋"/>
          <w:spacing w:val="7"/>
          <w:sz w:val="24"/>
          <w:szCs w:val="24"/>
          <w:highlight w:val="none"/>
        </w:rPr>
        <w:drawing>
          <wp:inline distT="0" distB="0" distL="0" distR="0">
            <wp:extent cx="3867150" cy="571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9"/>
                    <a:stretch>
                      <a:fillRect/>
                    </a:stretch>
                  </pic:blipFill>
                  <pic:spPr>
                    <a:xfrm>
                      <a:off x="0" y="0"/>
                      <a:ext cx="3867784" cy="6095"/>
                    </a:xfrm>
                    <a:prstGeom prst="rect">
                      <a:avLst/>
                    </a:prstGeom>
                  </pic:spPr>
                </pic:pic>
              </a:graphicData>
            </a:graphic>
          </wp:inline>
        </w:drawing>
      </w:r>
    </w:p>
    <w:p w14:paraId="685F06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质疑项目的编号：</w:t>
      </w:r>
      <w:r>
        <w:rPr>
          <w:rFonts w:ascii="仿宋" w:hAnsi="仿宋" w:eastAsia="仿宋" w:cs="仿宋"/>
          <w:spacing w:val="7"/>
          <w:sz w:val="24"/>
          <w:szCs w:val="24"/>
          <w:highlight w:val="none"/>
        </w:rPr>
        <w:drawing>
          <wp:inline distT="0" distB="0" distL="0" distR="0">
            <wp:extent cx="1666875" cy="571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0"/>
                    <a:stretch>
                      <a:fillRect/>
                    </a:stretch>
                  </pic:blipFill>
                  <pic:spPr>
                    <a:xfrm>
                      <a:off x="0" y="0"/>
                      <a:ext cx="1667509" cy="6095"/>
                    </a:xfrm>
                    <a:prstGeom prst="rect">
                      <a:avLst/>
                    </a:prstGeom>
                  </pic:spPr>
                </pic:pic>
              </a:graphicData>
            </a:graphic>
          </wp:inline>
        </w:drawing>
      </w:r>
      <w:r>
        <w:rPr>
          <w:rFonts w:ascii="仿宋" w:hAnsi="仿宋" w:eastAsia="仿宋" w:cs="仿宋"/>
          <w:spacing w:val="7"/>
          <w:sz w:val="24"/>
          <w:szCs w:val="24"/>
          <w:highlight w:val="none"/>
        </w:rPr>
        <w:t xml:space="preserve"> 包号：</w:t>
      </w:r>
      <w:r>
        <w:rPr>
          <w:rFonts w:ascii="仿宋" w:hAnsi="仿宋" w:eastAsia="仿宋" w:cs="仿宋"/>
          <w:spacing w:val="7"/>
          <w:sz w:val="24"/>
          <w:szCs w:val="24"/>
          <w:highlight w:val="none"/>
        </w:rPr>
        <w:drawing>
          <wp:inline distT="0" distB="0" distL="0" distR="0">
            <wp:extent cx="1801495" cy="571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1"/>
                    <a:stretch>
                      <a:fillRect/>
                    </a:stretch>
                  </pic:blipFill>
                  <pic:spPr>
                    <a:xfrm>
                      <a:off x="0" y="0"/>
                      <a:ext cx="1801495" cy="6095"/>
                    </a:xfrm>
                    <a:prstGeom prst="rect">
                      <a:avLst/>
                    </a:prstGeom>
                  </pic:spPr>
                </pic:pic>
              </a:graphicData>
            </a:graphic>
          </wp:inline>
        </w:drawing>
      </w:r>
    </w:p>
    <w:p w14:paraId="77565AF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采购人名称：</w:t>
      </w:r>
      <w:r>
        <w:rPr>
          <w:rFonts w:ascii="仿宋" w:hAnsi="仿宋" w:eastAsia="仿宋" w:cs="仿宋"/>
          <w:spacing w:val="7"/>
          <w:sz w:val="24"/>
          <w:szCs w:val="24"/>
          <w:highlight w:val="none"/>
        </w:rPr>
        <w:drawing>
          <wp:inline distT="0" distB="0" distL="0" distR="0">
            <wp:extent cx="4133850" cy="571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0"/>
                    <a:stretch>
                      <a:fillRect/>
                    </a:stretch>
                  </pic:blipFill>
                  <pic:spPr>
                    <a:xfrm>
                      <a:off x="0" y="0"/>
                      <a:ext cx="4134484" cy="6095"/>
                    </a:xfrm>
                    <a:prstGeom prst="rect">
                      <a:avLst/>
                    </a:prstGeom>
                  </pic:spPr>
                </pic:pic>
              </a:graphicData>
            </a:graphic>
          </wp:inline>
        </w:drawing>
      </w:r>
    </w:p>
    <w:p w14:paraId="0E3C673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招标文件</w:t>
      </w:r>
      <w:r>
        <w:rPr>
          <w:rFonts w:ascii="仿宋" w:hAnsi="仿宋" w:eastAsia="仿宋" w:cs="仿宋"/>
          <w:spacing w:val="7"/>
          <w:sz w:val="24"/>
          <w:szCs w:val="24"/>
          <w:highlight w:val="none"/>
        </w:rPr>
        <w:t>获取日期：</w:t>
      </w:r>
      <w:r>
        <w:rPr>
          <w:rFonts w:ascii="仿宋" w:hAnsi="仿宋" w:eastAsia="仿宋" w:cs="仿宋"/>
          <w:spacing w:val="7"/>
          <w:sz w:val="24"/>
          <w:szCs w:val="24"/>
          <w:highlight w:val="none"/>
        </w:rPr>
        <w:drawing>
          <wp:inline distT="0" distB="0" distL="0" distR="0">
            <wp:extent cx="3733800" cy="571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2"/>
                    <a:stretch>
                      <a:fillRect/>
                    </a:stretch>
                  </pic:blipFill>
                  <pic:spPr>
                    <a:xfrm>
                      <a:off x="0" y="0"/>
                      <a:ext cx="3733800" cy="6095"/>
                    </a:xfrm>
                    <a:prstGeom prst="rect">
                      <a:avLst/>
                    </a:prstGeom>
                  </pic:spPr>
                </pic:pic>
              </a:graphicData>
            </a:graphic>
          </wp:inline>
        </w:drawing>
      </w:r>
    </w:p>
    <w:sdt>
      <w:sdtPr>
        <w:rPr>
          <w:rFonts w:ascii="仿宋" w:hAnsi="仿宋" w:eastAsia="仿宋" w:cs="仿宋"/>
          <w:spacing w:val="7"/>
          <w:sz w:val="24"/>
          <w:szCs w:val="24"/>
          <w:highlight w:val="none"/>
        </w:rPr>
        <w:id w:val="10"/>
      </w:sdtPr>
      <w:sdtEndPr>
        <w:rPr>
          <w:rFonts w:ascii="仿宋" w:hAnsi="仿宋" w:eastAsia="仿宋" w:cs="仿宋"/>
          <w:spacing w:val="7"/>
          <w:sz w:val="24"/>
          <w:szCs w:val="24"/>
          <w:highlight w:val="none"/>
        </w:rPr>
      </w:sdtEndPr>
      <w:sdtContent>
        <w:p w14:paraId="1ADD780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三、质疑事项具体内容</w:t>
          </w:r>
        </w:p>
        <w:p w14:paraId="428684B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质疑事项 1：</w:t>
          </w:r>
          <w:r>
            <w:rPr>
              <w:rFonts w:ascii="仿宋" w:hAnsi="仿宋" w:eastAsia="仿宋" w:cs="仿宋"/>
              <w:spacing w:val="7"/>
              <w:sz w:val="24"/>
              <w:szCs w:val="24"/>
              <w:highlight w:val="none"/>
            </w:rPr>
            <w:drawing>
              <wp:inline distT="0" distB="0" distL="0" distR="0">
                <wp:extent cx="4133850" cy="57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3"/>
                        <a:stretch>
                          <a:fillRect/>
                        </a:stretch>
                      </pic:blipFill>
                      <pic:spPr>
                        <a:xfrm>
                          <a:off x="0" y="0"/>
                          <a:ext cx="4134484" cy="6095"/>
                        </a:xfrm>
                        <a:prstGeom prst="rect">
                          <a:avLst/>
                        </a:prstGeom>
                      </pic:spPr>
                    </pic:pic>
                  </a:graphicData>
                </a:graphic>
              </wp:inline>
            </w:drawing>
          </w:r>
        </w:p>
        <w:p w14:paraId="77C3172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事实依据：</w:t>
          </w:r>
          <w:r>
            <w:rPr>
              <w:rFonts w:ascii="仿宋" w:hAnsi="仿宋" w:eastAsia="仿宋" w:cs="仿宋"/>
              <w:spacing w:val="7"/>
              <w:sz w:val="24"/>
              <w:szCs w:val="24"/>
              <w:highlight w:val="none"/>
            </w:rPr>
            <w:drawing>
              <wp:inline distT="0" distB="0" distL="0" distR="0">
                <wp:extent cx="4533900" cy="571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4"/>
                        <a:stretch>
                          <a:fillRect/>
                        </a:stretch>
                      </pic:blipFill>
                      <pic:spPr>
                        <a:xfrm>
                          <a:off x="0" y="0"/>
                          <a:ext cx="4533900" cy="6095"/>
                        </a:xfrm>
                        <a:prstGeom prst="rect">
                          <a:avLst/>
                        </a:prstGeom>
                      </pic:spPr>
                    </pic:pic>
                  </a:graphicData>
                </a:graphic>
              </wp:inline>
            </w:drawing>
          </w:r>
        </w:p>
        <w:p w14:paraId="16C495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法律依据：</w:t>
          </w:r>
          <w:r>
            <w:rPr>
              <w:rFonts w:ascii="仿宋" w:hAnsi="仿宋" w:eastAsia="仿宋" w:cs="仿宋"/>
              <w:spacing w:val="7"/>
              <w:sz w:val="24"/>
              <w:szCs w:val="24"/>
              <w:highlight w:val="none"/>
            </w:rPr>
            <w:drawing>
              <wp:inline distT="0" distB="0" distL="0" distR="0">
                <wp:extent cx="4533900" cy="571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5"/>
                        <a:stretch>
                          <a:fillRect/>
                        </a:stretch>
                      </pic:blipFill>
                      <pic:spPr>
                        <a:xfrm>
                          <a:off x="0" y="0"/>
                          <a:ext cx="4533900" cy="6095"/>
                        </a:xfrm>
                        <a:prstGeom prst="rect">
                          <a:avLst/>
                        </a:prstGeom>
                      </pic:spPr>
                    </pic:pic>
                  </a:graphicData>
                </a:graphic>
              </wp:inline>
            </w:drawing>
          </w:r>
        </w:p>
      </w:sdtContent>
    </w:sdt>
    <w:p w14:paraId="109E54B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质疑事项 2</w:t>
      </w:r>
    </w:p>
    <w:p w14:paraId="4494496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w:t>
      </w:r>
    </w:p>
    <w:sdt>
      <w:sdtPr>
        <w:rPr>
          <w:rFonts w:ascii="仿宋" w:hAnsi="仿宋" w:eastAsia="仿宋" w:cs="仿宋"/>
          <w:sz w:val="24"/>
          <w:szCs w:val="24"/>
          <w:highlight w:val="none"/>
        </w:rPr>
        <w:id w:val="11"/>
      </w:sdtPr>
      <w:sdtEndPr>
        <w:rPr>
          <w:rFonts w:ascii="仿宋" w:hAnsi="仿宋" w:eastAsia="仿宋" w:cs="仿宋"/>
          <w:spacing w:val="7"/>
          <w:sz w:val="24"/>
          <w:szCs w:val="24"/>
          <w:highlight w:val="none"/>
        </w:rPr>
      </w:sdtEndPr>
      <w:sdtContent>
        <w:p w14:paraId="6C0193AA">
          <w:pPr>
            <w:keepLines w:val="0"/>
            <w:pageBreakBefore w:val="0"/>
            <w:kinsoku/>
            <w:wordWrap/>
            <w:overflowPunct/>
            <w:topLinePunct w:val="0"/>
            <w:bidi w:val="0"/>
            <w:spacing w:before="51" w:line="229" w:lineRule="auto"/>
            <w:ind w:left="266"/>
            <w:rPr>
              <w:rFonts w:ascii="仿宋" w:hAnsi="仿宋" w:eastAsia="仿宋" w:cs="仿宋"/>
              <w:b/>
              <w:bCs/>
              <w:sz w:val="24"/>
              <w:szCs w:val="24"/>
              <w:highlight w:val="none"/>
            </w:rPr>
          </w:pPr>
          <w:r>
            <w:rPr>
              <w:rFonts w:ascii="仿宋" w:hAnsi="仿宋" w:eastAsia="仿宋" w:cs="仿宋"/>
              <w:b/>
              <w:bCs/>
              <w:spacing w:val="7"/>
              <w:sz w:val="24"/>
              <w:szCs w:val="24"/>
              <w:highlight w:val="none"/>
            </w:rPr>
            <w:t>四、与质疑事项相关的质疑请求</w:t>
          </w:r>
        </w:p>
        <w:p w14:paraId="09EC02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请求：</w:t>
          </w:r>
          <w:r>
            <w:rPr>
              <w:rFonts w:ascii="仿宋" w:hAnsi="仿宋" w:eastAsia="仿宋" w:cs="仿宋"/>
              <w:spacing w:val="7"/>
              <w:sz w:val="24"/>
              <w:szCs w:val="24"/>
              <w:highlight w:val="none"/>
            </w:rPr>
            <w:drawing>
              <wp:inline distT="0" distB="0" distL="0" distR="0">
                <wp:extent cx="4598670" cy="571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6"/>
                        <a:stretch>
                          <a:fillRect/>
                        </a:stretch>
                      </pic:blipFill>
                      <pic:spPr>
                        <a:xfrm>
                          <a:off x="0" y="0"/>
                          <a:ext cx="4599304" cy="6095"/>
                        </a:xfrm>
                        <a:prstGeom prst="rect">
                          <a:avLst/>
                        </a:prstGeom>
                      </pic:spPr>
                    </pic:pic>
                  </a:graphicData>
                </a:graphic>
              </wp:inline>
            </w:drawing>
          </w:r>
        </w:p>
      </w:sdtContent>
    </w:sdt>
    <w:p w14:paraId="7453770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签字(签章)：                    公章：</w:t>
      </w:r>
      <w:r>
        <w:rPr>
          <w:rFonts w:hint="eastAsia" w:ascii="仿宋" w:hAnsi="仿宋" w:eastAsia="仿宋" w:cs="仿宋"/>
          <w:spacing w:val="7"/>
          <w:sz w:val="24"/>
          <w:szCs w:val="24"/>
          <w:highlight w:val="none"/>
          <w:lang w:val="en-US" w:eastAsia="zh-CN"/>
        </w:rPr>
        <w:t xml:space="preserve">              </w:t>
      </w:r>
      <w:r>
        <w:rPr>
          <w:rFonts w:ascii="仿宋" w:hAnsi="仿宋" w:eastAsia="仿宋" w:cs="仿宋"/>
          <w:spacing w:val="7"/>
          <w:sz w:val="24"/>
          <w:szCs w:val="24"/>
          <w:highlight w:val="none"/>
        </w:rPr>
        <w:t>日期：</w:t>
      </w:r>
    </w:p>
    <w:p w14:paraId="11DACB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ascii="仿宋" w:hAnsi="仿宋" w:eastAsia="仿宋" w:cs="仿宋"/>
          <w:spacing w:val="7"/>
          <w:sz w:val="24"/>
          <w:szCs w:val="24"/>
          <w:highlight w:val="none"/>
        </w:rPr>
        <w:t>25.9.质疑函接收方式：质疑函以书面形式递交或者电子邮件的方式发送。</w:t>
      </w:r>
      <w:r>
        <w:rPr>
          <w:rFonts w:hint="eastAsia" w:ascii="仿宋" w:hAnsi="仿宋" w:eastAsia="仿宋" w:cs="仿宋"/>
          <w:spacing w:val="7"/>
          <w:sz w:val="24"/>
          <w:szCs w:val="24"/>
          <w:highlight w:val="none"/>
          <w:lang w:eastAsia="zh-CN"/>
        </w:rPr>
        <w:t>（发出质疑函需电话告知代理机构）</w:t>
      </w:r>
    </w:p>
    <w:p w14:paraId="72AB689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eastAsia="zh-CN"/>
        </w:rPr>
        <w:t>质疑函递交地点：</w:t>
      </w:r>
      <w:r>
        <w:rPr>
          <w:rFonts w:hint="eastAsia" w:ascii="仿宋" w:hAnsi="仿宋" w:eastAsia="仿宋" w:cs="仿宋"/>
          <w:spacing w:val="7"/>
          <w:sz w:val="24"/>
          <w:szCs w:val="24"/>
          <w:highlight w:val="none"/>
          <w:lang w:val="en-US" w:eastAsia="zh-CN"/>
        </w:rPr>
        <w:t>阿克苏市卫生健康委员会</w:t>
      </w:r>
    </w:p>
    <w:p w14:paraId="1396AA0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质疑函联系人：张楷</w:t>
      </w:r>
    </w:p>
    <w:p w14:paraId="0247F4E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联系电话：19909977525</w:t>
      </w:r>
    </w:p>
    <w:p w14:paraId="4FF09AB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p w14:paraId="12E614BB">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b/>
          <w:bCs/>
          <w:spacing w:val="7"/>
          <w:sz w:val="24"/>
          <w:szCs w:val="24"/>
          <w:highlight w:val="none"/>
        </w:rPr>
        <w:t>七、签订合同</w:t>
      </w:r>
    </w:p>
    <w:p w14:paraId="532FE32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27.中标通知书</w:t>
      </w:r>
    </w:p>
    <w:p w14:paraId="0CAE333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27.1.</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将电话通知</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缴纳招标代理服务费。</w:t>
      </w:r>
    </w:p>
    <w:p w14:paraId="3D18239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27.</w:t>
      </w:r>
      <w:r>
        <w:rPr>
          <w:rFonts w:hint="eastAsia" w:ascii="仿宋" w:hAnsi="仿宋" w:eastAsia="仿宋" w:cs="仿宋"/>
          <w:spacing w:val="7"/>
          <w:sz w:val="24"/>
          <w:szCs w:val="24"/>
          <w:highlight w:val="none"/>
          <w:lang w:val="en-US" w:eastAsia="zh-CN"/>
        </w:rPr>
        <w:t>2</w:t>
      </w:r>
      <w:r>
        <w:rPr>
          <w:rFonts w:ascii="仿宋" w:hAnsi="仿宋" w:eastAsia="仿宋" w:cs="仿宋"/>
          <w:spacing w:val="7"/>
          <w:sz w:val="24"/>
          <w:szCs w:val="24"/>
          <w:highlight w:val="none"/>
        </w:rPr>
        <w:t>.在规定的投标有效期内，</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将以书面形式向</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发出《中标通知书》。</w:t>
      </w:r>
    </w:p>
    <w:p w14:paraId="4F902BA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27.</w:t>
      </w:r>
      <w:r>
        <w:rPr>
          <w:rFonts w:hint="eastAsia" w:ascii="仿宋" w:hAnsi="仿宋" w:eastAsia="仿宋" w:cs="仿宋"/>
          <w:spacing w:val="7"/>
          <w:sz w:val="24"/>
          <w:szCs w:val="24"/>
          <w:highlight w:val="none"/>
          <w:lang w:val="en-US" w:eastAsia="zh-CN"/>
        </w:rPr>
        <w:t>3</w:t>
      </w:r>
      <w:r>
        <w:rPr>
          <w:rFonts w:ascii="仿宋" w:hAnsi="仿宋" w:eastAsia="仿宋" w:cs="仿宋"/>
          <w:spacing w:val="7"/>
          <w:sz w:val="24"/>
          <w:szCs w:val="24"/>
          <w:highlight w:val="none"/>
        </w:rPr>
        <w:t>.中标通知书对</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和</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具有同等法律效力。</w:t>
      </w:r>
    </w:p>
    <w:p w14:paraId="4CC02EF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27.</w:t>
      </w:r>
      <w:r>
        <w:rPr>
          <w:rFonts w:hint="eastAsia" w:ascii="仿宋" w:hAnsi="仿宋" w:eastAsia="仿宋" w:cs="仿宋"/>
          <w:spacing w:val="7"/>
          <w:sz w:val="24"/>
          <w:szCs w:val="24"/>
          <w:highlight w:val="none"/>
          <w:lang w:val="en-US" w:eastAsia="zh-CN"/>
        </w:rPr>
        <w:t>4</w:t>
      </w:r>
      <w:r>
        <w:rPr>
          <w:rFonts w:ascii="仿宋" w:hAnsi="仿宋" w:eastAsia="仿宋" w:cs="仿宋"/>
          <w:spacing w:val="7"/>
          <w:sz w:val="24"/>
          <w:szCs w:val="24"/>
          <w:highlight w:val="none"/>
        </w:rPr>
        <w:t>.中标通知书是</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签订合同的依据，是合同必不可少的一个组成部分。</w:t>
      </w:r>
    </w:p>
    <w:p w14:paraId="6D47E10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27.</w:t>
      </w:r>
      <w:r>
        <w:rPr>
          <w:rFonts w:hint="eastAsia" w:ascii="仿宋" w:hAnsi="仿宋" w:eastAsia="仿宋" w:cs="仿宋"/>
          <w:spacing w:val="7"/>
          <w:sz w:val="24"/>
          <w:szCs w:val="24"/>
          <w:highlight w:val="none"/>
          <w:lang w:val="en-US" w:eastAsia="zh-CN"/>
        </w:rPr>
        <w:t>5</w:t>
      </w:r>
      <w:r>
        <w:rPr>
          <w:rFonts w:ascii="仿宋" w:hAnsi="仿宋" w:eastAsia="仿宋" w:cs="仿宋"/>
          <w:spacing w:val="7"/>
          <w:sz w:val="24"/>
          <w:szCs w:val="24"/>
          <w:highlight w:val="none"/>
        </w:rPr>
        <w:t>.</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未按照招标文件要求与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签订</w:t>
      </w:r>
      <w:r>
        <w:rPr>
          <w:rFonts w:hint="eastAsia" w:ascii="仿宋" w:hAnsi="仿宋" w:eastAsia="仿宋" w:cs="仿宋"/>
          <w:spacing w:val="7"/>
          <w:sz w:val="24"/>
          <w:szCs w:val="24"/>
          <w:highlight w:val="none"/>
          <w:lang w:eastAsia="zh-CN"/>
        </w:rPr>
        <w:t>采购合同</w:t>
      </w:r>
      <w:r>
        <w:rPr>
          <w:rFonts w:ascii="仿宋" w:hAnsi="仿宋" w:eastAsia="仿宋" w:cs="仿宋"/>
          <w:spacing w:val="7"/>
          <w:sz w:val="24"/>
          <w:szCs w:val="24"/>
          <w:highlight w:val="none"/>
        </w:rPr>
        <w:t>或放弃中标资格的，按照《中华人民共和国政府采购法实施条例》第四十九条规定执行。</w:t>
      </w:r>
    </w:p>
    <w:p w14:paraId="277530B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28.签订合同</w:t>
      </w:r>
    </w:p>
    <w:p w14:paraId="65DFC01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28.1.</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与</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应当在中标通知书发出之日起30日内，按照招标文件确定的合同文本以及采购标的、规格型号、采购金额、采购数量、技术和服务要求等事项签订政府采购合同。</w:t>
      </w:r>
    </w:p>
    <w:p w14:paraId="4516CB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28.2.</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不得向</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提出超出招标文件以外的任何要求作为签订合同的条件，不得与</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订立背离招标文件确定的合同文本以及采购标的、规格型号、采购金额、采购数量、技术和服务要求等实质性内容的协议。</w:t>
      </w:r>
    </w:p>
    <w:p w14:paraId="434E334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28.3.除不可抗力等因素外，中标通知书发出后，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改变成交结果，或者</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拒绝签订政府采购合同的，应当承担相应的法律责任。</w:t>
      </w:r>
    </w:p>
    <w:p w14:paraId="7499715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28.4.</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拒绝签订政府采购合同的，</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可以按照《政府采购非招标</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管理办法》第三十六条第二款、第四十九条第二款规定的原则确定其他</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作为</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并签订政府采购合同，也可以重新开展采购活动。拒绝签订政府采购合同的</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不得参加对该项目重新开展的采购活动。</w:t>
      </w:r>
    </w:p>
    <w:p w14:paraId="438C727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28.5.</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或者</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应当自采购合同签订之日起七个工作日内，按照有关规定将采购合同副本报同级人民政府财政部门备案。</w:t>
      </w:r>
    </w:p>
    <w:p w14:paraId="6BD12B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28.6.分包履行合同（本项目不允许分包）</w:t>
      </w:r>
    </w:p>
    <w:p w14:paraId="3B854A1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28.7.如招标文件同意分包，经</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同意，</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可以依法采取分包方式履行合同。政府 采购合同分包履行的，</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就采购项目和分包项目向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负责，分包</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就分包项目承担责任。</w:t>
      </w:r>
    </w:p>
    <w:p w14:paraId="6DCF85C1">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29.政府采购合同履行中合同标的的追加</w:t>
      </w:r>
    </w:p>
    <w:p w14:paraId="60D8F00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29.1.政府采购合同履行中，</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需追加与合同标的相同的货物、工程或者服务的，在不改变合同其他条款的前提下，可以与</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协商签订补充合同，但所有补充合同的采购金额不得超过原合同采购金额的百分之十。</w:t>
      </w:r>
    </w:p>
    <w:p w14:paraId="734D15F8">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30.废标条款</w:t>
      </w:r>
    </w:p>
    <w:p w14:paraId="32BC90D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default" w:ascii="仿宋" w:hAnsi="仿宋" w:eastAsia="仿宋" w:cs="仿宋"/>
          <w:spacing w:val="7"/>
          <w:sz w:val="24"/>
          <w:szCs w:val="24"/>
          <w:highlight w:val="none"/>
          <w:lang w:val="en-US" w:eastAsia="zh-CN"/>
        </w:rPr>
        <w:t>（一）符合专业条件的供应商或者对招标文件</w:t>
      </w:r>
      <w:r>
        <w:rPr>
          <w:rFonts w:hint="eastAsia" w:ascii="仿宋" w:hAnsi="仿宋" w:eastAsia="仿宋" w:cs="仿宋"/>
          <w:spacing w:val="7"/>
          <w:sz w:val="24"/>
          <w:szCs w:val="24"/>
          <w:highlight w:val="none"/>
          <w:lang w:val="en-US" w:eastAsia="zh-CN"/>
        </w:rPr>
        <w:t>做</w:t>
      </w:r>
      <w:r>
        <w:rPr>
          <w:rFonts w:hint="default" w:ascii="仿宋" w:hAnsi="仿宋" w:eastAsia="仿宋" w:cs="仿宋"/>
          <w:spacing w:val="7"/>
          <w:sz w:val="24"/>
          <w:szCs w:val="24"/>
          <w:highlight w:val="none"/>
          <w:lang w:val="en-US" w:eastAsia="zh-CN"/>
        </w:rPr>
        <w:t>实质</w:t>
      </w:r>
      <w:r>
        <w:rPr>
          <w:rFonts w:hint="eastAsia" w:ascii="仿宋" w:hAnsi="仿宋" w:eastAsia="仿宋" w:cs="仿宋"/>
          <w:spacing w:val="7"/>
          <w:sz w:val="24"/>
          <w:szCs w:val="24"/>
          <w:highlight w:val="none"/>
          <w:lang w:val="en-US" w:eastAsia="zh-CN"/>
        </w:rPr>
        <w:t>投标</w:t>
      </w:r>
      <w:r>
        <w:rPr>
          <w:rFonts w:hint="default" w:ascii="仿宋" w:hAnsi="仿宋" w:eastAsia="仿宋" w:cs="仿宋"/>
          <w:spacing w:val="7"/>
          <w:sz w:val="24"/>
          <w:szCs w:val="24"/>
          <w:highlight w:val="none"/>
          <w:lang w:val="en-US" w:eastAsia="zh-CN"/>
        </w:rPr>
        <w:t>的供应商不足三家的；</w:t>
      </w:r>
    </w:p>
    <w:p w14:paraId="07E937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highlight w:val="none"/>
          <w:lang w:eastAsia="zh-CN"/>
        </w:rPr>
      </w:pPr>
      <w:r>
        <w:rPr>
          <w:rFonts w:hint="default" w:ascii="仿宋" w:hAnsi="仿宋" w:eastAsia="仿宋" w:cs="仿宋"/>
          <w:spacing w:val="7"/>
          <w:sz w:val="24"/>
          <w:szCs w:val="24"/>
          <w:highlight w:val="none"/>
          <w:lang w:val="en-US" w:eastAsia="zh-CN"/>
        </w:rPr>
        <w:t>（二）出现影响采购公正的违法、违规行为的；</w:t>
      </w:r>
    </w:p>
    <w:p w14:paraId="499C1BB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highlight w:val="none"/>
          <w:lang w:eastAsia="zh-CN"/>
        </w:rPr>
      </w:pPr>
      <w:r>
        <w:rPr>
          <w:rFonts w:hint="default" w:ascii="仿宋" w:hAnsi="仿宋" w:eastAsia="仿宋" w:cs="仿宋"/>
          <w:spacing w:val="7"/>
          <w:sz w:val="24"/>
          <w:szCs w:val="24"/>
          <w:highlight w:val="none"/>
          <w:lang w:val="en-US" w:eastAsia="zh-CN"/>
        </w:rPr>
        <w:t>（三）投标人的报价均超过了采购预算，采购人不能支付的；</w:t>
      </w:r>
    </w:p>
    <w:p w14:paraId="54E9955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default" w:ascii="仿宋" w:hAnsi="仿宋" w:eastAsia="仿宋" w:cs="仿宋"/>
          <w:spacing w:val="7"/>
          <w:sz w:val="24"/>
          <w:szCs w:val="24"/>
          <w:highlight w:val="none"/>
          <w:lang w:val="en-US" w:eastAsia="zh-CN"/>
        </w:rPr>
        <w:t>（四）因重大变故，采购任务取消的。</w:t>
      </w:r>
    </w:p>
    <w:p w14:paraId="50711541">
      <w:pPr>
        <w:keepLines w:val="0"/>
        <w:pageBreakBefore w:val="0"/>
        <w:kinsoku/>
        <w:wordWrap/>
        <w:overflowPunct/>
        <w:topLinePunct w:val="0"/>
        <w:bidi w:val="0"/>
        <w:spacing w:before="230" w:line="443" w:lineRule="auto"/>
        <w:ind w:left="808" w:right="18" w:hanging="568"/>
        <w:rPr>
          <w:rFonts w:ascii="仿宋" w:hAnsi="仿宋" w:eastAsia="仿宋" w:cs="仿宋"/>
          <w:spacing w:val="7"/>
          <w:sz w:val="24"/>
          <w:szCs w:val="24"/>
          <w:highlight w:val="none"/>
        </w:rPr>
      </w:pPr>
      <w:r>
        <w:rPr>
          <w:rFonts w:ascii="仿宋" w:hAnsi="仿宋" w:eastAsia="仿宋" w:cs="仿宋"/>
          <w:b/>
          <w:bCs/>
          <w:spacing w:val="7"/>
          <w:sz w:val="24"/>
          <w:szCs w:val="24"/>
          <w:highlight w:val="none"/>
        </w:rPr>
        <w:t>31.履约保证金（详见</w:t>
      </w:r>
      <w:r>
        <w:rPr>
          <w:rFonts w:hint="eastAsia" w:ascii="仿宋" w:hAnsi="仿宋" w:eastAsia="仿宋" w:cs="仿宋"/>
          <w:b/>
          <w:bCs/>
          <w:spacing w:val="7"/>
          <w:sz w:val="24"/>
          <w:szCs w:val="24"/>
          <w:highlight w:val="none"/>
          <w:lang w:eastAsia="zh-CN"/>
        </w:rPr>
        <w:t>投标人</w:t>
      </w:r>
      <w:r>
        <w:rPr>
          <w:rFonts w:ascii="仿宋" w:hAnsi="仿宋" w:eastAsia="仿宋" w:cs="仿宋"/>
          <w:b/>
          <w:bCs/>
          <w:spacing w:val="7"/>
          <w:sz w:val="24"/>
          <w:szCs w:val="24"/>
          <w:highlight w:val="none"/>
        </w:rPr>
        <w:t>须知前附表）</w:t>
      </w:r>
    </w:p>
    <w:p w14:paraId="6EDEB08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31.1.在接到中标通知书30个日历天内，中标的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应按合同规定向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提交履约保证金。</w:t>
      </w:r>
    </w:p>
    <w:p w14:paraId="4B6C01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31.2.如果</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的履约保证金是以银行保函的形式提供，则该银行保函应由在中国注册的银行开具。</w:t>
      </w:r>
    </w:p>
    <w:p w14:paraId="7FE03F7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31.3.如果</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不与</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签订合同并提交履约保证金，或者在签订合同时向</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提出附加条件或者更改合同实质性内容的，</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则有权没收该</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的投标保证金，并视为其放弃中标资格；给</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的损失超过投标保证金数额的，</w:t>
      </w:r>
      <w:r>
        <w:rPr>
          <w:rFonts w:hint="eastAsia" w:ascii="仿宋" w:hAnsi="仿宋" w:eastAsia="仿宋" w:cs="仿宋"/>
          <w:spacing w:val="7"/>
          <w:sz w:val="24"/>
          <w:szCs w:val="24"/>
          <w:highlight w:val="none"/>
          <w:lang w:eastAsia="zh-CN"/>
        </w:rPr>
        <w:t>中标人</w:t>
      </w:r>
      <w:r>
        <w:rPr>
          <w:rFonts w:ascii="仿宋" w:hAnsi="仿宋" w:eastAsia="仿宋" w:cs="仿宋"/>
          <w:spacing w:val="7"/>
          <w:sz w:val="24"/>
          <w:szCs w:val="24"/>
          <w:highlight w:val="none"/>
        </w:rPr>
        <w:t>应对超过部分予以赔偿。</w:t>
      </w:r>
    </w:p>
    <w:p w14:paraId="5FBEC65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32.采购任务取消</w:t>
      </w:r>
    </w:p>
    <w:p w14:paraId="04B98DC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32.1.在采购活动中因重大变故，采购任务取消的，</w:t>
      </w:r>
      <w:r>
        <w:rPr>
          <w:rFonts w:hint="eastAsia" w:ascii="仿宋" w:hAnsi="仿宋" w:eastAsia="仿宋" w:cs="仿宋"/>
          <w:spacing w:val="7"/>
          <w:sz w:val="24"/>
          <w:szCs w:val="24"/>
          <w:highlight w:val="none"/>
          <w:lang w:eastAsia="zh-CN"/>
        </w:rPr>
        <w:t>采购人</w:t>
      </w:r>
      <w:r>
        <w:rPr>
          <w:rFonts w:ascii="仿宋" w:hAnsi="仿宋" w:eastAsia="仿宋" w:cs="仿宋"/>
          <w:spacing w:val="7"/>
          <w:sz w:val="24"/>
          <w:szCs w:val="24"/>
          <w:highlight w:val="none"/>
        </w:rPr>
        <w:t>或者</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应当终止采购活动，通知所有参加采购活动的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，并将项目实施情况和采购任务取消原因报送本级财政部门。</w:t>
      </w:r>
    </w:p>
    <w:p w14:paraId="7B80966E">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33.其他</w:t>
      </w:r>
    </w:p>
    <w:p w14:paraId="67C8F65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33.1.本招标文件如与网上发布的招标公告、更正公告等有差异的部分，以网上发布的为准。</w:t>
      </w:r>
    </w:p>
    <w:p w14:paraId="5122B74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33.2.</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成功投标并不意味着其满足</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资格，具体评判标准以本文件和评标委员会评审为依据。</w:t>
      </w:r>
    </w:p>
    <w:p w14:paraId="260CE9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sectPr>
          <w:pgSz w:w="11906" w:h="16839"/>
          <w:pgMar w:top="1440" w:right="1080" w:bottom="1440" w:left="1080" w:header="0" w:footer="989" w:gutter="0"/>
          <w:pgNumType w:fmt="decimal"/>
          <w:cols w:space="720" w:num="1"/>
        </w:sectPr>
      </w:pPr>
    </w:p>
    <w:p w14:paraId="4EEB7A39">
      <w:pPr>
        <w:keepLines w:val="0"/>
        <w:pageBreakBefore w:val="0"/>
        <w:kinsoku/>
        <w:wordWrap/>
        <w:overflowPunct/>
        <w:topLinePunct w:val="0"/>
        <w:bidi w:val="0"/>
        <w:spacing w:before="278" w:line="228" w:lineRule="auto"/>
        <w:ind w:left="3128" w:firstLine="309" w:firstLineChars="100"/>
        <w:rPr>
          <w:rFonts w:ascii="仿宋" w:hAnsi="仿宋" w:eastAsia="仿宋" w:cs="仿宋"/>
          <w:sz w:val="31"/>
          <w:szCs w:val="31"/>
          <w:highlight w:val="none"/>
        </w:rPr>
      </w:pPr>
      <w:r>
        <w:rPr>
          <w:rFonts w:ascii="仿宋" w:hAnsi="仿宋" w:eastAsia="仿宋" w:cs="仿宋"/>
          <w:b/>
          <w:bCs/>
          <w:spacing w:val="-1"/>
          <w:sz w:val="31"/>
          <w:szCs w:val="31"/>
          <w:highlight w:val="none"/>
        </w:rPr>
        <w:t>第三章</w:t>
      </w:r>
      <w:r>
        <w:rPr>
          <w:rFonts w:ascii="仿宋" w:hAnsi="仿宋" w:eastAsia="仿宋" w:cs="仿宋"/>
          <w:spacing w:val="18"/>
          <w:sz w:val="31"/>
          <w:szCs w:val="31"/>
          <w:highlight w:val="none"/>
        </w:rPr>
        <w:t xml:space="preserve">  </w:t>
      </w:r>
      <w:r>
        <w:rPr>
          <w:rFonts w:ascii="仿宋" w:hAnsi="仿宋" w:eastAsia="仿宋" w:cs="仿宋"/>
          <w:b/>
          <w:bCs/>
          <w:spacing w:val="-1"/>
          <w:sz w:val="31"/>
          <w:szCs w:val="31"/>
          <w:highlight w:val="none"/>
        </w:rPr>
        <w:t>评标办法</w:t>
      </w:r>
    </w:p>
    <w:p w14:paraId="1D1A943C">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评标办法（综合评分法）正文部分</w:t>
      </w:r>
    </w:p>
    <w:p w14:paraId="4D06A2E6">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（一）评标方式</w:t>
      </w:r>
    </w:p>
    <w:p w14:paraId="18984EB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1、通过初步审查的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为合格的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w:t>
      </w:r>
    </w:p>
    <w:p w14:paraId="0254D5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2、本次评标采用综合评分法。根据《中华人民共和国政府采购法》、《政府采购评审专家管理办法》</w:t>
      </w:r>
      <w:r>
        <w:rPr>
          <w:rFonts w:hint="eastAsia" w:ascii="仿宋" w:hAnsi="仿宋" w:eastAsia="仿宋" w:cs="仿宋"/>
          <w:spacing w:val="7"/>
          <w:sz w:val="24"/>
          <w:szCs w:val="24"/>
          <w:highlight w:val="none"/>
          <w:lang w:eastAsia="zh-CN"/>
        </w:rPr>
        <w:t>等相关</w:t>
      </w:r>
      <w:r>
        <w:rPr>
          <w:rFonts w:ascii="仿宋" w:hAnsi="仿宋" w:eastAsia="仿宋" w:cs="仿宋"/>
          <w:spacing w:val="7"/>
          <w:sz w:val="24"/>
          <w:szCs w:val="24"/>
          <w:highlight w:val="none"/>
        </w:rPr>
        <w:t>规定的标准和补充规定等法律法规和有关实施办法。评标委员会将对各投标单位的投标文件，能否最大限度的满足招标文件中规定的各项要求和评价标准进行评审和比较。</w:t>
      </w:r>
    </w:p>
    <w:p w14:paraId="768409D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3、综合评分法采取百分制的量化评审；由评标委员会成员依据评审标准独立打分。</w:t>
      </w:r>
    </w:p>
    <w:p w14:paraId="7BE13E77">
      <w:pPr>
        <w:keepLines w:val="0"/>
        <w:pageBreakBefore w:val="0"/>
        <w:kinsoku/>
        <w:wordWrap/>
        <w:overflowPunct/>
        <w:topLinePunct w:val="0"/>
        <w:bidi w:val="0"/>
        <w:spacing w:before="230" w:line="443" w:lineRule="auto"/>
        <w:ind w:left="808" w:right="18" w:hanging="568"/>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（二）评标计算规则</w:t>
      </w:r>
    </w:p>
    <w:p w14:paraId="436FAAF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default" w:ascii="仿宋" w:hAnsi="仿宋" w:eastAsia="仿宋" w:cs="仿宋"/>
          <w:spacing w:val="7"/>
          <w:sz w:val="24"/>
          <w:szCs w:val="24"/>
          <w:highlight w:val="none"/>
          <w:lang w:val="en-US" w:eastAsia="zh-CN"/>
        </w:rPr>
      </w:pPr>
      <w:r>
        <w:rPr>
          <w:rFonts w:ascii="仿宋" w:hAnsi="仿宋" w:eastAsia="仿宋" w:cs="仿宋"/>
          <w:spacing w:val="7"/>
          <w:sz w:val="24"/>
          <w:szCs w:val="24"/>
          <w:highlight w:val="none"/>
        </w:rPr>
        <w:t>报价得分</w:t>
      </w:r>
      <w:r>
        <w:rPr>
          <w:rFonts w:hint="eastAsia" w:ascii="仿宋" w:hAnsi="仿宋" w:eastAsia="仿宋" w:cs="仿宋"/>
          <w:spacing w:val="7"/>
          <w:sz w:val="24"/>
          <w:szCs w:val="24"/>
          <w:highlight w:val="none"/>
          <w:lang w:val="en-US" w:eastAsia="zh-CN"/>
        </w:rPr>
        <w:t>=</w:t>
      </w:r>
      <w:r>
        <w:rPr>
          <w:rFonts w:hint="eastAsia" w:ascii="仿宋" w:hAnsi="仿宋" w:eastAsia="仿宋" w:cs="仿宋"/>
          <w:spacing w:val="7"/>
          <w:sz w:val="24"/>
          <w:szCs w:val="24"/>
          <w:highlight w:val="none"/>
          <w:lang w:eastAsia="zh-CN"/>
        </w:rPr>
        <w:t>（</w:t>
      </w:r>
      <w:r>
        <w:rPr>
          <w:rFonts w:ascii="仿宋" w:hAnsi="仿宋" w:eastAsia="仿宋" w:cs="仿宋"/>
          <w:spacing w:val="7"/>
          <w:sz w:val="24"/>
          <w:szCs w:val="24"/>
          <w:highlight w:val="none"/>
        </w:rPr>
        <w:t>评标基准价／</w:t>
      </w:r>
      <w:r>
        <w:rPr>
          <w:rFonts w:hint="eastAsia" w:ascii="仿宋" w:hAnsi="仿宋" w:eastAsia="仿宋" w:cs="仿宋"/>
          <w:spacing w:val="7"/>
          <w:sz w:val="24"/>
          <w:szCs w:val="24"/>
          <w:highlight w:val="none"/>
          <w:lang w:eastAsia="zh-CN"/>
        </w:rPr>
        <w:t>投标报价）</w:t>
      </w:r>
      <w:r>
        <w:rPr>
          <w:rFonts w:ascii="仿宋" w:hAnsi="仿宋" w:eastAsia="仿宋" w:cs="仿宋"/>
          <w:spacing w:val="7"/>
          <w:sz w:val="24"/>
          <w:szCs w:val="24"/>
          <w:highlight w:val="none"/>
        </w:rPr>
        <w:t>×价格权重</w:t>
      </w:r>
      <w:r>
        <w:rPr>
          <w:rFonts w:ascii="仿宋" w:hAnsi="仿宋" w:eastAsia="仿宋" w:cs="仿宋"/>
          <w:snapToGrid w:val="0"/>
          <w:color w:val="000000"/>
          <w:spacing w:val="7"/>
          <w:kern w:val="0"/>
          <w:sz w:val="24"/>
          <w:szCs w:val="24"/>
          <w:highlight w:val="none"/>
          <w:lang w:val="en-US" w:eastAsia="en-US" w:bidi="ar-SA"/>
        </w:rPr>
        <w:t>×</w:t>
      </w:r>
      <w:r>
        <w:rPr>
          <w:rFonts w:hint="eastAsia" w:ascii="仿宋" w:hAnsi="仿宋" w:eastAsia="仿宋" w:cs="仿宋"/>
          <w:snapToGrid w:val="0"/>
          <w:color w:val="000000"/>
          <w:spacing w:val="7"/>
          <w:kern w:val="0"/>
          <w:sz w:val="24"/>
          <w:szCs w:val="24"/>
          <w:highlight w:val="none"/>
          <w:lang w:val="en-US" w:eastAsia="zh-CN" w:bidi="ar-SA"/>
        </w:rPr>
        <w:t>100</w:t>
      </w:r>
    </w:p>
    <w:p w14:paraId="6EC9F17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基准价=</w:t>
      </w:r>
      <w:r>
        <w:rPr>
          <w:rFonts w:hint="eastAsia" w:ascii="仿宋" w:hAnsi="仿宋" w:eastAsia="仿宋" w:cs="仿宋"/>
          <w:spacing w:val="7"/>
          <w:sz w:val="24"/>
          <w:szCs w:val="24"/>
          <w:highlight w:val="none"/>
          <w:lang w:eastAsia="zh-CN"/>
        </w:rPr>
        <w:t>即满足招标文件要求且有效投标价格最低的投标报价为评标基准价</w:t>
      </w:r>
      <w:r>
        <w:rPr>
          <w:rFonts w:ascii="仿宋" w:hAnsi="仿宋" w:eastAsia="仿宋" w:cs="仿宋"/>
          <w:spacing w:val="7"/>
          <w:sz w:val="24"/>
          <w:szCs w:val="24"/>
          <w:highlight w:val="none"/>
        </w:rPr>
        <w:t>，其价格得分计</w:t>
      </w:r>
      <w:r>
        <w:rPr>
          <w:rFonts w:hint="eastAsia" w:ascii="仿宋" w:hAnsi="仿宋" w:eastAsia="仿宋" w:cs="仿宋"/>
          <w:spacing w:val="7"/>
          <w:sz w:val="24"/>
          <w:szCs w:val="24"/>
          <w:highlight w:val="none"/>
          <w:lang w:val="en-US" w:eastAsia="zh-CN"/>
        </w:rPr>
        <w:t>3</w:t>
      </w:r>
      <w:r>
        <w:rPr>
          <w:rFonts w:ascii="仿宋" w:hAnsi="仿宋" w:eastAsia="仿宋" w:cs="仿宋"/>
          <w:spacing w:val="7"/>
          <w:sz w:val="24"/>
          <w:szCs w:val="24"/>
          <w:highlight w:val="none"/>
        </w:rPr>
        <w:t>0分</w:t>
      </w:r>
    </w:p>
    <w:p w14:paraId="568235D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508" w:firstLineChars="20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评标时，评标委员会各成员应当独立对每个</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的投标文件进行评价，并汇总每个</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的得分，评标结果按评审后得分由高到低顺序排列。得分相同的，按投标报价由低到高顺序排列。得分且投标报价相同的并列。投标文件满足招标文件全部实质性要求，且按照评审因素的量化指标评审得分最高的</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为排名第一的中标候选人。</w:t>
      </w:r>
    </w:p>
    <w:p w14:paraId="68E09C2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1"/>
          <w:szCs w:val="21"/>
          <w:highlight w:val="none"/>
        </w:rPr>
        <w:sectPr>
          <w:pgSz w:w="11906" w:h="16839"/>
          <w:pgMar w:top="1440" w:right="1080" w:bottom="1440" w:left="1080" w:header="0" w:footer="989" w:gutter="0"/>
          <w:pgNumType w:fmt="decimal"/>
          <w:cols w:space="720" w:num="1"/>
        </w:sectPr>
      </w:pPr>
    </w:p>
    <w:p w14:paraId="2BB3B700">
      <w:pPr>
        <w:keepLines w:val="0"/>
        <w:pageBreakBefore w:val="0"/>
        <w:kinsoku/>
        <w:wordWrap/>
        <w:overflowPunct/>
        <w:topLinePunct w:val="0"/>
        <w:bidi w:val="0"/>
        <w:spacing w:before="157" w:line="232" w:lineRule="auto"/>
        <w:ind w:left="766"/>
        <w:rPr>
          <w:rFonts w:ascii="仿宋" w:hAnsi="仿宋" w:eastAsia="仿宋" w:cs="仿宋"/>
          <w:sz w:val="20"/>
          <w:szCs w:val="20"/>
          <w:highlight w:val="none"/>
        </w:rPr>
      </w:pPr>
      <w:r>
        <w:rPr>
          <w:rFonts w:ascii="仿宋" w:hAnsi="仿宋" w:eastAsia="仿宋" w:cs="仿宋"/>
          <w:spacing w:val="4"/>
          <w:sz w:val="20"/>
          <w:szCs w:val="20"/>
          <w:highlight w:val="none"/>
        </w:rPr>
        <w:t>附表一</w:t>
      </w:r>
    </w:p>
    <w:p w14:paraId="678B75CE">
      <w:pPr>
        <w:keepLines w:val="0"/>
        <w:pageBreakBefore w:val="0"/>
        <w:kinsoku/>
        <w:wordWrap/>
        <w:overflowPunct/>
        <w:topLinePunct w:val="0"/>
        <w:bidi w:val="0"/>
        <w:spacing w:before="190" w:line="223" w:lineRule="auto"/>
        <w:jc w:val="center"/>
        <w:rPr>
          <w:rFonts w:ascii="仿宋" w:hAnsi="仿宋" w:eastAsia="仿宋" w:cs="仿宋"/>
          <w:sz w:val="28"/>
          <w:szCs w:val="28"/>
          <w:highlight w:val="none"/>
        </w:rPr>
      </w:pPr>
      <w:r>
        <w:rPr>
          <w:rFonts w:hint="eastAsia" w:ascii="仿宋" w:hAnsi="仿宋" w:eastAsia="仿宋" w:cs="仿宋"/>
          <w:b/>
          <w:bCs/>
          <w:spacing w:val="-3"/>
          <w:sz w:val="28"/>
          <w:szCs w:val="28"/>
          <w:highlight w:val="none"/>
        </w:rPr>
        <w:t>【标项4】</w:t>
      </w:r>
      <w:r>
        <w:rPr>
          <w:rFonts w:ascii="仿宋" w:hAnsi="仿宋" w:eastAsia="仿宋" w:cs="仿宋"/>
          <w:b/>
          <w:bCs/>
          <w:spacing w:val="-3"/>
          <w:sz w:val="28"/>
          <w:szCs w:val="28"/>
          <w:highlight w:val="none"/>
        </w:rPr>
        <w:t>评审标准</w:t>
      </w:r>
    </w:p>
    <w:p w14:paraId="65768E32">
      <w:pPr>
        <w:keepLines w:val="0"/>
        <w:pageBreakBefore w:val="0"/>
        <w:kinsoku/>
        <w:wordWrap/>
        <w:overflowPunct/>
        <w:topLinePunct w:val="0"/>
        <w:bidi w:val="0"/>
        <w:spacing w:line="122" w:lineRule="exact"/>
        <w:rPr>
          <w:highlight w:val="none"/>
        </w:rPr>
      </w:pPr>
    </w:p>
    <w:tbl>
      <w:tblPr>
        <w:tblStyle w:val="26"/>
        <w:tblW w:w="97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733"/>
        <w:gridCol w:w="6664"/>
        <w:gridCol w:w="736"/>
        <w:gridCol w:w="762"/>
      </w:tblGrid>
      <w:tr w14:paraId="587AB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44" w:type="dxa"/>
            <w:vMerge w:val="restart"/>
            <w:tcBorders>
              <w:top w:val="single" w:color="000000" w:sz="10" w:space="0"/>
              <w:left w:val="single" w:color="000000" w:sz="10" w:space="0"/>
              <w:bottom w:val="nil"/>
            </w:tcBorders>
            <w:vAlign w:val="top"/>
          </w:tcPr>
          <w:p w14:paraId="38F1F157">
            <w:pPr>
              <w:keepLines w:val="0"/>
              <w:pageBreakBefore w:val="0"/>
              <w:kinsoku/>
              <w:wordWrap/>
              <w:overflowPunct/>
              <w:topLinePunct w:val="0"/>
              <w:bidi w:val="0"/>
              <w:spacing w:line="318" w:lineRule="auto"/>
              <w:rPr>
                <w:rFonts w:ascii="Arial"/>
                <w:sz w:val="21"/>
                <w:szCs w:val="21"/>
                <w:highlight w:val="none"/>
              </w:rPr>
            </w:pPr>
          </w:p>
          <w:p w14:paraId="0BBD3770">
            <w:pPr>
              <w:pStyle w:val="27"/>
              <w:keepLines w:val="0"/>
              <w:pageBreakBefore w:val="0"/>
              <w:kinsoku/>
              <w:wordWrap/>
              <w:overflowPunct/>
              <w:topLinePunct w:val="0"/>
              <w:bidi w:val="0"/>
              <w:spacing w:before="65" w:line="232" w:lineRule="auto"/>
              <w:ind w:left="210"/>
              <w:rPr>
                <w:sz w:val="21"/>
                <w:szCs w:val="21"/>
                <w:highlight w:val="none"/>
              </w:rPr>
            </w:pPr>
            <w:r>
              <w:rPr>
                <w:b/>
                <w:bCs/>
                <w:sz w:val="21"/>
                <w:szCs w:val="21"/>
                <w:highlight w:val="none"/>
              </w:rPr>
              <w:t>项目</w:t>
            </w:r>
          </w:p>
        </w:tc>
        <w:tc>
          <w:tcPr>
            <w:tcW w:w="7397" w:type="dxa"/>
            <w:gridSpan w:val="2"/>
            <w:vMerge w:val="restart"/>
            <w:tcBorders>
              <w:top w:val="single" w:color="000000" w:sz="10" w:space="0"/>
              <w:bottom w:val="nil"/>
            </w:tcBorders>
            <w:vAlign w:val="top"/>
          </w:tcPr>
          <w:p w14:paraId="145D4B0A">
            <w:pPr>
              <w:keepLines w:val="0"/>
              <w:pageBreakBefore w:val="0"/>
              <w:kinsoku/>
              <w:wordWrap/>
              <w:overflowPunct/>
              <w:topLinePunct w:val="0"/>
              <w:bidi w:val="0"/>
              <w:spacing w:line="317" w:lineRule="auto"/>
              <w:rPr>
                <w:rFonts w:ascii="Arial"/>
                <w:sz w:val="21"/>
                <w:szCs w:val="21"/>
                <w:highlight w:val="none"/>
              </w:rPr>
            </w:pPr>
          </w:p>
          <w:p w14:paraId="5B2C83F1">
            <w:pPr>
              <w:pStyle w:val="27"/>
              <w:keepLines w:val="0"/>
              <w:pageBreakBefore w:val="0"/>
              <w:kinsoku/>
              <w:wordWrap/>
              <w:overflowPunct/>
              <w:topLinePunct w:val="0"/>
              <w:bidi w:val="0"/>
              <w:spacing w:before="65" w:line="231" w:lineRule="auto"/>
              <w:ind w:left="3293"/>
              <w:rPr>
                <w:sz w:val="21"/>
                <w:szCs w:val="21"/>
                <w:highlight w:val="none"/>
              </w:rPr>
            </w:pPr>
            <w:r>
              <w:rPr>
                <w:b/>
                <w:bCs/>
                <w:spacing w:val="4"/>
                <w:sz w:val="21"/>
                <w:szCs w:val="21"/>
                <w:highlight w:val="none"/>
              </w:rPr>
              <w:t>评审内容</w:t>
            </w:r>
          </w:p>
        </w:tc>
        <w:tc>
          <w:tcPr>
            <w:tcW w:w="1498" w:type="dxa"/>
            <w:gridSpan w:val="2"/>
            <w:tcBorders>
              <w:top w:val="single" w:color="000000" w:sz="10" w:space="0"/>
              <w:right w:val="single" w:color="000000" w:sz="10" w:space="0"/>
            </w:tcBorders>
            <w:vAlign w:val="top"/>
          </w:tcPr>
          <w:p w14:paraId="373B158C">
            <w:pPr>
              <w:pStyle w:val="27"/>
              <w:keepLines w:val="0"/>
              <w:pageBreakBefore w:val="0"/>
              <w:kinsoku/>
              <w:wordWrap/>
              <w:overflowPunct/>
              <w:topLinePunct w:val="0"/>
              <w:bidi w:val="0"/>
              <w:spacing w:before="58" w:line="319" w:lineRule="exact"/>
              <w:ind w:left="553"/>
              <w:rPr>
                <w:sz w:val="21"/>
                <w:szCs w:val="21"/>
                <w:highlight w:val="none"/>
              </w:rPr>
            </w:pPr>
            <w:r>
              <w:rPr>
                <w:b/>
                <w:bCs/>
                <w:position w:val="8"/>
                <w:sz w:val="21"/>
                <w:szCs w:val="21"/>
                <w:highlight w:val="none"/>
              </w:rPr>
              <w:t>评审</w:t>
            </w:r>
          </w:p>
          <w:p w14:paraId="18D03E3F">
            <w:pPr>
              <w:pStyle w:val="27"/>
              <w:keepLines w:val="0"/>
              <w:pageBreakBefore w:val="0"/>
              <w:kinsoku/>
              <w:wordWrap/>
              <w:overflowPunct/>
              <w:topLinePunct w:val="0"/>
              <w:bidi w:val="0"/>
              <w:spacing w:before="1" w:line="232" w:lineRule="auto"/>
              <w:ind w:left="560"/>
              <w:rPr>
                <w:sz w:val="21"/>
                <w:szCs w:val="21"/>
                <w:highlight w:val="none"/>
              </w:rPr>
            </w:pPr>
            <w:r>
              <w:rPr>
                <w:b/>
                <w:bCs/>
                <w:spacing w:val="-3"/>
                <w:sz w:val="21"/>
                <w:szCs w:val="21"/>
                <w:highlight w:val="none"/>
              </w:rPr>
              <w:t>意见</w:t>
            </w:r>
          </w:p>
        </w:tc>
      </w:tr>
      <w:tr w14:paraId="05D12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844" w:type="dxa"/>
            <w:vMerge w:val="continue"/>
            <w:tcBorders>
              <w:top w:val="nil"/>
              <w:left w:val="single" w:color="000000" w:sz="10" w:space="0"/>
            </w:tcBorders>
            <w:vAlign w:val="top"/>
          </w:tcPr>
          <w:p w14:paraId="538FA865">
            <w:pPr>
              <w:keepLines w:val="0"/>
              <w:pageBreakBefore w:val="0"/>
              <w:kinsoku/>
              <w:wordWrap/>
              <w:overflowPunct/>
              <w:topLinePunct w:val="0"/>
              <w:bidi w:val="0"/>
              <w:rPr>
                <w:rFonts w:ascii="Arial"/>
                <w:sz w:val="21"/>
                <w:szCs w:val="21"/>
                <w:highlight w:val="none"/>
              </w:rPr>
            </w:pPr>
          </w:p>
        </w:tc>
        <w:tc>
          <w:tcPr>
            <w:tcW w:w="7397" w:type="dxa"/>
            <w:gridSpan w:val="2"/>
            <w:vMerge w:val="continue"/>
            <w:tcBorders>
              <w:top w:val="nil"/>
            </w:tcBorders>
            <w:vAlign w:val="top"/>
          </w:tcPr>
          <w:p w14:paraId="50BC61C1">
            <w:pPr>
              <w:keepLines w:val="0"/>
              <w:pageBreakBefore w:val="0"/>
              <w:kinsoku/>
              <w:wordWrap/>
              <w:overflowPunct/>
              <w:topLinePunct w:val="0"/>
              <w:bidi w:val="0"/>
              <w:rPr>
                <w:rFonts w:ascii="Arial"/>
                <w:sz w:val="21"/>
                <w:szCs w:val="21"/>
                <w:highlight w:val="none"/>
              </w:rPr>
            </w:pPr>
          </w:p>
        </w:tc>
        <w:tc>
          <w:tcPr>
            <w:tcW w:w="736" w:type="dxa"/>
            <w:vAlign w:val="top"/>
          </w:tcPr>
          <w:p w14:paraId="4EA98274">
            <w:pPr>
              <w:pStyle w:val="27"/>
              <w:keepLines w:val="0"/>
              <w:pageBreakBefore w:val="0"/>
              <w:kinsoku/>
              <w:wordWrap/>
              <w:overflowPunct/>
              <w:topLinePunct w:val="0"/>
              <w:bidi w:val="0"/>
              <w:spacing w:before="52" w:line="233" w:lineRule="auto"/>
              <w:jc w:val="center"/>
              <w:rPr>
                <w:rFonts w:hint="eastAsia" w:eastAsia="仿宋"/>
                <w:sz w:val="21"/>
                <w:szCs w:val="21"/>
                <w:highlight w:val="none"/>
                <w:lang w:eastAsia="zh-CN"/>
              </w:rPr>
            </w:pPr>
            <w:r>
              <w:rPr>
                <w:rFonts w:hint="eastAsia"/>
                <w:b/>
                <w:bCs/>
                <w:spacing w:val="-3"/>
                <w:sz w:val="21"/>
                <w:szCs w:val="21"/>
                <w:highlight w:val="none"/>
                <w:lang w:eastAsia="zh-CN"/>
              </w:rPr>
              <w:t>通过</w:t>
            </w:r>
          </w:p>
        </w:tc>
        <w:tc>
          <w:tcPr>
            <w:tcW w:w="762" w:type="dxa"/>
            <w:tcBorders>
              <w:right w:val="single" w:color="000000" w:sz="10" w:space="0"/>
            </w:tcBorders>
            <w:vAlign w:val="top"/>
          </w:tcPr>
          <w:p w14:paraId="1C31D82C">
            <w:pPr>
              <w:pStyle w:val="27"/>
              <w:keepLines w:val="0"/>
              <w:pageBreakBefore w:val="0"/>
              <w:kinsoku/>
              <w:wordWrap/>
              <w:overflowPunct/>
              <w:topLinePunct w:val="0"/>
              <w:bidi w:val="0"/>
              <w:spacing w:before="52" w:line="233" w:lineRule="auto"/>
              <w:jc w:val="center"/>
              <w:rPr>
                <w:rFonts w:hint="eastAsia" w:eastAsia="仿宋"/>
                <w:sz w:val="21"/>
                <w:szCs w:val="21"/>
                <w:highlight w:val="none"/>
                <w:lang w:eastAsia="zh-CN"/>
              </w:rPr>
            </w:pPr>
            <w:r>
              <w:rPr>
                <w:rFonts w:hint="eastAsia"/>
                <w:b/>
                <w:bCs/>
                <w:spacing w:val="-3"/>
                <w:sz w:val="21"/>
                <w:szCs w:val="21"/>
                <w:highlight w:val="none"/>
                <w:lang w:eastAsia="zh-CN"/>
              </w:rPr>
              <w:t>不通过</w:t>
            </w:r>
          </w:p>
        </w:tc>
      </w:tr>
      <w:tr w14:paraId="574BF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8" w:hRule="atLeast"/>
        </w:trPr>
        <w:tc>
          <w:tcPr>
            <w:tcW w:w="844" w:type="dxa"/>
            <w:vMerge w:val="restart"/>
            <w:tcBorders>
              <w:left w:val="single" w:color="000000" w:sz="10" w:space="0"/>
            </w:tcBorders>
            <w:textDirection w:val="tbRlV"/>
            <w:vAlign w:val="top"/>
          </w:tcPr>
          <w:p w14:paraId="051A0EAF">
            <w:pPr>
              <w:keepLines w:val="0"/>
              <w:pageBreakBefore w:val="0"/>
              <w:kinsoku/>
              <w:wordWrap/>
              <w:overflowPunct/>
              <w:topLinePunct w:val="0"/>
              <w:bidi w:val="0"/>
              <w:spacing w:line="243" w:lineRule="auto"/>
              <w:rPr>
                <w:rFonts w:ascii="Arial"/>
                <w:sz w:val="24"/>
                <w:szCs w:val="24"/>
                <w:highlight w:val="none"/>
              </w:rPr>
            </w:pPr>
          </w:p>
          <w:p w14:paraId="15F92629">
            <w:pPr>
              <w:pStyle w:val="27"/>
              <w:keepLines w:val="0"/>
              <w:pageBreakBefore w:val="0"/>
              <w:kinsoku/>
              <w:wordWrap/>
              <w:overflowPunct/>
              <w:topLinePunct w:val="0"/>
              <w:bidi w:val="0"/>
              <w:spacing w:before="67" w:line="208" w:lineRule="auto"/>
              <w:ind w:left="3449"/>
              <w:rPr>
                <w:sz w:val="24"/>
                <w:szCs w:val="24"/>
                <w:highlight w:val="none"/>
              </w:rPr>
            </w:pPr>
            <w:r>
              <w:rPr>
                <w:spacing w:val="9"/>
                <w:sz w:val="24"/>
                <w:szCs w:val="24"/>
                <w:highlight w:val="none"/>
              </w:rPr>
              <w:t>资 格 性 审 查</w:t>
            </w:r>
          </w:p>
        </w:tc>
        <w:tc>
          <w:tcPr>
            <w:tcW w:w="733" w:type="dxa"/>
            <w:vAlign w:val="center"/>
          </w:tcPr>
          <w:p w14:paraId="701767F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highlight w:val="none"/>
              </w:rPr>
            </w:pPr>
          </w:p>
          <w:p w14:paraId="207B84F4">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w:t>
            </w:r>
          </w:p>
        </w:tc>
        <w:tc>
          <w:tcPr>
            <w:tcW w:w="6664" w:type="dxa"/>
            <w:vAlign w:val="top"/>
          </w:tcPr>
          <w:p w14:paraId="3FAEB0A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具有独立承担民事责任的能力（若供应商是企业（包括合伙企业）应提供有效的营业执照；若供应商是事业单位应提供有效的事业单位法人证书；若供应商是非企业机构的，应提供有效的“执业许可证”、“登记证书”等证明文件；若供应商是个体工商户应提供个体工商户营业执照；若供应商是自然人应提供自然人身份证明）</w:t>
            </w:r>
          </w:p>
        </w:tc>
        <w:tc>
          <w:tcPr>
            <w:tcW w:w="736" w:type="dxa"/>
            <w:tcBorders>
              <w:right w:val="single" w:color="000000" w:sz="2" w:space="0"/>
            </w:tcBorders>
            <w:vAlign w:val="top"/>
          </w:tcPr>
          <w:p w14:paraId="6C46868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055A648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705D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07069C3">
            <w:pPr>
              <w:keepLines w:val="0"/>
              <w:pageBreakBefore w:val="0"/>
              <w:kinsoku/>
              <w:wordWrap/>
              <w:overflowPunct/>
              <w:topLinePunct w:val="0"/>
              <w:bidi w:val="0"/>
              <w:rPr>
                <w:rFonts w:ascii="Arial"/>
                <w:sz w:val="24"/>
                <w:szCs w:val="24"/>
                <w:highlight w:val="none"/>
              </w:rPr>
            </w:pPr>
          </w:p>
        </w:tc>
        <w:tc>
          <w:tcPr>
            <w:tcW w:w="733" w:type="dxa"/>
            <w:vAlign w:val="center"/>
          </w:tcPr>
          <w:p w14:paraId="7CA1074A">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w:t>
            </w:r>
          </w:p>
        </w:tc>
        <w:tc>
          <w:tcPr>
            <w:tcW w:w="6664" w:type="dxa"/>
            <w:vAlign w:val="top"/>
          </w:tcPr>
          <w:p w14:paraId="54EFF5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eastAsia="zh-CN"/>
              </w:rPr>
              <w:t>具有良好的商业信誉和健全的财务会计制度（提供</w:t>
            </w:r>
            <w:r>
              <w:rPr>
                <w:rFonts w:hint="eastAsia" w:ascii="仿宋" w:hAnsi="仿宋" w:eastAsia="仿宋" w:cs="仿宋"/>
                <w:spacing w:val="7"/>
                <w:sz w:val="24"/>
                <w:szCs w:val="24"/>
                <w:highlight w:val="none"/>
                <w:lang w:val="en-US" w:eastAsia="zh-CN"/>
              </w:rPr>
              <w:t>2025</w:t>
            </w:r>
            <w:r>
              <w:rPr>
                <w:rFonts w:hint="eastAsia" w:ascii="仿宋" w:hAnsi="仿宋" w:eastAsia="仿宋" w:cs="仿宋"/>
                <w:spacing w:val="7"/>
                <w:sz w:val="24"/>
                <w:szCs w:val="24"/>
                <w:highlight w:val="none"/>
                <w:lang w:eastAsia="zh-CN"/>
              </w:rPr>
              <w:t>年经审计的</w:t>
            </w:r>
            <w:r>
              <w:rPr>
                <w:rFonts w:hint="eastAsia" w:ascii="仿宋" w:hAnsi="仿宋" w:eastAsia="仿宋" w:cs="仿宋"/>
                <w:spacing w:val="7"/>
                <w:sz w:val="24"/>
                <w:szCs w:val="24"/>
                <w:highlight w:val="none"/>
                <w:lang w:val="en-US" w:eastAsia="zh-CN"/>
              </w:rPr>
              <w:t>审计报告或财务报表</w:t>
            </w:r>
            <w:r>
              <w:rPr>
                <w:rFonts w:hint="eastAsia" w:ascii="仿宋" w:hAnsi="仿宋" w:eastAsia="仿宋" w:cs="仿宋"/>
                <w:spacing w:val="7"/>
                <w:sz w:val="24"/>
                <w:szCs w:val="24"/>
                <w:highlight w:val="none"/>
                <w:lang w:eastAsia="zh-CN"/>
              </w:rPr>
              <w:t>，新成立公司不足一年的提供成立至今的财务报表（包括资产负债表、利润表、现金流量表）；或提供财政部门认可的政府采购专业担保机构出具的投标担保函）；</w:t>
            </w:r>
          </w:p>
        </w:tc>
        <w:tc>
          <w:tcPr>
            <w:tcW w:w="736" w:type="dxa"/>
            <w:tcBorders>
              <w:right w:val="single" w:color="000000" w:sz="2" w:space="0"/>
            </w:tcBorders>
            <w:vAlign w:val="top"/>
          </w:tcPr>
          <w:p w14:paraId="1B30515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11C6854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4350D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844" w:type="dxa"/>
            <w:vMerge w:val="continue"/>
            <w:tcBorders>
              <w:left w:val="single" w:color="000000" w:sz="10" w:space="0"/>
            </w:tcBorders>
            <w:textDirection w:val="tbRlV"/>
            <w:vAlign w:val="top"/>
          </w:tcPr>
          <w:p w14:paraId="49DB52B4">
            <w:pPr>
              <w:keepLines w:val="0"/>
              <w:pageBreakBefore w:val="0"/>
              <w:kinsoku/>
              <w:wordWrap/>
              <w:overflowPunct/>
              <w:topLinePunct w:val="0"/>
              <w:bidi w:val="0"/>
              <w:rPr>
                <w:rFonts w:ascii="Arial"/>
                <w:sz w:val="24"/>
                <w:szCs w:val="24"/>
                <w:highlight w:val="none"/>
              </w:rPr>
            </w:pPr>
          </w:p>
        </w:tc>
        <w:tc>
          <w:tcPr>
            <w:tcW w:w="733" w:type="dxa"/>
            <w:vAlign w:val="center"/>
          </w:tcPr>
          <w:p w14:paraId="0420A8A6">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w:t>
            </w:r>
          </w:p>
        </w:tc>
        <w:tc>
          <w:tcPr>
            <w:tcW w:w="6664" w:type="dxa"/>
            <w:vAlign w:val="top"/>
          </w:tcPr>
          <w:p w14:paraId="56CF659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eastAsia="zh-CN"/>
              </w:rPr>
              <w:t>提供近期依法缴纳税收的证明；（供应商应提供</w:t>
            </w:r>
            <w:r>
              <w:rPr>
                <w:rFonts w:hint="eastAsia" w:ascii="仿宋" w:hAnsi="仿宋" w:eastAsia="仿宋" w:cs="仿宋"/>
                <w:spacing w:val="7"/>
                <w:sz w:val="24"/>
                <w:szCs w:val="24"/>
                <w:highlight w:val="none"/>
                <w:lang w:val="en-US" w:eastAsia="zh-CN"/>
              </w:rPr>
              <w:t>近半年</w:t>
            </w:r>
            <w:r>
              <w:rPr>
                <w:rFonts w:hint="eastAsia" w:ascii="仿宋" w:hAnsi="仿宋" w:eastAsia="仿宋" w:cs="仿宋"/>
                <w:spacing w:val="7"/>
                <w:sz w:val="24"/>
                <w:szCs w:val="24"/>
                <w:highlight w:val="none"/>
                <w:lang w:eastAsia="zh-CN"/>
              </w:rPr>
              <w:t>任意一个月的完税证明①若投标人某月税收为零申报，须提供当月加盖税务局公章的无欠税证明或“国家税务总局电子税务局”的申报结果查询截图。②完税证明中“税种”非养老保险、医疗保险、失业保险、工伤保险和生育保险。③依法免税的供应商应提供相应证明文件证明其依法免税）；</w:t>
            </w:r>
          </w:p>
        </w:tc>
        <w:tc>
          <w:tcPr>
            <w:tcW w:w="736" w:type="dxa"/>
            <w:tcBorders>
              <w:right w:val="single" w:color="000000" w:sz="2" w:space="0"/>
            </w:tcBorders>
            <w:vAlign w:val="top"/>
          </w:tcPr>
          <w:p w14:paraId="07A06A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641B603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633BB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844" w:type="dxa"/>
            <w:vMerge w:val="continue"/>
            <w:tcBorders>
              <w:left w:val="single" w:color="000000" w:sz="10" w:space="0"/>
            </w:tcBorders>
            <w:textDirection w:val="tbRlV"/>
            <w:vAlign w:val="top"/>
          </w:tcPr>
          <w:p w14:paraId="692F72F5">
            <w:pPr>
              <w:keepLines w:val="0"/>
              <w:pageBreakBefore w:val="0"/>
              <w:kinsoku/>
              <w:wordWrap/>
              <w:overflowPunct/>
              <w:topLinePunct w:val="0"/>
              <w:bidi w:val="0"/>
              <w:rPr>
                <w:rFonts w:ascii="Arial"/>
                <w:sz w:val="24"/>
                <w:szCs w:val="24"/>
                <w:highlight w:val="none"/>
              </w:rPr>
            </w:pPr>
          </w:p>
        </w:tc>
        <w:tc>
          <w:tcPr>
            <w:tcW w:w="733" w:type="dxa"/>
            <w:vAlign w:val="center"/>
          </w:tcPr>
          <w:p w14:paraId="4A0488B1">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w:t>
            </w:r>
          </w:p>
        </w:tc>
        <w:tc>
          <w:tcPr>
            <w:tcW w:w="6664" w:type="dxa"/>
            <w:vAlign w:val="top"/>
          </w:tcPr>
          <w:p w14:paraId="5CC7CBF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提供</w:t>
            </w:r>
            <w:r>
              <w:rPr>
                <w:rFonts w:hint="eastAsia" w:ascii="仿宋" w:hAnsi="仿宋" w:eastAsia="仿宋" w:cs="仿宋"/>
                <w:spacing w:val="7"/>
                <w:sz w:val="24"/>
                <w:szCs w:val="24"/>
                <w:highlight w:val="none"/>
                <w:lang w:val="en-US" w:eastAsia="zh-CN"/>
              </w:rPr>
              <w:t>近三个</w:t>
            </w:r>
            <w:r>
              <w:rPr>
                <w:rFonts w:hint="eastAsia" w:ascii="仿宋" w:hAnsi="仿宋" w:eastAsia="仿宋" w:cs="仿宋"/>
                <w:spacing w:val="7"/>
                <w:sz w:val="24"/>
                <w:szCs w:val="24"/>
                <w:highlight w:val="none"/>
                <w:lang w:eastAsia="zh-CN"/>
              </w:rPr>
              <w:t>月缴纳社会保险的凭据（专用收据或社会保险缴纳清单，供应商为其他组织或自然人的，也需要按此项规定提供缴纳税收的凭据和缴纳社会保险的凭据。如供应商的社会保险为委托第三方代缴，还需同时提供供应商与第三方服务机构签署的服务合同（合同中应明确写明第三方为供应商代缴其社会保险））加盖单位公章；</w:t>
            </w:r>
          </w:p>
        </w:tc>
        <w:tc>
          <w:tcPr>
            <w:tcW w:w="736" w:type="dxa"/>
            <w:tcBorders>
              <w:right w:val="single" w:color="000000" w:sz="2" w:space="0"/>
            </w:tcBorders>
            <w:vAlign w:val="top"/>
          </w:tcPr>
          <w:p w14:paraId="3F6A27F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471B163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48118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44" w:type="dxa"/>
            <w:vMerge w:val="continue"/>
            <w:tcBorders>
              <w:left w:val="single" w:color="000000" w:sz="10" w:space="0"/>
            </w:tcBorders>
            <w:textDirection w:val="tbRlV"/>
            <w:vAlign w:val="top"/>
          </w:tcPr>
          <w:p w14:paraId="4BAA0617">
            <w:pPr>
              <w:keepLines w:val="0"/>
              <w:pageBreakBefore w:val="0"/>
              <w:kinsoku/>
              <w:wordWrap/>
              <w:overflowPunct/>
              <w:topLinePunct w:val="0"/>
              <w:bidi w:val="0"/>
              <w:rPr>
                <w:rFonts w:ascii="Arial"/>
                <w:sz w:val="24"/>
                <w:szCs w:val="24"/>
                <w:highlight w:val="none"/>
              </w:rPr>
            </w:pPr>
          </w:p>
        </w:tc>
        <w:tc>
          <w:tcPr>
            <w:tcW w:w="733" w:type="dxa"/>
            <w:vAlign w:val="center"/>
          </w:tcPr>
          <w:p w14:paraId="216D973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5</w:t>
            </w:r>
          </w:p>
        </w:tc>
        <w:tc>
          <w:tcPr>
            <w:tcW w:w="6664" w:type="dxa"/>
            <w:vAlign w:val="top"/>
          </w:tcPr>
          <w:p w14:paraId="7C9606C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rPr>
              <w:t>法定代表人参加应上传法定代表人身份证明和本人身份证；委托代理人参加应上传法定代表人身份证明、授权委托书、本人身份证；</w:t>
            </w:r>
          </w:p>
        </w:tc>
        <w:tc>
          <w:tcPr>
            <w:tcW w:w="736" w:type="dxa"/>
            <w:tcBorders>
              <w:right w:val="single" w:color="000000" w:sz="2" w:space="0"/>
            </w:tcBorders>
            <w:vAlign w:val="top"/>
          </w:tcPr>
          <w:p w14:paraId="40F75CA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4ADA04B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0F22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0" w:hRule="atLeast"/>
        </w:trPr>
        <w:tc>
          <w:tcPr>
            <w:tcW w:w="844" w:type="dxa"/>
            <w:vMerge w:val="continue"/>
            <w:tcBorders>
              <w:left w:val="single" w:color="000000" w:sz="10" w:space="0"/>
            </w:tcBorders>
            <w:textDirection w:val="tbRlV"/>
            <w:vAlign w:val="top"/>
          </w:tcPr>
          <w:p w14:paraId="65D0029B">
            <w:pPr>
              <w:keepLines w:val="0"/>
              <w:pageBreakBefore w:val="0"/>
              <w:kinsoku/>
              <w:wordWrap/>
              <w:overflowPunct/>
              <w:topLinePunct w:val="0"/>
              <w:bidi w:val="0"/>
              <w:rPr>
                <w:rFonts w:ascii="Arial"/>
                <w:sz w:val="24"/>
                <w:szCs w:val="24"/>
                <w:highlight w:val="none"/>
              </w:rPr>
            </w:pPr>
          </w:p>
        </w:tc>
        <w:tc>
          <w:tcPr>
            <w:tcW w:w="733" w:type="dxa"/>
            <w:vAlign w:val="center"/>
          </w:tcPr>
          <w:p w14:paraId="3DC80134">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6</w:t>
            </w:r>
          </w:p>
        </w:tc>
        <w:tc>
          <w:tcPr>
            <w:tcW w:w="6664" w:type="dxa"/>
            <w:vAlign w:val="top"/>
          </w:tcPr>
          <w:p w14:paraId="0CB0BBD0">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default" w:ascii="仿宋" w:hAnsi="仿宋" w:eastAsia="仿宋" w:cs="仿宋"/>
                <w:spacing w:val="7"/>
                <w:sz w:val="24"/>
                <w:szCs w:val="24"/>
                <w:highlight w:val="none"/>
                <w:lang w:val="en-US"/>
              </w:rPr>
              <w:t>投标人如在“信用中国”网站、中国政府采购网被列入严重违法失信行为记录名单的（尚在处罚期内的），将拒绝其参加本次政府采购活动</w:t>
            </w:r>
            <w:r>
              <w:rPr>
                <w:rFonts w:hint="eastAsia" w:ascii="仿宋" w:hAnsi="仿宋" w:eastAsia="仿宋" w:cs="仿宋"/>
                <w:spacing w:val="7"/>
                <w:sz w:val="24"/>
                <w:szCs w:val="24"/>
                <w:highlight w:val="none"/>
                <w:lang w:val="en-US" w:eastAsia="zh-CN"/>
              </w:rPr>
              <w:t>，</w:t>
            </w:r>
            <w:r>
              <w:rPr>
                <w:rFonts w:hint="default" w:ascii="仿宋" w:hAnsi="仿宋" w:eastAsia="仿宋" w:cs="仿宋"/>
                <w:spacing w:val="7"/>
                <w:sz w:val="24"/>
                <w:szCs w:val="24"/>
                <w:highlight w:val="none"/>
                <w:lang w:val="en-US"/>
              </w:rPr>
              <w:t>提供截图（开标现场可再次查询确认）</w:t>
            </w:r>
            <w:r>
              <w:rPr>
                <w:rFonts w:hint="eastAsia" w:ascii="仿宋" w:hAnsi="仿宋" w:eastAsia="仿宋" w:cs="仿宋"/>
                <w:spacing w:val="7"/>
                <w:sz w:val="24"/>
                <w:szCs w:val="24"/>
                <w:highlight w:val="none"/>
                <w:lang w:val="en-US" w:eastAsia="zh-CN"/>
              </w:rPr>
              <w:t>；</w:t>
            </w:r>
          </w:p>
        </w:tc>
        <w:tc>
          <w:tcPr>
            <w:tcW w:w="736" w:type="dxa"/>
            <w:tcBorders>
              <w:right w:val="single" w:color="000000" w:sz="2" w:space="0"/>
            </w:tcBorders>
            <w:vAlign w:val="top"/>
          </w:tcPr>
          <w:p w14:paraId="496C475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796F4D7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3EAA1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0" w:hRule="atLeast"/>
        </w:trPr>
        <w:tc>
          <w:tcPr>
            <w:tcW w:w="844" w:type="dxa"/>
            <w:vMerge w:val="continue"/>
            <w:tcBorders>
              <w:left w:val="single" w:color="000000" w:sz="10" w:space="0"/>
            </w:tcBorders>
            <w:textDirection w:val="tbRlV"/>
            <w:vAlign w:val="top"/>
          </w:tcPr>
          <w:p w14:paraId="5D906AA6">
            <w:pPr>
              <w:keepLines w:val="0"/>
              <w:pageBreakBefore w:val="0"/>
              <w:kinsoku/>
              <w:wordWrap/>
              <w:overflowPunct/>
              <w:topLinePunct w:val="0"/>
              <w:bidi w:val="0"/>
              <w:rPr>
                <w:rFonts w:ascii="Arial"/>
                <w:sz w:val="24"/>
                <w:szCs w:val="24"/>
                <w:highlight w:val="none"/>
              </w:rPr>
            </w:pPr>
          </w:p>
        </w:tc>
        <w:tc>
          <w:tcPr>
            <w:tcW w:w="733" w:type="dxa"/>
            <w:vAlign w:val="center"/>
          </w:tcPr>
          <w:p w14:paraId="54CB6169">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7</w:t>
            </w:r>
          </w:p>
        </w:tc>
        <w:tc>
          <w:tcPr>
            <w:tcW w:w="6664" w:type="dxa"/>
            <w:vAlign w:val="top"/>
          </w:tcPr>
          <w:p w14:paraId="135A9C22">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i w:val="0"/>
                <w:iCs w:val="0"/>
                <w:caps w:val="0"/>
                <w:color w:val="000000"/>
                <w:spacing w:val="0"/>
                <w:sz w:val="27"/>
                <w:szCs w:val="27"/>
                <w:highlight w:val="none"/>
                <w:lang w:eastAsia="zh-CN"/>
              </w:rPr>
            </w:pPr>
            <w:r>
              <w:rPr>
                <w:rFonts w:hint="eastAsia" w:ascii="仿宋" w:hAnsi="仿宋" w:eastAsia="仿宋" w:cs="仿宋"/>
                <w:i w:val="0"/>
                <w:iCs w:val="0"/>
                <w:caps w:val="0"/>
                <w:color w:val="000000"/>
                <w:spacing w:val="0"/>
                <w:sz w:val="27"/>
                <w:szCs w:val="27"/>
                <w:highlight w:val="none"/>
              </w:rPr>
              <w:t>【标项</w:t>
            </w:r>
            <w:r>
              <w:rPr>
                <w:rFonts w:hint="eastAsia" w:ascii="仿宋" w:hAnsi="仿宋" w:eastAsia="仿宋" w:cs="仿宋"/>
                <w:i w:val="0"/>
                <w:iCs w:val="0"/>
                <w:caps w:val="0"/>
                <w:color w:val="000000"/>
                <w:spacing w:val="0"/>
                <w:sz w:val="27"/>
                <w:szCs w:val="27"/>
                <w:highlight w:val="none"/>
                <w:lang w:val="en-US" w:eastAsia="zh-CN"/>
              </w:rPr>
              <w:t>4</w:t>
            </w:r>
            <w:r>
              <w:rPr>
                <w:rFonts w:hint="eastAsia" w:ascii="仿宋" w:hAnsi="仿宋" w:eastAsia="仿宋" w:cs="仿宋"/>
                <w:i w:val="0"/>
                <w:iCs w:val="0"/>
                <w:caps w:val="0"/>
                <w:color w:val="000000"/>
                <w:spacing w:val="0"/>
                <w:sz w:val="27"/>
                <w:szCs w:val="27"/>
                <w:highlight w:val="none"/>
              </w:rPr>
              <w:t>】</w:t>
            </w:r>
            <w:r>
              <w:rPr>
                <w:rFonts w:hint="eastAsia" w:ascii="仿宋" w:hAnsi="仿宋" w:eastAsia="仿宋" w:cs="仿宋"/>
                <w:i w:val="0"/>
                <w:iCs w:val="0"/>
                <w:caps w:val="0"/>
                <w:color w:val="000000"/>
                <w:spacing w:val="0"/>
                <w:sz w:val="27"/>
                <w:szCs w:val="27"/>
                <w:highlight w:val="none"/>
                <w:lang w:eastAsia="zh-CN"/>
              </w:rPr>
              <w:t>：</w:t>
            </w:r>
            <w:r>
              <w:rPr>
                <w:rFonts w:hint="eastAsia" w:ascii="仿宋" w:hAnsi="仿宋" w:eastAsia="仿宋" w:cs="仿宋"/>
                <w:i w:val="0"/>
                <w:iCs w:val="0"/>
                <w:caps w:val="0"/>
                <w:color w:val="000000"/>
                <w:spacing w:val="0"/>
                <w:sz w:val="27"/>
                <w:szCs w:val="27"/>
                <w:highlight w:val="none"/>
                <w:lang w:eastAsia="zh-CN"/>
              </w:rPr>
              <w:t>若投标人为货物制造商，使用自身生产的产品投标时，</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第二类、第三类</w:t>
            </w:r>
            <w:r>
              <w:rPr>
                <w:rFonts w:ascii="仿宋" w:hAnsi="仿宋" w:eastAsia="仿宋" w:cs="仿宋"/>
                <w:i w:val="0"/>
                <w:iCs w:val="0"/>
                <w:caps w:val="0"/>
                <w:color w:val="000000"/>
                <w:spacing w:val="0"/>
                <w:sz w:val="27"/>
                <w:szCs w:val="27"/>
                <w:highlight w:val="none"/>
              </w:rPr>
              <w:t>《医疗器械生产许可证》</w:t>
            </w:r>
            <w:r>
              <w:rPr>
                <w:rFonts w:hint="eastAsia" w:ascii="仿宋" w:hAnsi="仿宋" w:eastAsia="仿宋" w:cs="仿宋"/>
                <w:i w:val="0"/>
                <w:iCs w:val="0"/>
                <w:caps w:val="0"/>
                <w:color w:val="000000"/>
                <w:spacing w:val="0"/>
                <w:sz w:val="27"/>
                <w:szCs w:val="27"/>
                <w:highlight w:val="none"/>
                <w:lang w:eastAsia="zh-CN"/>
              </w:rPr>
              <w:t>；若投标人为代理商</w:t>
            </w:r>
            <w:r>
              <w:rPr>
                <w:rFonts w:hint="eastAsia" w:ascii="仿宋" w:hAnsi="仿宋" w:eastAsia="仿宋" w:cs="仿宋"/>
                <w:i w:val="0"/>
                <w:iCs w:val="0"/>
                <w:caps w:val="0"/>
                <w:color w:val="000000"/>
                <w:spacing w:val="0"/>
                <w:sz w:val="27"/>
                <w:szCs w:val="27"/>
                <w:highlight w:val="none"/>
                <w:lang w:val="en-US" w:eastAsia="zh-CN"/>
              </w:rPr>
              <w:t>具备有效的</w:t>
            </w:r>
            <w:r>
              <w:rPr>
                <w:rFonts w:hint="eastAsia" w:ascii="仿宋" w:hAnsi="仿宋" w:eastAsia="仿宋" w:cs="仿宋"/>
                <w:i w:val="0"/>
                <w:iCs w:val="0"/>
                <w:caps w:val="0"/>
                <w:color w:val="000000"/>
                <w:spacing w:val="0"/>
                <w:sz w:val="27"/>
                <w:szCs w:val="27"/>
                <w:highlight w:val="none"/>
                <w:lang w:eastAsia="zh-CN"/>
              </w:rPr>
              <w:t>第二类《医疗器械经营备案凭证》或《医疗器械经营许可证》，第三类《医疗器械经营许可证》。</w:t>
            </w:r>
          </w:p>
          <w:p w14:paraId="6567236B">
            <w:pPr>
              <w:pStyle w:val="16"/>
              <w:keepNext w:val="0"/>
              <w:keepLines w:val="0"/>
              <w:pageBreakBefore w:val="0"/>
              <w:widowControl/>
              <w:suppressLineNumbers w:val="0"/>
              <w:kinsoku/>
              <w:wordWrap/>
              <w:overflowPunct/>
              <w:topLinePunct w:val="0"/>
              <w:bidi w:val="0"/>
              <w:spacing w:before="75" w:beforeAutospacing="0" w:after="75" w:afterAutospacing="0" w:line="300" w:lineRule="atLeast"/>
              <w:ind w:left="0" w:right="0" w:firstLine="420"/>
              <w:rPr>
                <w:rFonts w:hint="eastAsia" w:ascii="仿宋" w:hAnsi="仿宋" w:eastAsia="仿宋" w:cs="仿宋"/>
                <w:spacing w:val="7"/>
                <w:sz w:val="24"/>
                <w:szCs w:val="24"/>
                <w:highlight w:val="none"/>
                <w:lang w:val="en-US" w:eastAsia="zh-CN"/>
              </w:rPr>
            </w:pPr>
          </w:p>
        </w:tc>
        <w:tc>
          <w:tcPr>
            <w:tcW w:w="736" w:type="dxa"/>
            <w:tcBorders>
              <w:right w:val="single" w:color="000000" w:sz="2" w:space="0"/>
            </w:tcBorders>
            <w:vAlign w:val="top"/>
          </w:tcPr>
          <w:p w14:paraId="553D0E9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5A4C5FF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69284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44" w:type="dxa"/>
            <w:tcBorders>
              <w:left w:val="single" w:color="000000" w:sz="10" w:space="0"/>
            </w:tcBorders>
            <w:textDirection w:val="tbRlV"/>
            <w:vAlign w:val="top"/>
          </w:tcPr>
          <w:p w14:paraId="1C7BBD84">
            <w:pPr>
              <w:keepLines w:val="0"/>
              <w:pageBreakBefore w:val="0"/>
              <w:kinsoku/>
              <w:wordWrap/>
              <w:overflowPunct/>
              <w:topLinePunct w:val="0"/>
              <w:bidi w:val="0"/>
              <w:rPr>
                <w:rFonts w:ascii="Arial"/>
                <w:sz w:val="24"/>
                <w:szCs w:val="24"/>
                <w:highlight w:val="none"/>
              </w:rPr>
            </w:pPr>
          </w:p>
        </w:tc>
        <w:tc>
          <w:tcPr>
            <w:tcW w:w="733" w:type="dxa"/>
            <w:vAlign w:val="center"/>
          </w:tcPr>
          <w:p w14:paraId="23CE983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8</w:t>
            </w:r>
          </w:p>
        </w:tc>
        <w:tc>
          <w:tcPr>
            <w:tcW w:w="6664" w:type="dxa"/>
            <w:vAlign w:val="top"/>
          </w:tcPr>
          <w:p w14:paraId="52A54FF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参加政府采购活动前三年内，在经营活动中没有重大违法记录：提供书面声明。</w:t>
            </w:r>
          </w:p>
        </w:tc>
        <w:tc>
          <w:tcPr>
            <w:tcW w:w="736" w:type="dxa"/>
            <w:tcBorders>
              <w:right w:val="single" w:color="000000" w:sz="2" w:space="0"/>
            </w:tcBorders>
            <w:vAlign w:val="top"/>
          </w:tcPr>
          <w:p w14:paraId="1AF2B1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03C73B2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259D2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44" w:type="dxa"/>
            <w:tcBorders>
              <w:left w:val="single" w:color="000000" w:sz="10" w:space="0"/>
            </w:tcBorders>
            <w:textDirection w:val="tbRlV"/>
            <w:vAlign w:val="top"/>
          </w:tcPr>
          <w:p w14:paraId="1C668B1E">
            <w:pPr>
              <w:keepLines w:val="0"/>
              <w:pageBreakBefore w:val="0"/>
              <w:kinsoku/>
              <w:wordWrap/>
              <w:overflowPunct/>
              <w:topLinePunct w:val="0"/>
              <w:bidi w:val="0"/>
              <w:rPr>
                <w:rFonts w:ascii="Arial"/>
                <w:sz w:val="24"/>
                <w:szCs w:val="24"/>
                <w:highlight w:val="none"/>
              </w:rPr>
            </w:pPr>
          </w:p>
        </w:tc>
        <w:tc>
          <w:tcPr>
            <w:tcW w:w="733" w:type="dxa"/>
            <w:vAlign w:val="center"/>
          </w:tcPr>
          <w:p w14:paraId="5B9BC8EB">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9</w:t>
            </w:r>
          </w:p>
        </w:tc>
        <w:tc>
          <w:tcPr>
            <w:tcW w:w="6664" w:type="dxa"/>
            <w:vAlign w:val="top"/>
          </w:tcPr>
          <w:p w14:paraId="7BBD33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符合法律、行政法规规定的其他条件：提供①单位负责人为同一人或者存在直接控股、管理关系的不同供应商不得参加同一合同项下的政府采购活动的《声明函》；提供②为采购项目提供整体设计、规范编制或者项目管理、监理、检测等服务的供应商，不得再参加该采购项目的其他采购活动的《声明函》</w:t>
            </w:r>
          </w:p>
        </w:tc>
        <w:tc>
          <w:tcPr>
            <w:tcW w:w="736" w:type="dxa"/>
            <w:tcBorders>
              <w:right w:val="single" w:color="000000" w:sz="2" w:space="0"/>
            </w:tcBorders>
            <w:vAlign w:val="top"/>
          </w:tcPr>
          <w:p w14:paraId="6FFAC30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76E81D1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4019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restart"/>
            <w:tcBorders>
              <w:top w:val="nil"/>
              <w:left w:val="single" w:color="000000" w:sz="10" w:space="0"/>
            </w:tcBorders>
            <w:textDirection w:val="tbRlV"/>
            <w:vAlign w:val="top"/>
          </w:tcPr>
          <w:p w14:paraId="3277A9CD">
            <w:pPr>
              <w:keepLines w:val="0"/>
              <w:pageBreakBefore w:val="0"/>
              <w:kinsoku/>
              <w:wordWrap/>
              <w:overflowPunct/>
              <w:topLinePunct w:val="0"/>
              <w:bidi w:val="0"/>
              <w:spacing w:line="243" w:lineRule="auto"/>
              <w:rPr>
                <w:rFonts w:ascii="Arial"/>
                <w:sz w:val="24"/>
                <w:szCs w:val="24"/>
                <w:highlight w:val="none"/>
              </w:rPr>
            </w:pPr>
          </w:p>
          <w:p w14:paraId="170D35EA">
            <w:pPr>
              <w:pStyle w:val="27"/>
              <w:keepLines w:val="0"/>
              <w:pageBreakBefore w:val="0"/>
              <w:kinsoku/>
              <w:wordWrap/>
              <w:overflowPunct/>
              <w:topLinePunct w:val="0"/>
              <w:bidi w:val="0"/>
              <w:spacing w:before="67" w:line="206" w:lineRule="auto"/>
              <w:ind w:left="0" w:leftChars="0" w:firstLine="0" w:firstLineChars="0"/>
              <w:jc w:val="center"/>
              <w:rPr>
                <w:sz w:val="24"/>
                <w:szCs w:val="24"/>
                <w:highlight w:val="none"/>
              </w:rPr>
            </w:pPr>
            <w:r>
              <w:rPr>
                <w:spacing w:val="10"/>
                <w:sz w:val="24"/>
                <w:szCs w:val="24"/>
                <w:highlight w:val="none"/>
              </w:rPr>
              <w:t>符 合 性 审 查</w:t>
            </w:r>
          </w:p>
        </w:tc>
        <w:tc>
          <w:tcPr>
            <w:tcW w:w="8895" w:type="dxa"/>
            <w:gridSpan w:val="4"/>
            <w:tcBorders>
              <w:right w:val="single" w:color="000000" w:sz="10" w:space="0"/>
            </w:tcBorders>
            <w:vAlign w:val="top"/>
          </w:tcPr>
          <w:p w14:paraId="44B92F3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val="en-US" w:eastAsia="zh-CN"/>
              </w:rPr>
              <w:t>商务审查标准</w:t>
            </w:r>
          </w:p>
        </w:tc>
      </w:tr>
      <w:tr w14:paraId="3CE11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844" w:type="dxa"/>
            <w:vMerge w:val="continue"/>
            <w:tcBorders>
              <w:left w:val="single" w:color="000000" w:sz="10" w:space="0"/>
            </w:tcBorders>
            <w:textDirection w:val="tbRlV"/>
            <w:vAlign w:val="top"/>
          </w:tcPr>
          <w:p w14:paraId="66057BD4">
            <w:pPr>
              <w:pStyle w:val="27"/>
              <w:keepLines w:val="0"/>
              <w:pageBreakBefore w:val="0"/>
              <w:kinsoku/>
              <w:wordWrap/>
              <w:overflowPunct/>
              <w:topLinePunct w:val="0"/>
              <w:bidi w:val="0"/>
              <w:spacing w:before="67" w:line="206" w:lineRule="auto"/>
              <w:ind w:left="811"/>
              <w:rPr>
                <w:sz w:val="24"/>
                <w:szCs w:val="24"/>
                <w:highlight w:val="none"/>
              </w:rPr>
            </w:pPr>
          </w:p>
        </w:tc>
        <w:tc>
          <w:tcPr>
            <w:tcW w:w="733" w:type="dxa"/>
            <w:vAlign w:val="center"/>
          </w:tcPr>
          <w:p w14:paraId="3EEABD52">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w:t>
            </w:r>
          </w:p>
        </w:tc>
        <w:tc>
          <w:tcPr>
            <w:tcW w:w="6664" w:type="dxa"/>
            <w:vAlign w:val="top"/>
          </w:tcPr>
          <w:p w14:paraId="0E17151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val="en-US" w:eastAsia="zh-CN"/>
              </w:rPr>
              <w:t>应有法人代表或授权代表签署意见的文件、证明等，未经本人签署的；应加盖公章的证照、函件，而未加盖公章的；投标文件未按招标文件要求签署、盖章的；</w:t>
            </w:r>
          </w:p>
        </w:tc>
        <w:tc>
          <w:tcPr>
            <w:tcW w:w="736" w:type="dxa"/>
            <w:tcBorders>
              <w:right w:val="single" w:color="000000" w:sz="2" w:space="0"/>
            </w:tcBorders>
            <w:vAlign w:val="top"/>
          </w:tcPr>
          <w:p w14:paraId="697D954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2B31596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5FA8C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6D851B6E">
            <w:pPr>
              <w:keepLines w:val="0"/>
              <w:pageBreakBefore w:val="0"/>
              <w:kinsoku/>
              <w:wordWrap/>
              <w:overflowPunct/>
              <w:topLinePunct w:val="0"/>
              <w:bidi w:val="0"/>
              <w:rPr>
                <w:rFonts w:ascii="Arial"/>
                <w:sz w:val="24"/>
                <w:szCs w:val="24"/>
                <w:highlight w:val="none"/>
              </w:rPr>
            </w:pPr>
          </w:p>
        </w:tc>
        <w:tc>
          <w:tcPr>
            <w:tcW w:w="733" w:type="dxa"/>
            <w:vAlign w:val="center"/>
          </w:tcPr>
          <w:p w14:paraId="19C40B67">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w:t>
            </w:r>
          </w:p>
        </w:tc>
        <w:tc>
          <w:tcPr>
            <w:tcW w:w="6664" w:type="dxa"/>
            <w:vAlign w:val="top"/>
          </w:tcPr>
          <w:p w14:paraId="628DE62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ascii="仿宋" w:hAnsi="仿宋" w:eastAsia="仿宋" w:cs="仿宋"/>
                <w:spacing w:val="7"/>
                <w:sz w:val="24"/>
                <w:szCs w:val="24"/>
                <w:highlight w:val="none"/>
              </w:rPr>
              <w:t>对于有</w:t>
            </w:r>
            <w:r>
              <w:rPr>
                <w:rFonts w:hint="eastAsia" w:ascii="仿宋" w:hAnsi="仿宋" w:eastAsia="仿宋" w:cs="仿宋"/>
                <w:spacing w:val="7"/>
                <w:sz w:val="24"/>
                <w:szCs w:val="24"/>
                <w:highlight w:val="none"/>
                <w:lang w:eastAsia="zh-CN"/>
              </w:rPr>
              <w:t>特定</w:t>
            </w:r>
            <w:r>
              <w:rPr>
                <w:rFonts w:ascii="仿宋" w:hAnsi="仿宋" w:eastAsia="仿宋" w:cs="仿宋"/>
                <w:spacing w:val="7"/>
                <w:sz w:val="24"/>
                <w:szCs w:val="24"/>
                <w:highlight w:val="none"/>
              </w:rPr>
              <w:t>格式要求的，不允许改动其内容</w:t>
            </w:r>
            <w:r>
              <w:rPr>
                <w:rFonts w:hint="eastAsia" w:ascii="仿宋" w:hAnsi="仿宋" w:eastAsia="仿宋" w:cs="仿宋"/>
                <w:spacing w:val="7"/>
                <w:sz w:val="24"/>
                <w:szCs w:val="24"/>
                <w:highlight w:val="none"/>
                <w:lang w:val="en-US" w:eastAsia="zh-CN"/>
              </w:rPr>
              <w:t>；</w:t>
            </w:r>
          </w:p>
        </w:tc>
        <w:tc>
          <w:tcPr>
            <w:tcW w:w="736" w:type="dxa"/>
            <w:tcBorders>
              <w:right w:val="single" w:color="000000" w:sz="2" w:space="0"/>
            </w:tcBorders>
            <w:vAlign w:val="top"/>
          </w:tcPr>
          <w:p w14:paraId="612AB19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3088022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48CCB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63CA464A">
            <w:pPr>
              <w:keepLines w:val="0"/>
              <w:pageBreakBefore w:val="0"/>
              <w:kinsoku/>
              <w:wordWrap/>
              <w:overflowPunct/>
              <w:topLinePunct w:val="0"/>
              <w:bidi w:val="0"/>
              <w:rPr>
                <w:rFonts w:ascii="Arial"/>
                <w:sz w:val="24"/>
                <w:szCs w:val="24"/>
                <w:highlight w:val="none"/>
              </w:rPr>
            </w:pPr>
          </w:p>
        </w:tc>
        <w:tc>
          <w:tcPr>
            <w:tcW w:w="733" w:type="dxa"/>
            <w:vAlign w:val="center"/>
          </w:tcPr>
          <w:p w14:paraId="7A2B6BE5">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val="en-US" w:eastAsia="zh-CN"/>
              </w:rPr>
              <w:t>3</w:t>
            </w:r>
          </w:p>
        </w:tc>
        <w:tc>
          <w:tcPr>
            <w:tcW w:w="6664" w:type="dxa"/>
            <w:vAlign w:val="top"/>
          </w:tcPr>
          <w:p w14:paraId="33A3C35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rPr>
              <w:t>超出招标文件要求的</w:t>
            </w:r>
            <w:r>
              <w:rPr>
                <w:rFonts w:hint="eastAsia" w:ascii="仿宋" w:hAnsi="仿宋" w:eastAsia="仿宋" w:cs="仿宋"/>
                <w:spacing w:val="7"/>
                <w:sz w:val="24"/>
                <w:szCs w:val="24"/>
                <w:highlight w:val="none"/>
                <w:lang w:eastAsia="zh-CN"/>
              </w:rPr>
              <w:t>供货</w:t>
            </w:r>
            <w:r>
              <w:rPr>
                <w:rFonts w:hint="eastAsia" w:ascii="仿宋" w:hAnsi="仿宋" w:eastAsia="仿宋" w:cs="仿宋"/>
                <w:spacing w:val="7"/>
                <w:sz w:val="24"/>
                <w:szCs w:val="24"/>
                <w:highlight w:val="none"/>
              </w:rPr>
              <w:t>期限时间的</w:t>
            </w:r>
            <w:r>
              <w:rPr>
                <w:rFonts w:hint="eastAsia" w:ascii="仿宋" w:hAnsi="仿宋" w:eastAsia="仿宋" w:cs="仿宋"/>
                <w:spacing w:val="7"/>
                <w:sz w:val="24"/>
                <w:szCs w:val="24"/>
                <w:highlight w:val="none"/>
                <w:lang w:val="en-US" w:eastAsia="zh-CN"/>
              </w:rPr>
              <w:t>；</w:t>
            </w:r>
          </w:p>
        </w:tc>
        <w:tc>
          <w:tcPr>
            <w:tcW w:w="736" w:type="dxa"/>
            <w:tcBorders>
              <w:right w:val="single" w:color="000000" w:sz="2" w:space="0"/>
            </w:tcBorders>
            <w:vAlign w:val="top"/>
          </w:tcPr>
          <w:p w14:paraId="2DC231E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742A560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353F7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C8C63C4">
            <w:pPr>
              <w:keepLines w:val="0"/>
              <w:pageBreakBefore w:val="0"/>
              <w:kinsoku/>
              <w:wordWrap/>
              <w:overflowPunct/>
              <w:topLinePunct w:val="0"/>
              <w:bidi w:val="0"/>
              <w:rPr>
                <w:rFonts w:ascii="Arial"/>
                <w:sz w:val="24"/>
                <w:szCs w:val="24"/>
                <w:highlight w:val="none"/>
              </w:rPr>
            </w:pPr>
          </w:p>
        </w:tc>
        <w:tc>
          <w:tcPr>
            <w:tcW w:w="733" w:type="dxa"/>
            <w:vAlign w:val="center"/>
          </w:tcPr>
          <w:p w14:paraId="7611F8D5">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4</w:t>
            </w:r>
          </w:p>
        </w:tc>
        <w:tc>
          <w:tcPr>
            <w:tcW w:w="6664" w:type="dxa"/>
            <w:vAlign w:val="top"/>
          </w:tcPr>
          <w:p w14:paraId="5EDC4D86">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不符合招标文件中规定的实质性要求和条件的；</w:t>
            </w:r>
          </w:p>
        </w:tc>
        <w:tc>
          <w:tcPr>
            <w:tcW w:w="736" w:type="dxa"/>
            <w:tcBorders>
              <w:right w:val="single" w:color="000000" w:sz="2" w:space="0"/>
            </w:tcBorders>
            <w:vAlign w:val="top"/>
          </w:tcPr>
          <w:p w14:paraId="596A9E1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342093B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75E46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844" w:type="dxa"/>
            <w:vMerge w:val="continue"/>
            <w:tcBorders>
              <w:left w:val="single" w:color="000000" w:sz="10" w:space="0"/>
            </w:tcBorders>
            <w:textDirection w:val="tbRlV"/>
            <w:vAlign w:val="top"/>
          </w:tcPr>
          <w:p w14:paraId="054C9D33">
            <w:pPr>
              <w:keepLines w:val="0"/>
              <w:pageBreakBefore w:val="0"/>
              <w:kinsoku/>
              <w:wordWrap/>
              <w:overflowPunct/>
              <w:topLinePunct w:val="0"/>
              <w:bidi w:val="0"/>
              <w:rPr>
                <w:rFonts w:ascii="Arial"/>
                <w:sz w:val="24"/>
                <w:szCs w:val="24"/>
                <w:highlight w:val="none"/>
              </w:rPr>
            </w:pPr>
          </w:p>
        </w:tc>
        <w:tc>
          <w:tcPr>
            <w:tcW w:w="8895" w:type="dxa"/>
            <w:gridSpan w:val="4"/>
            <w:tcBorders>
              <w:right w:val="single" w:color="000000" w:sz="10" w:space="0"/>
            </w:tcBorders>
            <w:vAlign w:val="center"/>
          </w:tcPr>
          <w:p w14:paraId="41785F3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val="en-US" w:eastAsia="zh-Hans"/>
              </w:rPr>
              <w:t>技术审查标准</w:t>
            </w:r>
          </w:p>
        </w:tc>
      </w:tr>
      <w:tr w14:paraId="687E5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844" w:type="dxa"/>
            <w:vMerge w:val="continue"/>
            <w:tcBorders>
              <w:left w:val="single" w:color="000000" w:sz="10" w:space="0"/>
            </w:tcBorders>
            <w:textDirection w:val="tbRlV"/>
            <w:vAlign w:val="top"/>
          </w:tcPr>
          <w:p w14:paraId="6CDE8426">
            <w:pPr>
              <w:keepLines w:val="0"/>
              <w:pageBreakBefore w:val="0"/>
              <w:kinsoku/>
              <w:wordWrap/>
              <w:overflowPunct/>
              <w:topLinePunct w:val="0"/>
              <w:bidi w:val="0"/>
              <w:rPr>
                <w:rFonts w:ascii="Arial"/>
                <w:sz w:val="24"/>
                <w:szCs w:val="24"/>
                <w:highlight w:val="none"/>
              </w:rPr>
            </w:pPr>
          </w:p>
        </w:tc>
        <w:tc>
          <w:tcPr>
            <w:tcW w:w="733" w:type="dxa"/>
            <w:vAlign w:val="center"/>
          </w:tcPr>
          <w:p w14:paraId="6E8DE09B">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5</w:t>
            </w:r>
          </w:p>
        </w:tc>
        <w:tc>
          <w:tcPr>
            <w:tcW w:w="6664" w:type="dxa"/>
            <w:vAlign w:val="top"/>
          </w:tcPr>
          <w:p w14:paraId="10BC1A3D">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ascii="仿宋" w:hAnsi="仿宋" w:eastAsia="仿宋" w:cs="仿宋"/>
                <w:spacing w:val="7"/>
                <w:sz w:val="24"/>
                <w:szCs w:val="24"/>
                <w:highlight w:val="none"/>
              </w:rPr>
              <w:t>投标文件</w:t>
            </w:r>
            <w:r>
              <w:rPr>
                <w:rFonts w:hint="eastAsia" w:ascii="仿宋" w:hAnsi="仿宋" w:eastAsia="仿宋" w:cs="仿宋"/>
                <w:spacing w:val="7"/>
                <w:sz w:val="24"/>
                <w:szCs w:val="24"/>
                <w:highlight w:val="none"/>
                <w:lang w:eastAsia="zh-CN"/>
              </w:rPr>
              <w:t>是否</w:t>
            </w:r>
            <w:r>
              <w:rPr>
                <w:rFonts w:ascii="仿宋" w:hAnsi="仿宋" w:eastAsia="仿宋" w:cs="仿宋"/>
                <w:spacing w:val="7"/>
                <w:sz w:val="24"/>
                <w:szCs w:val="24"/>
                <w:highlight w:val="none"/>
              </w:rPr>
              <w:t>对招标文件中的内容做出实质性和完整的</w:t>
            </w:r>
            <w:r>
              <w:rPr>
                <w:rFonts w:hint="eastAsia" w:ascii="仿宋" w:hAnsi="仿宋" w:eastAsia="仿宋" w:cs="仿宋"/>
                <w:spacing w:val="7"/>
                <w:sz w:val="24"/>
                <w:szCs w:val="24"/>
                <w:highlight w:val="none"/>
                <w:lang w:eastAsia="zh-CN"/>
              </w:rPr>
              <w:t>投标，是否做出错误投标</w:t>
            </w:r>
            <w:r>
              <w:rPr>
                <w:rFonts w:hint="eastAsia" w:ascii="仿宋" w:hAnsi="仿宋" w:eastAsia="仿宋" w:cs="仿宋"/>
                <w:spacing w:val="7"/>
                <w:sz w:val="24"/>
                <w:szCs w:val="24"/>
                <w:highlight w:val="none"/>
                <w:lang w:val="en-US" w:eastAsia="zh-CN"/>
              </w:rPr>
              <w:t>；</w:t>
            </w:r>
          </w:p>
        </w:tc>
        <w:tc>
          <w:tcPr>
            <w:tcW w:w="736" w:type="dxa"/>
            <w:tcBorders>
              <w:right w:val="single" w:color="000000" w:sz="2" w:space="0"/>
            </w:tcBorders>
            <w:vAlign w:val="top"/>
          </w:tcPr>
          <w:p w14:paraId="034F78B7">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right w:val="single" w:color="000000" w:sz="10" w:space="0"/>
            </w:tcBorders>
            <w:vAlign w:val="top"/>
          </w:tcPr>
          <w:p w14:paraId="1BCFF30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686CB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13CCECF7">
            <w:pPr>
              <w:keepLines w:val="0"/>
              <w:pageBreakBefore w:val="0"/>
              <w:kinsoku/>
              <w:wordWrap/>
              <w:overflowPunct/>
              <w:topLinePunct w:val="0"/>
              <w:bidi w:val="0"/>
              <w:rPr>
                <w:rFonts w:ascii="Arial"/>
                <w:sz w:val="24"/>
                <w:szCs w:val="24"/>
                <w:highlight w:val="none"/>
              </w:rPr>
            </w:pPr>
          </w:p>
        </w:tc>
        <w:tc>
          <w:tcPr>
            <w:tcW w:w="733" w:type="dxa"/>
            <w:tcBorders>
              <w:bottom w:val="single" w:color="000000" w:sz="10" w:space="0"/>
            </w:tcBorders>
            <w:vAlign w:val="center"/>
          </w:tcPr>
          <w:p w14:paraId="17ED22BF">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6</w:t>
            </w:r>
          </w:p>
        </w:tc>
        <w:tc>
          <w:tcPr>
            <w:tcW w:w="6664" w:type="dxa"/>
            <w:tcBorders>
              <w:bottom w:val="single" w:color="000000" w:sz="10" w:space="0"/>
            </w:tcBorders>
            <w:vAlign w:val="top"/>
          </w:tcPr>
          <w:p w14:paraId="1C209F4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rPr>
              <w:t>不符合法律、法规和招标文件中规定的其他要求的</w:t>
            </w:r>
            <w:r>
              <w:rPr>
                <w:rFonts w:hint="eastAsia" w:ascii="仿宋" w:hAnsi="仿宋" w:eastAsia="仿宋" w:cs="仿宋"/>
                <w:spacing w:val="7"/>
                <w:sz w:val="24"/>
                <w:szCs w:val="24"/>
                <w:highlight w:val="none"/>
                <w:lang w:val="en-US" w:eastAsia="zh-CN"/>
              </w:rPr>
              <w:t>；</w:t>
            </w:r>
          </w:p>
        </w:tc>
        <w:tc>
          <w:tcPr>
            <w:tcW w:w="736" w:type="dxa"/>
            <w:tcBorders>
              <w:bottom w:val="single" w:color="000000" w:sz="10" w:space="0"/>
              <w:right w:val="single" w:color="000000" w:sz="2" w:space="0"/>
            </w:tcBorders>
            <w:vAlign w:val="top"/>
          </w:tcPr>
          <w:p w14:paraId="40ADF1F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left w:val="single" w:color="000000" w:sz="2" w:space="0"/>
              <w:bottom w:val="single" w:color="000000" w:sz="10" w:space="0"/>
              <w:right w:val="single" w:color="000000" w:sz="10" w:space="0"/>
            </w:tcBorders>
            <w:vAlign w:val="top"/>
          </w:tcPr>
          <w:p w14:paraId="003A0702">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33CA0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textDirection w:val="tbRlV"/>
            <w:vAlign w:val="top"/>
          </w:tcPr>
          <w:p w14:paraId="7A09D7B9">
            <w:pPr>
              <w:keepLines w:val="0"/>
              <w:pageBreakBefore w:val="0"/>
              <w:kinsoku/>
              <w:wordWrap/>
              <w:overflowPunct/>
              <w:topLinePunct w:val="0"/>
              <w:bidi w:val="0"/>
              <w:rPr>
                <w:rFonts w:ascii="Arial"/>
                <w:sz w:val="24"/>
                <w:szCs w:val="24"/>
                <w:highlight w:val="none"/>
              </w:rPr>
            </w:pPr>
          </w:p>
        </w:tc>
        <w:tc>
          <w:tcPr>
            <w:tcW w:w="8895" w:type="dxa"/>
            <w:gridSpan w:val="4"/>
            <w:tcBorders>
              <w:bottom w:val="single" w:color="000000" w:sz="10" w:space="0"/>
              <w:right w:val="single" w:color="000000" w:sz="10" w:space="0"/>
            </w:tcBorders>
            <w:vAlign w:val="center"/>
          </w:tcPr>
          <w:p w14:paraId="0ECEF861">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val="en-US" w:eastAsia="zh-Hans"/>
              </w:rPr>
              <w:t>报价审查标准</w:t>
            </w:r>
          </w:p>
        </w:tc>
      </w:tr>
      <w:tr w14:paraId="6BA80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0FFDB6BE">
            <w:pPr>
              <w:keepLines w:val="0"/>
              <w:pageBreakBefore w:val="0"/>
              <w:kinsoku/>
              <w:wordWrap/>
              <w:overflowPunct/>
              <w:topLinePunct w:val="0"/>
              <w:bidi w:val="0"/>
              <w:rPr>
                <w:rFonts w:ascii="Arial"/>
                <w:sz w:val="24"/>
                <w:szCs w:val="24"/>
                <w:highlight w:val="none"/>
              </w:rPr>
            </w:pPr>
          </w:p>
        </w:tc>
        <w:tc>
          <w:tcPr>
            <w:tcW w:w="733" w:type="dxa"/>
            <w:tcBorders>
              <w:top w:val="single" w:color="000000" w:sz="10" w:space="0"/>
            </w:tcBorders>
            <w:vAlign w:val="center"/>
          </w:tcPr>
          <w:p w14:paraId="339DFE67">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7</w:t>
            </w:r>
          </w:p>
        </w:tc>
        <w:tc>
          <w:tcPr>
            <w:tcW w:w="6664" w:type="dxa"/>
            <w:tcBorders>
              <w:top w:val="single" w:color="000000" w:sz="10" w:space="0"/>
            </w:tcBorders>
            <w:vAlign w:val="top"/>
          </w:tcPr>
          <w:p w14:paraId="07B4032A">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rPr>
              <w:t>报价超过招标文件中规定的预算金额或者最高限价的</w:t>
            </w:r>
            <w:r>
              <w:rPr>
                <w:rFonts w:hint="eastAsia" w:ascii="仿宋" w:hAnsi="仿宋" w:eastAsia="仿宋" w:cs="仿宋"/>
                <w:spacing w:val="7"/>
                <w:sz w:val="24"/>
                <w:szCs w:val="24"/>
                <w:highlight w:val="none"/>
                <w:lang w:val="en-US" w:eastAsia="zh-CN"/>
              </w:rPr>
              <w:t>；</w:t>
            </w:r>
          </w:p>
        </w:tc>
        <w:tc>
          <w:tcPr>
            <w:tcW w:w="736" w:type="dxa"/>
            <w:tcBorders>
              <w:top w:val="single" w:color="000000" w:sz="10" w:space="0"/>
              <w:right w:val="single" w:color="000000" w:sz="2" w:space="0"/>
            </w:tcBorders>
            <w:vAlign w:val="top"/>
          </w:tcPr>
          <w:p w14:paraId="24C607A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top w:val="single" w:color="000000" w:sz="10" w:space="0"/>
              <w:left w:val="single" w:color="000000" w:sz="2" w:space="0"/>
              <w:right w:val="single" w:color="000000" w:sz="10" w:space="0"/>
            </w:tcBorders>
            <w:vAlign w:val="top"/>
          </w:tcPr>
          <w:p w14:paraId="757CA865">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1463F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2498BA38">
            <w:pPr>
              <w:keepLines w:val="0"/>
              <w:pageBreakBefore w:val="0"/>
              <w:kinsoku/>
              <w:wordWrap/>
              <w:overflowPunct/>
              <w:topLinePunct w:val="0"/>
              <w:bidi w:val="0"/>
              <w:rPr>
                <w:rFonts w:ascii="Arial"/>
                <w:sz w:val="24"/>
                <w:szCs w:val="24"/>
                <w:highlight w:val="none"/>
              </w:rPr>
            </w:pPr>
          </w:p>
        </w:tc>
        <w:tc>
          <w:tcPr>
            <w:tcW w:w="733" w:type="dxa"/>
            <w:tcBorders>
              <w:top w:val="single" w:color="000000" w:sz="10" w:space="0"/>
            </w:tcBorders>
            <w:vAlign w:val="center"/>
          </w:tcPr>
          <w:p w14:paraId="51BED483">
            <w:pPr>
              <w:keepNext w:val="0"/>
              <w:keepLines w:val="0"/>
              <w:pageBreakBefore w:val="0"/>
              <w:widowControl/>
              <w:kinsoku/>
              <w:wordWrap/>
              <w:overflowPunct/>
              <w:topLinePunct w:val="0"/>
              <w:autoSpaceDE w:val="0"/>
              <w:autoSpaceDN w:val="0"/>
              <w:bidi w:val="0"/>
              <w:adjustRightInd w:val="0"/>
              <w:snapToGrid w:val="0"/>
              <w:spacing w:before="230" w:line="444" w:lineRule="auto"/>
              <w:ind w:right="17"/>
              <w:jc w:val="center"/>
              <w:textAlignment w:val="baseline"/>
              <w:rPr>
                <w:rFonts w:hint="default"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8</w:t>
            </w:r>
          </w:p>
        </w:tc>
        <w:tc>
          <w:tcPr>
            <w:tcW w:w="6664" w:type="dxa"/>
            <w:tcBorders>
              <w:top w:val="single" w:color="000000" w:sz="10" w:space="0"/>
            </w:tcBorders>
            <w:vAlign w:val="top"/>
          </w:tcPr>
          <w:p w14:paraId="31FB408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hint="eastAsia" w:ascii="仿宋" w:hAnsi="仿宋" w:eastAsia="仿宋" w:cs="仿宋"/>
                <w:spacing w:val="7"/>
                <w:sz w:val="24"/>
                <w:szCs w:val="24"/>
                <w:highlight w:val="none"/>
                <w:lang w:eastAsia="zh-CN"/>
              </w:rPr>
            </w:pPr>
            <w:r>
              <w:rPr>
                <w:rFonts w:hint="eastAsia" w:ascii="仿宋" w:hAnsi="仿宋" w:eastAsia="仿宋" w:cs="仿宋"/>
                <w:spacing w:val="7"/>
                <w:sz w:val="24"/>
                <w:szCs w:val="24"/>
                <w:highlight w:val="none"/>
                <w:lang w:eastAsia="zh-CN"/>
              </w:rPr>
              <w:t>投标人</w:t>
            </w:r>
            <w:r>
              <w:rPr>
                <w:rFonts w:hint="eastAsia" w:ascii="仿宋" w:hAnsi="仿宋" w:eastAsia="仿宋" w:cs="仿宋"/>
                <w:spacing w:val="7"/>
                <w:sz w:val="24"/>
                <w:szCs w:val="24"/>
                <w:highlight w:val="none"/>
              </w:rPr>
              <w:t>对每种货物及服务只允许有一个报价，不接受选择性报价</w:t>
            </w:r>
            <w:r>
              <w:rPr>
                <w:rFonts w:hint="eastAsia" w:ascii="仿宋" w:hAnsi="仿宋" w:eastAsia="仿宋" w:cs="仿宋"/>
                <w:spacing w:val="7"/>
                <w:sz w:val="24"/>
                <w:szCs w:val="24"/>
                <w:highlight w:val="none"/>
                <w:lang w:eastAsia="zh-CN"/>
              </w:rPr>
              <w:t>。</w:t>
            </w:r>
          </w:p>
        </w:tc>
        <w:tc>
          <w:tcPr>
            <w:tcW w:w="736" w:type="dxa"/>
            <w:tcBorders>
              <w:top w:val="single" w:color="000000" w:sz="10" w:space="0"/>
              <w:right w:val="single" w:color="000000" w:sz="2" w:space="0"/>
            </w:tcBorders>
            <w:vAlign w:val="top"/>
          </w:tcPr>
          <w:p w14:paraId="5F19EB4F">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c>
          <w:tcPr>
            <w:tcW w:w="762" w:type="dxa"/>
            <w:tcBorders>
              <w:top w:val="single" w:color="000000" w:sz="10" w:space="0"/>
              <w:left w:val="single" w:color="000000" w:sz="2" w:space="0"/>
              <w:right w:val="single" w:color="000000" w:sz="10" w:space="0"/>
            </w:tcBorders>
            <w:vAlign w:val="top"/>
          </w:tcPr>
          <w:p w14:paraId="1F7A51D4">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p>
        </w:tc>
      </w:tr>
      <w:tr w14:paraId="56884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844" w:type="dxa"/>
            <w:tcBorders>
              <w:left w:val="single" w:color="000000" w:sz="10" w:space="0"/>
              <w:bottom w:val="single" w:color="000000" w:sz="10" w:space="0"/>
            </w:tcBorders>
            <w:vAlign w:val="top"/>
          </w:tcPr>
          <w:p w14:paraId="197FFB28">
            <w:pPr>
              <w:keepLines w:val="0"/>
              <w:pageBreakBefore w:val="0"/>
              <w:kinsoku/>
              <w:wordWrap/>
              <w:overflowPunct/>
              <w:topLinePunct w:val="0"/>
              <w:bidi w:val="0"/>
              <w:rPr>
                <w:rFonts w:ascii="Arial"/>
                <w:sz w:val="24"/>
                <w:szCs w:val="24"/>
                <w:highlight w:val="none"/>
              </w:rPr>
            </w:pPr>
          </w:p>
        </w:tc>
        <w:tc>
          <w:tcPr>
            <w:tcW w:w="8895" w:type="dxa"/>
            <w:gridSpan w:val="4"/>
            <w:tcBorders>
              <w:bottom w:val="single" w:color="000000" w:sz="10" w:space="0"/>
              <w:right w:val="single" w:color="000000" w:sz="10" w:space="0"/>
            </w:tcBorders>
            <w:vAlign w:val="top"/>
          </w:tcPr>
          <w:p w14:paraId="63C201DC">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jc w:val="center"/>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结论：是否通过评审</w:t>
            </w:r>
          </w:p>
        </w:tc>
      </w:tr>
    </w:tbl>
    <w:p w14:paraId="7E53EDBD">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89F590A">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5CB13C21">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7CE0A941">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5DC8E7E8">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2E9CA3F5">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641AAAB">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548BDA7D">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9A2E7FD">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5AD5A614">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F1EEA40">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20DE2E0">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2C115748">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05D7A603">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5EF0C163">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71688BF3">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4C99EDFE">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3491A202">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605D65A7">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0B4BAD9E">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2778C3F1">
      <w:pPr>
        <w:keepLines w:val="0"/>
        <w:pageBreakBefore w:val="0"/>
        <w:kinsoku/>
        <w:wordWrap/>
        <w:overflowPunct/>
        <w:topLinePunct w:val="0"/>
        <w:bidi w:val="0"/>
        <w:spacing w:before="65" w:line="232" w:lineRule="auto"/>
        <w:rPr>
          <w:rFonts w:ascii="仿宋" w:hAnsi="仿宋" w:eastAsia="仿宋" w:cs="仿宋"/>
          <w:spacing w:val="2"/>
          <w:sz w:val="21"/>
          <w:szCs w:val="21"/>
          <w:highlight w:val="none"/>
        </w:rPr>
      </w:pPr>
    </w:p>
    <w:p w14:paraId="6FD6C5A4">
      <w:pPr>
        <w:keepLines w:val="0"/>
        <w:pageBreakBefore w:val="0"/>
        <w:kinsoku/>
        <w:wordWrap/>
        <w:overflowPunct/>
        <w:topLinePunct w:val="0"/>
        <w:bidi w:val="0"/>
        <w:spacing w:before="65" w:line="232" w:lineRule="auto"/>
        <w:rPr>
          <w:rFonts w:ascii="仿宋" w:hAnsi="仿宋" w:eastAsia="仿宋" w:cs="仿宋"/>
          <w:sz w:val="21"/>
          <w:szCs w:val="21"/>
          <w:highlight w:val="none"/>
        </w:rPr>
      </w:pPr>
      <w:r>
        <w:rPr>
          <w:rFonts w:ascii="仿宋" w:hAnsi="仿宋" w:eastAsia="仿宋" w:cs="仿宋"/>
          <w:spacing w:val="2"/>
          <w:sz w:val="21"/>
          <w:szCs w:val="21"/>
          <w:highlight w:val="none"/>
        </w:rPr>
        <w:t>附表二</w:t>
      </w:r>
    </w:p>
    <w:p w14:paraId="2345490E">
      <w:pPr>
        <w:keepLines w:val="0"/>
        <w:pageBreakBefore w:val="0"/>
        <w:kinsoku/>
        <w:wordWrap/>
        <w:overflowPunct/>
        <w:topLinePunct w:val="0"/>
        <w:bidi w:val="0"/>
        <w:spacing w:before="192" w:line="222" w:lineRule="auto"/>
        <w:jc w:val="center"/>
        <w:rPr>
          <w:sz w:val="24"/>
          <w:szCs w:val="24"/>
          <w:highlight w:val="none"/>
        </w:rPr>
      </w:pPr>
      <w:r>
        <w:rPr>
          <w:rFonts w:hint="eastAsia" w:ascii="仿宋" w:hAnsi="仿宋" w:eastAsia="仿宋" w:cs="仿宋"/>
          <w:b/>
          <w:bCs/>
          <w:spacing w:val="-3"/>
          <w:sz w:val="32"/>
          <w:szCs w:val="32"/>
          <w:highlight w:val="none"/>
        </w:rPr>
        <w:t>【标项</w:t>
      </w:r>
      <w:r>
        <w:rPr>
          <w:rFonts w:hint="eastAsia" w:ascii="仿宋" w:hAnsi="仿宋" w:eastAsia="仿宋" w:cs="仿宋"/>
          <w:b/>
          <w:bCs/>
          <w:spacing w:val="-3"/>
          <w:sz w:val="32"/>
          <w:szCs w:val="32"/>
          <w:highlight w:val="none"/>
          <w:lang w:val="en-US" w:eastAsia="zh-CN"/>
        </w:rPr>
        <w:t>4</w:t>
      </w:r>
      <w:r>
        <w:rPr>
          <w:rFonts w:hint="eastAsia" w:ascii="仿宋" w:hAnsi="仿宋" w:eastAsia="仿宋" w:cs="仿宋"/>
          <w:b/>
          <w:bCs/>
          <w:spacing w:val="-3"/>
          <w:sz w:val="32"/>
          <w:szCs w:val="32"/>
          <w:highlight w:val="none"/>
        </w:rPr>
        <w:t>】</w:t>
      </w:r>
      <w:r>
        <w:rPr>
          <w:rFonts w:ascii="仿宋" w:hAnsi="仿宋" w:eastAsia="仿宋" w:cs="仿宋"/>
          <w:b/>
          <w:bCs/>
          <w:spacing w:val="-3"/>
          <w:sz w:val="32"/>
          <w:szCs w:val="32"/>
          <w:highlight w:val="none"/>
        </w:rPr>
        <w:t>详细评分标准表</w:t>
      </w:r>
    </w:p>
    <w:tbl>
      <w:tblPr>
        <w:tblStyle w:val="17"/>
        <w:tblW w:w="1005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8"/>
        <w:gridCol w:w="1500"/>
        <w:gridCol w:w="1081"/>
        <w:gridCol w:w="7004"/>
      </w:tblGrid>
      <w:tr w14:paraId="18196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06" w:hRule="atLeast"/>
          <w:jc w:val="center"/>
        </w:trPr>
        <w:tc>
          <w:tcPr>
            <w:tcW w:w="468" w:type="dxa"/>
            <w:tcBorders>
              <w:top w:val="single" w:color="auto" w:sz="4" w:space="0"/>
              <w:bottom w:val="single" w:color="auto" w:sz="4" w:space="0"/>
            </w:tcBorders>
            <w:noWrap w:val="0"/>
            <w:vAlign w:val="center"/>
          </w:tcPr>
          <w:p w14:paraId="08A948EF">
            <w:pPr>
              <w:pStyle w:val="30"/>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w:t>
            </w:r>
          </w:p>
        </w:tc>
        <w:tc>
          <w:tcPr>
            <w:tcW w:w="1500" w:type="dxa"/>
            <w:tcBorders>
              <w:top w:val="single" w:color="auto" w:sz="4" w:space="0"/>
              <w:bottom w:val="single" w:color="auto" w:sz="4" w:space="0"/>
            </w:tcBorders>
            <w:noWrap w:val="0"/>
            <w:vAlign w:val="center"/>
          </w:tcPr>
          <w:p w14:paraId="1F4C16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报价</w:t>
            </w:r>
          </w:p>
        </w:tc>
        <w:tc>
          <w:tcPr>
            <w:tcW w:w="1081" w:type="dxa"/>
            <w:tcBorders>
              <w:top w:val="single" w:color="auto" w:sz="4" w:space="0"/>
              <w:bottom w:val="single" w:color="auto" w:sz="4" w:space="0"/>
            </w:tcBorders>
            <w:noWrap w:val="0"/>
            <w:vAlign w:val="center"/>
          </w:tcPr>
          <w:p w14:paraId="06AA7F8E">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rPr>
              <w:t>30</w:t>
            </w:r>
            <w:r>
              <w:rPr>
                <w:rFonts w:hint="eastAsia" w:ascii="仿宋" w:hAnsi="仿宋" w:eastAsia="仿宋" w:cs="仿宋"/>
                <w:color w:val="auto"/>
                <w:spacing w:val="7"/>
                <w:sz w:val="24"/>
                <w:szCs w:val="24"/>
                <w:highlight w:val="none"/>
                <w:lang w:eastAsia="zh-CN"/>
              </w:rPr>
              <w:t>分</w:t>
            </w:r>
          </w:p>
        </w:tc>
        <w:tc>
          <w:tcPr>
            <w:tcW w:w="7004" w:type="dxa"/>
            <w:tcBorders>
              <w:top w:val="single" w:color="auto" w:sz="4" w:space="0"/>
              <w:bottom w:val="single" w:color="auto" w:sz="4" w:space="0"/>
            </w:tcBorders>
            <w:noWrap w:val="0"/>
            <w:vAlign w:val="top"/>
          </w:tcPr>
          <w:p w14:paraId="4A6FECCC">
            <w:pPr>
              <w:spacing w:before="41" w:line="222" w:lineRule="auto"/>
              <w:ind w:left="112"/>
              <w:rPr>
                <w:rFonts w:ascii="仿宋" w:hAnsi="仿宋" w:eastAsia="仿宋" w:cs="仿宋"/>
                <w:color w:val="000000" w:themeColor="text1"/>
                <w:sz w:val="24"/>
                <w:szCs w:val="24"/>
                <w:highlight w:val="none"/>
                <w14:textFill>
                  <w14:solidFill>
                    <w14:schemeClr w14:val="tx1"/>
                  </w14:solidFill>
                </w14:textFill>
              </w:rPr>
            </w:pPr>
            <w:r>
              <w:rPr>
                <w:rFonts w:ascii="仿宋" w:hAnsi="仿宋" w:eastAsia="仿宋" w:cs="仿宋"/>
                <w:color w:val="000000" w:themeColor="text1"/>
                <w:sz w:val="24"/>
                <w:szCs w:val="24"/>
                <w:highlight w:val="none"/>
                <w14:textFill>
                  <w14:solidFill>
                    <w14:schemeClr w14:val="tx1"/>
                  </w14:solidFill>
                </w14:textFill>
              </w:rPr>
              <w:t>投标报价得分=（评标基准价/投标报价）*价格权重*100</w:t>
            </w:r>
          </w:p>
          <w:p w14:paraId="4B412BA4">
            <w:pPr>
              <w:spacing w:before="30" w:line="222" w:lineRule="auto"/>
              <w:ind w:left="120"/>
              <w:rPr>
                <w:rFonts w:ascii="仿宋" w:hAnsi="仿宋" w:eastAsia="仿宋" w:cs="仿宋"/>
                <w:color w:val="000000" w:themeColor="text1"/>
                <w:sz w:val="24"/>
                <w:szCs w:val="24"/>
                <w:highlight w:val="none"/>
                <w14:textFill>
                  <w14:solidFill>
                    <w14:schemeClr w14:val="tx1"/>
                  </w14:solidFill>
                </w14:textFill>
              </w:rPr>
            </w:pPr>
            <w:r>
              <w:rPr>
                <w:rFonts w:ascii="仿宋" w:hAnsi="仿宋" w:eastAsia="仿宋" w:cs="仿宋"/>
                <w:color w:val="000000" w:themeColor="text1"/>
                <w:sz w:val="24"/>
                <w:szCs w:val="24"/>
                <w:highlight w:val="none"/>
                <w14:textFill>
                  <w14:solidFill>
                    <w14:schemeClr w14:val="tx1"/>
                  </w14:solidFill>
                </w14:textFill>
              </w:rPr>
              <w:t>注：基准价=响应招标文件的最低投标报价</w:t>
            </w:r>
          </w:p>
          <w:p w14:paraId="642A1568">
            <w:pPr>
              <w:spacing w:before="26" w:line="245" w:lineRule="auto"/>
              <w:ind w:left="112" w:right="96" w:firstLine="1"/>
              <w:rPr>
                <w:rFonts w:ascii="仿宋" w:hAnsi="仿宋" w:eastAsia="仿宋" w:cs="仿宋"/>
                <w:color w:val="000000" w:themeColor="text1"/>
                <w:sz w:val="24"/>
                <w:szCs w:val="24"/>
                <w:highlight w:val="none"/>
                <w14:textFill>
                  <w14:solidFill>
                    <w14:schemeClr w14:val="tx1"/>
                  </w14:solidFill>
                </w14:textFill>
              </w:rPr>
            </w:pPr>
            <w:r>
              <w:rPr>
                <w:rFonts w:ascii="仿宋" w:hAnsi="仿宋" w:eastAsia="仿宋" w:cs="仿宋"/>
                <w:color w:val="000000" w:themeColor="text1"/>
                <w:spacing w:val="-2"/>
                <w:sz w:val="24"/>
                <w:szCs w:val="24"/>
                <w:highlight w:val="none"/>
                <w14:textFill>
                  <w14:solidFill>
                    <w14:schemeClr w14:val="tx1"/>
                  </w14:solidFill>
                </w14:textFill>
              </w:rPr>
              <w:t>根据财政部发布的《政府采购促进中小企业发展管理办法》规定，对于非专门面向中小企业的项目，</w:t>
            </w:r>
            <w:r>
              <w:rPr>
                <w:rFonts w:ascii="仿宋" w:hAnsi="仿宋" w:eastAsia="仿宋" w:cs="仿宋"/>
                <w:b/>
                <w:bCs/>
                <w:color w:val="000000" w:themeColor="text1"/>
                <w:spacing w:val="-2"/>
                <w:sz w:val="24"/>
                <w:szCs w:val="24"/>
                <w:highlight w:val="none"/>
                <w14:textFill>
                  <w14:solidFill>
                    <w14:schemeClr w14:val="tx1"/>
                  </w14:solidFill>
                </w14:textFill>
              </w:rPr>
              <w:t>小型和微型企业</w:t>
            </w:r>
            <w:r>
              <w:rPr>
                <w:rFonts w:ascii="仿宋" w:hAnsi="仿宋" w:eastAsia="仿宋" w:cs="仿宋"/>
                <w:color w:val="000000" w:themeColor="text1"/>
                <w:spacing w:val="-3"/>
                <w:sz w:val="24"/>
                <w:szCs w:val="24"/>
                <w:highlight w:val="none"/>
                <w14:textFill>
                  <w14:solidFill>
                    <w14:schemeClr w14:val="tx1"/>
                  </w14:solidFill>
                </w14:textFill>
              </w:rPr>
              <w:t>产品或提供服务的投标价</w:t>
            </w:r>
            <w:r>
              <w:rPr>
                <w:rFonts w:ascii="仿宋" w:hAnsi="仿宋" w:eastAsia="仿宋" w:cs="仿宋"/>
                <w:color w:val="000000" w:themeColor="text1"/>
                <w:spacing w:val="-1"/>
                <w:sz w:val="24"/>
                <w:szCs w:val="24"/>
                <w:highlight w:val="none"/>
                <w14:textFill>
                  <w14:solidFill>
                    <w14:schemeClr w14:val="tx1"/>
                  </w14:solidFill>
                </w14:textFill>
              </w:rPr>
              <w:t>格给予</w:t>
            </w:r>
            <w:r>
              <w:rPr>
                <w:rFonts w:ascii="仿宋" w:hAnsi="仿宋" w:eastAsia="仿宋" w:cs="仿宋"/>
                <w:color w:val="000000" w:themeColor="text1"/>
                <w:spacing w:val="-21"/>
                <w:sz w:val="24"/>
                <w:szCs w:val="24"/>
                <w:highlight w:val="none"/>
                <w14:textFill>
                  <w14:solidFill>
                    <w14:schemeClr w14:val="tx1"/>
                  </w14:solidFill>
                </w14:textFill>
              </w:rPr>
              <w:t xml:space="preserve"> </w:t>
            </w:r>
            <w:r>
              <w:rPr>
                <w:rFonts w:ascii="仿宋" w:hAnsi="仿宋" w:eastAsia="仿宋" w:cs="仿宋"/>
                <w:color w:val="000000" w:themeColor="text1"/>
                <w:spacing w:val="-1"/>
                <w:sz w:val="24"/>
                <w:szCs w:val="24"/>
                <w:highlight w:val="none"/>
                <w14:textFill>
                  <w14:solidFill>
                    <w14:schemeClr w14:val="tx1"/>
                  </w14:solidFill>
                </w14:textFill>
              </w:rPr>
              <w:t>10%-20%的扣除，用扣除后的价格参与评审（成交价及合同价仍</w:t>
            </w:r>
            <w:r>
              <w:rPr>
                <w:rFonts w:ascii="仿宋" w:hAnsi="仿宋" w:eastAsia="仿宋" w:cs="仿宋"/>
                <w:color w:val="000000" w:themeColor="text1"/>
                <w:spacing w:val="-2"/>
                <w:sz w:val="24"/>
                <w:szCs w:val="24"/>
                <w:highlight w:val="none"/>
                <w14:textFill>
                  <w14:solidFill>
                    <w14:schemeClr w14:val="tx1"/>
                  </w14:solidFill>
                </w14:textFill>
              </w:rPr>
              <w:t>以其投标报价为准）。本项目为非专门面向中小企业的项目，给予小微</w:t>
            </w:r>
            <w:r>
              <w:rPr>
                <w:rFonts w:ascii="仿宋" w:hAnsi="仿宋" w:eastAsia="仿宋" w:cs="仿宋"/>
                <w:color w:val="000000" w:themeColor="text1"/>
                <w:spacing w:val="-4"/>
                <w:sz w:val="24"/>
                <w:szCs w:val="24"/>
                <w:highlight w:val="none"/>
                <w14:textFill>
                  <w14:solidFill>
                    <w14:schemeClr w14:val="tx1"/>
                  </w14:solidFill>
                </w14:textFill>
              </w:rPr>
              <w:t>企业</w:t>
            </w:r>
            <w:r>
              <w:rPr>
                <w:rFonts w:ascii="仿宋" w:hAnsi="仿宋" w:eastAsia="仿宋" w:cs="仿宋"/>
                <w:color w:val="000000" w:themeColor="text1"/>
                <w:spacing w:val="-27"/>
                <w:sz w:val="24"/>
                <w:szCs w:val="24"/>
                <w:highlight w:val="none"/>
                <w14:textFill>
                  <w14:solidFill>
                    <w14:schemeClr w14:val="tx1"/>
                  </w14:solidFill>
                </w14:textFill>
              </w:rPr>
              <w:t xml:space="preserve"> </w:t>
            </w:r>
            <w:r>
              <w:rPr>
                <w:rFonts w:ascii="仿宋" w:hAnsi="仿宋" w:eastAsia="仿宋" w:cs="仿宋"/>
                <w:color w:val="000000" w:themeColor="text1"/>
                <w:spacing w:val="-4"/>
                <w:sz w:val="24"/>
                <w:szCs w:val="24"/>
                <w:highlight w:val="none"/>
                <w14:textFill>
                  <w14:solidFill>
                    <w14:schemeClr w14:val="tx1"/>
                  </w14:solidFill>
                </w14:textFill>
              </w:rPr>
              <w:t>10%价格扣除。</w:t>
            </w:r>
          </w:p>
          <w:p w14:paraId="0F2DADE3">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rPr>
            </w:pPr>
            <w:r>
              <w:rPr>
                <w:rFonts w:ascii="仿宋" w:hAnsi="仿宋" w:eastAsia="仿宋" w:cs="仿宋"/>
                <w:color w:val="000000" w:themeColor="text1"/>
                <w:spacing w:val="-3"/>
                <w:sz w:val="24"/>
                <w:szCs w:val="24"/>
                <w:highlight w:val="none"/>
                <w14:textFill>
                  <w14:solidFill>
                    <w14:schemeClr w14:val="tx1"/>
                  </w14:solidFill>
                </w14:textFill>
              </w:rPr>
              <w:t>同时符合以下所有要求的投标单位被认定为小型、微型企业：投标单位</w:t>
            </w:r>
            <w:r>
              <w:rPr>
                <w:rFonts w:ascii="仿宋" w:hAnsi="仿宋" w:eastAsia="仿宋" w:cs="仿宋"/>
                <w:color w:val="000000" w:themeColor="text1"/>
                <w:spacing w:val="-2"/>
                <w:sz w:val="24"/>
                <w:szCs w:val="24"/>
                <w:highlight w:val="none"/>
                <w14:textFill>
                  <w14:solidFill>
                    <w14:schemeClr w14:val="tx1"/>
                  </w14:solidFill>
                </w14:textFill>
              </w:rPr>
              <w:t>按照《统计上大中小微型企业划分办法（2017）》的所属行业规定为小型、微型企业【按《关于印发中小企业划型标准规定的通知》规定提供</w:t>
            </w:r>
            <w:r>
              <w:rPr>
                <w:rFonts w:ascii="仿宋" w:hAnsi="仿宋" w:eastAsia="仿宋" w:cs="仿宋"/>
                <w:color w:val="000000" w:themeColor="text1"/>
                <w:spacing w:val="-1"/>
                <w:sz w:val="24"/>
                <w:szCs w:val="24"/>
                <w:highlight w:val="none"/>
                <w14:textFill>
                  <w14:solidFill>
                    <w14:schemeClr w14:val="tx1"/>
                  </w14:solidFill>
                </w14:textFill>
              </w:rPr>
              <w:t>《中小企业声明函》】。</w:t>
            </w:r>
          </w:p>
        </w:tc>
      </w:tr>
      <w:tr w14:paraId="18D46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5" w:hRule="atLeast"/>
          <w:jc w:val="center"/>
        </w:trPr>
        <w:tc>
          <w:tcPr>
            <w:tcW w:w="10053" w:type="dxa"/>
            <w:gridSpan w:val="4"/>
            <w:tcBorders>
              <w:top w:val="single" w:color="auto" w:sz="4" w:space="0"/>
              <w:bottom w:val="single" w:color="auto" w:sz="4" w:space="0"/>
            </w:tcBorders>
            <w:noWrap w:val="0"/>
            <w:vAlign w:val="center"/>
          </w:tcPr>
          <w:p w14:paraId="1EE74E4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技术部分70分</w:t>
            </w:r>
          </w:p>
        </w:tc>
      </w:tr>
      <w:tr w14:paraId="07EC1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68" w:type="dxa"/>
            <w:tcBorders>
              <w:top w:val="single" w:color="auto" w:sz="4" w:space="0"/>
            </w:tcBorders>
            <w:noWrap w:val="0"/>
            <w:vAlign w:val="center"/>
          </w:tcPr>
          <w:p w14:paraId="2883934E">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1</w:t>
            </w:r>
          </w:p>
        </w:tc>
        <w:tc>
          <w:tcPr>
            <w:tcW w:w="1500" w:type="dxa"/>
            <w:tcBorders>
              <w:top w:val="single" w:color="auto" w:sz="4" w:space="0"/>
            </w:tcBorders>
            <w:noWrap w:val="0"/>
            <w:vAlign w:val="center"/>
          </w:tcPr>
          <w:p w14:paraId="008E762D">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rPr>
              <w:t>参数及指标的响应</w:t>
            </w:r>
          </w:p>
        </w:tc>
        <w:tc>
          <w:tcPr>
            <w:tcW w:w="1081" w:type="dxa"/>
            <w:tcBorders>
              <w:top w:val="single" w:color="auto" w:sz="4" w:space="0"/>
              <w:bottom w:val="single" w:color="auto" w:sz="4" w:space="0"/>
            </w:tcBorders>
            <w:noWrap w:val="0"/>
            <w:vAlign w:val="center"/>
          </w:tcPr>
          <w:p w14:paraId="6D99E16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7"/>
                <w:sz w:val="24"/>
                <w:szCs w:val="24"/>
                <w:highlight w:val="none"/>
                <w:lang w:val="en-US" w:eastAsia="zh-CN"/>
              </w:rPr>
              <w:t>30分</w:t>
            </w:r>
          </w:p>
        </w:tc>
        <w:tc>
          <w:tcPr>
            <w:tcW w:w="7004" w:type="dxa"/>
            <w:tcBorders>
              <w:top w:val="single" w:color="auto" w:sz="4" w:space="0"/>
            </w:tcBorders>
            <w:noWrap w:val="0"/>
            <w:vAlign w:val="center"/>
          </w:tcPr>
          <w:p w14:paraId="7A536646">
            <w:pPr>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技术参数：供应商须对照采购需求中技术要求内容逐条在《投标货物（设备）技术、性能、质量具体明细及偏离表》中列明响应内容及是否偏离等情况，</w:t>
            </w:r>
            <w:r>
              <w:rPr>
                <w:rFonts w:hint="eastAsia" w:ascii="仿宋" w:hAnsi="仿宋" w:eastAsia="仿宋" w:cs="仿宋"/>
                <w:color w:val="auto"/>
                <w:spacing w:val="7"/>
                <w:sz w:val="24"/>
                <w:szCs w:val="24"/>
                <w:highlight w:val="none"/>
                <w:lang w:val="en-US" w:eastAsia="zh-CN"/>
              </w:rPr>
              <w:t>每</w:t>
            </w:r>
            <w:r>
              <w:rPr>
                <w:rFonts w:hint="default" w:ascii="仿宋" w:hAnsi="仿宋" w:eastAsia="仿宋" w:cs="仿宋"/>
                <w:color w:val="auto"/>
                <w:spacing w:val="7"/>
                <w:sz w:val="24"/>
                <w:szCs w:val="24"/>
                <w:highlight w:val="none"/>
                <w:lang w:val="en-US" w:eastAsia="zh-CN"/>
              </w:rPr>
              <w:t>条款每出现一项负偏离扣</w:t>
            </w:r>
            <w:r>
              <w:rPr>
                <w:rFonts w:hint="eastAsia" w:ascii="仿宋" w:hAnsi="仿宋" w:eastAsia="仿宋" w:cs="仿宋"/>
                <w:color w:val="auto"/>
                <w:spacing w:val="7"/>
                <w:sz w:val="24"/>
                <w:szCs w:val="24"/>
                <w:highlight w:val="none"/>
                <w:lang w:val="en-US" w:eastAsia="zh-CN"/>
              </w:rPr>
              <w:t>2</w:t>
            </w:r>
            <w:r>
              <w:rPr>
                <w:rFonts w:hint="default" w:ascii="仿宋" w:hAnsi="仿宋" w:eastAsia="仿宋" w:cs="仿宋"/>
                <w:color w:val="auto"/>
                <w:spacing w:val="7"/>
                <w:sz w:val="24"/>
                <w:szCs w:val="24"/>
                <w:highlight w:val="none"/>
                <w:lang w:val="en-US" w:eastAsia="zh-CN"/>
              </w:rPr>
              <w:t>分，该项总分</w:t>
            </w:r>
            <w:r>
              <w:rPr>
                <w:rFonts w:hint="eastAsia" w:ascii="仿宋" w:hAnsi="仿宋" w:eastAsia="仿宋" w:cs="仿宋"/>
                <w:color w:val="auto"/>
                <w:spacing w:val="7"/>
                <w:sz w:val="24"/>
                <w:szCs w:val="24"/>
                <w:highlight w:val="none"/>
                <w:lang w:val="en-US" w:eastAsia="zh-CN"/>
              </w:rPr>
              <w:t>30</w:t>
            </w:r>
            <w:r>
              <w:rPr>
                <w:rFonts w:hint="default" w:ascii="仿宋" w:hAnsi="仿宋" w:eastAsia="仿宋" w:cs="仿宋"/>
                <w:color w:val="auto"/>
                <w:spacing w:val="7"/>
                <w:sz w:val="24"/>
                <w:szCs w:val="24"/>
                <w:highlight w:val="none"/>
                <w:lang w:val="en-US" w:eastAsia="zh-CN"/>
              </w:rPr>
              <w:t xml:space="preserve">分。 </w:t>
            </w:r>
          </w:p>
          <w:p w14:paraId="5712BF0A">
            <w:pPr>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①所投产品性能指标完全满足招标文件指标，无负偏离得26分；如有负偏离，正偏离不得加分。</w:t>
            </w:r>
          </w:p>
          <w:p w14:paraId="7F60F8D0">
            <w:pPr>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②“▲”号技术参数一项不满足扣2分；</w:t>
            </w:r>
            <w:r>
              <w:rPr>
                <w:rFonts w:hint="eastAsia" w:ascii="仿宋" w:hAnsi="仿宋" w:eastAsia="仿宋" w:cs="仿宋"/>
                <w:color w:val="auto"/>
                <w:spacing w:val="7"/>
                <w:sz w:val="24"/>
                <w:szCs w:val="24"/>
                <w:highlight w:val="none"/>
                <w:lang w:val="en-US" w:eastAsia="zh-CN"/>
              </w:rPr>
              <w:t>其他普通</w:t>
            </w:r>
            <w:r>
              <w:rPr>
                <w:rFonts w:hint="default" w:ascii="仿宋" w:hAnsi="仿宋" w:eastAsia="仿宋" w:cs="仿宋"/>
                <w:color w:val="auto"/>
                <w:spacing w:val="7"/>
                <w:sz w:val="24"/>
                <w:szCs w:val="24"/>
                <w:highlight w:val="none"/>
                <w:lang w:val="en-US" w:eastAsia="zh-CN"/>
              </w:rPr>
              <w:t>技术指标参数一项不满足扣1分，（基准分26分，最低得分0分）；</w:t>
            </w:r>
          </w:p>
          <w:p w14:paraId="5A1665FF">
            <w:pPr>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③完全满足招标文件指标的情况下，“▲”号技术参数一项优于招标文件参数加1分；非“▲”号技术指标参数一项优于招标文件加0.5分，本项最多加4分</w:t>
            </w:r>
            <w:r>
              <w:rPr>
                <w:rFonts w:hint="eastAsia" w:ascii="仿宋" w:hAnsi="仿宋" w:eastAsia="仿宋" w:cs="仿宋"/>
                <w:color w:val="auto"/>
                <w:spacing w:val="7"/>
                <w:sz w:val="24"/>
                <w:szCs w:val="24"/>
                <w:highlight w:val="none"/>
                <w:lang w:val="en-US" w:eastAsia="zh-CN"/>
              </w:rPr>
              <w:t>。</w:t>
            </w:r>
          </w:p>
          <w:p w14:paraId="79B455E1">
            <w:pPr>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注：1.投标人须对本采购文件技术要求进行点对点应答，必须根据本采购文件的要求,结合所投产品的实际参数值，进行逐条逐项答复、说明和解释</w:t>
            </w:r>
            <w:r>
              <w:rPr>
                <w:rFonts w:hint="eastAsia" w:ascii="仿宋" w:hAnsi="仿宋" w:eastAsia="仿宋" w:cs="仿宋"/>
                <w:color w:val="auto"/>
                <w:spacing w:val="7"/>
                <w:sz w:val="24"/>
                <w:szCs w:val="24"/>
                <w:highlight w:val="none"/>
                <w:lang w:val="en-US" w:eastAsia="zh-CN"/>
              </w:rPr>
              <w:t>，否则视为负偏离</w:t>
            </w:r>
            <w:r>
              <w:rPr>
                <w:rFonts w:hint="default" w:ascii="仿宋" w:hAnsi="仿宋" w:eastAsia="仿宋" w:cs="仿宋"/>
                <w:color w:val="auto"/>
                <w:spacing w:val="7"/>
                <w:sz w:val="24"/>
                <w:szCs w:val="24"/>
                <w:highlight w:val="none"/>
                <w:lang w:val="en-US" w:eastAsia="zh-CN"/>
              </w:rPr>
              <w:t xml:space="preserve">。 </w:t>
            </w:r>
          </w:p>
          <w:p w14:paraId="0874F4E7">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default" w:ascii="仿宋" w:hAnsi="仿宋" w:eastAsia="仿宋" w:cs="仿宋"/>
                <w:color w:val="auto"/>
                <w:spacing w:val="7"/>
                <w:sz w:val="24"/>
                <w:szCs w:val="24"/>
                <w:highlight w:val="none"/>
                <w:lang w:val="en-US" w:eastAsia="zh-CN"/>
              </w:rPr>
            </w:pPr>
            <w:r>
              <w:rPr>
                <w:rFonts w:hint="default" w:ascii="仿宋" w:hAnsi="仿宋" w:eastAsia="仿宋" w:cs="仿宋"/>
                <w:color w:val="auto"/>
                <w:spacing w:val="7"/>
                <w:sz w:val="24"/>
                <w:szCs w:val="24"/>
                <w:highlight w:val="none"/>
                <w:lang w:val="en-US" w:eastAsia="zh-CN"/>
              </w:rPr>
              <w:t>2.供应商对技术需求的条款</w:t>
            </w:r>
            <w:r>
              <w:rPr>
                <w:rFonts w:hint="eastAsia" w:ascii="仿宋" w:hAnsi="仿宋" w:eastAsia="仿宋" w:cs="仿宋"/>
                <w:color w:val="auto"/>
                <w:spacing w:val="7"/>
                <w:sz w:val="24"/>
                <w:szCs w:val="24"/>
                <w:highlight w:val="none"/>
                <w:lang w:val="en-US" w:eastAsia="zh-CN"/>
              </w:rPr>
              <w:t>应当按</w:t>
            </w:r>
            <w:r>
              <w:rPr>
                <w:rFonts w:hint="default" w:ascii="仿宋" w:hAnsi="仿宋" w:eastAsia="仿宋" w:cs="仿宋"/>
                <w:color w:val="auto"/>
                <w:spacing w:val="7"/>
                <w:sz w:val="24"/>
                <w:szCs w:val="24"/>
                <w:highlight w:val="none"/>
                <w:lang w:val="en-US" w:eastAsia="zh-CN"/>
              </w:rPr>
              <w:t>要求提供证明书、截图等各类证明材料；以上证明资料应在《投标货物（设备）技术、性能、质量具体明细及偏离表》“备注”栏说明该项证明资料在《投标文件》的具体页码；未按要求提供证明资料的，或所应答内容（或数据、指标等）与其提供的证明资料不一致的，或未按要求注明页码的，均视为负偏离。</w:t>
            </w:r>
          </w:p>
        </w:tc>
      </w:tr>
      <w:tr w14:paraId="703DC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80" w:hRule="atLeast"/>
          <w:jc w:val="center"/>
        </w:trPr>
        <w:tc>
          <w:tcPr>
            <w:tcW w:w="468" w:type="dxa"/>
            <w:tcBorders>
              <w:top w:val="single" w:color="auto" w:sz="4" w:space="0"/>
              <w:bottom w:val="single" w:color="auto" w:sz="4" w:space="0"/>
            </w:tcBorders>
            <w:noWrap w:val="0"/>
            <w:vAlign w:val="center"/>
          </w:tcPr>
          <w:p w14:paraId="6977497D">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2</w:t>
            </w:r>
          </w:p>
        </w:tc>
        <w:tc>
          <w:tcPr>
            <w:tcW w:w="1500" w:type="dxa"/>
            <w:tcBorders>
              <w:top w:val="single" w:color="auto" w:sz="4" w:space="0"/>
              <w:bottom w:val="single" w:color="auto" w:sz="4" w:space="0"/>
            </w:tcBorders>
            <w:noWrap w:val="0"/>
            <w:vAlign w:val="center"/>
          </w:tcPr>
          <w:p w14:paraId="62F7247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rPr>
            </w:pPr>
            <w:r>
              <w:rPr>
                <w:rFonts w:hint="eastAsia" w:ascii="仿宋" w:hAnsi="仿宋" w:eastAsia="仿宋" w:cs="仿宋"/>
                <w:color w:val="auto"/>
                <w:spacing w:val="7"/>
                <w:sz w:val="24"/>
                <w:szCs w:val="24"/>
                <w:highlight w:val="none"/>
                <w:lang w:val="en-US" w:eastAsia="zh-CN"/>
              </w:rPr>
              <w:t>供货方案及技术措施</w:t>
            </w:r>
          </w:p>
        </w:tc>
        <w:tc>
          <w:tcPr>
            <w:tcW w:w="1081" w:type="dxa"/>
            <w:tcBorders>
              <w:top w:val="single" w:color="auto" w:sz="4" w:space="0"/>
              <w:bottom w:val="single" w:color="auto" w:sz="4" w:space="0"/>
            </w:tcBorders>
            <w:noWrap w:val="0"/>
            <w:vAlign w:val="center"/>
          </w:tcPr>
          <w:p w14:paraId="20A7EE25">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10</w:t>
            </w:r>
            <w:r>
              <w:rPr>
                <w:rFonts w:hint="eastAsia" w:ascii="仿宋" w:hAnsi="仿宋" w:eastAsia="仿宋" w:cs="仿宋"/>
                <w:color w:val="auto"/>
                <w:spacing w:val="7"/>
                <w:sz w:val="24"/>
                <w:szCs w:val="24"/>
                <w:highlight w:val="none"/>
              </w:rPr>
              <w:t>分</w:t>
            </w:r>
          </w:p>
        </w:tc>
        <w:tc>
          <w:tcPr>
            <w:tcW w:w="7004" w:type="dxa"/>
            <w:tcBorders>
              <w:top w:val="single" w:color="auto" w:sz="4" w:space="0"/>
              <w:bottom w:val="single" w:color="auto" w:sz="4" w:space="0"/>
            </w:tcBorders>
            <w:noWrap w:val="0"/>
            <w:vAlign w:val="center"/>
          </w:tcPr>
          <w:p w14:paraId="03AC7DF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包括:（1）功能说明、性能指标、设备选型说明；（2）投标人的项目实施进度计划安排，且相关保障措施；（3）对各项关键工作安排包含（品控、备货、发货、安装调试、验收）；（4）对应急突发事件有应急保障措施和解决方案；（5）项目管理方案,组织机构完善，人员有保障。</w:t>
            </w:r>
          </w:p>
          <w:p w14:paraId="78C2C908">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1.每提供一项方案最高得2分，满分10分；</w:t>
            </w:r>
          </w:p>
          <w:p w14:paraId="59C55B8C">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2.评审专家根据各项方案内容进行综合评审，每项最高2分，满10分 。</w:t>
            </w:r>
          </w:p>
        </w:tc>
      </w:tr>
      <w:tr w14:paraId="121E6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97" w:hRule="atLeast"/>
          <w:jc w:val="center"/>
        </w:trPr>
        <w:tc>
          <w:tcPr>
            <w:tcW w:w="468" w:type="dxa"/>
            <w:tcBorders>
              <w:top w:val="single" w:color="auto" w:sz="4" w:space="0"/>
              <w:bottom w:val="single" w:color="auto" w:sz="4" w:space="0"/>
            </w:tcBorders>
            <w:noWrap w:val="0"/>
            <w:vAlign w:val="center"/>
          </w:tcPr>
          <w:p w14:paraId="7B8F1B7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3</w:t>
            </w:r>
          </w:p>
        </w:tc>
        <w:tc>
          <w:tcPr>
            <w:tcW w:w="1500" w:type="dxa"/>
            <w:tcBorders>
              <w:top w:val="single" w:color="auto" w:sz="4" w:space="0"/>
              <w:bottom w:val="single" w:color="auto" w:sz="4" w:space="0"/>
            </w:tcBorders>
            <w:noWrap w:val="0"/>
            <w:vAlign w:val="center"/>
          </w:tcPr>
          <w:p w14:paraId="080624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专业团队及技术人员</w:t>
            </w:r>
          </w:p>
        </w:tc>
        <w:tc>
          <w:tcPr>
            <w:tcW w:w="1081" w:type="dxa"/>
            <w:tcBorders>
              <w:top w:val="single" w:color="auto" w:sz="4" w:space="0"/>
              <w:bottom w:val="single" w:color="auto" w:sz="4" w:space="0"/>
            </w:tcBorders>
            <w:noWrap w:val="0"/>
            <w:vAlign w:val="center"/>
          </w:tcPr>
          <w:p w14:paraId="02FDC1F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4</w:t>
            </w:r>
            <w:r>
              <w:rPr>
                <w:rFonts w:hint="eastAsia" w:ascii="仿宋" w:hAnsi="仿宋" w:eastAsia="仿宋" w:cs="仿宋"/>
                <w:color w:val="auto"/>
                <w:spacing w:val="7"/>
                <w:sz w:val="24"/>
                <w:szCs w:val="24"/>
                <w:highlight w:val="none"/>
              </w:rPr>
              <w:t>分</w:t>
            </w:r>
          </w:p>
        </w:tc>
        <w:tc>
          <w:tcPr>
            <w:tcW w:w="7004" w:type="dxa"/>
            <w:tcBorders>
              <w:top w:val="single" w:color="auto" w:sz="4" w:space="0"/>
              <w:bottom w:val="single" w:color="auto" w:sz="4" w:space="0"/>
            </w:tcBorders>
            <w:noWrap w:val="0"/>
            <w:vAlign w:val="center"/>
          </w:tcPr>
          <w:p w14:paraId="11361227">
            <w:pPr>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要求投标产品厂家在新疆范围内至少有1名常驻售后人员或技术人员，提供技术支持和保障。</w:t>
            </w:r>
          </w:p>
          <w:p w14:paraId="474449D5">
            <w:pPr>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售后人员或技术人员≤1人的不得分。售后人员或技术人员每增加1人加2分（本项满分4分）</w:t>
            </w:r>
          </w:p>
          <w:p w14:paraId="1B015330">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eastAsia="zh-CN"/>
              </w:rPr>
              <w:t>核心产品需提供厂家人员有效的身份证、拥有医疗产品维护、维修或技术支持服务相关岗位证书，未提供或提供不全的不得分</w:t>
            </w:r>
          </w:p>
        </w:tc>
      </w:tr>
      <w:tr w14:paraId="7064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2" w:hRule="atLeast"/>
          <w:jc w:val="center"/>
        </w:trPr>
        <w:tc>
          <w:tcPr>
            <w:tcW w:w="468" w:type="dxa"/>
            <w:vMerge w:val="restart"/>
            <w:tcBorders>
              <w:top w:val="single" w:color="auto" w:sz="4" w:space="0"/>
            </w:tcBorders>
            <w:noWrap w:val="0"/>
            <w:vAlign w:val="center"/>
          </w:tcPr>
          <w:p w14:paraId="6A676CF1">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val="en-US" w:eastAsia="zh-CN"/>
              </w:rPr>
              <w:t>4</w:t>
            </w:r>
          </w:p>
        </w:tc>
        <w:tc>
          <w:tcPr>
            <w:tcW w:w="1500" w:type="dxa"/>
            <w:vMerge w:val="restart"/>
            <w:tcBorders>
              <w:top w:val="single" w:color="auto" w:sz="4" w:space="0"/>
            </w:tcBorders>
            <w:noWrap w:val="0"/>
            <w:vAlign w:val="center"/>
          </w:tcPr>
          <w:p w14:paraId="48A1A021">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rPr>
            </w:pPr>
            <w:r>
              <w:rPr>
                <w:rFonts w:hint="eastAsia" w:ascii="仿宋" w:hAnsi="仿宋" w:eastAsia="仿宋" w:cs="仿宋"/>
                <w:spacing w:val="7"/>
                <w:sz w:val="24"/>
                <w:szCs w:val="24"/>
                <w:highlight w:val="none"/>
              </w:rPr>
              <w:t>售后服务</w:t>
            </w:r>
          </w:p>
        </w:tc>
        <w:tc>
          <w:tcPr>
            <w:tcW w:w="1081" w:type="dxa"/>
            <w:vMerge w:val="restart"/>
            <w:tcBorders>
              <w:top w:val="single" w:color="auto" w:sz="4" w:space="0"/>
            </w:tcBorders>
            <w:noWrap w:val="0"/>
            <w:vAlign w:val="center"/>
          </w:tcPr>
          <w:p w14:paraId="66477024">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rPr>
            </w:pPr>
            <w:r>
              <w:rPr>
                <w:rFonts w:hint="eastAsia" w:ascii="仿宋" w:hAnsi="仿宋" w:eastAsia="仿宋" w:cs="仿宋"/>
                <w:color w:val="auto"/>
                <w:spacing w:val="7"/>
                <w:sz w:val="24"/>
                <w:szCs w:val="24"/>
                <w:highlight w:val="none"/>
                <w:lang w:val="en-US" w:eastAsia="zh-CN"/>
              </w:rPr>
              <w:t>6</w:t>
            </w:r>
            <w:r>
              <w:rPr>
                <w:rFonts w:hint="eastAsia" w:ascii="仿宋" w:hAnsi="仿宋" w:eastAsia="仿宋" w:cs="仿宋"/>
                <w:color w:val="auto"/>
                <w:spacing w:val="7"/>
                <w:sz w:val="24"/>
                <w:szCs w:val="24"/>
                <w:highlight w:val="none"/>
              </w:rPr>
              <w:t>分</w:t>
            </w:r>
          </w:p>
        </w:tc>
        <w:tc>
          <w:tcPr>
            <w:tcW w:w="7004" w:type="dxa"/>
            <w:tcBorders>
              <w:top w:val="single" w:color="auto" w:sz="4" w:space="0"/>
              <w:bottom w:val="single" w:color="auto" w:sz="4" w:space="0"/>
            </w:tcBorders>
            <w:noWrap w:val="0"/>
            <w:vAlign w:val="center"/>
          </w:tcPr>
          <w:p w14:paraId="40469232">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spacing w:val="7"/>
                <w:sz w:val="24"/>
                <w:szCs w:val="24"/>
                <w:highlight w:val="none"/>
                <w:lang w:val="en-US" w:eastAsia="zh-CN"/>
              </w:rPr>
              <w:t>工程师达到每年2次定期上门巡回服务得1分，每年4次定期上门巡回服务得2分，供应商须提供承诺（格式自拟）。未提供不得分。</w:t>
            </w:r>
          </w:p>
        </w:tc>
      </w:tr>
      <w:tr w14:paraId="7A8C1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239" w:hRule="atLeast"/>
          <w:jc w:val="center"/>
        </w:trPr>
        <w:tc>
          <w:tcPr>
            <w:tcW w:w="468" w:type="dxa"/>
            <w:vMerge w:val="continue"/>
            <w:tcBorders>
              <w:bottom w:val="single" w:color="auto" w:sz="4" w:space="0"/>
            </w:tcBorders>
            <w:noWrap w:val="0"/>
            <w:vAlign w:val="center"/>
          </w:tcPr>
          <w:p w14:paraId="4B3E4112">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eastAsia="zh-CN"/>
              </w:rPr>
            </w:pPr>
          </w:p>
        </w:tc>
        <w:tc>
          <w:tcPr>
            <w:tcW w:w="1500" w:type="dxa"/>
            <w:vMerge w:val="continue"/>
            <w:tcBorders>
              <w:bottom w:val="single" w:color="auto" w:sz="4" w:space="0"/>
            </w:tcBorders>
            <w:noWrap w:val="0"/>
            <w:vAlign w:val="center"/>
          </w:tcPr>
          <w:p w14:paraId="5E69B005">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p>
        </w:tc>
        <w:tc>
          <w:tcPr>
            <w:tcW w:w="1081" w:type="dxa"/>
            <w:vMerge w:val="continue"/>
            <w:tcBorders>
              <w:bottom w:val="single" w:color="auto" w:sz="4" w:space="0"/>
            </w:tcBorders>
            <w:noWrap w:val="0"/>
            <w:vAlign w:val="center"/>
          </w:tcPr>
          <w:p w14:paraId="600A55F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eastAsia" w:ascii="仿宋" w:hAnsi="仿宋" w:eastAsia="仿宋" w:cs="仿宋"/>
                <w:color w:val="auto"/>
                <w:spacing w:val="7"/>
                <w:sz w:val="24"/>
                <w:szCs w:val="24"/>
                <w:highlight w:val="none"/>
                <w:lang w:val="en-US" w:eastAsia="zh-CN"/>
              </w:rPr>
            </w:pPr>
          </w:p>
        </w:tc>
        <w:tc>
          <w:tcPr>
            <w:tcW w:w="7004" w:type="dxa"/>
            <w:tcBorders>
              <w:top w:val="single" w:color="auto" w:sz="4" w:space="0"/>
              <w:bottom w:val="single" w:color="auto" w:sz="4" w:space="0"/>
            </w:tcBorders>
            <w:noWrap w:val="0"/>
            <w:vAlign w:val="center"/>
          </w:tcPr>
          <w:p w14:paraId="228FC473">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售后服务的内容：1.售后维修人员组成；2.免费维修时间及流程；3.质量问题解决方案（含应急突发事件）；4.配用配件的供应等。</w:t>
            </w:r>
          </w:p>
          <w:p w14:paraId="1303B3FD">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1.每提供一项方案最高得1分，满分4分；</w:t>
            </w:r>
          </w:p>
          <w:p w14:paraId="2051B204">
            <w:pPr>
              <w:rPr>
                <w:rFonts w:hint="eastAsia" w:ascii="仿宋" w:hAnsi="仿宋" w:eastAsia="仿宋" w:cs="仿宋"/>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2.评审专家根据各项方案内容进行综合评审，每项最高1分，满4分 。</w:t>
            </w:r>
          </w:p>
        </w:tc>
      </w:tr>
      <w:tr w14:paraId="45414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54C02DC4">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5</w:t>
            </w:r>
          </w:p>
        </w:tc>
        <w:tc>
          <w:tcPr>
            <w:tcW w:w="1500" w:type="dxa"/>
            <w:tcBorders>
              <w:top w:val="single" w:color="auto" w:sz="4" w:space="0"/>
              <w:bottom w:val="single" w:color="auto" w:sz="4" w:space="0"/>
            </w:tcBorders>
            <w:noWrap w:val="0"/>
            <w:vAlign w:val="center"/>
          </w:tcPr>
          <w:p w14:paraId="75CAEF26">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培训</w:t>
            </w:r>
            <w:r>
              <w:rPr>
                <w:rFonts w:hint="eastAsia" w:ascii="仿宋" w:hAnsi="仿宋" w:eastAsia="仿宋" w:cs="仿宋"/>
                <w:color w:val="auto"/>
                <w:spacing w:val="7"/>
                <w:sz w:val="24"/>
                <w:szCs w:val="24"/>
                <w:highlight w:val="none"/>
                <w:lang w:val="en-US" w:eastAsia="zh-CN"/>
              </w:rPr>
              <w:t>方案</w:t>
            </w:r>
          </w:p>
        </w:tc>
        <w:tc>
          <w:tcPr>
            <w:tcW w:w="1081" w:type="dxa"/>
            <w:tcBorders>
              <w:top w:val="single" w:color="auto" w:sz="4" w:space="0"/>
              <w:bottom w:val="single" w:color="auto" w:sz="4" w:space="0"/>
            </w:tcBorders>
            <w:noWrap w:val="0"/>
            <w:vAlign w:val="center"/>
          </w:tcPr>
          <w:p w14:paraId="17EFB6BA">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5分</w:t>
            </w:r>
          </w:p>
        </w:tc>
        <w:tc>
          <w:tcPr>
            <w:tcW w:w="7004" w:type="dxa"/>
            <w:tcBorders>
              <w:top w:val="single" w:color="auto" w:sz="4" w:space="0"/>
              <w:bottom w:val="single" w:color="auto" w:sz="4" w:space="0"/>
            </w:tcBorders>
            <w:noWrap w:val="0"/>
            <w:vAlign w:val="center"/>
          </w:tcPr>
          <w:p w14:paraId="3CAA4261">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投标人应制定详实的培训计划，对设备操作人员和相关养护人员进行培训，直至熟练掌握使用方法及常规维护为止。包括①培训方案、②培训时间安排、③培训计划、④培训过程中突发事件处置、⑤培训方式等，</w:t>
            </w:r>
          </w:p>
          <w:p w14:paraId="4B2D9E90">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1.每提供一项方案最高得1分，满分5分；</w:t>
            </w:r>
          </w:p>
          <w:p w14:paraId="511675A5">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2.评审专家根据各项方案内容进行综合评审，每项最高1分，满5分 。</w:t>
            </w:r>
          </w:p>
        </w:tc>
      </w:tr>
      <w:tr w14:paraId="26A57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4F22FCAF">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6</w:t>
            </w:r>
          </w:p>
        </w:tc>
        <w:tc>
          <w:tcPr>
            <w:tcW w:w="1500" w:type="dxa"/>
            <w:tcBorders>
              <w:top w:val="single" w:color="auto" w:sz="4" w:space="0"/>
              <w:bottom w:val="single" w:color="auto" w:sz="4" w:space="0"/>
            </w:tcBorders>
            <w:noWrap w:val="0"/>
            <w:vAlign w:val="center"/>
          </w:tcPr>
          <w:p w14:paraId="7DAF23CA">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p>
          <w:p w14:paraId="379AC3B7">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业绩经验</w:t>
            </w:r>
          </w:p>
          <w:p w14:paraId="41014CF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p>
        </w:tc>
        <w:tc>
          <w:tcPr>
            <w:tcW w:w="1081" w:type="dxa"/>
            <w:tcBorders>
              <w:top w:val="single" w:color="auto" w:sz="4" w:space="0"/>
              <w:bottom w:val="single" w:color="auto" w:sz="4" w:space="0"/>
            </w:tcBorders>
            <w:noWrap w:val="0"/>
            <w:vAlign w:val="center"/>
          </w:tcPr>
          <w:p w14:paraId="56CE2E05">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4分</w:t>
            </w:r>
          </w:p>
        </w:tc>
        <w:tc>
          <w:tcPr>
            <w:tcW w:w="7004" w:type="dxa"/>
            <w:tcBorders>
              <w:top w:val="single" w:color="auto" w:sz="4" w:space="0"/>
              <w:bottom w:val="single" w:color="auto" w:sz="4" w:space="0"/>
            </w:tcBorders>
            <w:noWrap w:val="0"/>
            <w:vAlign w:val="center"/>
          </w:tcPr>
          <w:p w14:paraId="08E26BEB">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提供2023年以来承担过的同类项目业绩证明材料，每提供1项同类项目业绩证明材料（供货合同和中标通知书）的得2分，最高得4分。</w:t>
            </w:r>
          </w:p>
          <w:p w14:paraId="168A0B66">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说明：同类项目业绩证明材料（供货合同和中标通知书）要求提供清晰扫描件或复印件，能够体现项目名称、实施具体内容、项目实施期限、合同金额、合同签订时间、合同双方盖章页等关键内容，提供不全或内容不清晰或未提供者不予认可。</w:t>
            </w:r>
          </w:p>
        </w:tc>
      </w:tr>
      <w:tr w14:paraId="18047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noWrap w:val="0"/>
            <w:vAlign w:val="center"/>
          </w:tcPr>
          <w:p w14:paraId="349DD159">
            <w:pPr>
              <w:keepNext w:val="0"/>
              <w:keepLines w:val="0"/>
              <w:pageBreakBefore w:val="0"/>
              <w:widowControl/>
              <w:kinsoku/>
              <w:wordWrap/>
              <w:overflowPunct/>
              <w:topLinePunct w:val="0"/>
              <w:autoSpaceDE w:val="0"/>
              <w:autoSpaceDN w:val="0"/>
              <w:bidi w:val="0"/>
              <w:adjustRightInd w:val="0"/>
              <w:snapToGrid w:val="0"/>
              <w:spacing w:before="230" w:line="320" w:lineRule="exact"/>
              <w:ind w:right="17"/>
              <w:jc w:val="center"/>
              <w:textAlignment w:val="baseline"/>
              <w:rPr>
                <w:rFonts w:hint="default"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7</w:t>
            </w:r>
          </w:p>
        </w:tc>
        <w:tc>
          <w:tcPr>
            <w:tcW w:w="1500" w:type="dxa"/>
            <w:tcBorders>
              <w:top w:val="single" w:color="auto" w:sz="4" w:space="0"/>
              <w:bottom w:val="single" w:color="auto" w:sz="4" w:space="0"/>
            </w:tcBorders>
            <w:noWrap w:val="0"/>
            <w:vAlign w:val="center"/>
          </w:tcPr>
          <w:p w14:paraId="34DACE03">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质保期</w:t>
            </w:r>
          </w:p>
        </w:tc>
        <w:tc>
          <w:tcPr>
            <w:tcW w:w="1081" w:type="dxa"/>
            <w:tcBorders>
              <w:top w:val="single" w:color="auto" w:sz="4" w:space="0"/>
              <w:bottom w:val="single" w:color="auto" w:sz="4" w:space="0"/>
            </w:tcBorders>
            <w:noWrap w:val="0"/>
            <w:vAlign w:val="center"/>
          </w:tcPr>
          <w:p w14:paraId="797D3CE8">
            <w:pPr>
              <w:keepNext w:val="0"/>
              <w:keepLines w:val="0"/>
              <w:pageBreakBefore w:val="0"/>
              <w:widowControl/>
              <w:kinsoku/>
              <w:wordWrap/>
              <w:overflowPunct/>
              <w:topLinePunct w:val="0"/>
              <w:autoSpaceDE w:val="0"/>
              <w:autoSpaceDN w:val="0"/>
              <w:bidi w:val="0"/>
              <w:adjustRightInd w:val="0"/>
              <w:snapToGrid w:val="0"/>
              <w:spacing w:before="230" w:line="320" w:lineRule="exact"/>
              <w:ind w:left="238" w:right="17" w:firstLine="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3分</w:t>
            </w:r>
          </w:p>
        </w:tc>
        <w:tc>
          <w:tcPr>
            <w:tcW w:w="7004" w:type="dxa"/>
            <w:tcBorders>
              <w:top w:val="single" w:color="auto" w:sz="4" w:space="0"/>
              <w:bottom w:val="single" w:color="auto" w:sz="4" w:space="0"/>
            </w:tcBorders>
            <w:noWrap w:val="0"/>
            <w:vAlign w:val="center"/>
          </w:tcPr>
          <w:p w14:paraId="5D14B8CD">
            <w:pPr>
              <w:keepNext w:val="0"/>
              <w:keepLines w:val="0"/>
              <w:pageBreakBefore w:val="0"/>
              <w:widowControl/>
              <w:kinsoku/>
              <w:wordWrap/>
              <w:overflowPunct/>
              <w:topLinePunct w:val="0"/>
              <w:autoSpaceDE w:val="0"/>
              <w:autoSpaceDN w:val="0"/>
              <w:bidi w:val="0"/>
              <w:adjustRightInd w:val="0"/>
              <w:snapToGrid w:val="0"/>
              <w:spacing w:before="230" w:line="320" w:lineRule="exact"/>
              <w:ind w:right="17"/>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根据投标人提供质保期承诺书（格式自拟），质保期达到采购需求要求的，得1分，每增加一年质保期得1分，该项总分3分。未提供承诺书或质保期限不足一年的，不得分。</w:t>
            </w:r>
          </w:p>
        </w:tc>
      </w:tr>
      <w:tr w14:paraId="620B2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77" w:hRule="atLeast"/>
          <w:jc w:val="center"/>
        </w:trPr>
        <w:tc>
          <w:tcPr>
            <w:tcW w:w="468" w:type="dxa"/>
            <w:tcBorders>
              <w:top w:val="single" w:color="auto" w:sz="4" w:space="0"/>
              <w:bottom w:val="single" w:color="auto" w:sz="4" w:space="0"/>
            </w:tcBorders>
            <w:shd w:val="clear" w:color="auto" w:fill="auto"/>
            <w:noWrap w:val="0"/>
            <w:vAlign w:val="center"/>
          </w:tcPr>
          <w:p w14:paraId="060B1228">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jc w:val="center"/>
              <w:textAlignment w:val="baseline"/>
              <w:rPr>
                <w:rFonts w:hint="eastAsia" w:ascii="仿宋" w:hAnsi="仿宋" w:eastAsia="仿宋" w:cs="仿宋"/>
                <w:snapToGrid w:val="0"/>
                <w:color w:val="auto"/>
                <w:spacing w:val="7"/>
                <w:kern w:val="0"/>
                <w:sz w:val="24"/>
                <w:szCs w:val="24"/>
                <w:highlight w:val="none"/>
                <w:lang w:val="en-US" w:eastAsia="zh-CN" w:bidi="ar-SA"/>
              </w:rPr>
            </w:pPr>
            <w:r>
              <w:rPr>
                <w:rFonts w:hint="eastAsia" w:ascii="仿宋" w:hAnsi="仿宋" w:eastAsia="仿宋" w:cs="仿宋"/>
                <w:color w:val="auto"/>
                <w:spacing w:val="7"/>
                <w:sz w:val="24"/>
                <w:szCs w:val="24"/>
                <w:highlight w:val="none"/>
                <w:lang w:val="en-US" w:eastAsia="zh-CN"/>
              </w:rPr>
              <w:t>8</w:t>
            </w:r>
          </w:p>
        </w:tc>
        <w:tc>
          <w:tcPr>
            <w:tcW w:w="1500" w:type="dxa"/>
            <w:tcBorders>
              <w:top w:val="single" w:color="auto" w:sz="4" w:space="0"/>
              <w:bottom w:val="single" w:color="auto" w:sz="4" w:space="0"/>
            </w:tcBorders>
            <w:shd w:val="clear" w:color="auto" w:fill="auto"/>
            <w:noWrap w:val="0"/>
            <w:vAlign w:val="center"/>
          </w:tcPr>
          <w:p w14:paraId="5C6996D4">
            <w:pPr>
              <w:keepNext w:val="0"/>
              <w:keepLines w:val="0"/>
              <w:pageBreakBefore w:val="0"/>
              <w:widowControl/>
              <w:kinsoku/>
              <w:wordWrap/>
              <w:overflowPunct/>
              <w:topLinePunct w:val="0"/>
              <w:autoSpaceDE w:val="0"/>
              <w:autoSpaceDN w:val="0"/>
              <w:bidi w:val="0"/>
              <w:adjustRightInd w:val="0"/>
              <w:snapToGrid w:val="0"/>
              <w:spacing w:before="230" w:line="320" w:lineRule="exact"/>
              <w:ind w:left="238" w:leftChars="0" w:right="17" w:rightChars="0" w:firstLine="0" w:firstLineChars="0"/>
              <w:textAlignment w:val="baseline"/>
              <w:rPr>
                <w:rFonts w:hint="eastAsia" w:ascii="仿宋" w:hAnsi="仿宋" w:eastAsia="仿宋" w:cs="仿宋"/>
                <w:snapToGrid w:val="0"/>
                <w:color w:val="auto"/>
                <w:spacing w:val="7"/>
                <w:kern w:val="0"/>
                <w:sz w:val="24"/>
                <w:szCs w:val="24"/>
                <w:highlight w:val="none"/>
                <w:lang w:val="en-US" w:eastAsia="zh-CN" w:bidi="ar-SA"/>
              </w:rPr>
            </w:pPr>
            <w:r>
              <w:rPr>
                <w:rFonts w:hint="eastAsia" w:ascii="仿宋" w:hAnsi="仿宋" w:eastAsia="仿宋" w:cs="仿宋"/>
                <w:color w:val="auto"/>
                <w:spacing w:val="7"/>
                <w:sz w:val="24"/>
                <w:szCs w:val="24"/>
                <w:highlight w:val="none"/>
                <w:lang w:val="en-US" w:eastAsia="zh-CN"/>
              </w:rPr>
              <w:t>应急预案</w:t>
            </w:r>
          </w:p>
        </w:tc>
        <w:tc>
          <w:tcPr>
            <w:tcW w:w="1081" w:type="dxa"/>
            <w:tcBorders>
              <w:top w:val="single" w:color="auto" w:sz="4" w:space="0"/>
              <w:bottom w:val="single" w:color="auto" w:sz="4" w:space="0"/>
            </w:tcBorders>
            <w:shd w:val="clear" w:color="auto" w:fill="auto"/>
            <w:noWrap w:val="0"/>
            <w:vAlign w:val="center"/>
          </w:tcPr>
          <w:p w14:paraId="1C0D326D">
            <w:pPr>
              <w:keepNext w:val="0"/>
              <w:keepLines w:val="0"/>
              <w:pageBreakBefore w:val="0"/>
              <w:widowControl/>
              <w:kinsoku/>
              <w:wordWrap/>
              <w:overflowPunct/>
              <w:topLinePunct w:val="0"/>
              <w:autoSpaceDE w:val="0"/>
              <w:autoSpaceDN w:val="0"/>
              <w:bidi w:val="0"/>
              <w:adjustRightInd w:val="0"/>
              <w:snapToGrid w:val="0"/>
              <w:spacing w:before="230" w:line="320" w:lineRule="exact"/>
              <w:ind w:left="238" w:leftChars="0" w:right="17" w:rightChars="0" w:firstLine="0" w:firstLineChars="0"/>
              <w:textAlignment w:val="baseline"/>
              <w:rPr>
                <w:rFonts w:hint="eastAsia" w:ascii="仿宋" w:hAnsi="仿宋" w:eastAsia="仿宋" w:cs="仿宋"/>
                <w:snapToGrid w:val="0"/>
                <w:color w:val="auto"/>
                <w:spacing w:val="7"/>
                <w:kern w:val="0"/>
                <w:sz w:val="24"/>
                <w:szCs w:val="24"/>
                <w:highlight w:val="none"/>
                <w:lang w:val="en-US" w:eastAsia="zh-CN" w:bidi="ar-SA"/>
              </w:rPr>
            </w:pPr>
            <w:r>
              <w:rPr>
                <w:rFonts w:hint="eastAsia" w:ascii="仿宋" w:hAnsi="仿宋" w:eastAsia="仿宋" w:cs="仿宋"/>
                <w:color w:val="auto"/>
                <w:spacing w:val="7"/>
                <w:sz w:val="24"/>
                <w:szCs w:val="24"/>
                <w:highlight w:val="none"/>
                <w:lang w:val="en-US" w:eastAsia="zh-CN"/>
              </w:rPr>
              <w:t>8分</w:t>
            </w:r>
          </w:p>
        </w:tc>
        <w:tc>
          <w:tcPr>
            <w:tcW w:w="7004" w:type="dxa"/>
            <w:tcBorders>
              <w:top w:val="single" w:color="auto" w:sz="4" w:space="0"/>
              <w:bottom w:val="single" w:color="auto" w:sz="4" w:space="0"/>
            </w:tcBorders>
            <w:shd w:val="clear" w:color="auto" w:fill="auto"/>
            <w:noWrap w:val="0"/>
            <w:vAlign w:val="center"/>
          </w:tcPr>
          <w:p w14:paraId="1ACE2C27">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投标人根据项目实际情况提供相适应的方案：①解决问题方案②紧急故障处理预案，③故障解决时间，④定期巡检维护方案等，</w:t>
            </w:r>
          </w:p>
          <w:p w14:paraId="26347204">
            <w:pPr>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1.每提供一项方案最高得2分，满分8分；</w:t>
            </w:r>
          </w:p>
          <w:p w14:paraId="3FCD5000">
            <w:pPr>
              <w:keepNext w:val="0"/>
              <w:keepLines w:val="0"/>
              <w:pageBreakBefore w:val="0"/>
              <w:widowControl/>
              <w:kinsoku/>
              <w:wordWrap/>
              <w:overflowPunct/>
              <w:topLinePunct w:val="0"/>
              <w:autoSpaceDE w:val="0"/>
              <w:autoSpaceDN w:val="0"/>
              <w:bidi w:val="0"/>
              <w:adjustRightInd w:val="0"/>
              <w:snapToGrid w:val="0"/>
              <w:spacing w:before="230" w:line="320" w:lineRule="exact"/>
              <w:ind w:right="17" w:rightChars="0"/>
              <w:textAlignment w:val="baseline"/>
              <w:rPr>
                <w:rFonts w:hint="eastAsia" w:ascii="仿宋" w:hAnsi="仿宋" w:eastAsia="仿宋" w:cs="仿宋"/>
                <w:color w:val="auto"/>
                <w:spacing w:val="7"/>
                <w:sz w:val="24"/>
                <w:szCs w:val="24"/>
                <w:highlight w:val="none"/>
                <w:lang w:val="en-US" w:eastAsia="zh-CN"/>
              </w:rPr>
            </w:pPr>
            <w:r>
              <w:rPr>
                <w:rFonts w:hint="eastAsia" w:ascii="仿宋" w:hAnsi="仿宋" w:eastAsia="仿宋" w:cs="仿宋"/>
                <w:color w:val="auto"/>
                <w:spacing w:val="7"/>
                <w:sz w:val="24"/>
                <w:szCs w:val="24"/>
                <w:highlight w:val="none"/>
                <w:lang w:val="en-US" w:eastAsia="zh-CN"/>
              </w:rPr>
              <w:t>2.评审专家根据各项方案内容进行综合评审，每项最高2分，满8分 。</w:t>
            </w:r>
          </w:p>
        </w:tc>
      </w:tr>
    </w:tbl>
    <w:p w14:paraId="306C5478">
      <w:pPr>
        <w:keepLines w:val="0"/>
        <w:pageBreakBefore w:val="0"/>
        <w:kinsoku/>
        <w:wordWrap/>
        <w:overflowPunct/>
        <w:topLinePunct w:val="0"/>
        <w:bidi w:val="0"/>
        <w:spacing w:before="192" w:line="222" w:lineRule="auto"/>
        <w:jc w:val="center"/>
        <w:rPr>
          <w:rFonts w:hint="eastAsia" w:ascii="仿宋" w:hAnsi="仿宋" w:eastAsia="仿宋" w:cs="仿宋"/>
          <w:b/>
          <w:bCs/>
          <w:spacing w:val="-3"/>
          <w:sz w:val="32"/>
          <w:szCs w:val="32"/>
          <w:highlight w:val="none"/>
          <w:lang w:val="en-US" w:eastAsia="zh-CN"/>
        </w:rPr>
      </w:pPr>
    </w:p>
    <w:p w14:paraId="6FED120B">
      <w:pPr>
        <w:keepLines w:val="0"/>
        <w:pageBreakBefore w:val="0"/>
        <w:kinsoku/>
        <w:wordWrap/>
        <w:overflowPunct/>
        <w:topLinePunct w:val="0"/>
        <w:bidi w:val="0"/>
        <w:rPr>
          <w:sz w:val="21"/>
          <w:szCs w:val="21"/>
          <w:highlight w:val="none"/>
        </w:rPr>
        <w:sectPr>
          <w:footerReference r:id="rId9" w:type="default"/>
          <w:pgSz w:w="11906" w:h="16839"/>
          <w:pgMar w:top="1440" w:right="1080" w:bottom="1440" w:left="1080" w:header="0" w:footer="989" w:gutter="0"/>
          <w:pgNumType w:fmt="decimal"/>
          <w:cols w:space="720" w:num="1"/>
        </w:sectPr>
      </w:pPr>
    </w:p>
    <w:p w14:paraId="5C2B62A1">
      <w:pPr>
        <w:keepLines w:val="0"/>
        <w:pageBreakBefore w:val="0"/>
        <w:kinsoku/>
        <w:wordWrap/>
        <w:overflowPunct/>
        <w:topLinePunct w:val="0"/>
        <w:bidi w:val="0"/>
        <w:spacing w:before="182" w:line="228" w:lineRule="auto"/>
        <w:jc w:val="center"/>
        <w:rPr>
          <w:rFonts w:ascii="仿宋" w:hAnsi="仿宋" w:eastAsia="仿宋" w:cs="仿宋"/>
          <w:sz w:val="31"/>
          <w:szCs w:val="31"/>
          <w:highlight w:val="none"/>
        </w:rPr>
      </w:pPr>
      <w:r>
        <w:rPr>
          <w:rFonts w:ascii="仿宋" w:hAnsi="仿宋" w:eastAsia="仿宋" w:cs="仿宋"/>
          <w:b/>
          <w:bCs/>
          <w:spacing w:val="-2"/>
          <w:sz w:val="31"/>
          <w:szCs w:val="31"/>
          <w:highlight w:val="none"/>
        </w:rPr>
        <w:t>第四章</w:t>
      </w:r>
      <w:r>
        <w:rPr>
          <w:rFonts w:ascii="仿宋" w:hAnsi="仿宋" w:eastAsia="仿宋" w:cs="仿宋"/>
          <w:spacing w:val="21"/>
          <w:sz w:val="31"/>
          <w:szCs w:val="31"/>
          <w:highlight w:val="none"/>
        </w:rPr>
        <w:t xml:space="preserve">  </w:t>
      </w:r>
      <w:r>
        <w:rPr>
          <w:rFonts w:ascii="仿宋" w:hAnsi="仿宋" w:eastAsia="仿宋" w:cs="仿宋"/>
          <w:b/>
          <w:bCs/>
          <w:spacing w:val="-2"/>
          <w:sz w:val="31"/>
          <w:szCs w:val="31"/>
          <w:highlight w:val="none"/>
        </w:rPr>
        <w:t>合同条款</w:t>
      </w:r>
    </w:p>
    <w:p w14:paraId="0748CA14">
      <w:pPr>
        <w:keepLines w:val="0"/>
        <w:pageBreakBefore w:val="0"/>
        <w:kinsoku/>
        <w:wordWrap/>
        <w:overflowPunct/>
        <w:topLinePunct w:val="0"/>
        <w:bidi w:val="0"/>
        <w:jc w:val="center"/>
        <w:rPr>
          <w:rFonts w:hint="eastAsia" w:ascii="宋体" w:hAnsi="宋体" w:eastAsia="宋体" w:cs="宋体"/>
          <w:b/>
          <w:bCs/>
          <w:sz w:val="48"/>
          <w:szCs w:val="56"/>
          <w:highlight w:val="none"/>
        </w:rPr>
      </w:pPr>
      <w:r>
        <w:rPr>
          <w:rFonts w:hint="eastAsia" w:ascii="宋体" w:hAnsi="宋体" w:eastAsia="宋体" w:cs="宋体"/>
          <w:b/>
          <w:bCs/>
          <w:sz w:val="48"/>
          <w:szCs w:val="56"/>
          <w:highlight w:val="none"/>
        </w:rPr>
        <w:t>政府采购货物买卖合同</w:t>
      </w:r>
    </w:p>
    <w:p w14:paraId="7CF8104C">
      <w:pPr>
        <w:keepLines w:val="0"/>
        <w:pageBreakBefore w:val="0"/>
        <w:kinsoku/>
        <w:wordWrap/>
        <w:overflowPunct/>
        <w:topLinePunct w:val="0"/>
        <w:bidi w:val="0"/>
        <w:jc w:val="center"/>
        <w:rPr>
          <w:rFonts w:hint="eastAsia" w:ascii="宋体" w:hAnsi="宋体" w:eastAsia="宋体" w:cs="宋体"/>
          <w:b/>
          <w:bCs/>
          <w:sz w:val="48"/>
          <w:szCs w:val="56"/>
          <w:highlight w:val="none"/>
        </w:rPr>
      </w:pPr>
      <w:r>
        <w:rPr>
          <w:rFonts w:hint="eastAsia" w:ascii="宋体" w:hAnsi="宋体" w:eastAsia="宋体" w:cs="宋体"/>
          <w:b/>
          <w:bCs/>
          <w:sz w:val="48"/>
          <w:szCs w:val="56"/>
          <w:highlight w:val="none"/>
        </w:rPr>
        <w:t>(试行)</w:t>
      </w:r>
    </w:p>
    <w:p w14:paraId="4AD8370A">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7F4EC138">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4965DFF8">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4F33F619">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4903407B">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2BFD2446">
      <w:pPr>
        <w:keepLines w:val="0"/>
        <w:pageBreakBefore w:val="0"/>
        <w:kinsoku/>
        <w:wordWrap/>
        <w:overflowPunct/>
        <w:topLinePunct w:val="0"/>
        <w:bidi w:val="0"/>
        <w:jc w:val="center"/>
        <w:rPr>
          <w:rFonts w:hint="eastAsia" w:ascii="宋体" w:hAnsi="宋体" w:eastAsia="宋体" w:cs="宋体"/>
          <w:b/>
          <w:bCs/>
          <w:sz w:val="48"/>
          <w:szCs w:val="56"/>
          <w:highlight w:val="none"/>
        </w:rPr>
      </w:pPr>
    </w:p>
    <w:p w14:paraId="01A6B0F5">
      <w:pPr>
        <w:keepLines w:val="0"/>
        <w:pageBreakBefore w:val="0"/>
        <w:kinsoku/>
        <w:wordWrap/>
        <w:overflowPunct/>
        <w:topLinePunct w:val="0"/>
        <w:bidi w:val="0"/>
        <w:rPr>
          <w:rFonts w:hint="eastAsia" w:ascii="宋体" w:hAnsi="宋体" w:eastAsia="宋体" w:cs="宋体"/>
          <w:sz w:val="28"/>
          <w:szCs w:val="36"/>
          <w:highlight w:val="none"/>
          <w:u w:val="single"/>
          <w:lang w:val="en-US" w:eastAsia="zh-CN"/>
        </w:rPr>
      </w:pPr>
      <w:r>
        <w:rPr>
          <w:rFonts w:hint="eastAsia" w:ascii="宋体" w:hAnsi="宋体" w:eastAsia="宋体" w:cs="宋体"/>
          <w:sz w:val="28"/>
          <w:szCs w:val="36"/>
          <w:highlight w:val="none"/>
        </w:rPr>
        <w:t>项目名称</w:t>
      </w:r>
      <w:r>
        <w:rPr>
          <w:rFonts w:hint="eastAsia" w:ascii="宋体" w:hAnsi="宋体" w:eastAsia="宋体" w:cs="宋体"/>
          <w:sz w:val="28"/>
          <w:szCs w:val="36"/>
          <w:highlight w:val="none"/>
          <w:lang w:eastAsia="zh-CN"/>
        </w:rPr>
        <w:t>：</w:t>
      </w:r>
      <w:r>
        <w:rPr>
          <w:rFonts w:hint="eastAsia" w:ascii="宋体" w:hAnsi="宋体" w:eastAsia="宋体" w:cs="宋体"/>
          <w:sz w:val="28"/>
          <w:szCs w:val="36"/>
          <w:highlight w:val="none"/>
          <w:u w:val="single"/>
          <w:lang w:val="en-US" w:eastAsia="zh-CN"/>
        </w:rPr>
        <w:t xml:space="preserve">                                     </w:t>
      </w:r>
    </w:p>
    <w:p w14:paraId="4D371AA8">
      <w:pPr>
        <w:keepLines w:val="0"/>
        <w:pageBreakBefore w:val="0"/>
        <w:kinsoku/>
        <w:wordWrap/>
        <w:overflowPunct/>
        <w:topLinePunct w:val="0"/>
        <w:bidi w:val="0"/>
        <w:rPr>
          <w:rFonts w:hint="eastAsia" w:ascii="宋体" w:hAnsi="宋体" w:eastAsia="宋体" w:cs="宋体"/>
          <w:sz w:val="28"/>
          <w:szCs w:val="36"/>
          <w:highlight w:val="none"/>
          <w:u w:val="single"/>
          <w:lang w:val="en-US" w:eastAsia="zh-CN"/>
        </w:rPr>
      </w:pPr>
      <w:r>
        <w:rPr>
          <w:rFonts w:hint="eastAsia" w:ascii="宋体" w:hAnsi="宋体" w:eastAsia="宋体" w:cs="宋体"/>
          <w:sz w:val="28"/>
          <w:szCs w:val="36"/>
          <w:highlight w:val="none"/>
        </w:rPr>
        <w:t>合同编号</w:t>
      </w:r>
      <w:r>
        <w:rPr>
          <w:rFonts w:hint="eastAsia" w:ascii="宋体" w:hAnsi="宋体" w:eastAsia="宋体" w:cs="宋体"/>
          <w:sz w:val="28"/>
          <w:szCs w:val="36"/>
          <w:highlight w:val="none"/>
          <w:lang w:eastAsia="zh-CN"/>
        </w:rPr>
        <w:t>：</w:t>
      </w:r>
      <w:r>
        <w:rPr>
          <w:rFonts w:hint="eastAsia" w:ascii="宋体" w:hAnsi="宋体" w:eastAsia="宋体" w:cs="宋体"/>
          <w:sz w:val="28"/>
          <w:szCs w:val="36"/>
          <w:highlight w:val="none"/>
          <w:u w:val="single"/>
          <w:lang w:val="en-US" w:eastAsia="zh-CN"/>
        </w:rPr>
        <w:t xml:space="preserve">                                     </w:t>
      </w:r>
    </w:p>
    <w:p w14:paraId="623E0BEF">
      <w:pPr>
        <w:keepLines w:val="0"/>
        <w:pageBreakBefore w:val="0"/>
        <w:kinsoku/>
        <w:wordWrap/>
        <w:overflowPunct/>
        <w:topLinePunct w:val="0"/>
        <w:bidi w:val="0"/>
        <w:rPr>
          <w:rFonts w:hint="eastAsia" w:ascii="宋体" w:hAnsi="宋体" w:eastAsia="宋体" w:cs="宋体"/>
          <w:sz w:val="28"/>
          <w:szCs w:val="36"/>
          <w:highlight w:val="none"/>
          <w:u w:val="single"/>
          <w:lang w:val="en-US" w:eastAsia="zh-CN"/>
        </w:rPr>
      </w:pPr>
      <w:r>
        <w:rPr>
          <w:rFonts w:hint="eastAsia" w:ascii="宋体" w:hAnsi="宋体" w:eastAsia="宋体" w:cs="宋体"/>
          <w:sz w:val="28"/>
          <w:szCs w:val="36"/>
          <w:highlight w:val="none"/>
        </w:rPr>
        <w:t>甲方</w:t>
      </w:r>
      <w:r>
        <w:rPr>
          <w:rFonts w:hint="eastAsia" w:ascii="宋体" w:hAnsi="宋体" w:eastAsia="宋体" w:cs="宋体"/>
          <w:sz w:val="28"/>
          <w:szCs w:val="36"/>
          <w:highlight w:val="none"/>
          <w:lang w:eastAsia="zh-CN"/>
        </w:rPr>
        <w:t>：</w:t>
      </w:r>
      <w:r>
        <w:rPr>
          <w:rFonts w:hint="eastAsia" w:ascii="宋体" w:hAnsi="宋体" w:eastAsia="宋体" w:cs="宋体"/>
          <w:sz w:val="28"/>
          <w:szCs w:val="36"/>
          <w:highlight w:val="none"/>
          <w:u w:val="single"/>
          <w:lang w:val="en-US" w:eastAsia="zh-CN"/>
        </w:rPr>
        <w:t xml:space="preserve">                                         </w:t>
      </w:r>
    </w:p>
    <w:p w14:paraId="5AFAE3DC">
      <w:pPr>
        <w:keepLines w:val="0"/>
        <w:pageBreakBefore w:val="0"/>
        <w:kinsoku/>
        <w:wordWrap/>
        <w:overflowPunct/>
        <w:topLinePunct w:val="0"/>
        <w:bidi w:val="0"/>
        <w:rPr>
          <w:rFonts w:hint="eastAsia" w:ascii="宋体" w:hAnsi="宋体" w:eastAsia="宋体" w:cs="宋体"/>
          <w:sz w:val="28"/>
          <w:szCs w:val="36"/>
          <w:highlight w:val="none"/>
          <w:u w:val="single"/>
          <w:lang w:val="en-US"/>
        </w:rPr>
      </w:pPr>
      <w:r>
        <w:rPr>
          <w:rFonts w:hint="eastAsia" w:ascii="宋体" w:hAnsi="宋体" w:eastAsia="宋体" w:cs="宋体"/>
          <w:sz w:val="28"/>
          <w:szCs w:val="36"/>
          <w:highlight w:val="none"/>
        </w:rPr>
        <w:t>乙方</w:t>
      </w:r>
      <w:r>
        <w:rPr>
          <w:rFonts w:hint="eastAsia" w:ascii="宋体" w:hAnsi="宋体" w:eastAsia="宋体" w:cs="宋体"/>
          <w:sz w:val="28"/>
          <w:szCs w:val="36"/>
          <w:highlight w:val="none"/>
          <w:lang w:eastAsia="zh-CN"/>
        </w:rPr>
        <w:t>：</w:t>
      </w:r>
      <w:r>
        <w:rPr>
          <w:rFonts w:hint="eastAsia" w:ascii="宋体" w:hAnsi="宋体" w:eastAsia="宋体" w:cs="宋体"/>
          <w:sz w:val="28"/>
          <w:szCs w:val="36"/>
          <w:highlight w:val="none"/>
          <w:u w:val="single"/>
          <w:lang w:val="en-US" w:eastAsia="zh-CN"/>
        </w:rPr>
        <w:t xml:space="preserve">                                         </w:t>
      </w:r>
    </w:p>
    <w:p w14:paraId="03ECD240">
      <w:pPr>
        <w:keepLines w:val="0"/>
        <w:pageBreakBefore w:val="0"/>
        <w:kinsoku/>
        <w:wordWrap/>
        <w:overflowPunct/>
        <w:topLinePunct w:val="0"/>
        <w:bidi w:val="0"/>
        <w:rPr>
          <w:rFonts w:hint="eastAsia" w:ascii="宋体" w:hAnsi="宋体" w:eastAsia="宋体" w:cs="宋体"/>
          <w:sz w:val="28"/>
          <w:szCs w:val="36"/>
          <w:highlight w:val="none"/>
          <w:u w:val="single"/>
          <w:lang w:val="en-US" w:eastAsia="zh-CN"/>
        </w:rPr>
      </w:pPr>
      <w:r>
        <w:rPr>
          <w:rFonts w:hint="eastAsia" w:ascii="宋体" w:hAnsi="宋体" w:eastAsia="宋体" w:cs="宋体"/>
          <w:sz w:val="28"/>
          <w:szCs w:val="36"/>
          <w:highlight w:val="none"/>
        </w:rPr>
        <w:t>签订时间</w:t>
      </w:r>
      <w:r>
        <w:rPr>
          <w:rFonts w:hint="eastAsia" w:ascii="宋体" w:hAnsi="宋体" w:eastAsia="宋体" w:cs="宋体"/>
          <w:sz w:val="28"/>
          <w:szCs w:val="36"/>
          <w:highlight w:val="none"/>
          <w:lang w:eastAsia="zh-CN"/>
        </w:rPr>
        <w:t>：</w:t>
      </w:r>
      <w:r>
        <w:rPr>
          <w:rFonts w:hint="eastAsia" w:ascii="宋体" w:hAnsi="宋体" w:eastAsia="宋体" w:cs="宋体"/>
          <w:sz w:val="28"/>
          <w:szCs w:val="36"/>
          <w:highlight w:val="none"/>
          <w:u w:val="single"/>
          <w:lang w:val="en-US" w:eastAsia="zh-CN"/>
        </w:rPr>
        <w:t xml:space="preserve">                                     </w:t>
      </w:r>
    </w:p>
    <w:p w14:paraId="3F367BAB">
      <w:pPr>
        <w:keepLines w:val="0"/>
        <w:pageBreakBefore w:val="0"/>
        <w:kinsoku/>
        <w:wordWrap/>
        <w:overflowPunct/>
        <w:topLinePunct w:val="0"/>
        <w:bidi w:val="0"/>
        <w:rPr>
          <w:rFonts w:hint="eastAsia" w:ascii="宋体" w:hAnsi="宋体" w:eastAsia="宋体" w:cs="宋体"/>
          <w:sz w:val="28"/>
          <w:szCs w:val="36"/>
          <w:highlight w:val="none"/>
          <w:u w:val="single"/>
          <w:lang w:val="en-US" w:eastAsia="zh-CN"/>
        </w:rPr>
      </w:pPr>
    </w:p>
    <w:p w14:paraId="2BF2F586">
      <w:pPr>
        <w:keepLines w:val="0"/>
        <w:pageBreakBefore w:val="0"/>
        <w:kinsoku/>
        <w:wordWrap/>
        <w:overflowPunct/>
        <w:topLinePunct w:val="0"/>
        <w:bidi w:val="0"/>
        <w:rPr>
          <w:rFonts w:hint="eastAsia"/>
          <w:sz w:val="28"/>
          <w:szCs w:val="36"/>
          <w:highlight w:val="none"/>
          <w:u w:val="single"/>
          <w:lang w:val="en-US" w:eastAsia="zh-CN"/>
        </w:rPr>
      </w:pPr>
    </w:p>
    <w:p w14:paraId="20351963">
      <w:pPr>
        <w:keepLines w:val="0"/>
        <w:pageBreakBefore w:val="0"/>
        <w:kinsoku/>
        <w:wordWrap/>
        <w:overflowPunct/>
        <w:topLinePunct w:val="0"/>
        <w:bidi w:val="0"/>
        <w:rPr>
          <w:rFonts w:hint="eastAsia"/>
          <w:sz w:val="28"/>
          <w:szCs w:val="36"/>
          <w:highlight w:val="none"/>
          <w:u w:val="single"/>
          <w:lang w:val="en-US" w:eastAsia="zh-CN"/>
        </w:rPr>
      </w:pPr>
    </w:p>
    <w:p w14:paraId="0ABBFFC6">
      <w:pPr>
        <w:keepLines w:val="0"/>
        <w:pageBreakBefore w:val="0"/>
        <w:kinsoku/>
        <w:wordWrap/>
        <w:overflowPunct/>
        <w:topLinePunct w:val="0"/>
        <w:bidi w:val="0"/>
        <w:rPr>
          <w:rFonts w:hint="eastAsia"/>
          <w:sz w:val="28"/>
          <w:szCs w:val="36"/>
          <w:highlight w:val="none"/>
          <w:u w:val="single"/>
          <w:lang w:val="en-US" w:eastAsia="zh-CN"/>
        </w:rPr>
      </w:pPr>
    </w:p>
    <w:p w14:paraId="44D4500F">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1085984A">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2282CB6C">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1FEA6A36">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79DEED69">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1D481AB6">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14BE4545">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50E765E5">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395A5192">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4429171E">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r>
        <w:rPr>
          <w:rFonts w:hint="eastAsia" w:ascii="黑体" w:hAnsi="黑体" w:eastAsia="黑体" w:cs="黑体"/>
          <w:sz w:val="44"/>
          <w:szCs w:val="52"/>
          <w:highlight w:val="none"/>
          <w:u w:val="none"/>
          <w:lang w:val="en-US" w:eastAsia="zh-CN"/>
        </w:rPr>
        <w:t>使用说明</w:t>
      </w:r>
    </w:p>
    <w:p w14:paraId="1B16CC4F">
      <w:pPr>
        <w:keepLines w:val="0"/>
        <w:pageBreakBefore w:val="0"/>
        <w:kinsoku/>
        <w:wordWrap/>
        <w:overflowPunct/>
        <w:topLinePunct w:val="0"/>
        <w:bidi w:val="0"/>
        <w:jc w:val="center"/>
        <w:rPr>
          <w:rFonts w:hint="eastAsia" w:ascii="黑体" w:hAnsi="黑体" w:eastAsia="黑体" w:cs="黑体"/>
          <w:sz w:val="44"/>
          <w:szCs w:val="52"/>
          <w:highlight w:val="none"/>
          <w:u w:val="none"/>
          <w:lang w:val="en-US" w:eastAsia="zh-CN"/>
        </w:rPr>
      </w:pPr>
    </w:p>
    <w:p w14:paraId="3825C286">
      <w:pPr>
        <w:keepLines w:val="0"/>
        <w:pageBreakBefore w:val="0"/>
        <w:kinsoku/>
        <w:wordWrap/>
        <w:overflowPunct/>
        <w:topLinePunct w:val="0"/>
        <w:bidi w:val="0"/>
        <w:rPr>
          <w:rFonts w:hint="eastAsia" w:ascii="黑体" w:hAnsi="黑体" w:eastAsia="黑体" w:cs="黑体"/>
          <w:b w:val="0"/>
          <w:bCs w:val="0"/>
          <w:sz w:val="32"/>
          <w:szCs w:val="40"/>
          <w:highlight w:val="none"/>
          <w:u w:val="none"/>
          <w:lang w:val="en-US" w:eastAsia="zh-CN"/>
        </w:rPr>
      </w:pPr>
      <w:r>
        <w:rPr>
          <w:rFonts w:hint="eastAsia" w:ascii="黑体" w:hAnsi="黑体" w:eastAsia="黑体" w:cs="黑体"/>
          <w:b w:val="0"/>
          <w:bCs w:val="0"/>
          <w:sz w:val="32"/>
          <w:szCs w:val="40"/>
          <w:highlight w:val="none"/>
          <w:u w:val="none"/>
          <w:lang w:val="en-US" w:eastAsia="zh-CN"/>
        </w:rPr>
        <w:t>1.本合同标准文本适用于购买现成货物的采购项目，不包括需要供应商定制开发、创新研发的货物采购项目。</w:t>
      </w:r>
    </w:p>
    <w:p w14:paraId="0A3519D4">
      <w:pPr>
        <w:keepLines w:val="0"/>
        <w:pageBreakBefore w:val="0"/>
        <w:kinsoku/>
        <w:wordWrap/>
        <w:overflowPunct/>
        <w:topLinePunct w:val="0"/>
        <w:bidi w:val="0"/>
        <w:rPr>
          <w:rFonts w:hint="eastAsia" w:ascii="黑体" w:hAnsi="黑体" w:eastAsia="黑体" w:cs="黑体"/>
          <w:b w:val="0"/>
          <w:bCs w:val="0"/>
          <w:sz w:val="32"/>
          <w:szCs w:val="40"/>
          <w:highlight w:val="none"/>
          <w:u w:val="none"/>
          <w:lang w:val="en-US" w:eastAsia="zh-CN"/>
        </w:rPr>
      </w:pPr>
      <w:r>
        <w:rPr>
          <w:rFonts w:hint="eastAsia" w:ascii="黑体" w:hAnsi="黑体" w:eastAsia="黑体" w:cs="黑体"/>
          <w:b w:val="0"/>
          <w:bCs w:val="0"/>
          <w:sz w:val="32"/>
          <w:szCs w:val="40"/>
          <w:highlight w:val="none"/>
          <w:u w:val="none"/>
          <w:lang w:val="en-US" w:eastAsia="zh-CN"/>
        </w:rPr>
        <w:t>2.本合同标准文本为政府采购货物买卖合同编制提供参考，可以结合采购项目具体情况，对文本做必要的调整修订后使用。</w:t>
      </w:r>
    </w:p>
    <w:p w14:paraId="33ADD6BF">
      <w:pPr>
        <w:keepLines w:val="0"/>
        <w:pageBreakBefore w:val="0"/>
        <w:kinsoku/>
        <w:wordWrap/>
        <w:overflowPunct/>
        <w:topLinePunct w:val="0"/>
        <w:bidi w:val="0"/>
        <w:rPr>
          <w:rFonts w:hint="eastAsia" w:ascii="黑体" w:hAnsi="黑体" w:eastAsia="黑体" w:cs="黑体"/>
          <w:b w:val="0"/>
          <w:bCs w:val="0"/>
          <w:sz w:val="32"/>
          <w:szCs w:val="40"/>
          <w:highlight w:val="none"/>
          <w:u w:val="none"/>
          <w:lang w:val="en-US"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b w:val="0"/>
          <w:bCs w:val="0"/>
          <w:sz w:val="32"/>
          <w:szCs w:val="40"/>
          <w:highlight w:val="none"/>
          <w:u w:val="none"/>
          <w:lang w:val="en-US" w:eastAsia="zh-CN"/>
        </w:rPr>
        <w:t>3.本合同标准文本各条款中，如涉及填写多家供应商、制造商，多种采购标的、分包主要内容等信息的，可根据采购项目具体情况添加信息项。</w:t>
      </w:r>
    </w:p>
    <w:p w14:paraId="7B35234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8"/>
          <w:szCs w:val="36"/>
          <w:highlight w:val="none"/>
          <w:lang w:val="en-US" w:eastAsia="zh-CN"/>
        </w:rPr>
      </w:pPr>
      <w:r>
        <w:rPr>
          <w:rFonts w:hint="eastAsia" w:ascii="宋体" w:hAnsi="宋体" w:eastAsia="宋体" w:cs="宋体"/>
          <w:b/>
          <w:bCs/>
          <w:sz w:val="28"/>
          <w:szCs w:val="36"/>
          <w:highlight w:val="none"/>
          <w:lang w:val="en-US" w:eastAsia="zh-CN"/>
        </w:rPr>
        <w:t>第一节 政府采购合同协议书</w:t>
      </w:r>
    </w:p>
    <w:p w14:paraId="01957DA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sz w:val="28"/>
          <w:szCs w:val="36"/>
          <w:highlight w:val="none"/>
          <w:lang w:val="en-US" w:eastAsia="zh-CN"/>
        </w:rPr>
      </w:pPr>
    </w:p>
    <w:p w14:paraId="1D5881F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甲方(全称):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(采购人、受采购人委托签订合同的单位或采购文件约定的合同甲方)</w:t>
      </w:r>
    </w:p>
    <w:p w14:paraId="5A08A71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乙方1(全称)：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(供应商)</w:t>
      </w:r>
    </w:p>
    <w:p w14:paraId="21E9440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乙方2(全称)：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(联合体成员供应商或其他合同主体》(如有)</w:t>
      </w:r>
    </w:p>
    <w:p w14:paraId="4CA9106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乙方3(全称)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(联合体成员供应商或其他合同主体)(如有)</w:t>
      </w:r>
    </w:p>
    <w:p w14:paraId="4314186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依据《中华人民共和国民法典》、《中华人民共和国政府采购法》等有关的法律法规，以及本采购项目的招标/谈判文件等采购文件、乙方的《投标(投标)文件》及《中标(成交)通知书》，甲乙双方同意签订本合同。具体情况及要求如下:</w:t>
      </w:r>
    </w:p>
    <w:p w14:paraId="2FA0C375">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1.项目信息</w:t>
      </w:r>
    </w:p>
    <w:p w14:paraId="40F6BFB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(1)采购项目名称:</w:t>
      </w:r>
      <w:r>
        <w:rPr>
          <w:rFonts w:hint="eastAsia" w:ascii="仿宋" w:hAnsi="仿宋" w:eastAsia="仿宋" w:cs="仿宋"/>
          <w:sz w:val="24"/>
          <w:szCs w:val="24"/>
          <w:highlight w:val="none"/>
          <w:u w:val="single"/>
          <w:lang w:val="en-US" w:eastAsia="zh-CN"/>
        </w:rPr>
        <w:t xml:space="preserve">                                </w:t>
      </w:r>
    </w:p>
    <w:p w14:paraId="1B15F6B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采购项目编号:</w:t>
      </w:r>
      <w:r>
        <w:rPr>
          <w:rFonts w:hint="eastAsia" w:ascii="仿宋" w:hAnsi="仿宋" w:eastAsia="仿宋" w:cs="仿宋"/>
          <w:sz w:val="24"/>
          <w:szCs w:val="24"/>
          <w:highlight w:val="none"/>
          <w:u w:val="single"/>
          <w:lang w:val="en-US" w:eastAsia="zh-CN"/>
        </w:rPr>
        <w:t xml:space="preserve">                                   </w:t>
      </w:r>
    </w:p>
    <w:p w14:paraId="3EA8BE4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(2)采购计划编号:</w:t>
      </w:r>
      <w:r>
        <w:rPr>
          <w:rFonts w:hint="eastAsia" w:ascii="仿宋" w:hAnsi="仿宋" w:eastAsia="仿宋" w:cs="仿宋"/>
          <w:sz w:val="24"/>
          <w:szCs w:val="24"/>
          <w:highlight w:val="none"/>
          <w:u w:val="single"/>
          <w:lang w:val="en-US" w:eastAsia="zh-CN"/>
        </w:rPr>
        <w:t xml:space="preserve">                                </w:t>
      </w:r>
    </w:p>
    <w:p w14:paraId="0A65F27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(3)项目内容:</w:t>
      </w:r>
    </w:p>
    <w:p w14:paraId="67C0848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采购标的及数量(台/套/个/架/组等):</w:t>
      </w:r>
      <w:r>
        <w:rPr>
          <w:rFonts w:hint="eastAsia" w:ascii="仿宋" w:hAnsi="仿宋" w:eastAsia="仿宋" w:cs="仿宋"/>
          <w:sz w:val="24"/>
          <w:szCs w:val="24"/>
          <w:highlight w:val="none"/>
          <w:u w:val="single"/>
          <w:lang w:val="en-US" w:eastAsia="zh-CN"/>
        </w:rPr>
        <w:t xml:space="preserve">                 </w:t>
      </w:r>
    </w:p>
    <w:p w14:paraId="480215C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品牌:</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 xml:space="preserve">    </w:t>
      </w:r>
      <w:r>
        <w:rPr>
          <w:rFonts w:hint="eastAsia" w:ascii="仿宋" w:hAnsi="仿宋" w:eastAsia="仿宋" w:cs="仿宋"/>
          <w:sz w:val="24"/>
          <w:szCs w:val="24"/>
          <w:highlight w:val="none"/>
          <w:lang w:val="en-US" w:eastAsia="zh-CN"/>
        </w:rPr>
        <w:t>规格型号:</w:t>
      </w:r>
      <w:r>
        <w:rPr>
          <w:rFonts w:hint="eastAsia" w:ascii="仿宋" w:hAnsi="仿宋" w:eastAsia="仿宋" w:cs="仿宋"/>
          <w:sz w:val="24"/>
          <w:szCs w:val="24"/>
          <w:highlight w:val="none"/>
          <w:u w:val="single"/>
          <w:lang w:val="en-US" w:eastAsia="zh-CN"/>
        </w:rPr>
        <w:t xml:space="preserve">              </w:t>
      </w:r>
    </w:p>
    <w:p w14:paraId="1CAE632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采购标的的技术要求、商务要求具体见附件。</w:t>
      </w:r>
    </w:p>
    <w:p w14:paraId="5872F63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①涉及信息类产品，请填写该产品关键部件的品牌、型号:</w:t>
      </w:r>
    </w:p>
    <w:p w14:paraId="2331AB4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标的名称：</w:t>
      </w:r>
      <w:r>
        <w:rPr>
          <w:rFonts w:hint="eastAsia" w:ascii="仿宋" w:hAnsi="仿宋" w:eastAsia="仿宋" w:cs="仿宋"/>
          <w:sz w:val="24"/>
          <w:szCs w:val="24"/>
          <w:highlight w:val="none"/>
          <w:u w:val="single"/>
          <w:lang w:val="en-US" w:eastAsia="zh-CN"/>
        </w:rPr>
        <w:t xml:space="preserve">                     </w:t>
      </w:r>
    </w:p>
    <w:p w14:paraId="588CCA5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关键部件:</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品牌：</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型号:</w:t>
      </w:r>
      <w:r>
        <w:rPr>
          <w:rFonts w:hint="eastAsia" w:ascii="仿宋" w:hAnsi="仿宋" w:eastAsia="仿宋" w:cs="仿宋"/>
          <w:sz w:val="24"/>
          <w:szCs w:val="24"/>
          <w:highlight w:val="none"/>
          <w:u w:val="single"/>
          <w:lang w:val="en-US" w:eastAsia="zh-CN"/>
        </w:rPr>
        <w:t xml:space="preserve">              </w:t>
      </w:r>
    </w:p>
    <w:p w14:paraId="63261F8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关键部件:</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品牌：</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型号:</w:t>
      </w:r>
      <w:r>
        <w:rPr>
          <w:rFonts w:hint="eastAsia" w:ascii="仿宋" w:hAnsi="仿宋" w:eastAsia="仿宋" w:cs="仿宋"/>
          <w:sz w:val="24"/>
          <w:szCs w:val="24"/>
          <w:highlight w:val="none"/>
          <w:u w:val="single"/>
          <w:lang w:val="en-US" w:eastAsia="zh-CN"/>
        </w:rPr>
        <w:t xml:space="preserve">             </w:t>
      </w:r>
    </w:p>
    <w:p w14:paraId="6DC86245">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关键部件:</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品牌：</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型号:</w:t>
      </w:r>
      <w:r>
        <w:rPr>
          <w:rFonts w:hint="eastAsia" w:ascii="仿宋" w:hAnsi="仿宋" w:eastAsia="仿宋" w:cs="仿宋"/>
          <w:sz w:val="24"/>
          <w:szCs w:val="24"/>
          <w:highlight w:val="none"/>
          <w:u w:val="single"/>
          <w:lang w:val="en-US" w:eastAsia="zh-CN"/>
        </w:rPr>
        <w:t xml:space="preserve">             </w:t>
      </w:r>
    </w:p>
    <w:p w14:paraId="00D1D64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(注:关键部件是指财政部会同有关部门发布的政府采购需求标准规定的需要通过国家有关部门指定的测评机构开展的安全可靠测评的软硬件，如CPU芯片、操作系统、数据库等。)</w:t>
      </w:r>
    </w:p>
    <w:p w14:paraId="3B052F2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②涉及车辆采购，请填写是否属于新能源汽车:</w:t>
      </w:r>
    </w:p>
    <w:p w14:paraId="66307FB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□是，《政府采购品品分类目录》底级品目名称: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数量:</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金额:</w:t>
      </w:r>
      <w:r>
        <w:rPr>
          <w:rFonts w:hint="eastAsia" w:ascii="仿宋" w:hAnsi="仿宋" w:eastAsia="仿宋" w:cs="仿宋"/>
          <w:sz w:val="24"/>
          <w:szCs w:val="24"/>
          <w:highlight w:val="none"/>
          <w:u w:val="single"/>
          <w:lang w:val="en-US" w:eastAsia="zh-CN"/>
        </w:rPr>
        <w:t xml:space="preserve">        </w:t>
      </w:r>
    </w:p>
    <w:p w14:paraId="401314A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6F69FB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（4）政府采购组织形式:□政府集中采购  □部门集中采购   □分散采购         (5)政府采购方式:□公开招标 □邀请招标 □竞争性谈判 □竞争性磋商</w:t>
      </w:r>
    </w:p>
    <w:p w14:paraId="09ECE24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□询价 □单一来源 □框架协议 □其他:</w:t>
      </w:r>
      <w:r>
        <w:rPr>
          <w:rFonts w:hint="eastAsia" w:ascii="仿宋" w:hAnsi="仿宋" w:eastAsia="仿宋" w:cs="仿宋"/>
          <w:sz w:val="24"/>
          <w:szCs w:val="24"/>
          <w:highlight w:val="none"/>
          <w:u w:val="single"/>
          <w:lang w:val="en-US" w:eastAsia="zh-CN"/>
        </w:rPr>
        <w:t xml:space="preserve">        </w:t>
      </w:r>
    </w:p>
    <w:p w14:paraId="4E1CF3C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(注:在框架协议采购的第二阶段，可选择使用该合同文本)</w:t>
      </w:r>
    </w:p>
    <w:p w14:paraId="20E4736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(6)中标(成交)采购标的制造商是否为中小企业:□是    □否</w:t>
      </w:r>
    </w:p>
    <w:p w14:paraId="5ABC047D">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本合同是否为专门面向中小企业的采购合同(中小企业预留合同):□是  □否</w:t>
      </w:r>
    </w:p>
    <w:p w14:paraId="281113EA">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若本项目不专门面向中小企业采购，是否给予小微企业评审优惠:□是  □否</w:t>
      </w:r>
    </w:p>
    <w:p w14:paraId="7469712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中标(成交)采购标的制造商是否为残疾人福利性单位:□是  □否</w:t>
      </w:r>
    </w:p>
    <w:p w14:paraId="5D61573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中标(成交)采购标的制造商是否为监狱企业:口是  □否</w:t>
      </w:r>
    </w:p>
    <w:p w14:paraId="42C3B5E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(7)合同是否分包:□是     □否</w:t>
      </w:r>
    </w:p>
    <w:p w14:paraId="73F59D5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分包主要内容:</w:t>
      </w:r>
      <w:r>
        <w:rPr>
          <w:rFonts w:hint="eastAsia" w:ascii="仿宋" w:hAnsi="仿宋" w:eastAsia="仿宋" w:cs="仿宋"/>
          <w:sz w:val="24"/>
          <w:szCs w:val="24"/>
          <w:highlight w:val="none"/>
          <w:u w:val="single"/>
          <w:lang w:val="en-US" w:eastAsia="zh-CN"/>
        </w:rPr>
        <w:t xml:space="preserve">                      </w:t>
      </w:r>
    </w:p>
    <w:p w14:paraId="5B2F4809">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分包供应商/制造商名称(如供应商和制造商不同，请分别填写):</w:t>
      </w:r>
    </w:p>
    <w:p w14:paraId="1501C66F">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u w:val="single"/>
          <w:lang w:val="en-US" w:eastAsia="zh-CN"/>
        </w:rPr>
        <w:t xml:space="preserve">                                                               </w:t>
      </w:r>
    </w:p>
    <w:p w14:paraId="2E219442">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分包供应商/制造商类型(如果供应商和制造商不同，只填写制造商类型):</w:t>
      </w:r>
    </w:p>
    <w:p w14:paraId="0D465763">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□大型企业    □中型企业    □小微型企业</w:t>
      </w:r>
    </w:p>
    <w:p w14:paraId="6ACED18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□残疾人福利性单位   □监狱企业   □其他</w:t>
      </w:r>
    </w:p>
    <w:p w14:paraId="0E4BEC9C">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(8)中标(成交)供应商是否为外商投资企业:□是    □否</w:t>
      </w:r>
    </w:p>
    <w:p w14:paraId="6C1383D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40" w:firstLineChars="1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外商投资企业类型:□全部由外国投资者投资  □部分由外国投资者投资</w:t>
      </w:r>
    </w:p>
    <w:p w14:paraId="4FBC0245">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（9）是否涉及进口产品:</w:t>
      </w:r>
    </w:p>
    <w:p w14:paraId="344F2D9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□是，《政府采购品目分类目录》底级品目名称: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金额:</w:t>
      </w:r>
      <w:r>
        <w:rPr>
          <w:rFonts w:hint="eastAsia" w:ascii="仿宋" w:hAnsi="仿宋" w:eastAsia="仿宋" w:cs="仿宋"/>
          <w:sz w:val="24"/>
          <w:szCs w:val="24"/>
          <w:highlight w:val="none"/>
          <w:u w:val="single"/>
          <w:lang w:val="en-US" w:eastAsia="zh-CN"/>
        </w:rPr>
        <w:t xml:space="preserve">     </w:t>
      </w:r>
    </w:p>
    <w:p w14:paraId="722344D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960" w:firstLineChars="4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国别:</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品牌:</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规格型号:</w:t>
      </w:r>
      <w:r>
        <w:rPr>
          <w:rFonts w:hint="eastAsia" w:ascii="仿宋" w:hAnsi="仿宋" w:eastAsia="仿宋" w:cs="仿宋"/>
          <w:sz w:val="24"/>
          <w:szCs w:val="24"/>
          <w:highlight w:val="none"/>
          <w:u w:val="single"/>
          <w:lang w:val="en-US" w:eastAsia="zh-CN"/>
        </w:rPr>
        <w:t xml:space="preserve">        </w:t>
      </w:r>
    </w:p>
    <w:p w14:paraId="692DB1B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6E58A437">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(10)是否涉及节能产品:</w:t>
      </w:r>
    </w:p>
    <w:p w14:paraId="1EFDE1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口是，《节能产品政府采购品目清单》的底级品目名称:</w:t>
      </w:r>
      <w:r>
        <w:rPr>
          <w:rFonts w:hint="eastAsia" w:ascii="仿宋" w:hAnsi="仿宋" w:eastAsia="仿宋" w:cs="仿宋"/>
          <w:sz w:val="24"/>
          <w:szCs w:val="24"/>
          <w:highlight w:val="none"/>
          <w:u w:val="single"/>
          <w:lang w:val="en-US" w:eastAsia="zh-CN"/>
        </w:rPr>
        <w:t xml:space="preserve">        </w:t>
      </w:r>
    </w:p>
    <w:p w14:paraId="1DABF36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口强制采购                □优先采购</w:t>
      </w:r>
    </w:p>
    <w:p w14:paraId="3B2EEC8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33677CE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是否涉及环境标志产品:</w:t>
      </w:r>
    </w:p>
    <w:p w14:paraId="4385C93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口是，《环境标志产品政府采购品目清单》的底级品目名称:</w:t>
      </w:r>
      <w:r>
        <w:rPr>
          <w:rFonts w:hint="eastAsia" w:ascii="仿宋" w:hAnsi="仿宋" w:eastAsia="仿宋" w:cs="仿宋"/>
          <w:sz w:val="24"/>
          <w:szCs w:val="24"/>
          <w:highlight w:val="none"/>
          <w:u w:val="single"/>
          <w:lang w:val="en-US" w:eastAsia="zh-CN"/>
        </w:rPr>
        <w:t xml:space="preserve">        </w:t>
      </w:r>
    </w:p>
    <w:p w14:paraId="797E9E2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口强制采购      □优先采购</w:t>
      </w:r>
    </w:p>
    <w:p w14:paraId="17E3139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2D80402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是否涉及绿色产品:</w:t>
      </w:r>
    </w:p>
    <w:p w14:paraId="2E9A4A5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□是，绿色产品政府采购相关政策确定的底级品目名称:</w:t>
      </w:r>
      <w:r>
        <w:rPr>
          <w:rFonts w:hint="eastAsia" w:ascii="仿宋" w:hAnsi="仿宋" w:eastAsia="仿宋" w:cs="仿宋"/>
          <w:sz w:val="24"/>
          <w:szCs w:val="24"/>
          <w:highlight w:val="none"/>
          <w:u w:val="single"/>
          <w:lang w:val="en-US" w:eastAsia="zh-CN"/>
        </w:rPr>
        <w:t xml:space="preserve">             </w:t>
      </w:r>
    </w:p>
    <w:p w14:paraId="6B3F63F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□强制采购      □优先采购</w:t>
      </w:r>
    </w:p>
    <w:p w14:paraId="2FD3306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56E1711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(11)涉及商品包装和快递包装的，是否参考《商品包装政府采购需求标准(试行)》、《快递包装政府采购需求标准(试行)》明确产品及相关快递服务的具体包装要求:</w:t>
      </w:r>
    </w:p>
    <w:p w14:paraId="5A7C8E8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          □否             □不涉及</w:t>
      </w:r>
    </w:p>
    <w:p w14:paraId="2943F06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2.合同金额</w:t>
      </w:r>
    </w:p>
    <w:p w14:paraId="21C9E1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(1)合同金额小写:</w:t>
      </w:r>
      <w:r>
        <w:rPr>
          <w:rFonts w:hint="eastAsia" w:ascii="仿宋" w:hAnsi="仿宋" w:eastAsia="仿宋" w:cs="仿宋"/>
          <w:sz w:val="24"/>
          <w:szCs w:val="24"/>
          <w:highlight w:val="none"/>
          <w:u w:val="single"/>
          <w:lang w:val="en-US" w:eastAsia="zh-CN"/>
        </w:rPr>
        <w:t xml:space="preserve">                   </w:t>
      </w:r>
    </w:p>
    <w:p w14:paraId="1264012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1920" w:firstLineChars="8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大写:</w:t>
      </w:r>
      <w:r>
        <w:rPr>
          <w:rFonts w:hint="eastAsia" w:ascii="仿宋" w:hAnsi="仿宋" w:eastAsia="仿宋" w:cs="仿宋"/>
          <w:sz w:val="24"/>
          <w:szCs w:val="24"/>
          <w:highlight w:val="none"/>
          <w:u w:val="single"/>
          <w:lang w:val="en-US" w:eastAsia="zh-CN"/>
        </w:rPr>
        <w:t xml:space="preserve">                  </w:t>
      </w:r>
    </w:p>
    <w:p w14:paraId="185B1DB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分包金额(如有)小写:</w:t>
      </w:r>
      <w:r>
        <w:rPr>
          <w:rFonts w:hint="eastAsia" w:ascii="仿宋" w:hAnsi="仿宋" w:eastAsia="仿宋" w:cs="仿宋"/>
          <w:sz w:val="24"/>
          <w:szCs w:val="24"/>
          <w:highlight w:val="none"/>
          <w:u w:val="single"/>
          <w:lang w:val="en-US" w:eastAsia="zh-CN"/>
        </w:rPr>
        <w:t xml:space="preserve">              </w:t>
      </w:r>
    </w:p>
    <w:p w14:paraId="5911C0A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160" w:firstLineChars="9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大写:</w:t>
      </w:r>
      <w:r>
        <w:rPr>
          <w:rFonts w:hint="eastAsia" w:ascii="仿宋" w:hAnsi="仿宋" w:eastAsia="仿宋" w:cs="仿宋"/>
          <w:sz w:val="24"/>
          <w:szCs w:val="24"/>
          <w:highlight w:val="none"/>
          <w:u w:val="single"/>
          <w:lang w:val="en-US" w:eastAsia="zh-CN"/>
        </w:rPr>
        <w:t xml:space="preserve">                </w:t>
      </w:r>
    </w:p>
    <w:p w14:paraId="714466A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(注:固定单价合同应填写单价和最高限价)</w:t>
      </w:r>
    </w:p>
    <w:p w14:paraId="685F69F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(2)合同定价方式(采用组合定价方式的，可以勾选多项):</w:t>
      </w:r>
    </w:p>
    <w:p w14:paraId="1F5FFA9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□固定总价 □固定单价 □固定费率 □成本补偿 □绩效激励 □其他</w:t>
      </w:r>
      <w:r>
        <w:rPr>
          <w:rFonts w:hint="eastAsia" w:ascii="仿宋" w:hAnsi="仿宋" w:eastAsia="仿宋" w:cs="仿宋"/>
          <w:sz w:val="24"/>
          <w:szCs w:val="24"/>
          <w:highlight w:val="none"/>
          <w:u w:val="single"/>
          <w:lang w:val="en-US" w:eastAsia="zh-CN"/>
        </w:rPr>
        <w:t xml:space="preserve">    </w:t>
      </w:r>
    </w:p>
    <w:p w14:paraId="3A8D0C7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(3)付款方式(按项目实际勾选填写):</w:t>
      </w:r>
    </w:p>
    <w:p w14:paraId="73F17DC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□全额付款:</w:t>
      </w:r>
      <w:r>
        <w:rPr>
          <w:rFonts w:hint="eastAsia" w:ascii="仿宋" w:hAnsi="仿宋" w:eastAsia="仿宋" w:cs="仿宋"/>
          <w:sz w:val="24"/>
          <w:szCs w:val="24"/>
          <w:highlight w:val="none"/>
          <w:u w:val="single"/>
          <w:lang w:val="en-US" w:eastAsia="zh-CN"/>
        </w:rPr>
        <w:t xml:space="preserve">  (应明确一次性支付合同款项的条件)     </w:t>
      </w:r>
    </w:p>
    <w:p w14:paraId="5395DEF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□分期付款:</w:t>
      </w:r>
      <w:r>
        <w:rPr>
          <w:rFonts w:hint="eastAsia" w:ascii="仿宋" w:hAnsi="仿宋" w:eastAsia="仿宋" w:cs="仿宋"/>
          <w:sz w:val="24"/>
          <w:szCs w:val="24"/>
          <w:highlight w:val="none"/>
          <w:u w:val="single"/>
          <w:lang w:val="en-US" w:eastAsia="zh-CN"/>
        </w:rPr>
        <w:t>(应明确分期支付合同款项的各期比例和支付条件，各期支付条件应与分期履约验收情况挂钩)</w:t>
      </w:r>
      <w:r>
        <w:rPr>
          <w:rFonts w:hint="eastAsia" w:ascii="仿宋" w:hAnsi="仿宋" w:eastAsia="仿宋" w:cs="仿宋"/>
          <w:sz w:val="24"/>
          <w:szCs w:val="24"/>
          <w:highlight w:val="none"/>
          <w:lang w:val="en-US" w:eastAsia="zh-CN"/>
        </w:rPr>
        <w:t>，其中涉及预付款的:</w:t>
      </w:r>
      <w:r>
        <w:rPr>
          <w:rFonts w:hint="eastAsia" w:ascii="仿宋" w:hAnsi="仿宋" w:eastAsia="仿宋" w:cs="仿宋"/>
          <w:sz w:val="24"/>
          <w:szCs w:val="24"/>
          <w:highlight w:val="none"/>
          <w:u w:val="single"/>
          <w:lang w:val="en-US" w:eastAsia="zh-CN"/>
        </w:rPr>
        <w:t xml:space="preserve">(应明确预付款的支付比例和支付条件)  </w:t>
      </w:r>
    </w:p>
    <w:p w14:paraId="57D7117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 xml:space="preserve">□成本补偿: </w:t>
      </w:r>
      <w:r>
        <w:rPr>
          <w:rFonts w:hint="eastAsia" w:ascii="仿宋" w:hAnsi="仿宋" w:eastAsia="仿宋" w:cs="仿宋"/>
          <w:sz w:val="24"/>
          <w:szCs w:val="24"/>
          <w:highlight w:val="none"/>
          <w:u w:val="single"/>
          <w:lang w:val="en-US" w:eastAsia="zh-CN"/>
        </w:rPr>
        <w:t xml:space="preserve">(应明确按照成本补偿方式的支付方式和支付条件)  </w:t>
      </w:r>
    </w:p>
    <w:p w14:paraId="660968B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□绩效激励</w:t>
      </w:r>
      <w:r>
        <w:rPr>
          <w:rFonts w:hint="eastAsia" w:ascii="仿宋" w:hAnsi="仿宋" w:eastAsia="仿宋" w:cs="仿宋"/>
          <w:sz w:val="24"/>
          <w:szCs w:val="24"/>
          <w:highlight w:val="none"/>
          <w:u w:val="single"/>
          <w:lang w:val="en-US" w:eastAsia="zh-CN"/>
        </w:rPr>
        <w:t xml:space="preserve">(应明确按照绩效激励方式的支付方式和支付条件)    </w:t>
      </w:r>
    </w:p>
    <w:p w14:paraId="62C5E77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3.合同履行</w:t>
      </w:r>
    </w:p>
    <w:p w14:paraId="45B878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(1)起始日期:__年</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月</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日，完成日期:___年</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月</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日。</w:t>
      </w:r>
    </w:p>
    <w:p w14:paraId="54339C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(2)履约地点:</w:t>
      </w:r>
      <w:r>
        <w:rPr>
          <w:rFonts w:hint="eastAsia" w:ascii="仿宋" w:hAnsi="仿宋" w:eastAsia="仿宋" w:cs="仿宋"/>
          <w:sz w:val="24"/>
          <w:szCs w:val="24"/>
          <w:highlight w:val="none"/>
          <w:u w:val="single"/>
          <w:lang w:val="en-US" w:eastAsia="zh-CN"/>
        </w:rPr>
        <w:t xml:space="preserve">                          </w:t>
      </w:r>
    </w:p>
    <w:p w14:paraId="3C9859B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(3)履约担保:是否收取履约保证金:□是   □否</w:t>
      </w:r>
    </w:p>
    <w:p w14:paraId="22D56A6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收取履约保证金形式:</w:t>
      </w:r>
      <w:r>
        <w:rPr>
          <w:rFonts w:hint="eastAsia" w:ascii="仿宋" w:hAnsi="仿宋" w:eastAsia="仿宋" w:cs="仿宋"/>
          <w:sz w:val="24"/>
          <w:szCs w:val="24"/>
          <w:highlight w:val="none"/>
          <w:u w:val="single"/>
          <w:lang w:val="en-US" w:eastAsia="zh-CN"/>
        </w:rPr>
        <w:t xml:space="preserve">                          </w:t>
      </w:r>
    </w:p>
    <w:p w14:paraId="1B6C1F6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收取履约保证金金额:</w:t>
      </w:r>
      <w:r>
        <w:rPr>
          <w:rFonts w:hint="eastAsia" w:ascii="仿宋" w:hAnsi="仿宋" w:eastAsia="仿宋" w:cs="仿宋"/>
          <w:sz w:val="24"/>
          <w:szCs w:val="24"/>
          <w:highlight w:val="none"/>
          <w:u w:val="single"/>
          <w:lang w:val="en-US" w:eastAsia="zh-CN"/>
        </w:rPr>
        <w:t xml:space="preserve">                            </w:t>
      </w:r>
    </w:p>
    <w:p w14:paraId="348CDE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履约担保期限:</w:t>
      </w:r>
      <w:r>
        <w:rPr>
          <w:rFonts w:hint="eastAsia" w:ascii="仿宋" w:hAnsi="仿宋" w:eastAsia="仿宋" w:cs="仿宋"/>
          <w:sz w:val="24"/>
          <w:szCs w:val="24"/>
          <w:highlight w:val="none"/>
          <w:u w:val="single"/>
          <w:lang w:val="en-US" w:eastAsia="zh-CN"/>
        </w:rPr>
        <w:t xml:space="preserve">                                  </w:t>
      </w:r>
    </w:p>
    <w:p w14:paraId="35074E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(4)分期履行要求:</w:t>
      </w:r>
      <w:r>
        <w:rPr>
          <w:rFonts w:hint="eastAsia" w:ascii="仿宋" w:hAnsi="仿宋" w:eastAsia="仿宋" w:cs="仿宋"/>
          <w:sz w:val="24"/>
          <w:szCs w:val="24"/>
          <w:highlight w:val="none"/>
          <w:u w:val="single"/>
          <w:lang w:val="en-US" w:eastAsia="zh-CN"/>
        </w:rPr>
        <w:t xml:space="preserve">                               </w:t>
      </w:r>
    </w:p>
    <w:p w14:paraId="5EEFC8E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sz w:val="24"/>
          <w:szCs w:val="24"/>
          <w:highlight w:val="none"/>
          <w:lang w:val="en-US" w:eastAsia="zh-CN"/>
        </w:rPr>
        <w:t>(5)风险处置措施和替代方案:</w:t>
      </w:r>
      <w:r>
        <w:rPr>
          <w:rFonts w:hint="eastAsia" w:ascii="仿宋" w:hAnsi="仿宋" w:eastAsia="仿宋" w:cs="仿宋"/>
          <w:sz w:val="24"/>
          <w:szCs w:val="24"/>
          <w:highlight w:val="none"/>
          <w:u w:val="single"/>
          <w:lang w:val="en-US" w:eastAsia="zh-CN"/>
        </w:rPr>
        <w:t xml:space="preserve">                     </w:t>
      </w:r>
    </w:p>
    <w:p w14:paraId="7F606D0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(1)验收组织方式:□自行组织  □委托第三方组织</w:t>
      </w:r>
    </w:p>
    <w:p w14:paraId="2E76CF1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验收主体:</w:t>
      </w:r>
      <w:r>
        <w:rPr>
          <w:rFonts w:hint="eastAsia" w:ascii="仿宋" w:hAnsi="仿宋" w:eastAsia="仿宋" w:cs="仿宋"/>
          <w:sz w:val="24"/>
          <w:szCs w:val="24"/>
          <w:highlight w:val="none"/>
          <w:u w:val="single"/>
          <w:lang w:val="en-US" w:eastAsia="zh-CN"/>
        </w:rPr>
        <w:t xml:space="preserve">                          </w:t>
      </w:r>
    </w:p>
    <w:p w14:paraId="7C0F46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是否邀请本项目的其他供应商参加验收:□是   □否</w:t>
      </w:r>
    </w:p>
    <w:p w14:paraId="591BE64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是否邀请专家参加验收:□是     □否</w:t>
      </w:r>
    </w:p>
    <w:p w14:paraId="619EC63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是否邀请服务对象参加验收:□是  □否</w:t>
      </w:r>
    </w:p>
    <w:p w14:paraId="0C08545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是否邀请第三方检测机构参加验收:□是  □否</w:t>
      </w:r>
    </w:p>
    <w:p w14:paraId="4CCCBC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是否进行抽查检测:□是，抽查比例:</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 xml:space="preserve"> □否</w:t>
      </w:r>
    </w:p>
    <w:p w14:paraId="7741775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是否存在破坏性检测: □是，</w:t>
      </w:r>
      <w:r>
        <w:rPr>
          <w:rFonts w:hint="eastAsia" w:ascii="仿宋" w:hAnsi="仿宋" w:eastAsia="仿宋" w:cs="仿宋"/>
          <w:sz w:val="24"/>
          <w:szCs w:val="24"/>
          <w:highlight w:val="none"/>
          <w:u w:val="single"/>
          <w:lang w:val="en-US" w:eastAsia="zh-CN"/>
        </w:rPr>
        <w:t>(应明确对被破坏的检测产品的处理方式)</w:t>
      </w:r>
    </w:p>
    <w:p w14:paraId="3434B2F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880" w:firstLineChars="1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□否</w:t>
      </w:r>
    </w:p>
    <w:p w14:paraId="3A320A0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验收组织的其他事项:</w:t>
      </w:r>
      <w:r>
        <w:rPr>
          <w:rFonts w:hint="eastAsia" w:ascii="仿宋" w:hAnsi="仿宋" w:eastAsia="仿宋" w:cs="仿宋"/>
          <w:sz w:val="24"/>
          <w:szCs w:val="24"/>
          <w:highlight w:val="none"/>
          <w:u w:val="single"/>
          <w:lang w:val="en-US" w:eastAsia="zh-CN"/>
        </w:rPr>
        <w:t xml:space="preserve">              </w:t>
      </w:r>
    </w:p>
    <w:p w14:paraId="65EF05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(2)履约验收时间:</w:t>
      </w:r>
      <w:r>
        <w:rPr>
          <w:rFonts w:hint="eastAsia" w:ascii="仿宋" w:hAnsi="仿宋" w:eastAsia="仿宋" w:cs="仿宋"/>
          <w:sz w:val="24"/>
          <w:szCs w:val="24"/>
          <w:highlight w:val="none"/>
          <w:u w:val="single"/>
          <w:lang w:val="en-US" w:eastAsia="zh-CN"/>
        </w:rPr>
        <w:t>(计划于何时验收/供应商提出验收申请之日起日内组织验收)</w:t>
      </w:r>
    </w:p>
    <w:p w14:paraId="106BBA4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(3)履约验收方式:□一次性验收</w:t>
      </w:r>
    </w:p>
    <w:p w14:paraId="7EC3639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2400" w:firstLineChars="10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□分期/分项验收:</w:t>
      </w:r>
      <w:r>
        <w:rPr>
          <w:rFonts w:hint="eastAsia" w:ascii="仿宋" w:hAnsi="仿宋" w:eastAsia="仿宋" w:cs="仿宋"/>
          <w:sz w:val="24"/>
          <w:szCs w:val="24"/>
          <w:highlight w:val="none"/>
          <w:u w:val="single"/>
          <w:lang w:val="en-US" w:eastAsia="zh-CN"/>
        </w:rPr>
        <w:t>(应明确分期分项验收的工作安排)</w:t>
      </w:r>
    </w:p>
    <w:p w14:paraId="4BC65A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(4)履约验收程序:</w:t>
      </w:r>
      <w:r>
        <w:rPr>
          <w:rFonts w:hint="eastAsia" w:ascii="仿宋" w:hAnsi="仿宋" w:eastAsia="仿宋" w:cs="仿宋"/>
          <w:sz w:val="24"/>
          <w:szCs w:val="24"/>
          <w:highlight w:val="none"/>
          <w:u w:val="single"/>
          <w:lang w:val="en-US" w:eastAsia="zh-CN"/>
        </w:rPr>
        <w:t xml:space="preserve">                              </w:t>
      </w:r>
    </w:p>
    <w:p w14:paraId="2A506D1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(5)履约验收的内容:(</w:t>
      </w:r>
      <w:r>
        <w:rPr>
          <w:rFonts w:hint="eastAsia" w:ascii="仿宋" w:hAnsi="仿宋" w:eastAsia="仿宋" w:cs="仿宋"/>
          <w:sz w:val="24"/>
          <w:szCs w:val="24"/>
          <w:highlight w:val="none"/>
          <w:u w:val="single"/>
          <w:lang w:val="en-US" w:eastAsia="zh-CN"/>
        </w:rPr>
        <w:t xml:space="preserve">应当包括每一项技术和商务要求的履约情况，特别是落实政府采购扶持中小企业，支持绿色发展和乡村振兴等政策情况)     </w:t>
      </w:r>
    </w:p>
    <w:p w14:paraId="238973F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(6)履约验收标准:</w:t>
      </w:r>
      <w:r>
        <w:rPr>
          <w:rFonts w:hint="eastAsia" w:ascii="仿宋" w:hAnsi="仿宋" w:eastAsia="仿宋" w:cs="仿宋"/>
          <w:sz w:val="24"/>
          <w:szCs w:val="24"/>
          <w:highlight w:val="none"/>
          <w:u w:val="single"/>
          <w:lang w:val="en-US" w:eastAsia="zh-CN"/>
        </w:rPr>
        <w:t xml:space="preserve">                        </w:t>
      </w:r>
    </w:p>
    <w:p w14:paraId="333D37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(7)是否以采购活动中供应商提供的样品作为参考:□是   □否</w:t>
      </w:r>
    </w:p>
    <w:p w14:paraId="2E74495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(8)履约验收其他事项:</w:t>
      </w:r>
      <w:r>
        <w:rPr>
          <w:rFonts w:hint="eastAsia" w:ascii="仿宋" w:hAnsi="仿宋" w:eastAsia="仿宋" w:cs="仿宋"/>
          <w:sz w:val="24"/>
          <w:szCs w:val="24"/>
          <w:highlight w:val="none"/>
          <w:u w:val="single"/>
          <w:lang w:val="en-US" w:eastAsia="zh-CN"/>
        </w:rPr>
        <w:t xml:space="preserve">(产权过户登记等)    </w:t>
      </w:r>
    </w:p>
    <w:p w14:paraId="4D2176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5.组成合同的文件</w:t>
      </w:r>
    </w:p>
    <w:p w14:paraId="47E4D3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本协议书与下列文件一起构成合同文件，如下述文件之间有任何抵触、矛盾或歧义，应按以下顺序解释:</w:t>
      </w:r>
    </w:p>
    <w:p w14:paraId="5F18C04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(1)政府采购合同协议书及其变更、补充协议</w:t>
      </w:r>
    </w:p>
    <w:p w14:paraId="6D2CEC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(2)政府采购合同专用条款</w:t>
      </w:r>
    </w:p>
    <w:p w14:paraId="3E6CEBE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(3)政府采购合同通用条款</w:t>
      </w:r>
    </w:p>
    <w:p w14:paraId="5D9C6C0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(4)中标(成交)通知书</w:t>
      </w:r>
    </w:p>
    <w:p w14:paraId="4E4E7F0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(5)投标(投标)文件</w:t>
      </w:r>
    </w:p>
    <w:p w14:paraId="6C7A47D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(6)采购文件</w:t>
      </w:r>
    </w:p>
    <w:p w14:paraId="37D03BE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(7)有关技术文件，图纸</w:t>
      </w:r>
    </w:p>
    <w:p w14:paraId="798187D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(8)国家法律、行政法规和规章制度规定或合同约定的作为合同组成部分的其他文件。</w:t>
      </w:r>
    </w:p>
    <w:p w14:paraId="32D408A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6.合同生效</w:t>
      </w:r>
    </w:p>
    <w:p w14:paraId="2FE30A8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本合同自</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生效。</w:t>
      </w:r>
    </w:p>
    <w:p w14:paraId="749FA62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7.合同份数</w:t>
      </w:r>
    </w:p>
    <w:p w14:paraId="2F92051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本合同一式</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份，甲方执</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份，甲乙双方各执</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份，均具有同等法律效力。</w:t>
      </w:r>
    </w:p>
    <w:p w14:paraId="37CD4F3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合同订立时间:</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年</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月</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日</w:t>
      </w:r>
    </w:p>
    <w:p w14:paraId="301143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en-US" w:eastAsia="zh-CN"/>
        </w:rPr>
        <w:t>合同订立地点:</w:t>
      </w:r>
      <w:r>
        <w:rPr>
          <w:rFonts w:hint="eastAsia" w:ascii="仿宋" w:hAnsi="仿宋" w:eastAsia="仿宋" w:cs="仿宋"/>
          <w:sz w:val="24"/>
          <w:szCs w:val="24"/>
          <w:highlight w:val="none"/>
          <w:u w:val="single"/>
          <w:lang w:val="en-US" w:eastAsia="zh-CN"/>
        </w:rPr>
        <w:t xml:space="preserve">                      </w:t>
      </w:r>
    </w:p>
    <w:p w14:paraId="56D2B93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lang w:val="en-US" w:eastAsia="zh-CN"/>
        </w:rPr>
        <w:t>附件:具体标的及其技术要求和商务要求、联合协议、分包意向协议等。</w:t>
      </w:r>
      <w:r>
        <w:rPr>
          <w:rFonts w:hint="eastAsia" w:ascii="仿宋" w:hAnsi="仿宋" w:eastAsia="仿宋" w:cs="仿宋"/>
          <w:sz w:val="24"/>
          <w:szCs w:val="24"/>
          <w:highlight w:val="none"/>
          <w:lang w:val="en-US" w:eastAsia="zh-CN"/>
        </w:rPr>
        <w:br w:type="textWrapping"/>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2297"/>
        <w:gridCol w:w="2351"/>
        <w:gridCol w:w="2271"/>
      </w:tblGrid>
      <w:tr w14:paraId="2D90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6" w:type="dxa"/>
            <w:gridSpan w:val="2"/>
            <w:vAlign w:val="center"/>
          </w:tcPr>
          <w:p w14:paraId="4A6B606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甲方(采购人、受采购人委托签订合同的单位或采购文件约定的合同甲方)</w:t>
            </w:r>
          </w:p>
        </w:tc>
        <w:tc>
          <w:tcPr>
            <w:tcW w:w="4928" w:type="dxa"/>
            <w:gridSpan w:val="2"/>
            <w:vAlign w:val="center"/>
          </w:tcPr>
          <w:p w14:paraId="7538479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乙方(供应商)</w:t>
            </w:r>
          </w:p>
        </w:tc>
      </w:tr>
      <w:tr w14:paraId="6B1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Align w:val="center"/>
          </w:tcPr>
          <w:p w14:paraId="5525692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单位名称(公章或合同章)</w:t>
            </w:r>
          </w:p>
        </w:tc>
        <w:tc>
          <w:tcPr>
            <w:tcW w:w="2463" w:type="dxa"/>
            <w:vAlign w:val="center"/>
          </w:tcPr>
          <w:p w14:paraId="4770B6D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314A964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单位名称(公章或合同章)</w:t>
            </w:r>
          </w:p>
        </w:tc>
        <w:tc>
          <w:tcPr>
            <w:tcW w:w="2435" w:type="dxa"/>
            <w:vAlign w:val="center"/>
          </w:tcPr>
          <w:p w14:paraId="2E7E5AF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1B7D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Merge w:val="restart"/>
            <w:vAlign w:val="center"/>
          </w:tcPr>
          <w:p w14:paraId="79D1AC9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法定代表人或其委托代理人(签章)</w:t>
            </w:r>
          </w:p>
        </w:tc>
        <w:tc>
          <w:tcPr>
            <w:tcW w:w="2463" w:type="dxa"/>
            <w:vMerge w:val="restart"/>
            <w:vAlign w:val="center"/>
          </w:tcPr>
          <w:p w14:paraId="2ABE600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18314EE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法定代表人或其委托代理人(签章)</w:t>
            </w:r>
          </w:p>
        </w:tc>
        <w:tc>
          <w:tcPr>
            <w:tcW w:w="2435" w:type="dxa"/>
            <w:vAlign w:val="center"/>
          </w:tcPr>
          <w:p w14:paraId="2380CC5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2EC4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3" w:type="dxa"/>
            <w:vMerge w:val="continue"/>
            <w:vAlign w:val="center"/>
          </w:tcPr>
          <w:p w14:paraId="12ABFB2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63" w:type="dxa"/>
            <w:vMerge w:val="continue"/>
            <w:vAlign w:val="center"/>
          </w:tcPr>
          <w:p w14:paraId="137595A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33110E1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拥有者性别</w:t>
            </w:r>
          </w:p>
        </w:tc>
        <w:tc>
          <w:tcPr>
            <w:tcW w:w="2435" w:type="dxa"/>
            <w:vAlign w:val="center"/>
          </w:tcPr>
          <w:p w14:paraId="518961B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32C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3" w:type="dxa"/>
            <w:vAlign w:val="center"/>
          </w:tcPr>
          <w:p w14:paraId="77EFD79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住所</w:t>
            </w:r>
          </w:p>
        </w:tc>
        <w:tc>
          <w:tcPr>
            <w:tcW w:w="2463" w:type="dxa"/>
            <w:vAlign w:val="center"/>
          </w:tcPr>
          <w:p w14:paraId="46F19D1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249980D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住所</w:t>
            </w:r>
          </w:p>
        </w:tc>
        <w:tc>
          <w:tcPr>
            <w:tcW w:w="2435" w:type="dxa"/>
            <w:vAlign w:val="center"/>
          </w:tcPr>
          <w:p w14:paraId="6176BCC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6E91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463" w:type="dxa"/>
            <w:vAlign w:val="center"/>
          </w:tcPr>
          <w:p w14:paraId="30B1F28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联系人</w:t>
            </w:r>
          </w:p>
        </w:tc>
        <w:tc>
          <w:tcPr>
            <w:tcW w:w="2463" w:type="dxa"/>
            <w:vAlign w:val="center"/>
          </w:tcPr>
          <w:p w14:paraId="123DF84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033AE3E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联系人</w:t>
            </w:r>
          </w:p>
        </w:tc>
        <w:tc>
          <w:tcPr>
            <w:tcW w:w="2435" w:type="dxa"/>
            <w:vAlign w:val="center"/>
          </w:tcPr>
          <w:p w14:paraId="0A95E1E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2529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463" w:type="dxa"/>
            <w:vAlign w:val="center"/>
          </w:tcPr>
          <w:p w14:paraId="4188A66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联系电话</w:t>
            </w:r>
          </w:p>
        </w:tc>
        <w:tc>
          <w:tcPr>
            <w:tcW w:w="2463" w:type="dxa"/>
            <w:vAlign w:val="center"/>
          </w:tcPr>
          <w:p w14:paraId="1BAC693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77AD71C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联系电话</w:t>
            </w:r>
          </w:p>
        </w:tc>
        <w:tc>
          <w:tcPr>
            <w:tcW w:w="2435" w:type="dxa"/>
            <w:vAlign w:val="center"/>
          </w:tcPr>
          <w:p w14:paraId="0433098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70F1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463" w:type="dxa"/>
            <w:vAlign w:val="center"/>
          </w:tcPr>
          <w:p w14:paraId="7E6DC61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通信地址</w:t>
            </w:r>
          </w:p>
        </w:tc>
        <w:tc>
          <w:tcPr>
            <w:tcW w:w="2463" w:type="dxa"/>
            <w:vAlign w:val="center"/>
          </w:tcPr>
          <w:p w14:paraId="6F19010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38FDB55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通信地址</w:t>
            </w:r>
          </w:p>
        </w:tc>
        <w:tc>
          <w:tcPr>
            <w:tcW w:w="2435" w:type="dxa"/>
            <w:vAlign w:val="center"/>
          </w:tcPr>
          <w:p w14:paraId="614D21C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1CEF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463" w:type="dxa"/>
            <w:vAlign w:val="center"/>
          </w:tcPr>
          <w:p w14:paraId="4205E9E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邮政编码</w:t>
            </w:r>
          </w:p>
        </w:tc>
        <w:tc>
          <w:tcPr>
            <w:tcW w:w="2463" w:type="dxa"/>
            <w:vAlign w:val="center"/>
          </w:tcPr>
          <w:p w14:paraId="5A0B4A1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26817DD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邮政编码</w:t>
            </w:r>
          </w:p>
        </w:tc>
        <w:tc>
          <w:tcPr>
            <w:tcW w:w="2435" w:type="dxa"/>
            <w:vAlign w:val="center"/>
          </w:tcPr>
          <w:p w14:paraId="5BE21D6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0C0B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63" w:type="dxa"/>
            <w:vAlign w:val="center"/>
          </w:tcPr>
          <w:p w14:paraId="7361831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电子邮箱</w:t>
            </w:r>
          </w:p>
        </w:tc>
        <w:tc>
          <w:tcPr>
            <w:tcW w:w="2463" w:type="dxa"/>
            <w:vAlign w:val="center"/>
          </w:tcPr>
          <w:p w14:paraId="228B1BE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03CF4A7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电子邮箱</w:t>
            </w:r>
          </w:p>
        </w:tc>
        <w:tc>
          <w:tcPr>
            <w:tcW w:w="2435" w:type="dxa"/>
            <w:vAlign w:val="center"/>
          </w:tcPr>
          <w:p w14:paraId="0EECE80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63E4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2463" w:type="dxa"/>
            <w:vAlign w:val="center"/>
          </w:tcPr>
          <w:p w14:paraId="03FD617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统一社会信用代</w:t>
            </w:r>
          </w:p>
          <w:p w14:paraId="46A379C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码</w:t>
            </w:r>
          </w:p>
        </w:tc>
        <w:tc>
          <w:tcPr>
            <w:tcW w:w="2463" w:type="dxa"/>
            <w:vAlign w:val="center"/>
          </w:tcPr>
          <w:p w14:paraId="1002D26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6315C3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统一社会信用代码</w:t>
            </w:r>
          </w:p>
        </w:tc>
        <w:tc>
          <w:tcPr>
            <w:tcW w:w="2435" w:type="dxa"/>
            <w:vAlign w:val="center"/>
          </w:tcPr>
          <w:p w14:paraId="40F302D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6BB6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463" w:type="dxa"/>
            <w:vAlign w:val="center"/>
          </w:tcPr>
          <w:p w14:paraId="72A6C0A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63" w:type="dxa"/>
            <w:vAlign w:val="center"/>
          </w:tcPr>
          <w:p w14:paraId="4E380A3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4414D07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开户名称</w:t>
            </w:r>
          </w:p>
        </w:tc>
        <w:tc>
          <w:tcPr>
            <w:tcW w:w="2435" w:type="dxa"/>
            <w:vAlign w:val="center"/>
          </w:tcPr>
          <w:p w14:paraId="6181A6E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231A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63" w:type="dxa"/>
            <w:vAlign w:val="center"/>
          </w:tcPr>
          <w:p w14:paraId="2DFA69B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63" w:type="dxa"/>
            <w:vAlign w:val="center"/>
          </w:tcPr>
          <w:p w14:paraId="55A91F7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6A8380B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开户银行</w:t>
            </w:r>
          </w:p>
        </w:tc>
        <w:tc>
          <w:tcPr>
            <w:tcW w:w="2435" w:type="dxa"/>
            <w:vAlign w:val="center"/>
          </w:tcPr>
          <w:p w14:paraId="5FAD50A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542F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463" w:type="dxa"/>
            <w:vAlign w:val="center"/>
          </w:tcPr>
          <w:p w14:paraId="1A28FD3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63" w:type="dxa"/>
            <w:vAlign w:val="center"/>
          </w:tcPr>
          <w:p w14:paraId="14B7EE0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c>
          <w:tcPr>
            <w:tcW w:w="2493" w:type="dxa"/>
            <w:vAlign w:val="center"/>
          </w:tcPr>
          <w:p w14:paraId="0D0ED4A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银行账号</w:t>
            </w:r>
          </w:p>
        </w:tc>
        <w:tc>
          <w:tcPr>
            <w:tcW w:w="2435" w:type="dxa"/>
            <w:vAlign w:val="center"/>
          </w:tcPr>
          <w:p w14:paraId="3CCD16E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24"/>
                <w:szCs w:val="24"/>
                <w:highlight w:val="none"/>
                <w:vertAlign w:val="baseline"/>
                <w:lang w:val="en-US" w:eastAsia="zh-CN"/>
              </w:rPr>
            </w:pPr>
          </w:p>
        </w:tc>
      </w:tr>
      <w:tr w14:paraId="2E49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9854" w:type="dxa"/>
            <w:gridSpan w:val="4"/>
            <w:vAlign w:val="center"/>
          </w:tcPr>
          <w:p w14:paraId="2ED393F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注:涉及联合体或其他合同主体的信息应按上表格式加列。</w:t>
            </w:r>
          </w:p>
        </w:tc>
      </w:tr>
    </w:tbl>
    <w:p w14:paraId="6461BDA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highlight w:val="none"/>
          <w:lang w:val="en-US" w:eastAsia="zh-CN"/>
        </w:rPr>
      </w:pPr>
    </w:p>
    <w:p w14:paraId="187B438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第二节 政府采购合同通用条款</w:t>
      </w:r>
    </w:p>
    <w:p w14:paraId="0EF7DCF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1.定义</w:t>
      </w:r>
    </w:p>
    <w:p w14:paraId="7DF04ED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1.1合同当事人</w:t>
      </w:r>
    </w:p>
    <w:p w14:paraId="7F63D7D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(1)采购人(以下称甲方)是指使用财政性资金，通过政府采购方式向供应商购买货物及其相关服务的国家机关、事业单位、团体组织。</w:t>
      </w:r>
    </w:p>
    <w:p w14:paraId="73EF12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(2)供应商(以下称乙方)是指参加政府采购活动并且中标(成交)，向采购人提供合同约定的货物及其相关服务的法人、非法人组织或者自然人。</w:t>
      </w:r>
    </w:p>
    <w:p w14:paraId="60E9A9A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(3)其他合同主体是指除采购人和供应商以外，依法参与合同缔结或履行，享有权利、承担义务的合同当事人。</w:t>
      </w:r>
    </w:p>
    <w:p w14:paraId="36A282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1.2本合同下列术语应解释为:</w:t>
      </w:r>
    </w:p>
    <w:p w14:paraId="392C70C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合同”系指合同当事人意思表示达成一致的任何协议，包括签署的政府采购合同协议书及其变更、补充协议，政府采购合同专用条款，政府采购合同通用条款，中标(成交)通知书，投标(投标)文件，采购文件，有关技术文件和图纸，以及国家法律、行政法规和规章制度规定或合同约定的作为合同组成部分的其他文件。</w:t>
      </w:r>
    </w:p>
    <w:p w14:paraId="17823A1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(2)“合同价款”系指根据本合同规定乙方在全面履行合同义务后甲方应支付给乙方的价款。</w:t>
      </w:r>
    </w:p>
    <w:p w14:paraId="7D1F3CD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(3)“货物”系指乙方根据本合同规定须向甲方提供的各种形态和种类的物品，包括原材料、设备、产品(包括软件)及相关的其备品备件、工具、手册及其他技术资料和材料等。</w:t>
      </w:r>
    </w:p>
    <w:p w14:paraId="72AE81B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3F4921D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(5)“分包”系指中标(成交)供应商按采购文件、投标(投标)文件的规定，根据分包意向协议，将中标(成交)项目中的部分履约内容，分给具有相应资质条件的供应商履行合同的行为。</w:t>
      </w:r>
    </w:p>
    <w:p w14:paraId="762E9FD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w:t>
      </w:r>
    </w:p>
    <w:p w14:paraId="31B5F5E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(7)其他术语解释，见</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w:t>
      </w:r>
    </w:p>
    <w:p w14:paraId="331179A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2.合同标的及金额</w:t>
      </w:r>
    </w:p>
    <w:p w14:paraId="201F05D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2.1合同标的及金额应与中标(成交)结果一致。乙方为履行本合同而发生的所有费用均应包含在合同价款中，甲方不再另行支付其他任何费用。</w:t>
      </w:r>
    </w:p>
    <w:p w14:paraId="145DB62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3.履行合同的时间、地点和方式</w:t>
      </w:r>
    </w:p>
    <w:p w14:paraId="69F9D1D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3.1乙方应当在约定的时间、地点，按照约定方式履行合同。</w:t>
      </w:r>
    </w:p>
    <w:p w14:paraId="7FC96A0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4.甲方的权利和义务</w:t>
      </w:r>
    </w:p>
    <w:p w14:paraId="1BC7F2E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4.1签署合同后，甲方应确定项目负责人(或项目联系人)，负责与本合同有关的事务。甲方有权对乙方的履约行为进行检查，并及时确认乙方提交的事项。甲方应当配合乙方完成相关项目实施工作。</w:t>
      </w:r>
    </w:p>
    <w:p w14:paraId="238607F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4.2甲方有权要求乙方按时提交各阶段有关安排计划，并有权定期核对乙方提供货物数量、规格、质量等内容。甲方有权督促乙方工作并要求乙方更换不符合要求的货物。</w:t>
      </w:r>
    </w:p>
    <w:p w14:paraId="30432FE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4.3甲方有权要求乙方对缺陷部分予以修复，并按合同约定享有货物保修及其他合同约定的权利。</w:t>
      </w:r>
    </w:p>
    <w:p w14:paraId="7F39F1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4.4甲方应当按照合同约定及时对交付的货物进行验收，未在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约定的期限内对乙方履约提出任何异议或者向乙方作出任何说明的，视为验收通过。</w:t>
      </w:r>
    </w:p>
    <w:p w14:paraId="59076D3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4.5甲方应当根据合同约定及时向乙方支付合同价款，不得以内部人员变更、履行内部付款流程等为由，拒绝或迟延支付。</w:t>
      </w:r>
    </w:p>
    <w:p w14:paraId="1D5CD1F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4.6国家法律法规规定及</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约定应由甲方承担的其他义务和责任。</w:t>
      </w:r>
    </w:p>
    <w:p w14:paraId="2F41EB8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5.乙方的权利和义务</w:t>
      </w:r>
    </w:p>
    <w:p w14:paraId="4C5C084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5.1签署合同后，乙方应确定项目负责人(或项目联系人)，负责与本合同有关的事务。</w:t>
      </w:r>
    </w:p>
    <w:p w14:paraId="5D1058A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5.2乙方应按照合同要求履约，充分合理安排，确保提供的货物及相关服务符合合同有关要求。接受项目行业管理部门及政府有关部门的指导，配合甲方的履约检查及验收，并负责项目实施过程中的所有协调工作。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767385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5.3乙方有权根据合同约定向甲方收取合同价款。</w:t>
      </w:r>
    </w:p>
    <w:p w14:paraId="52BB04A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5.4国家法律法规规定及【</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约定应由乙方承担的其他义务和责任。</w:t>
      </w:r>
    </w:p>
    <w:p w14:paraId="639F3FE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6.合同履行</w:t>
      </w:r>
    </w:p>
    <w:p w14:paraId="3B2B346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6.1甲乙双方应当按照【政府采购合同专用条款】约定顺序履行合同义务；如果没有先后顺序的，应当同时履行。</w:t>
      </w:r>
    </w:p>
    <w:p w14:paraId="1C5CD2B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6.2甲乙双方按照合同约定顺序履行合同义务时，应当先履行·方未履行的，后履行一方有权拒绝其履行请求。先履行一方履行不符合约定的，后履行一方有权拒绝其相应的履行请求。</w:t>
      </w:r>
    </w:p>
    <w:p w14:paraId="4D0EA3A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7.货物包装、运输、保险和交付要求</w:t>
      </w:r>
    </w:p>
    <w:p w14:paraId="1F2450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7.1本合同涉及商品包装、快递包装的，除</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另有约定外，包装应适应远距离运输、防潮、防震、防锈和防野蛮装卸等要求，确保货物安全无损地运抵【政府采购合同专用条款]约定的指定现场。</w:t>
      </w:r>
    </w:p>
    <w:p w14:paraId="650F4A7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7.2 除</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】另有约定外，乙方负责办理将货物运抵本合同规定的交货地点，并装卸、交付至甲方的一切运输事项，相关费用应包含在合同价款中。</w:t>
      </w:r>
    </w:p>
    <w:p w14:paraId="7D90DA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7.3货物保险要求按</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规定执行。</w:t>
      </w:r>
    </w:p>
    <w:p w14:paraId="77402D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7.4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A0CDD9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7.5乙方在运输到达之前应提前通知甲方，并提示货物运输装卸的注意事项，甲方配合乙方做好货物的接收工作。</w:t>
      </w:r>
    </w:p>
    <w:p w14:paraId="68A6FCC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7.6如因包装运输问题导致货物损毁、丢失或者品质下降，甲方有权要求降价、换货、拒收部分或整批货物，由此产生的费用和损失，均由乙方承担。</w:t>
      </w:r>
    </w:p>
    <w:p w14:paraId="2605EE6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8.质量标准和保证</w:t>
      </w:r>
    </w:p>
    <w:p w14:paraId="5FA255E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8.1质量标准</w:t>
      </w:r>
    </w:p>
    <w:p w14:paraId="5EEA829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323B2D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(2)采用中华人民共和国法定计量单位。</w:t>
      </w:r>
    </w:p>
    <w:p w14:paraId="13F32D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(3)乙方所提供的货物应符合国家有关安全、环保、卫生的规定。</w:t>
      </w:r>
    </w:p>
    <w:p w14:paraId="5BDF99D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(4)乙方应向甲方提交所提供货物的技术文件，包括相应的中文技术文件，如:产品目录、图纸、操作手册、使用说明、维护手册或服务指南等。上述文件应包装好随货物一同发运。</w:t>
      </w:r>
    </w:p>
    <w:p w14:paraId="7D18D2F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8.2 保证</w:t>
      </w:r>
    </w:p>
    <w:p w14:paraId="0267D89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】规定或乙方书面承诺(两者以较长的为准)的质量保证期内，本保证保持有效。</w:t>
      </w:r>
    </w:p>
    <w:p w14:paraId="3C5F66A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(2)在质量保证期内所发现的缺陷，甲方应尽快以书面形式通知乙方。</w:t>
      </w:r>
    </w:p>
    <w:p w14:paraId="4329F30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(3)乙方收到通知后，应在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规定的投标时间内以合理的速度免费维修或更换有缺陷的货物或部件。</w:t>
      </w:r>
    </w:p>
    <w:p w14:paraId="354B2E2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(4)在质量保证期内，如果货物的质量或规格与合同不符，或证实货物是有缺陷的，包括潜在的缺陷或使用不符合要求的材料等，甲方可以根据本合同第15.1条规定以书面形式追究乙方的违约责任。</w:t>
      </w:r>
    </w:p>
    <w:p w14:paraId="136980B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(5)乙方在约定的时间内未能弥补缺陷，甲方可采取必要的补救措施，但其风险和费用将由乙方承担，甲方根据合同约定对乙方行使的其他权利不受影响。</w:t>
      </w:r>
    </w:p>
    <w:p w14:paraId="6EC7356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9.权利瑕疵担保</w:t>
      </w:r>
    </w:p>
    <w:p w14:paraId="415989E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9.1乙方保证对其出售的货物享有合法的权利。</w:t>
      </w:r>
    </w:p>
    <w:p w14:paraId="7809530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9.2乙方保证在交付的货物上不存在抵押权等担保物权。</w:t>
      </w:r>
    </w:p>
    <w:p w14:paraId="62C0BE0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9.3如甲方使用上述货物构成对第三人侵权的，则由乙方承担全部责任。</w:t>
      </w:r>
    </w:p>
    <w:p w14:paraId="32A8D3C5">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10.知识产权保护</w:t>
      </w:r>
    </w:p>
    <w:p w14:paraId="2944CAB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10.1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792AD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11.保密义务</w:t>
      </w:r>
    </w:p>
    <w:p w14:paraId="7A0994B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11.1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中约定。</w:t>
      </w:r>
    </w:p>
    <w:p w14:paraId="4FC2B51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12.合同价款支付</w:t>
      </w:r>
    </w:p>
    <w:p w14:paraId="2F19F9B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12.1合同价款支付按照国库集中支付制度及财政管理相关规定执行。</w:t>
      </w:r>
    </w:p>
    <w:p w14:paraId="0F83A07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12.2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中约定。</w:t>
      </w:r>
    </w:p>
    <w:p w14:paraId="1E1FC8C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13.履约保证金</w:t>
      </w:r>
    </w:p>
    <w:p w14:paraId="4F1A990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13.1乙方应当以支票、汇票、本票或者金融机构、担保机构出具的保函等非现金形式提交。</w:t>
      </w:r>
    </w:p>
    <w:p w14:paraId="7FC6C40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13.2如果乙方出现</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约定情形的，履约保证金不予退还；如果乙方未能按合同约定全面履行义务，甲方有权从履约保证金中取得补偿或赔偿，且不影响甲方要求乙方承担合同约定的超过履约保证金的违约责任的权利。</w:t>
      </w:r>
    </w:p>
    <w:p w14:paraId="28D056F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13.3甲方在项目通过验收后按照【</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规定的时间内将履约保证金退还乙方:逾期退还的，乙方可要求甲方支付违约金，违约金按照[政府采购合同专用条款]规定支付。</w:t>
      </w:r>
    </w:p>
    <w:p w14:paraId="5AB6703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14.售后服务</w:t>
      </w:r>
    </w:p>
    <w:p w14:paraId="61E3817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14.1除项目不涉及或采购活动中明确约定无须承担外，乙方还应提供下列服务:</w:t>
      </w:r>
    </w:p>
    <w:p w14:paraId="7D2411D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(1)货物的现场移动、安装、调试、启动监督及技术支持；</w:t>
      </w:r>
    </w:p>
    <w:p w14:paraId="21B81D9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(2)提供货物组装和维修所需的专用工具和辅助材料:</w:t>
      </w:r>
    </w:p>
    <w:p w14:paraId="0C92201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(3)在</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】约定的期限内对所有的货物实施运行监督、维修，但前提条件是该服务并不能免除乙方在质量保证期内所承担的义务；</w:t>
      </w:r>
    </w:p>
    <w:p w14:paraId="352D35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(4)在制造商所在地或指定现场就货物的安装、启动、运营、维护、废弃处置等对甲方操作人员进行培训:</w:t>
      </w:r>
    </w:p>
    <w:p w14:paraId="4A27F92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(5)依照法律、行政法规的规定或者按照</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约定，货物在有效使用年限届满后应予回收的，乙方负有自行或者委托第三人对货物予以回收的义务；</w:t>
      </w:r>
    </w:p>
    <w:p w14:paraId="01C828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】规定由乙方提供的其他服务。</w:t>
      </w:r>
    </w:p>
    <w:p w14:paraId="6F667FC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14.2乙方提供的售后服务的费用已包含在合同价款中，甲方不再另行支付。</w:t>
      </w:r>
    </w:p>
    <w:p w14:paraId="7F0073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15.违约责任</w:t>
      </w:r>
    </w:p>
    <w:p w14:paraId="6E10E73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15.1质量瑕疵的违约责任</w:t>
      </w:r>
    </w:p>
    <w:p w14:paraId="1B48D89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乙方提供的产品不符合合同约定的质量标准或存在产品质量缺陷，甲方有权要求乙方根据</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】要求及时修理、重作、更换，并承担由此给甲方造成的损失。</w:t>
      </w:r>
    </w:p>
    <w:p w14:paraId="442E634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15.2迟延交货的违约责任</w:t>
      </w:r>
    </w:p>
    <w:p w14:paraId="7052E97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E8444F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(2)如果乙方没有按照合同规定的时间交货和提供相关服务，甲方有权从货款中扣除误期赔偿费而不影响合同项下的其他补救方法，赔偿费按【</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】规定执行。如果涉及公共利益，且赔偿金额无法弥补公共利益损失，甲方可要求继续履行或者采取其他补救措施。</w:t>
      </w:r>
    </w:p>
    <w:p w14:paraId="5E36906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15.3迟延支付的违约责任</w:t>
      </w:r>
    </w:p>
    <w:p w14:paraId="7A9B620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甲方存在迟延支付乙方合同款项的，应当承担</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】规定的逾期付款利息。</w:t>
      </w:r>
    </w:p>
    <w:p w14:paraId="11B385C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15.4其他违约责任根据项目实际需要按【政府采购合同专用条款]规定执行。</w:t>
      </w:r>
    </w:p>
    <w:p w14:paraId="5AA16D6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16.合同变更、中止与终止</w:t>
      </w:r>
    </w:p>
    <w:p w14:paraId="4ED66C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16.1合同的变更</w:t>
      </w:r>
    </w:p>
    <w:p w14:paraId="15CFE8D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政府采购合同履行中，在不改变合同其他条款的前提下，甲方可以在合同价款10%的范围内追加与合同标的相同的货物，并就此与乙方协商一致后签订补充协议。</w:t>
      </w:r>
    </w:p>
    <w:p w14:paraId="3D0DA7F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16.2合同的终止</w:t>
      </w:r>
    </w:p>
    <w:p w14:paraId="0C8DF95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合同履行过程中因供应商就采购文件、采购过程或结果提起投诉的，甲方认为有必要的，可以中止合同的履行。</w:t>
      </w:r>
    </w:p>
    <w:p w14:paraId="11E6565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(2)合同履行过程中，如果乙方出现以下情形之一的；1.经营状况严重恶化；2.转移财产、抽逃资金，以逃避债务；3.丧失商业信誉；4.有丧失或者可能丧失履约能力的其他情形，乙方有义务及时告知甲方。甲方有权以书面形式通知乙方终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79F595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(3)乙方分立、合并或者变更住所的，应当及时以书面形式告知甲方。乙方没有及时告知甲方，致使合同履行发生困难的，甲方可以中止合同履行并要求乙方承担由此给甲方造成的损失。</w:t>
      </w:r>
    </w:p>
    <w:p w14:paraId="18D155C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(4)甲方不得以行政区划调整、政府换届、机构或者职能调整以及相关责任人更替为由终止合同。</w:t>
      </w:r>
    </w:p>
    <w:p w14:paraId="43B1244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16.3合同的终止</w:t>
      </w:r>
    </w:p>
    <w:p w14:paraId="12038F1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(1)合同因有效期限届满而终止；</w:t>
      </w:r>
    </w:p>
    <w:p w14:paraId="43B9A63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(2)乙方未按合同约定履行，构成根本性违约的，甲方有权终止合同，并追究乙方的违约责任。</w:t>
      </w:r>
    </w:p>
    <w:p w14:paraId="4EEE481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16.4涉及国家利益、社会公共利益的情形</w:t>
      </w:r>
    </w:p>
    <w:p w14:paraId="27B08EE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政府采购合同继续履行将损害国家利益和社会公共利益的，双方当事人应当变更、中止或者终止合同。有过错的一方应当承担赔偿责任，双方都有过错的，各自承担相应的责任。</w:t>
      </w:r>
    </w:p>
    <w:p w14:paraId="0220EC8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17.合同分包</w:t>
      </w:r>
    </w:p>
    <w:p w14:paraId="665BFADA">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17.1乙方不得将合同转包给其他供应商。涉及合同分包的，乙方应根据采购文件和投标(投标)文件规定进行合同分包。</w:t>
      </w:r>
    </w:p>
    <w:p w14:paraId="1F5D471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17.2乙方执行政府采购政策向中小企业依法分包的，乙方应当按采购文件和投标(投标)文件签订分包意向协议，分包意向协议属于本合同组成部分。</w:t>
      </w:r>
    </w:p>
    <w:p w14:paraId="1EC0AA5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18.不可抗力</w:t>
      </w:r>
    </w:p>
    <w:p w14:paraId="76D12B4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18.1不可抗力是指合同双方不能预见、不能避免且不能克服的客观情况。</w:t>
      </w:r>
    </w:p>
    <w:p w14:paraId="0BE4DDB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18.2任何一方对由于不可抗力造成的部分或全部不能履行合同不承担违约责任。但迟延履行后发生不可抗力的，不能免除责任。</w:t>
      </w:r>
    </w:p>
    <w:p w14:paraId="6ECAB22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18.3遇有不可抗力的一方，应及时将事件情况以书面形式告知另一方，并在事件发生后及时向另一方提交合同不能履行或部分不能履行或需要延期履行的详细报告，以及证明不可抗力发生及其持续时间的证据。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1F5598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19.解决争议的方法</w:t>
      </w:r>
    </w:p>
    <w:p w14:paraId="710812F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19.1因本合同及合同有关事项发生的争议，由甲乙双方友好协商解决。协商不成时，可以向有关组织申请调解。合同一方或双方不愿调解或调解不成的，可以通过仲裁或诉讼的方式解决争议。</w:t>
      </w:r>
    </w:p>
    <w:p w14:paraId="0F9C590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19.2选择仲裁的，应在</w:t>
      </w:r>
      <w:r>
        <w:rPr>
          <w:rFonts w:hint="eastAsia" w:ascii="仿宋" w:hAnsi="仿宋" w:eastAsia="仿宋" w:cs="仿宋"/>
          <w:b/>
          <w:bCs/>
          <w:sz w:val="24"/>
          <w:szCs w:val="24"/>
          <w:highlight w:val="none"/>
          <w:lang w:val="en-US" w:eastAsia="zh-CN"/>
        </w:rPr>
        <w:t>【政府采购合同</w:t>
      </w:r>
      <w:r>
        <w:rPr>
          <w:rFonts w:hint="eastAsia" w:ascii="仿宋" w:hAnsi="仿宋" w:eastAsia="仿宋" w:cs="仿宋"/>
          <w:b/>
          <w:bCs/>
          <w:sz w:val="24"/>
          <w:szCs w:val="24"/>
          <w:highlight w:val="none"/>
          <w:lang w:val="en-US" w:eastAsia="zh-CN"/>
        </w:rPr>
        <w:t>专用条款</w:t>
      </w:r>
      <w:r>
        <w:rPr>
          <w:rFonts w:hint="eastAsia" w:ascii="仿宋" w:hAnsi="仿宋" w:eastAsia="仿宋" w:cs="仿宋"/>
          <w:sz w:val="24"/>
          <w:szCs w:val="24"/>
          <w:highlight w:val="none"/>
          <w:lang w:val="en-US" w:eastAsia="zh-CN"/>
        </w:rPr>
        <w:t>】中明确仲裁机构及仲裁地:通过诉讼方式解决的，可以在【政府采购合同专用条款中进一步约定选择与争议有实际联系的地点的人民法院管辖，但管辖法院的约定不得违反级别管辖和专属管辖的规定。</w:t>
      </w:r>
    </w:p>
    <w:p w14:paraId="1BCC99C4">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19.3如甲乙双方有争议的事项不影响合同其他部分的履行，在争议解决期间，合同其他部分应当继续履行。</w:t>
      </w:r>
    </w:p>
    <w:p w14:paraId="4EDDACA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20.政府采购政策</w:t>
      </w:r>
    </w:p>
    <w:p w14:paraId="393D6A3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20.1本合同应当按照规定执行政府采购政策。</w:t>
      </w:r>
    </w:p>
    <w:p w14:paraId="311A3E2B">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20.2本合同依法执行政府采购政策的方式和内容，属于合同履约验收的范围。甲乙双方未按规定要求执行政府采购政策造成损失的，有过错的一方应当承担赔偿责任，双方都有过错的，各自承担相应的责任。</w:t>
      </w:r>
    </w:p>
    <w:p w14:paraId="571F1E1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20.3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0D347E7">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21.法律适用</w:t>
      </w:r>
    </w:p>
    <w:p w14:paraId="1A12468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21.1本合同的订立、生效、解释、履行及与本合同有关的争议解决，均适用法律、行政法规。</w:t>
      </w:r>
    </w:p>
    <w:p w14:paraId="4943DA4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21.2本合同条款与法律、行政法规的强制性规定不一致的，双方当事人应按照法律、行政法规的强制性规定修改本合同的相关条款。</w:t>
      </w:r>
    </w:p>
    <w:p w14:paraId="58B00EF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22.通知</w:t>
      </w:r>
    </w:p>
    <w:p w14:paraId="10CC194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22.1本合同任何一方向对方发出的通知、信件、数据电文等，应当发送至本合同第一部分《政府采购合同协议书》所约定的通讯地址、联系人、联系电话或电子邮箱。</w:t>
      </w:r>
    </w:p>
    <w:p w14:paraId="1521F05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22.2一方当事人变更名称、住所、联系人、联系电话或电子邮箱等信息的，应当在变更后3日内及时书面通知对方，对方实际收到变更通知前的送达仍为有效送达。</w:t>
      </w:r>
    </w:p>
    <w:p w14:paraId="508CFB66">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22.3本合同一方给另一方的通知均应采用书面形式，传真或快递送到本合同中规定的对方的地址和办理签收手续。</w:t>
      </w:r>
    </w:p>
    <w:p w14:paraId="0DB5DC7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22.4通知以送达之日或通知书中规定的生效之日起生效，两者中以较迟之日为准。</w:t>
      </w:r>
    </w:p>
    <w:p w14:paraId="78FF1D59">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2" w:firstLineChars="20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23.合同未尽事项</w:t>
      </w:r>
    </w:p>
    <w:p w14:paraId="0E38240C">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23.1合同未尽事项见</w:t>
      </w:r>
      <w:r>
        <w:rPr>
          <w:rFonts w:hint="eastAsia" w:ascii="仿宋" w:hAnsi="仿宋" w:eastAsia="仿宋" w:cs="仿宋"/>
          <w:b/>
          <w:bCs/>
          <w:sz w:val="24"/>
          <w:szCs w:val="24"/>
          <w:highlight w:val="none"/>
          <w:lang w:val="en-US" w:eastAsia="zh-CN"/>
        </w:rPr>
        <w:t>【政府采购合同专用条款</w:t>
      </w:r>
      <w:r>
        <w:rPr>
          <w:rFonts w:hint="eastAsia" w:ascii="仿宋" w:hAnsi="仿宋" w:eastAsia="仿宋" w:cs="仿宋"/>
          <w:sz w:val="24"/>
          <w:szCs w:val="24"/>
          <w:highlight w:val="none"/>
          <w:lang w:val="en-US" w:eastAsia="zh-CN"/>
        </w:rPr>
        <w:t>】。</w:t>
      </w:r>
    </w:p>
    <w:p w14:paraId="0E53FB1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23.2合同附件与合同正文具有同等的法律效力。</w:t>
      </w:r>
    </w:p>
    <w:p w14:paraId="5B1CE4CD">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sz w:val="24"/>
          <w:szCs w:val="24"/>
          <w:highlight w:val="none"/>
          <w:lang w:val="en-US" w:eastAsia="zh-CN"/>
        </w:rPr>
      </w:pPr>
    </w:p>
    <w:p w14:paraId="4ECF0105">
      <w:pPr>
        <w:keepNext w:val="0"/>
        <w:keepLines w:val="0"/>
        <w:pageBreakBefore w:val="0"/>
        <w:widowControl w:val="0"/>
        <w:numPr>
          <w:ilvl w:val="0"/>
          <w:numId w:val="2"/>
        </w:numPr>
        <w:kinsoku/>
        <w:wordWrap/>
        <w:overflowPunct/>
        <w:topLinePunct w:val="0"/>
        <w:autoSpaceDE/>
        <w:autoSpaceDN/>
        <w:bidi w:val="0"/>
        <w:adjustRightInd/>
        <w:snapToGrid/>
        <w:spacing w:line="420" w:lineRule="exact"/>
        <w:ind w:firstLine="482" w:firstLineChars="200"/>
        <w:jc w:val="center"/>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 xml:space="preserve"> 政府采购合同专用条款</w:t>
      </w:r>
    </w:p>
    <w:tbl>
      <w:tblPr>
        <w:tblStyle w:val="18"/>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3681"/>
        <w:gridCol w:w="3919"/>
      </w:tblGrid>
      <w:tr w14:paraId="3CA7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C85E4B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第1.2(6)项</w:t>
            </w:r>
          </w:p>
        </w:tc>
        <w:tc>
          <w:tcPr>
            <w:tcW w:w="3681" w:type="dxa"/>
            <w:vAlign w:val="center"/>
          </w:tcPr>
          <w:p w14:paraId="5540C58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联合体具体要求</w:t>
            </w:r>
          </w:p>
        </w:tc>
        <w:tc>
          <w:tcPr>
            <w:tcW w:w="3919" w:type="dxa"/>
            <w:vAlign w:val="center"/>
          </w:tcPr>
          <w:p w14:paraId="7E65D1F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4526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1FA4E5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第二节第1.2(7)项</w:t>
            </w:r>
          </w:p>
        </w:tc>
        <w:tc>
          <w:tcPr>
            <w:tcW w:w="3681" w:type="dxa"/>
            <w:vAlign w:val="center"/>
          </w:tcPr>
          <w:p w14:paraId="69F6152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其他术语解释</w:t>
            </w:r>
          </w:p>
        </w:tc>
        <w:tc>
          <w:tcPr>
            <w:tcW w:w="3919" w:type="dxa"/>
            <w:vAlign w:val="center"/>
          </w:tcPr>
          <w:p w14:paraId="15BE4B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2AD0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9F86F5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第二节第4.4款</w:t>
            </w:r>
          </w:p>
        </w:tc>
        <w:tc>
          <w:tcPr>
            <w:tcW w:w="3681" w:type="dxa"/>
            <w:vAlign w:val="center"/>
          </w:tcPr>
          <w:p w14:paraId="6DE696F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履约验收中甲方提出异议或作出说明的期限</w:t>
            </w:r>
          </w:p>
        </w:tc>
        <w:tc>
          <w:tcPr>
            <w:tcW w:w="3919" w:type="dxa"/>
            <w:vAlign w:val="center"/>
          </w:tcPr>
          <w:p w14:paraId="4D1C8FA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2A5B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F9863E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第二节第4.6款</w:t>
            </w:r>
          </w:p>
        </w:tc>
        <w:tc>
          <w:tcPr>
            <w:tcW w:w="3681" w:type="dxa"/>
            <w:vAlign w:val="center"/>
          </w:tcPr>
          <w:p w14:paraId="325201A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约定甲方承担的其他义务和责任</w:t>
            </w:r>
          </w:p>
        </w:tc>
        <w:tc>
          <w:tcPr>
            <w:tcW w:w="3919" w:type="dxa"/>
            <w:vAlign w:val="center"/>
          </w:tcPr>
          <w:p w14:paraId="403102E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403E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D3269E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第二节第5.4款</w:t>
            </w:r>
          </w:p>
        </w:tc>
        <w:tc>
          <w:tcPr>
            <w:tcW w:w="3681" w:type="dxa"/>
            <w:vAlign w:val="center"/>
          </w:tcPr>
          <w:p w14:paraId="4ED4ABB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约定乙方承担的其他义务和责任</w:t>
            </w:r>
          </w:p>
        </w:tc>
        <w:tc>
          <w:tcPr>
            <w:tcW w:w="3919" w:type="dxa"/>
            <w:vAlign w:val="center"/>
          </w:tcPr>
          <w:p w14:paraId="4CEF2F0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0B6A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E98669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第二节第6.1款</w:t>
            </w:r>
          </w:p>
        </w:tc>
        <w:tc>
          <w:tcPr>
            <w:tcW w:w="3681" w:type="dxa"/>
            <w:vAlign w:val="center"/>
          </w:tcPr>
          <w:p w14:paraId="2C8C648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履行合同义务的顺序</w:t>
            </w:r>
          </w:p>
        </w:tc>
        <w:tc>
          <w:tcPr>
            <w:tcW w:w="3919" w:type="dxa"/>
            <w:vAlign w:val="center"/>
          </w:tcPr>
          <w:p w14:paraId="3DE22A5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3C4C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Merge w:val="restart"/>
            <w:vAlign w:val="center"/>
          </w:tcPr>
          <w:p w14:paraId="2238AD7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第二节第7.1款</w:t>
            </w:r>
          </w:p>
        </w:tc>
        <w:tc>
          <w:tcPr>
            <w:tcW w:w="3681" w:type="dxa"/>
            <w:vAlign w:val="center"/>
          </w:tcPr>
          <w:p w14:paraId="5B479C7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包装特殊要求</w:t>
            </w:r>
          </w:p>
        </w:tc>
        <w:tc>
          <w:tcPr>
            <w:tcW w:w="3919" w:type="dxa"/>
            <w:vAlign w:val="center"/>
          </w:tcPr>
          <w:p w14:paraId="7231304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5F4A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Merge w:val="continue"/>
            <w:vAlign w:val="center"/>
          </w:tcPr>
          <w:p w14:paraId="1CDA79D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c>
          <w:tcPr>
            <w:tcW w:w="3681" w:type="dxa"/>
            <w:vAlign w:val="center"/>
          </w:tcPr>
          <w:p w14:paraId="193AA8A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指定现场</w:t>
            </w:r>
          </w:p>
        </w:tc>
        <w:tc>
          <w:tcPr>
            <w:tcW w:w="3919" w:type="dxa"/>
            <w:vAlign w:val="center"/>
          </w:tcPr>
          <w:p w14:paraId="68CAEBE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6679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3C3E8B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第二节第7.2款</w:t>
            </w:r>
          </w:p>
        </w:tc>
        <w:tc>
          <w:tcPr>
            <w:tcW w:w="3681" w:type="dxa"/>
            <w:vAlign w:val="center"/>
          </w:tcPr>
          <w:p w14:paraId="303329A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运输特殊要求</w:t>
            </w:r>
          </w:p>
        </w:tc>
        <w:tc>
          <w:tcPr>
            <w:tcW w:w="3919" w:type="dxa"/>
            <w:vAlign w:val="center"/>
          </w:tcPr>
          <w:p w14:paraId="603C222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6186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75014A4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第二节第7.3款</w:t>
            </w:r>
          </w:p>
        </w:tc>
        <w:tc>
          <w:tcPr>
            <w:tcW w:w="3681" w:type="dxa"/>
            <w:vAlign w:val="center"/>
          </w:tcPr>
          <w:p w14:paraId="2D3C1F26">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保险要求</w:t>
            </w:r>
          </w:p>
        </w:tc>
        <w:tc>
          <w:tcPr>
            <w:tcW w:w="3919" w:type="dxa"/>
            <w:vAlign w:val="center"/>
          </w:tcPr>
          <w:p w14:paraId="34AEF299">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4717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AE524F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第二节第8.2(1)项</w:t>
            </w:r>
          </w:p>
        </w:tc>
        <w:tc>
          <w:tcPr>
            <w:tcW w:w="3681" w:type="dxa"/>
            <w:vAlign w:val="center"/>
          </w:tcPr>
          <w:p w14:paraId="151A7C1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质量保证期</w:t>
            </w:r>
          </w:p>
        </w:tc>
        <w:tc>
          <w:tcPr>
            <w:tcW w:w="3919" w:type="dxa"/>
            <w:vAlign w:val="center"/>
          </w:tcPr>
          <w:p w14:paraId="02E2C8C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423A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7B9240E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第二节第8.2(3)项</w:t>
            </w:r>
          </w:p>
        </w:tc>
        <w:tc>
          <w:tcPr>
            <w:tcW w:w="3681" w:type="dxa"/>
            <w:vAlign w:val="center"/>
          </w:tcPr>
          <w:p w14:paraId="2324292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货物质量缺陷投标时间</w:t>
            </w:r>
          </w:p>
        </w:tc>
        <w:tc>
          <w:tcPr>
            <w:tcW w:w="3919" w:type="dxa"/>
            <w:vAlign w:val="center"/>
          </w:tcPr>
          <w:p w14:paraId="740F09F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6D53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037617E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第二节第11.1款</w:t>
            </w:r>
          </w:p>
        </w:tc>
        <w:tc>
          <w:tcPr>
            <w:tcW w:w="3681" w:type="dxa"/>
            <w:vAlign w:val="center"/>
          </w:tcPr>
          <w:p w14:paraId="4B120A4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其他应当保密的信息</w:t>
            </w:r>
          </w:p>
        </w:tc>
        <w:tc>
          <w:tcPr>
            <w:tcW w:w="3919" w:type="dxa"/>
            <w:vAlign w:val="center"/>
          </w:tcPr>
          <w:p w14:paraId="134816B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799D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0CB9AD5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 12.2款</w:t>
            </w:r>
          </w:p>
        </w:tc>
        <w:tc>
          <w:tcPr>
            <w:tcW w:w="3681" w:type="dxa"/>
            <w:vAlign w:val="center"/>
          </w:tcPr>
          <w:p w14:paraId="724CB6B4">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合同价款支付时间</w:t>
            </w:r>
          </w:p>
        </w:tc>
        <w:tc>
          <w:tcPr>
            <w:tcW w:w="3919" w:type="dxa"/>
            <w:vAlign w:val="center"/>
          </w:tcPr>
          <w:p w14:paraId="33890ED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3777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6BB174F">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第二节第13.2款</w:t>
            </w:r>
          </w:p>
        </w:tc>
        <w:tc>
          <w:tcPr>
            <w:tcW w:w="3681" w:type="dxa"/>
            <w:vAlign w:val="center"/>
          </w:tcPr>
          <w:p w14:paraId="4D7B1FC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履约保证金不予退还的情形</w:t>
            </w:r>
          </w:p>
        </w:tc>
        <w:tc>
          <w:tcPr>
            <w:tcW w:w="3919" w:type="dxa"/>
            <w:vAlign w:val="center"/>
          </w:tcPr>
          <w:p w14:paraId="0577CA9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16A2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6B7BD18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第二节第13.3款</w:t>
            </w:r>
          </w:p>
          <w:p w14:paraId="1E0991C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c>
          <w:tcPr>
            <w:tcW w:w="3681" w:type="dxa"/>
            <w:vAlign w:val="center"/>
          </w:tcPr>
          <w:p w14:paraId="6EAE18A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履约保证金退还时间及逾期退还的违约金</w:t>
            </w:r>
          </w:p>
        </w:tc>
        <w:tc>
          <w:tcPr>
            <w:tcW w:w="3919" w:type="dxa"/>
            <w:vAlign w:val="center"/>
          </w:tcPr>
          <w:p w14:paraId="7F2EC7A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0828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9E0A33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第二节第14.1(3)项</w:t>
            </w:r>
          </w:p>
        </w:tc>
        <w:tc>
          <w:tcPr>
            <w:tcW w:w="3681" w:type="dxa"/>
            <w:vAlign w:val="center"/>
          </w:tcPr>
          <w:p w14:paraId="4622531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运行监督、维修期限</w:t>
            </w:r>
          </w:p>
        </w:tc>
        <w:tc>
          <w:tcPr>
            <w:tcW w:w="3919" w:type="dxa"/>
            <w:vAlign w:val="center"/>
          </w:tcPr>
          <w:p w14:paraId="39EA0C1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2A36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32DC0861">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第二节第14.1(5)项</w:t>
            </w:r>
          </w:p>
        </w:tc>
        <w:tc>
          <w:tcPr>
            <w:tcW w:w="3681" w:type="dxa"/>
            <w:vAlign w:val="center"/>
          </w:tcPr>
          <w:p w14:paraId="00D06D2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货物回收的约定</w:t>
            </w:r>
          </w:p>
        </w:tc>
        <w:tc>
          <w:tcPr>
            <w:tcW w:w="3919" w:type="dxa"/>
            <w:vAlign w:val="center"/>
          </w:tcPr>
          <w:p w14:paraId="7D063E7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2780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36D0B72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第二节第14.1(6)项</w:t>
            </w:r>
          </w:p>
        </w:tc>
        <w:tc>
          <w:tcPr>
            <w:tcW w:w="3681" w:type="dxa"/>
            <w:vAlign w:val="center"/>
          </w:tcPr>
          <w:p w14:paraId="643C9CB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乙方提供的其他服务</w:t>
            </w:r>
          </w:p>
        </w:tc>
        <w:tc>
          <w:tcPr>
            <w:tcW w:w="3919" w:type="dxa"/>
            <w:vAlign w:val="center"/>
          </w:tcPr>
          <w:p w14:paraId="6DB64B0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0C6D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74495BE">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第二节第15.1款</w:t>
            </w:r>
          </w:p>
        </w:tc>
        <w:tc>
          <w:tcPr>
            <w:tcW w:w="3681" w:type="dxa"/>
            <w:vAlign w:val="center"/>
          </w:tcPr>
          <w:p w14:paraId="2B3DC0C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修理、重作、更换相关具体规定</w:t>
            </w:r>
          </w:p>
        </w:tc>
        <w:tc>
          <w:tcPr>
            <w:tcW w:w="3919" w:type="dxa"/>
            <w:vAlign w:val="center"/>
          </w:tcPr>
          <w:p w14:paraId="404B386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76FB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1A87F87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第二节第15.2(2)项</w:t>
            </w:r>
          </w:p>
        </w:tc>
        <w:tc>
          <w:tcPr>
            <w:tcW w:w="3681" w:type="dxa"/>
            <w:vAlign w:val="center"/>
          </w:tcPr>
          <w:p w14:paraId="570372DB">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迟延交货赔偿费</w:t>
            </w:r>
          </w:p>
        </w:tc>
        <w:tc>
          <w:tcPr>
            <w:tcW w:w="3919" w:type="dxa"/>
            <w:vAlign w:val="center"/>
          </w:tcPr>
          <w:p w14:paraId="0B0623D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4D07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05C401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 15.3款</w:t>
            </w:r>
          </w:p>
        </w:tc>
        <w:tc>
          <w:tcPr>
            <w:tcW w:w="3681" w:type="dxa"/>
            <w:vAlign w:val="center"/>
          </w:tcPr>
          <w:p w14:paraId="3649CD93">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逾期付款利息</w:t>
            </w:r>
          </w:p>
        </w:tc>
        <w:tc>
          <w:tcPr>
            <w:tcW w:w="3919" w:type="dxa"/>
            <w:vAlign w:val="center"/>
          </w:tcPr>
          <w:p w14:paraId="706EC8F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09D2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E5E054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第二节第15.4款</w:t>
            </w:r>
          </w:p>
        </w:tc>
        <w:tc>
          <w:tcPr>
            <w:tcW w:w="3681" w:type="dxa"/>
            <w:vAlign w:val="center"/>
          </w:tcPr>
          <w:p w14:paraId="1743680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其他违约责任</w:t>
            </w:r>
          </w:p>
        </w:tc>
        <w:tc>
          <w:tcPr>
            <w:tcW w:w="3919" w:type="dxa"/>
            <w:vAlign w:val="center"/>
          </w:tcPr>
          <w:p w14:paraId="77EB26F7">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r w14:paraId="6084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536813C">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第二节第19.2款</w:t>
            </w:r>
          </w:p>
        </w:tc>
        <w:tc>
          <w:tcPr>
            <w:tcW w:w="3681" w:type="dxa"/>
            <w:vAlign w:val="center"/>
          </w:tcPr>
          <w:p w14:paraId="3016A072">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解决争议的方法</w:t>
            </w:r>
          </w:p>
        </w:tc>
        <w:tc>
          <w:tcPr>
            <w:tcW w:w="3919" w:type="dxa"/>
            <w:vAlign w:val="center"/>
          </w:tcPr>
          <w:p w14:paraId="554B6F9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因本合同及合同有关事项发生的争议，按第</w:t>
            </w:r>
            <w:r>
              <w:rPr>
                <w:rFonts w:hint="eastAsia" w:ascii="仿宋" w:hAnsi="仿宋" w:eastAsia="仿宋" w:cs="仿宋"/>
                <w:b w:val="0"/>
                <w:bCs w:val="0"/>
                <w:sz w:val="24"/>
                <w:szCs w:val="24"/>
                <w:highlight w:val="none"/>
                <w:u w:val="single"/>
                <w:vertAlign w:val="baseline"/>
                <w:lang w:val="en-US" w:eastAsia="zh-CN"/>
              </w:rPr>
              <w:t xml:space="preserve">    </w:t>
            </w:r>
            <w:r>
              <w:rPr>
                <w:rFonts w:hint="eastAsia" w:ascii="仿宋" w:hAnsi="仿宋" w:eastAsia="仿宋" w:cs="仿宋"/>
                <w:b w:val="0"/>
                <w:bCs w:val="0"/>
                <w:sz w:val="24"/>
                <w:szCs w:val="24"/>
                <w:highlight w:val="none"/>
                <w:vertAlign w:val="baseline"/>
                <w:lang w:val="en-US" w:eastAsia="zh-CN"/>
              </w:rPr>
              <w:t>种方式解决:(1)向</w:t>
            </w:r>
            <w:r>
              <w:rPr>
                <w:rFonts w:hint="eastAsia" w:ascii="仿宋" w:hAnsi="仿宋" w:eastAsia="仿宋" w:cs="仿宋"/>
                <w:b w:val="0"/>
                <w:bCs w:val="0"/>
                <w:sz w:val="24"/>
                <w:szCs w:val="24"/>
                <w:highlight w:val="none"/>
                <w:u w:val="single"/>
                <w:vertAlign w:val="baseline"/>
                <w:lang w:val="en-US" w:eastAsia="zh-CN"/>
              </w:rPr>
              <w:t xml:space="preserve">        </w:t>
            </w:r>
            <w:r>
              <w:rPr>
                <w:rFonts w:hint="eastAsia" w:ascii="仿宋" w:hAnsi="仿宋" w:eastAsia="仿宋" w:cs="仿宋"/>
                <w:b w:val="0"/>
                <w:bCs w:val="0"/>
                <w:sz w:val="24"/>
                <w:szCs w:val="24"/>
                <w:highlight w:val="none"/>
                <w:vertAlign w:val="baseline"/>
                <w:lang w:val="en-US" w:eastAsia="zh-CN"/>
              </w:rPr>
              <w:t>仲裁委员会申请仲裁，仲裁地点为</w:t>
            </w:r>
            <w:r>
              <w:rPr>
                <w:rFonts w:hint="eastAsia" w:ascii="仿宋" w:hAnsi="仿宋" w:eastAsia="仿宋" w:cs="仿宋"/>
                <w:b w:val="0"/>
                <w:bCs w:val="0"/>
                <w:sz w:val="24"/>
                <w:szCs w:val="24"/>
                <w:highlight w:val="none"/>
                <w:u w:val="single"/>
                <w:vertAlign w:val="baseline"/>
                <w:lang w:val="en-US" w:eastAsia="zh-CN"/>
              </w:rPr>
              <w:t xml:space="preserve">      </w:t>
            </w:r>
            <w:r>
              <w:rPr>
                <w:rFonts w:hint="eastAsia" w:ascii="仿宋" w:hAnsi="仿宋" w:eastAsia="仿宋" w:cs="仿宋"/>
                <w:b w:val="0"/>
                <w:bCs w:val="0"/>
                <w:sz w:val="24"/>
                <w:szCs w:val="24"/>
                <w:highlight w:val="none"/>
                <w:u w:val="none"/>
                <w:vertAlign w:val="baseline"/>
                <w:lang w:val="en-US" w:eastAsia="zh-CN"/>
              </w:rPr>
              <w:t>；</w:t>
            </w:r>
            <w:r>
              <w:rPr>
                <w:rFonts w:hint="eastAsia" w:ascii="仿宋" w:hAnsi="仿宋" w:eastAsia="仿宋" w:cs="仿宋"/>
                <w:b w:val="0"/>
                <w:bCs w:val="0"/>
                <w:sz w:val="24"/>
                <w:szCs w:val="24"/>
                <w:highlight w:val="none"/>
                <w:vertAlign w:val="baseline"/>
                <w:lang w:val="en-US" w:eastAsia="zh-CN"/>
              </w:rPr>
              <w:t>(2)向</w:t>
            </w:r>
            <w:r>
              <w:rPr>
                <w:rFonts w:hint="eastAsia" w:ascii="仿宋" w:hAnsi="仿宋" w:eastAsia="仿宋" w:cs="仿宋"/>
                <w:b w:val="0"/>
                <w:bCs w:val="0"/>
                <w:sz w:val="24"/>
                <w:szCs w:val="24"/>
                <w:highlight w:val="none"/>
                <w:u w:val="single"/>
                <w:vertAlign w:val="baseline"/>
                <w:lang w:val="en-US" w:eastAsia="zh-CN"/>
              </w:rPr>
              <w:t xml:space="preserve">      </w:t>
            </w:r>
            <w:r>
              <w:rPr>
                <w:rFonts w:hint="eastAsia" w:ascii="仿宋" w:hAnsi="仿宋" w:eastAsia="仿宋" w:cs="仿宋"/>
                <w:b w:val="0"/>
                <w:bCs w:val="0"/>
                <w:sz w:val="24"/>
                <w:szCs w:val="24"/>
                <w:highlight w:val="none"/>
                <w:vertAlign w:val="baseline"/>
                <w:lang w:val="en-US" w:eastAsia="zh-CN"/>
              </w:rPr>
              <w:t>人民法院起诉。</w:t>
            </w:r>
          </w:p>
        </w:tc>
      </w:tr>
      <w:tr w14:paraId="487A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2F1821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第二节第23.1款</w:t>
            </w:r>
          </w:p>
        </w:tc>
        <w:tc>
          <w:tcPr>
            <w:tcW w:w="3681" w:type="dxa"/>
            <w:vAlign w:val="center"/>
          </w:tcPr>
          <w:p w14:paraId="4D11C6FA">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其他专用条款</w:t>
            </w:r>
          </w:p>
        </w:tc>
        <w:tc>
          <w:tcPr>
            <w:tcW w:w="3919" w:type="dxa"/>
            <w:vAlign w:val="center"/>
          </w:tcPr>
          <w:p w14:paraId="13EADA8D">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b w:val="0"/>
                <w:bCs w:val="0"/>
                <w:sz w:val="24"/>
                <w:szCs w:val="24"/>
                <w:highlight w:val="none"/>
                <w:vertAlign w:val="baseline"/>
                <w:lang w:val="en-US" w:eastAsia="zh-CN"/>
              </w:rPr>
            </w:pPr>
          </w:p>
        </w:tc>
      </w:tr>
    </w:tbl>
    <w:p w14:paraId="15A2FB8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color w:val="auto"/>
          <w:sz w:val="24"/>
          <w:szCs w:val="24"/>
          <w:highlight w:val="none"/>
          <w:lang w:val="en-US" w:eastAsia="zh-CN"/>
        </w:rPr>
        <w:sectPr>
          <w:pgSz w:w="11906" w:h="16838"/>
          <w:pgMar w:top="1417" w:right="1440" w:bottom="1440" w:left="1440" w:header="851" w:footer="992" w:gutter="0"/>
          <w:pgNumType w:fmt="decimal"/>
          <w:cols w:space="720" w:num="1"/>
          <w:docGrid w:linePitch="312" w:charSpace="0"/>
        </w:sectPr>
      </w:pPr>
      <w:r>
        <w:rPr>
          <w:rFonts w:hint="eastAsia" w:ascii="仿宋" w:hAnsi="仿宋" w:eastAsia="仿宋" w:cs="仿宋"/>
          <w:b/>
          <w:color w:val="auto"/>
          <w:sz w:val="24"/>
          <w:szCs w:val="24"/>
          <w:highlight w:val="none"/>
          <w:lang w:val="en-US" w:eastAsia="zh-CN"/>
        </w:rPr>
        <w:t>以上合同文本为合同样稿，最终稿由甲乙双方协商后确定。</w:t>
      </w:r>
    </w:p>
    <w:p w14:paraId="38B1EAA5">
      <w:pPr>
        <w:keepLines w:val="0"/>
        <w:pageBreakBefore w:val="0"/>
        <w:numPr>
          <w:ilvl w:val="0"/>
          <w:numId w:val="3"/>
        </w:numPr>
        <w:kinsoku/>
        <w:wordWrap/>
        <w:overflowPunct/>
        <w:topLinePunct w:val="0"/>
        <w:bidi w:val="0"/>
        <w:spacing w:before="182" w:line="228" w:lineRule="auto"/>
        <w:jc w:val="center"/>
        <w:rPr>
          <w:rFonts w:ascii="仿宋" w:hAnsi="仿宋" w:eastAsia="仿宋" w:cs="仿宋"/>
          <w:b/>
          <w:bCs/>
          <w:spacing w:val="5"/>
          <w:sz w:val="31"/>
          <w:szCs w:val="31"/>
          <w:highlight w:val="none"/>
        </w:rPr>
      </w:pPr>
      <w:r>
        <w:rPr>
          <w:rFonts w:ascii="仿宋" w:hAnsi="仿宋" w:eastAsia="仿宋" w:cs="仿宋"/>
          <w:spacing w:val="5"/>
          <w:sz w:val="31"/>
          <w:szCs w:val="31"/>
          <w:highlight w:val="none"/>
        </w:rPr>
        <w:t xml:space="preserve">  </w:t>
      </w:r>
      <w:bookmarkStart w:id="0" w:name="OLE_LINK1"/>
      <w:r>
        <w:rPr>
          <w:rFonts w:ascii="仿宋" w:hAnsi="仿宋" w:eastAsia="仿宋" w:cs="仿宋"/>
          <w:b/>
          <w:bCs/>
          <w:spacing w:val="5"/>
          <w:sz w:val="31"/>
          <w:szCs w:val="31"/>
          <w:highlight w:val="none"/>
        </w:rPr>
        <w:t>采购需求及技术要求</w:t>
      </w:r>
      <w:bookmarkEnd w:id="0"/>
    </w:p>
    <w:p w14:paraId="05E8586D">
      <w:pPr>
        <w:rPr>
          <w:rFonts w:ascii="仿宋" w:hAnsi="仿宋" w:eastAsia="仿宋" w:cs="仿宋"/>
          <w:b/>
          <w:bCs/>
          <w:spacing w:val="3"/>
          <w:sz w:val="31"/>
          <w:szCs w:val="31"/>
          <w:highlight w:val="none"/>
        </w:rPr>
      </w:pPr>
    </w:p>
    <w:p w14:paraId="585F957B">
      <w:pPr>
        <w:spacing w:before="91" w:line="232" w:lineRule="auto"/>
        <w:ind w:left="243"/>
        <w:outlineLvl w:val="1"/>
        <w:rPr>
          <w:rFonts w:ascii="楷体" w:hAnsi="楷体" w:eastAsia="楷体" w:cs="楷体"/>
          <w:sz w:val="28"/>
          <w:szCs w:val="28"/>
          <w:highlight w:val="none"/>
        </w:rPr>
      </w:pPr>
      <w:r>
        <w:rPr>
          <w:rFonts w:ascii="楷体" w:hAnsi="楷体" w:eastAsia="楷体" w:cs="楷体"/>
          <w:spacing w:val="-15"/>
          <w:sz w:val="28"/>
          <w:szCs w:val="28"/>
          <w:highlight w:val="none"/>
        </w:rPr>
        <w:t>一、项目概况</w:t>
      </w:r>
    </w:p>
    <w:p w14:paraId="651D5059">
      <w:pPr>
        <w:kinsoku w:val="0"/>
        <w:autoSpaceDE w:val="0"/>
        <w:autoSpaceDN w:val="0"/>
        <w:adjustRightInd w:val="0"/>
        <w:snapToGrid w:val="0"/>
        <w:spacing w:before="152" w:line="218" w:lineRule="auto"/>
        <w:ind w:left="250"/>
        <w:jc w:val="left"/>
        <w:textAlignment w:val="baseline"/>
        <w:rPr>
          <w:rFonts w:ascii="仿宋" w:hAnsi="仿宋" w:eastAsia="仿宋" w:cs="仿宋"/>
          <w:b/>
          <w:bCs/>
          <w:snapToGrid w:val="0"/>
          <w:color w:val="000000"/>
          <w:spacing w:val="-1"/>
          <w:kern w:val="0"/>
          <w:sz w:val="24"/>
          <w:szCs w:val="24"/>
          <w:highlight w:val="none"/>
          <w:lang w:val="en-US" w:eastAsia="en-US" w:bidi="ar-SA"/>
        </w:rPr>
      </w:pPr>
      <w:r>
        <w:rPr>
          <w:rFonts w:ascii="仿宋" w:hAnsi="仿宋" w:eastAsia="仿宋" w:cs="仿宋"/>
          <w:b/>
          <w:bCs/>
          <w:snapToGrid w:val="0"/>
          <w:color w:val="000000"/>
          <w:spacing w:val="-1"/>
          <w:kern w:val="0"/>
          <w:sz w:val="24"/>
          <w:szCs w:val="24"/>
          <w:highlight w:val="none"/>
          <w:lang w:val="en-US" w:eastAsia="en-US" w:bidi="ar-SA"/>
        </w:rPr>
        <w:t>1.项目名称：</w:t>
      </w:r>
    </w:p>
    <w:p w14:paraId="0EEF9780">
      <w:pPr>
        <w:numPr>
          <w:ilvl w:val="0"/>
          <w:numId w:val="0"/>
        </w:numPr>
        <w:kinsoku w:val="0"/>
        <w:autoSpaceDE w:val="0"/>
        <w:autoSpaceDN w:val="0"/>
        <w:adjustRightInd w:val="0"/>
        <w:snapToGrid w:val="0"/>
        <w:spacing w:before="314" w:line="222" w:lineRule="auto"/>
        <w:ind w:left="122" w:leftChars="0" w:firstLine="714" w:firstLineChars="300"/>
        <w:jc w:val="left"/>
        <w:textAlignment w:val="baseline"/>
        <w:outlineLvl w:val="1"/>
        <w:rPr>
          <w:rFonts w:ascii="仿宋" w:hAnsi="仿宋" w:eastAsia="仿宋" w:cs="仿宋"/>
          <w:b/>
          <w:bCs/>
          <w:snapToGrid w:val="0"/>
          <w:color w:val="000000"/>
          <w:spacing w:val="-1"/>
          <w:kern w:val="0"/>
          <w:sz w:val="24"/>
          <w:szCs w:val="24"/>
          <w:highlight w:val="none"/>
          <w:lang w:val="en-US" w:eastAsia="en-US" w:bidi="ar-SA"/>
        </w:rPr>
      </w:pPr>
      <w:r>
        <w:rPr>
          <w:rFonts w:hint="eastAsia" w:ascii="仿宋" w:hAnsi="仿宋" w:eastAsia="仿宋" w:cs="仿宋"/>
          <w:b w:val="0"/>
          <w:bCs w:val="0"/>
          <w:snapToGrid w:val="0"/>
          <w:color w:val="000000" w:themeColor="text1"/>
          <w:spacing w:val="-1"/>
          <w:kern w:val="0"/>
          <w:sz w:val="24"/>
          <w:szCs w:val="24"/>
          <w:highlight w:val="none"/>
          <w:lang w:val="en-US" w:eastAsia="zh-CN" w:bidi="ar-SA"/>
          <w14:textFill>
            <w14:solidFill>
              <w14:schemeClr w14:val="tx1"/>
            </w14:solidFill>
          </w14:textFill>
        </w:rPr>
        <w:t xml:space="preserve">    </w:t>
      </w:r>
      <w:r>
        <w:rPr>
          <w:rFonts w:hint="eastAsia" w:ascii="仿宋" w:hAnsi="仿宋" w:eastAsia="仿宋" w:cs="仿宋"/>
          <w:b w:val="0"/>
          <w:bCs w:val="0"/>
          <w:snapToGrid w:val="0"/>
          <w:color w:val="000000" w:themeColor="text1"/>
          <w:spacing w:val="-1"/>
          <w:kern w:val="0"/>
          <w:sz w:val="24"/>
          <w:szCs w:val="24"/>
          <w:highlight w:val="none"/>
          <w:lang w:val="en-US" w:eastAsia="en-US" w:bidi="ar-SA"/>
          <w14:textFill>
            <w14:solidFill>
              <w14:schemeClr w14:val="tx1"/>
            </w14:solidFill>
          </w14:textFill>
        </w:rPr>
        <w:t>标项四：市妇幼保健院区域检测中心设备购置</w:t>
      </w:r>
    </w:p>
    <w:p w14:paraId="77A64BCC">
      <w:pPr>
        <w:numPr>
          <w:ilvl w:val="0"/>
          <w:numId w:val="0"/>
        </w:numPr>
        <w:kinsoku w:val="0"/>
        <w:autoSpaceDE w:val="0"/>
        <w:autoSpaceDN w:val="0"/>
        <w:adjustRightInd w:val="0"/>
        <w:snapToGrid w:val="0"/>
        <w:spacing w:before="314" w:line="222" w:lineRule="auto"/>
        <w:ind w:left="122" w:leftChars="0" w:firstLine="239" w:firstLineChars="100"/>
        <w:jc w:val="left"/>
        <w:textAlignment w:val="baseline"/>
        <w:outlineLvl w:val="1"/>
        <w:rPr>
          <w:rFonts w:ascii="仿宋" w:hAnsi="仿宋" w:eastAsia="仿宋" w:cs="仿宋"/>
          <w:b/>
          <w:bCs/>
          <w:snapToGrid w:val="0"/>
          <w:color w:val="000000"/>
          <w:spacing w:val="-1"/>
          <w:kern w:val="0"/>
          <w:sz w:val="24"/>
          <w:szCs w:val="24"/>
          <w:highlight w:val="none"/>
          <w:lang w:val="en-US" w:eastAsia="en-US" w:bidi="ar-SA"/>
        </w:rPr>
      </w:pPr>
      <w:r>
        <w:rPr>
          <w:rFonts w:hint="eastAsia" w:ascii="仿宋" w:hAnsi="仿宋" w:eastAsia="仿宋" w:cs="仿宋"/>
          <w:b/>
          <w:bCs/>
          <w:snapToGrid w:val="0"/>
          <w:color w:val="000000"/>
          <w:spacing w:val="-1"/>
          <w:kern w:val="0"/>
          <w:sz w:val="24"/>
          <w:szCs w:val="24"/>
          <w:highlight w:val="none"/>
          <w:lang w:val="en-US" w:eastAsia="zh-CN" w:bidi="ar-SA"/>
        </w:rPr>
        <w:t>2.</w:t>
      </w:r>
      <w:r>
        <w:rPr>
          <w:rFonts w:ascii="仿宋" w:hAnsi="仿宋" w:eastAsia="仿宋" w:cs="仿宋"/>
          <w:b/>
          <w:bCs/>
          <w:snapToGrid w:val="0"/>
          <w:color w:val="000000"/>
          <w:spacing w:val="-1"/>
          <w:kern w:val="0"/>
          <w:sz w:val="24"/>
          <w:szCs w:val="24"/>
          <w:highlight w:val="none"/>
          <w:lang w:val="en-US" w:eastAsia="en-US" w:bidi="ar-SA"/>
        </w:rPr>
        <w:t>项目编号：</w:t>
      </w:r>
      <w:r>
        <w:rPr>
          <w:rFonts w:hint="eastAsia" w:ascii="仿宋" w:hAnsi="仿宋" w:eastAsia="仿宋" w:cs="仿宋"/>
          <w:b/>
          <w:bCs/>
          <w:snapToGrid w:val="0"/>
          <w:color w:val="000000"/>
          <w:spacing w:val="-1"/>
          <w:kern w:val="0"/>
          <w:sz w:val="24"/>
          <w:szCs w:val="24"/>
          <w:highlight w:val="none"/>
          <w:lang w:val="en-US" w:eastAsia="en-US" w:bidi="ar-SA"/>
        </w:rPr>
        <w:t>2026- A-38-04</w:t>
      </w:r>
    </w:p>
    <w:p w14:paraId="15209EF8">
      <w:pPr>
        <w:kinsoku w:val="0"/>
        <w:autoSpaceDE w:val="0"/>
        <w:autoSpaceDN w:val="0"/>
        <w:adjustRightInd w:val="0"/>
        <w:snapToGrid w:val="0"/>
        <w:spacing w:before="312" w:line="222" w:lineRule="auto"/>
        <w:ind w:firstLine="952" w:firstLineChars="400"/>
        <w:jc w:val="left"/>
        <w:textAlignment w:val="baseline"/>
        <w:outlineLvl w:val="1"/>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1"/>
          <w:kern w:val="0"/>
          <w:sz w:val="24"/>
          <w:szCs w:val="24"/>
          <w:highlight w:val="none"/>
          <w:lang w:val="en-US" w:eastAsia="en-US" w:bidi="ar-SA"/>
        </w:rPr>
        <w:t>标项四：</w:t>
      </w:r>
    </w:p>
    <w:p w14:paraId="7064B40C">
      <w:pPr>
        <w:kinsoku w:val="0"/>
        <w:autoSpaceDE w:val="0"/>
        <w:autoSpaceDN w:val="0"/>
        <w:adjustRightInd w:val="0"/>
        <w:snapToGrid w:val="0"/>
        <w:spacing w:before="307" w:line="221" w:lineRule="auto"/>
        <w:ind w:firstLine="478" w:firstLineChars="200"/>
        <w:jc w:val="left"/>
        <w:textAlignment w:val="baseline"/>
        <w:outlineLvl w:val="1"/>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b/>
          <w:bCs/>
          <w:snapToGrid w:val="0"/>
          <w:color w:val="000000"/>
          <w:spacing w:val="-1"/>
          <w:kern w:val="0"/>
          <w:sz w:val="24"/>
          <w:szCs w:val="24"/>
          <w:highlight w:val="none"/>
          <w:lang w:val="en-US" w:eastAsia="zh-CN" w:bidi="ar-SA"/>
        </w:rPr>
        <w:t>3</w:t>
      </w:r>
      <w:r>
        <w:rPr>
          <w:rFonts w:ascii="仿宋" w:hAnsi="仿宋" w:eastAsia="仿宋" w:cs="仿宋"/>
          <w:b/>
          <w:bCs/>
          <w:snapToGrid w:val="0"/>
          <w:color w:val="000000"/>
          <w:spacing w:val="-1"/>
          <w:kern w:val="0"/>
          <w:sz w:val="24"/>
          <w:szCs w:val="24"/>
          <w:highlight w:val="none"/>
          <w:lang w:val="en-US" w:eastAsia="en-US" w:bidi="ar-SA"/>
        </w:rPr>
        <w:t>.所属行业为：</w:t>
      </w:r>
      <w:r>
        <w:rPr>
          <w:rFonts w:ascii="仿宋" w:hAnsi="仿宋" w:eastAsia="仿宋" w:cs="仿宋"/>
          <w:b/>
          <w:bCs/>
          <w:snapToGrid w:val="0"/>
          <w:color w:val="000000"/>
          <w:spacing w:val="-1"/>
          <w:kern w:val="0"/>
          <w:sz w:val="24"/>
          <w:szCs w:val="24"/>
          <w:highlight w:val="none"/>
          <w:u w:val="single" w:color="auto"/>
          <w:lang w:val="en-US" w:eastAsia="en-US" w:bidi="ar-SA"/>
        </w:rPr>
        <w:t xml:space="preserve"> 本项目属于</w:t>
      </w:r>
      <w:r>
        <w:rPr>
          <w:rFonts w:hint="eastAsia" w:ascii="仿宋" w:hAnsi="仿宋" w:eastAsia="仿宋" w:cs="仿宋"/>
          <w:b/>
          <w:bCs/>
          <w:snapToGrid w:val="0"/>
          <w:color w:val="000000"/>
          <w:spacing w:val="-1"/>
          <w:kern w:val="0"/>
          <w:sz w:val="24"/>
          <w:szCs w:val="24"/>
          <w:highlight w:val="none"/>
          <w:u w:val="single" w:color="auto"/>
          <w:lang w:val="en-US" w:eastAsia="zh-CN" w:bidi="ar-SA"/>
        </w:rPr>
        <w:t>工业</w:t>
      </w:r>
      <w:r>
        <w:rPr>
          <w:rFonts w:ascii="仿宋" w:hAnsi="仿宋" w:eastAsia="仿宋" w:cs="仿宋"/>
          <w:b/>
          <w:bCs/>
          <w:snapToGrid w:val="0"/>
          <w:color w:val="000000"/>
          <w:spacing w:val="-1"/>
          <w:kern w:val="0"/>
          <w:sz w:val="24"/>
          <w:szCs w:val="24"/>
          <w:highlight w:val="none"/>
          <w:u w:val="single" w:color="auto"/>
          <w:lang w:val="en-US" w:eastAsia="en-US" w:bidi="ar-SA"/>
        </w:rPr>
        <w:t xml:space="preserve"> </w:t>
      </w:r>
      <w:r>
        <w:rPr>
          <w:rFonts w:ascii="仿宋" w:hAnsi="仿宋" w:eastAsia="仿宋" w:cs="仿宋"/>
          <w:b/>
          <w:bCs/>
          <w:snapToGrid w:val="0"/>
          <w:color w:val="000000"/>
          <w:spacing w:val="-1"/>
          <w:kern w:val="0"/>
          <w:sz w:val="24"/>
          <w:szCs w:val="24"/>
          <w:highlight w:val="none"/>
          <w:lang w:val="en-US" w:eastAsia="en-US" w:bidi="ar-SA"/>
        </w:rPr>
        <w:t>。</w:t>
      </w:r>
    </w:p>
    <w:p w14:paraId="266DBD9C">
      <w:pPr>
        <w:kinsoku w:val="0"/>
        <w:autoSpaceDE w:val="0"/>
        <w:autoSpaceDN w:val="0"/>
        <w:adjustRightInd w:val="0"/>
        <w:snapToGrid w:val="0"/>
        <w:spacing w:before="152" w:line="221" w:lineRule="auto"/>
        <w:ind w:left="248" w:firstLine="247" w:firstLineChars="100"/>
        <w:jc w:val="left"/>
        <w:textAlignment w:val="baseline"/>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b/>
          <w:bCs/>
          <w:snapToGrid w:val="0"/>
          <w:color w:val="000000"/>
          <w:spacing w:val="3"/>
          <w:kern w:val="0"/>
          <w:sz w:val="24"/>
          <w:szCs w:val="24"/>
          <w:highlight w:val="none"/>
          <w:lang w:val="en-US" w:eastAsia="zh-CN" w:bidi="ar-SA"/>
        </w:rPr>
        <w:t>4</w:t>
      </w:r>
      <w:r>
        <w:rPr>
          <w:rFonts w:ascii="仿宋" w:hAnsi="仿宋" w:eastAsia="仿宋" w:cs="仿宋"/>
          <w:b/>
          <w:bCs/>
          <w:snapToGrid w:val="0"/>
          <w:color w:val="000000"/>
          <w:spacing w:val="3"/>
          <w:kern w:val="0"/>
          <w:sz w:val="24"/>
          <w:szCs w:val="24"/>
          <w:highlight w:val="none"/>
          <w:lang w:val="en-US" w:eastAsia="en-US" w:bidi="ar-SA"/>
        </w:rPr>
        <w:t>.服务内容</w:t>
      </w:r>
      <w:r>
        <w:rPr>
          <w:rFonts w:ascii="仿宋" w:hAnsi="仿宋" w:eastAsia="仿宋" w:cs="仿宋"/>
          <w:snapToGrid w:val="0"/>
          <w:color w:val="000000"/>
          <w:spacing w:val="3"/>
          <w:kern w:val="0"/>
          <w:sz w:val="24"/>
          <w:szCs w:val="24"/>
          <w:highlight w:val="none"/>
          <w:lang w:val="en-US" w:eastAsia="en-US" w:bidi="ar-SA"/>
        </w:rPr>
        <w:t>：</w:t>
      </w:r>
      <w:r>
        <w:rPr>
          <w:rFonts w:hint="eastAsia" w:ascii="仿宋" w:hAnsi="仿宋" w:eastAsia="仿宋" w:cs="仿宋"/>
          <w:snapToGrid w:val="0"/>
          <w:color w:val="000000"/>
          <w:spacing w:val="3"/>
          <w:kern w:val="0"/>
          <w:sz w:val="24"/>
          <w:szCs w:val="24"/>
          <w:highlight w:val="none"/>
          <w:lang w:val="en-US" w:eastAsia="en-US" w:bidi="ar-SA"/>
        </w:rPr>
        <w:t>阿克苏市医疗援疆“高峰工程”设备采购</w:t>
      </w:r>
      <w:r>
        <w:rPr>
          <w:rFonts w:hint="eastAsia" w:ascii="仿宋" w:hAnsi="仿宋" w:eastAsia="仿宋" w:cs="仿宋"/>
          <w:i w:val="0"/>
          <w:iCs w:val="0"/>
          <w:caps w:val="0"/>
          <w:color w:val="000000"/>
          <w:spacing w:val="0"/>
          <w:sz w:val="27"/>
          <w:szCs w:val="27"/>
          <w:highlight w:val="none"/>
          <w:lang w:val="en-US" w:eastAsia="zh-CN"/>
        </w:rPr>
        <w:t>四标段市妇幼保健院区域检测中心设备购置</w:t>
      </w:r>
      <w:r>
        <w:rPr>
          <w:rFonts w:hint="eastAsia" w:ascii="仿宋" w:hAnsi="仿宋" w:eastAsia="仿宋" w:cs="仿宋"/>
          <w:snapToGrid w:val="0"/>
          <w:color w:val="000000"/>
          <w:spacing w:val="3"/>
          <w:kern w:val="0"/>
          <w:sz w:val="24"/>
          <w:szCs w:val="24"/>
          <w:highlight w:val="none"/>
          <w:lang w:val="en-US" w:eastAsia="en-US" w:bidi="ar-SA"/>
        </w:rPr>
        <w:t>（详见招标文件）</w:t>
      </w:r>
    </w:p>
    <w:p w14:paraId="6239E59A">
      <w:pPr>
        <w:kinsoku w:val="0"/>
        <w:autoSpaceDE w:val="0"/>
        <w:autoSpaceDN w:val="0"/>
        <w:adjustRightInd w:val="0"/>
        <w:snapToGrid w:val="0"/>
        <w:spacing w:before="312" w:line="222" w:lineRule="auto"/>
        <w:ind w:firstLine="470" w:firstLineChars="200"/>
        <w:jc w:val="left"/>
        <w:textAlignment w:val="baseline"/>
        <w:outlineLvl w:val="1"/>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b/>
          <w:bCs/>
          <w:snapToGrid w:val="0"/>
          <w:color w:val="000000"/>
          <w:spacing w:val="-3"/>
          <w:kern w:val="0"/>
          <w:sz w:val="24"/>
          <w:szCs w:val="24"/>
          <w:highlight w:val="none"/>
          <w:lang w:val="en-US" w:eastAsia="zh-CN" w:bidi="ar-SA"/>
        </w:rPr>
        <w:t>5</w:t>
      </w:r>
      <w:r>
        <w:rPr>
          <w:rFonts w:ascii="仿宋" w:hAnsi="仿宋" w:eastAsia="仿宋" w:cs="仿宋"/>
          <w:b/>
          <w:bCs/>
          <w:snapToGrid w:val="0"/>
          <w:color w:val="000000"/>
          <w:spacing w:val="-3"/>
          <w:kern w:val="0"/>
          <w:sz w:val="24"/>
          <w:szCs w:val="24"/>
          <w:highlight w:val="none"/>
          <w:lang w:val="en-US" w:eastAsia="en-US" w:bidi="ar-SA"/>
        </w:rPr>
        <w:t>.需落实的政府采购政策</w:t>
      </w:r>
      <w:r>
        <w:rPr>
          <w:rFonts w:ascii="仿宋" w:hAnsi="仿宋" w:eastAsia="仿宋" w:cs="仿宋"/>
          <w:snapToGrid w:val="0"/>
          <w:color w:val="000000"/>
          <w:spacing w:val="-3"/>
          <w:kern w:val="0"/>
          <w:sz w:val="24"/>
          <w:szCs w:val="24"/>
          <w:highlight w:val="none"/>
          <w:lang w:val="en-US" w:eastAsia="en-US" w:bidi="ar-SA"/>
        </w:rPr>
        <w:t>：按照（关于印发《政府</w:t>
      </w:r>
      <w:r>
        <w:rPr>
          <w:rFonts w:ascii="仿宋" w:hAnsi="仿宋" w:eastAsia="仿宋" w:cs="仿宋"/>
          <w:snapToGrid w:val="0"/>
          <w:color w:val="000000"/>
          <w:spacing w:val="-4"/>
          <w:kern w:val="0"/>
          <w:sz w:val="24"/>
          <w:szCs w:val="24"/>
          <w:highlight w:val="none"/>
          <w:lang w:val="en-US" w:eastAsia="en-US" w:bidi="ar-SA"/>
        </w:rPr>
        <w:t>采购促进中小企业发展管</w:t>
      </w:r>
    </w:p>
    <w:p w14:paraId="6D9CF9AA">
      <w:pPr>
        <w:kinsoku w:val="0"/>
        <w:autoSpaceDE w:val="0"/>
        <w:autoSpaceDN w:val="0"/>
        <w:adjustRightInd w:val="0"/>
        <w:snapToGrid w:val="0"/>
        <w:spacing w:before="151" w:line="221" w:lineRule="auto"/>
        <w:ind w:left="24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
          <w:kern w:val="0"/>
          <w:sz w:val="24"/>
          <w:szCs w:val="24"/>
          <w:highlight w:val="none"/>
          <w:lang w:val="en-US" w:eastAsia="en-US" w:bidi="ar-SA"/>
        </w:rPr>
        <w:t>理办法》的通知）执行，本项目</w:t>
      </w:r>
      <w:r>
        <w:rPr>
          <w:rFonts w:hint="eastAsia" w:ascii="仿宋" w:hAnsi="仿宋" w:eastAsia="仿宋" w:cs="仿宋"/>
          <w:snapToGrid w:val="0"/>
          <w:color w:val="000000"/>
          <w:spacing w:val="-1"/>
          <w:kern w:val="0"/>
          <w:sz w:val="24"/>
          <w:szCs w:val="24"/>
          <w:highlight w:val="none"/>
          <w:lang w:val="en-US" w:eastAsia="zh-CN" w:bidi="ar-SA"/>
        </w:rPr>
        <w:t>不</w:t>
      </w:r>
      <w:r>
        <w:rPr>
          <w:rFonts w:ascii="仿宋" w:hAnsi="仿宋" w:eastAsia="仿宋" w:cs="仿宋"/>
          <w:snapToGrid w:val="0"/>
          <w:color w:val="000000"/>
          <w:spacing w:val="-1"/>
          <w:kern w:val="0"/>
          <w:sz w:val="24"/>
          <w:szCs w:val="24"/>
          <w:highlight w:val="none"/>
          <w:lang w:val="en-US" w:eastAsia="en-US" w:bidi="ar-SA"/>
        </w:rPr>
        <w:t>专门面向</w:t>
      </w:r>
      <w:r>
        <w:rPr>
          <w:rFonts w:hint="eastAsia" w:ascii="仿宋" w:hAnsi="仿宋" w:eastAsia="仿宋" w:cs="仿宋"/>
          <w:snapToGrid w:val="0"/>
          <w:color w:val="000000"/>
          <w:spacing w:val="-1"/>
          <w:kern w:val="0"/>
          <w:sz w:val="24"/>
          <w:szCs w:val="24"/>
          <w:highlight w:val="none"/>
          <w:lang w:val="en-US" w:eastAsia="zh-CN" w:bidi="ar-SA"/>
        </w:rPr>
        <w:t>中小</w:t>
      </w:r>
      <w:r>
        <w:rPr>
          <w:rFonts w:ascii="仿宋" w:hAnsi="仿宋" w:eastAsia="仿宋" w:cs="仿宋"/>
          <w:snapToGrid w:val="0"/>
          <w:color w:val="000000"/>
          <w:spacing w:val="-1"/>
          <w:kern w:val="0"/>
          <w:sz w:val="24"/>
          <w:szCs w:val="24"/>
          <w:highlight w:val="none"/>
          <w:lang w:val="en-US" w:eastAsia="en-US" w:bidi="ar-SA"/>
        </w:rPr>
        <w:t>企业采购。</w:t>
      </w:r>
    </w:p>
    <w:p w14:paraId="75B85780">
      <w:pPr>
        <w:kinsoku w:val="0"/>
        <w:autoSpaceDE w:val="0"/>
        <w:autoSpaceDN w:val="0"/>
        <w:adjustRightInd w:val="0"/>
        <w:snapToGrid w:val="0"/>
        <w:spacing w:before="314" w:line="222" w:lineRule="auto"/>
        <w:ind w:firstLine="474" w:firstLineChars="200"/>
        <w:jc w:val="left"/>
        <w:textAlignment w:val="baseline"/>
        <w:outlineLvl w:val="1"/>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b/>
          <w:bCs/>
          <w:snapToGrid w:val="0"/>
          <w:color w:val="000000"/>
          <w:spacing w:val="-2"/>
          <w:kern w:val="0"/>
          <w:sz w:val="24"/>
          <w:szCs w:val="24"/>
          <w:highlight w:val="none"/>
          <w:lang w:val="en-US" w:eastAsia="zh-CN" w:bidi="ar-SA"/>
        </w:rPr>
        <w:t>6</w:t>
      </w:r>
      <w:r>
        <w:rPr>
          <w:rFonts w:ascii="仿宋" w:hAnsi="仿宋" w:eastAsia="仿宋" w:cs="仿宋"/>
          <w:b/>
          <w:bCs/>
          <w:snapToGrid w:val="0"/>
          <w:color w:val="000000"/>
          <w:spacing w:val="-2"/>
          <w:kern w:val="0"/>
          <w:sz w:val="24"/>
          <w:szCs w:val="24"/>
          <w:highlight w:val="none"/>
          <w:lang w:val="en-US" w:eastAsia="en-US" w:bidi="ar-SA"/>
        </w:rPr>
        <w:t>.采购方式：</w:t>
      </w:r>
      <w:r>
        <w:rPr>
          <w:rFonts w:ascii="仿宋" w:hAnsi="仿宋" w:eastAsia="仿宋" w:cs="仿宋"/>
          <w:snapToGrid w:val="0"/>
          <w:color w:val="000000"/>
          <w:spacing w:val="-94"/>
          <w:kern w:val="0"/>
          <w:sz w:val="24"/>
          <w:szCs w:val="24"/>
          <w:highlight w:val="none"/>
          <w:lang w:val="en-US" w:eastAsia="en-US" w:bidi="ar-SA"/>
        </w:rPr>
        <w:t xml:space="preserve"> </w:t>
      </w:r>
      <w:r>
        <w:rPr>
          <w:rFonts w:ascii="仿宋" w:hAnsi="仿宋" w:eastAsia="仿宋" w:cs="仿宋"/>
          <w:snapToGrid w:val="0"/>
          <w:color w:val="000000"/>
          <w:kern w:val="0"/>
          <w:sz w:val="24"/>
          <w:szCs w:val="24"/>
          <w:highlight w:val="none"/>
          <w:lang w:val="en-US" w:eastAsia="en-US" w:bidi="ar-SA"/>
        </w:rPr>
        <w:drawing>
          <wp:inline distT="0" distB="0" distL="0" distR="0">
            <wp:extent cx="122555" cy="117475"/>
            <wp:effectExtent l="0" t="0" r="10795" b="15875"/>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37"/>
                    <a:stretch>
                      <a:fillRect/>
                    </a:stretch>
                  </pic:blipFill>
                  <pic:spPr>
                    <a:xfrm>
                      <a:off x="0" y="0"/>
                      <a:ext cx="122986" cy="117805"/>
                    </a:xfrm>
                    <a:prstGeom prst="rect">
                      <a:avLst/>
                    </a:prstGeom>
                  </pic:spPr>
                </pic:pic>
              </a:graphicData>
            </a:graphic>
          </wp:inline>
        </w:drawing>
      </w:r>
      <w:r>
        <w:rPr>
          <w:rFonts w:ascii="仿宋" w:hAnsi="仿宋" w:eastAsia="仿宋" w:cs="仿宋"/>
          <w:snapToGrid w:val="0"/>
          <w:color w:val="000000"/>
          <w:spacing w:val="-2"/>
          <w:kern w:val="0"/>
          <w:sz w:val="24"/>
          <w:szCs w:val="24"/>
          <w:highlight w:val="none"/>
          <w:lang w:val="en-US" w:eastAsia="en-US" w:bidi="ar-SA"/>
        </w:rPr>
        <w:t>公开招标</w:t>
      </w:r>
    </w:p>
    <w:p w14:paraId="642F510E">
      <w:pPr>
        <w:kinsoku w:val="0"/>
        <w:autoSpaceDE w:val="0"/>
        <w:autoSpaceDN w:val="0"/>
        <w:adjustRightInd w:val="0"/>
        <w:snapToGrid w:val="0"/>
        <w:spacing w:before="310" w:line="221" w:lineRule="auto"/>
        <w:ind w:firstLine="482" w:firstLineChars="200"/>
        <w:jc w:val="left"/>
        <w:textAlignment w:val="baseline"/>
        <w:outlineLvl w:val="1"/>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b/>
          <w:bCs/>
          <w:snapToGrid w:val="0"/>
          <w:color w:val="000000"/>
          <w:kern w:val="0"/>
          <w:sz w:val="24"/>
          <w:szCs w:val="24"/>
          <w:highlight w:val="none"/>
          <w:lang w:val="en-US" w:eastAsia="zh-CN" w:bidi="ar-SA"/>
        </w:rPr>
        <w:t>7</w:t>
      </w:r>
      <w:r>
        <w:rPr>
          <w:rFonts w:ascii="仿宋" w:hAnsi="仿宋" w:eastAsia="仿宋" w:cs="仿宋"/>
          <w:b/>
          <w:bCs/>
          <w:snapToGrid w:val="0"/>
          <w:color w:val="000000"/>
          <w:kern w:val="0"/>
          <w:sz w:val="24"/>
          <w:szCs w:val="24"/>
          <w:highlight w:val="none"/>
          <w:lang w:val="en-US" w:eastAsia="en-US" w:bidi="ar-SA"/>
        </w:rPr>
        <w:t>.</w:t>
      </w:r>
      <w:r>
        <w:rPr>
          <w:rFonts w:hint="eastAsia" w:ascii="仿宋" w:hAnsi="仿宋" w:eastAsia="仿宋" w:cs="仿宋"/>
          <w:b/>
          <w:bCs/>
          <w:snapToGrid w:val="0"/>
          <w:color w:val="000000"/>
          <w:kern w:val="0"/>
          <w:sz w:val="24"/>
          <w:szCs w:val="24"/>
          <w:highlight w:val="none"/>
          <w:lang w:val="en-US" w:eastAsia="zh-CN" w:bidi="ar-SA"/>
        </w:rPr>
        <w:t>质量要求：</w:t>
      </w:r>
      <w:r>
        <w:rPr>
          <w:rFonts w:hint="eastAsia" w:ascii="仿宋" w:hAnsi="仿宋" w:eastAsia="仿宋" w:cs="仿宋"/>
          <w:snapToGrid w:val="0"/>
          <w:color w:val="000000"/>
          <w:kern w:val="0"/>
          <w:sz w:val="24"/>
          <w:szCs w:val="24"/>
          <w:highlight w:val="none"/>
          <w:lang w:val="en-US" w:eastAsia="zh-CN" w:bidi="ar-SA"/>
        </w:rPr>
        <w:t>合格，</w:t>
      </w:r>
      <w:r>
        <w:rPr>
          <w:rFonts w:ascii="仿宋" w:hAnsi="仿宋" w:eastAsia="仿宋" w:cs="仿宋"/>
          <w:snapToGrid w:val="0"/>
          <w:color w:val="000000"/>
          <w:kern w:val="0"/>
          <w:sz w:val="24"/>
          <w:szCs w:val="24"/>
          <w:highlight w:val="none"/>
          <w:lang w:val="en-US" w:eastAsia="en-US" w:bidi="ar-SA"/>
        </w:rPr>
        <w:t>需满足国家相关标准、行业标准、地方标准或者其他标准、规范.</w:t>
      </w:r>
    </w:p>
    <w:p w14:paraId="7DCD5BCA">
      <w:pPr>
        <w:rPr>
          <w:rFonts w:ascii="仿宋" w:hAnsi="仿宋" w:eastAsia="仿宋" w:cs="仿宋"/>
          <w:b/>
          <w:bCs/>
          <w:spacing w:val="3"/>
          <w:sz w:val="31"/>
          <w:szCs w:val="31"/>
          <w:highlight w:val="none"/>
        </w:rPr>
      </w:pPr>
    </w:p>
    <w:p w14:paraId="312FA78E">
      <w:pPr>
        <w:rPr>
          <w:rFonts w:ascii="仿宋" w:hAnsi="仿宋" w:eastAsia="仿宋" w:cs="仿宋"/>
          <w:b/>
          <w:bCs/>
          <w:spacing w:val="3"/>
          <w:sz w:val="31"/>
          <w:szCs w:val="31"/>
          <w:highlight w:val="none"/>
        </w:rPr>
      </w:pPr>
    </w:p>
    <w:p w14:paraId="6827BD9C">
      <w:pPr>
        <w:rPr>
          <w:rFonts w:ascii="仿宋" w:hAnsi="仿宋" w:eastAsia="仿宋" w:cs="仿宋"/>
          <w:b/>
          <w:bCs/>
          <w:spacing w:val="3"/>
          <w:sz w:val="31"/>
          <w:szCs w:val="31"/>
          <w:highlight w:val="none"/>
        </w:rPr>
      </w:pPr>
    </w:p>
    <w:p w14:paraId="4B93280E">
      <w:pPr>
        <w:rPr>
          <w:rFonts w:ascii="仿宋" w:hAnsi="仿宋" w:eastAsia="仿宋" w:cs="仿宋"/>
          <w:b/>
          <w:bCs/>
          <w:spacing w:val="3"/>
          <w:sz w:val="31"/>
          <w:szCs w:val="31"/>
          <w:highlight w:val="none"/>
        </w:rPr>
      </w:pPr>
    </w:p>
    <w:p w14:paraId="58FBBD61">
      <w:pPr>
        <w:rPr>
          <w:rFonts w:ascii="仿宋" w:hAnsi="仿宋" w:eastAsia="仿宋" w:cs="仿宋"/>
          <w:b/>
          <w:bCs/>
          <w:spacing w:val="3"/>
          <w:sz w:val="31"/>
          <w:szCs w:val="31"/>
          <w:highlight w:val="none"/>
        </w:rPr>
      </w:pPr>
    </w:p>
    <w:p w14:paraId="122A8082">
      <w:pPr>
        <w:rPr>
          <w:rFonts w:ascii="仿宋" w:hAnsi="仿宋" w:eastAsia="仿宋" w:cs="仿宋"/>
          <w:b/>
          <w:bCs/>
          <w:spacing w:val="3"/>
          <w:sz w:val="31"/>
          <w:szCs w:val="31"/>
          <w:highlight w:val="none"/>
        </w:rPr>
      </w:pPr>
    </w:p>
    <w:p w14:paraId="7E8D78F7">
      <w:pPr>
        <w:rPr>
          <w:rFonts w:ascii="仿宋" w:hAnsi="仿宋" w:eastAsia="仿宋" w:cs="仿宋"/>
          <w:b/>
          <w:bCs/>
          <w:spacing w:val="3"/>
          <w:sz w:val="31"/>
          <w:szCs w:val="31"/>
          <w:highlight w:val="none"/>
        </w:rPr>
      </w:pPr>
    </w:p>
    <w:p w14:paraId="4EDD7D88">
      <w:pPr>
        <w:rPr>
          <w:rFonts w:ascii="仿宋" w:hAnsi="仿宋" w:eastAsia="仿宋" w:cs="仿宋"/>
          <w:b/>
          <w:bCs/>
          <w:spacing w:val="3"/>
          <w:sz w:val="31"/>
          <w:szCs w:val="31"/>
          <w:highlight w:val="none"/>
        </w:rPr>
      </w:pPr>
    </w:p>
    <w:p w14:paraId="72FF068D">
      <w:pPr>
        <w:numPr>
          <w:ilvl w:val="0"/>
          <w:numId w:val="4"/>
        </w:numPr>
        <w:rPr>
          <w:rFonts w:hint="eastAsia" w:ascii="仿宋" w:hAnsi="仿宋" w:eastAsia="仿宋" w:cs="仿宋"/>
          <w:b/>
          <w:bCs/>
          <w:spacing w:val="3"/>
          <w:sz w:val="31"/>
          <w:szCs w:val="31"/>
          <w:highlight w:val="none"/>
          <w:lang w:val="en-US" w:eastAsia="zh-CN"/>
        </w:rPr>
      </w:pPr>
      <w:r>
        <w:rPr>
          <w:rFonts w:hint="eastAsia" w:ascii="仿宋" w:hAnsi="仿宋" w:eastAsia="仿宋" w:cs="仿宋"/>
          <w:b/>
          <w:bCs/>
          <w:spacing w:val="3"/>
          <w:sz w:val="31"/>
          <w:szCs w:val="31"/>
          <w:highlight w:val="none"/>
          <w:lang w:val="en-US" w:eastAsia="zh-CN"/>
        </w:rPr>
        <w:t>采购清单</w:t>
      </w:r>
    </w:p>
    <w:p w14:paraId="73AEFFC3">
      <w:pPr>
        <w:numPr>
          <w:ilvl w:val="0"/>
          <w:numId w:val="0"/>
        </w:numPr>
        <w:rPr>
          <w:rFonts w:hint="default" w:ascii="仿宋" w:hAnsi="仿宋" w:eastAsia="仿宋" w:cs="仿宋"/>
          <w:b/>
          <w:bCs/>
          <w:spacing w:val="3"/>
          <w:sz w:val="31"/>
          <w:szCs w:val="31"/>
          <w:highlight w:val="none"/>
          <w:lang w:val="en-US" w:eastAsia="zh-CN"/>
        </w:rPr>
      </w:pPr>
    </w:p>
    <w:p w14:paraId="5D07AC28">
      <w:pPr>
        <w:rPr>
          <w:rFonts w:hint="eastAsia" w:ascii="仿宋" w:hAnsi="仿宋" w:eastAsia="仿宋" w:cs="仿宋"/>
          <w:b/>
          <w:bCs/>
          <w:spacing w:val="3"/>
          <w:sz w:val="31"/>
          <w:szCs w:val="31"/>
          <w:highlight w:val="none"/>
          <w:lang w:eastAsia="zh-CN"/>
        </w:rPr>
      </w:pPr>
    </w:p>
    <w:p w14:paraId="663D8C90">
      <w:pPr>
        <w:rPr>
          <w:rFonts w:hint="eastAsia" w:ascii="仿宋" w:hAnsi="仿宋" w:eastAsia="仿宋" w:cs="仿宋"/>
          <w:b/>
          <w:bCs/>
          <w:spacing w:val="3"/>
          <w:sz w:val="31"/>
          <w:szCs w:val="31"/>
          <w:highlight w:val="none"/>
          <w:lang w:eastAsia="zh-CN"/>
        </w:rPr>
      </w:pPr>
    </w:p>
    <w:p w14:paraId="31F0AD1F">
      <w:pPr>
        <w:rPr>
          <w:rFonts w:hint="eastAsia" w:ascii="仿宋" w:hAnsi="仿宋" w:eastAsia="仿宋" w:cs="仿宋"/>
          <w:b/>
          <w:bCs/>
          <w:spacing w:val="3"/>
          <w:sz w:val="31"/>
          <w:szCs w:val="31"/>
          <w:highlight w:val="none"/>
          <w:lang w:eastAsia="zh-CN"/>
        </w:rPr>
      </w:pPr>
    </w:p>
    <w:p w14:paraId="41F530A9">
      <w:pPr>
        <w:rPr>
          <w:rFonts w:hint="eastAsia" w:ascii="仿宋" w:hAnsi="仿宋" w:eastAsia="仿宋" w:cs="仿宋"/>
          <w:b/>
          <w:bCs/>
          <w:spacing w:val="3"/>
          <w:sz w:val="31"/>
          <w:szCs w:val="31"/>
          <w:highlight w:val="none"/>
          <w:lang w:eastAsia="zh-CN"/>
        </w:rPr>
      </w:pPr>
    </w:p>
    <w:p w14:paraId="1D5B0241">
      <w:pPr>
        <w:rPr>
          <w:rFonts w:hint="eastAsia" w:ascii="仿宋" w:hAnsi="仿宋" w:eastAsia="仿宋" w:cs="仿宋"/>
          <w:b/>
          <w:bCs/>
          <w:spacing w:val="3"/>
          <w:sz w:val="31"/>
          <w:szCs w:val="31"/>
          <w:highlight w:val="none"/>
          <w:lang w:eastAsia="zh-CN"/>
        </w:rPr>
      </w:pPr>
    </w:p>
    <w:p w14:paraId="1B08A853">
      <w:pPr>
        <w:rPr>
          <w:rFonts w:hint="eastAsia" w:ascii="仿宋" w:hAnsi="仿宋" w:eastAsia="仿宋" w:cs="仿宋"/>
          <w:b/>
          <w:bCs/>
          <w:spacing w:val="3"/>
          <w:sz w:val="31"/>
          <w:szCs w:val="31"/>
          <w:highlight w:val="none"/>
          <w:lang w:eastAsia="zh-CN"/>
        </w:rPr>
      </w:pPr>
    </w:p>
    <w:p w14:paraId="08F6FCD1">
      <w:pPr>
        <w:rPr>
          <w:rFonts w:hint="eastAsia" w:ascii="仿宋" w:hAnsi="仿宋" w:eastAsia="仿宋" w:cs="仿宋"/>
          <w:b/>
          <w:bCs/>
          <w:spacing w:val="3"/>
          <w:sz w:val="31"/>
          <w:szCs w:val="31"/>
          <w:highlight w:val="none"/>
          <w:lang w:eastAsia="zh-CN"/>
        </w:rPr>
      </w:pPr>
    </w:p>
    <w:p w14:paraId="7AB5CFAC">
      <w:pPr>
        <w:rPr>
          <w:rFonts w:hint="eastAsia" w:ascii="仿宋" w:hAnsi="仿宋" w:eastAsia="仿宋" w:cs="仿宋"/>
          <w:b/>
          <w:bCs/>
          <w:spacing w:val="3"/>
          <w:sz w:val="31"/>
          <w:szCs w:val="31"/>
          <w:highlight w:val="none"/>
          <w:lang w:eastAsia="zh-CN"/>
        </w:rPr>
      </w:pPr>
    </w:p>
    <w:p w14:paraId="01344148">
      <w:pPr>
        <w:rPr>
          <w:rFonts w:hint="eastAsia" w:ascii="仿宋" w:hAnsi="仿宋" w:eastAsia="仿宋" w:cs="仿宋"/>
          <w:b/>
          <w:bCs/>
          <w:spacing w:val="3"/>
          <w:sz w:val="31"/>
          <w:szCs w:val="31"/>
          <w:highlight w:val="none"/>
          <w:lang w:eastAsia="zh-CN"/>
        </w:rPr>
      </w:pPr>
    </w:p>
    <w:p w14:paraId="47F2F065">
      <w:pPr>
        <w:rPr>
          <w:rFonts w:hint="eastAsia" w:ascii="仿宋" w:hAnsi="仿宋" w:eastAsia="仿宋" w:cs="仿宋"/>
          <w:b/>
          <w:bCs/>
          <w:spacing w:val="3"/>
          <w:sz w:val="31"/>
          <w:szCs w:val="31"/>
          <w:highlight w:val="none"/>
          <w:lang w:eastAsia="zh-CN"/>
        </w:rPr>
      </w:pPr>
    </w:p>
    <w:p w14:paraId="607DA46D">
      <w:pPr>
        <w:rPr>
          <w:rFonts w:hint="eastAsia" w:ascii="仿宋" w:hAnsi="仿宋" w:eastAsia="仿宋" w:cs="仿宋"/>
          <w:b/>
          <w:bCs/>
          <w:spacing w:val="3"/>
          <w:sz w:val="31"/>
          <w:szCs w:val="31"/>
          <w:highlight w:val="none"/>
          <w:lang w:eastAsia="zh-CN"/>
        </w:rPr>
      </w:pPr>
    </w:p>
    <w:p w14:paraId="1A959AF9">
      <w:pPr>
        <w:rPr>
          <w:rFonts w:hint="eastAsia" w:ascii="仿宋" w:hAnsi="仿宋" w:eastAsia="仿宋" w:cs="仿宋"/>
          <w:b/>
          <w:bCs/>
          <w:spacing w:val="3"/>
          <w:sz w:val="31"/>
          <w:szCs w:val="31"/>
          <w:highlight w:val="none"/>
          <w:lang w:eastAsia="zh-CN"/>
        </w:rPr>
      </w:pPr>
    </w:p>
    <w:p w14:paraId="37C91770">
      <w:pPr>
        <w:rPr>
          <w:rFonts w:hint="eastAsia" w:ascii="仿宋" w:hAnsi="仿宋" w:eastAsia="仿宋" w:cs="仿宋"/>
          <w:b/>
          <w:bCs/>
          <w:spacing w:val="3"/>
          <w:sz w:val="31"/>
          <w:szCs w:val="31"/>
          <w:highlight w:val="none"/>
          <w:lang w:eastAsia="zh-CN"/>
        </w:rPr>
      </w:pPr>
    </w:p>
    <w:p w14:paraId="3AC2352A">
      <w:pPr>
        <w:rPr>
          <w:rFonts w:hint="eastAsia" w:ascii="仿宋" w:hAnsi="仿宋" w:eastAsia="仿宋" w:cs="仿宋"/>
          <w:b/>
          <w:bCs/>
          <w:spacing w:val="3"/>
          <w:sz w:val="31"/>
          <w:szCs w:val="31"/>
          <w:highlight w:val="none"/>
          <w:lang w:eastAsia="zh-CN"/>
        </w:rPr>
      </w:pPr>
    </w:p>
    <w:p w14:paraId="3F29BB53">
      <w:pPr>
        <w:rPr>
          <w:rFonts w:hint="eastAsia" w:ascii="仿宋" w:hAnsi="仿宋" w:eastAsia="仿宋" w:cs="仿宋"/>
          <w:b/>
          <w:bCs/>
          <w:spacing w:val="3"/>
          <w:sz w:val="31"/>
          <w:szCs w:val="31"/>
          <w:highlight w:val="none"/>
          <w:lang w:eastAsia="zh-CN"/>
        </w:rPr>
      </w:pPr>
    </w:p>
    <w:p w14:paraId="2456D802">
      <w:pPr>
        <w:rPr>
          <w:rFonts w:hint="eastAsia" w:ascii="仿宋" w:hAnsi="仿宋" w:eastAsia="仿宋" w:cs="仿宋"/>
          <w:b/>
          <w:bCs/>
          <w:spacing w:val="3"/>
          <w:sz w:val="31"/>
          <w:szCs w:val="31"/>
          <w:highlight w:val="none"/>
          <w:lang w:eastAsia="zh-CN"/>
        </w:rPr>
      </w:pPr>
    </w:p>
    <w:p w14:paraId="7BB3989E">
      <w:pPr>
        <w:rPr>
          <w:rFonts w:hint="eastAsia" w:ascii="仿宋" w:hAnsi="仿宋" w:eastAsia="仿宋" w:cs="仿宋"/>
          <w:b/>
          <w:bCs/>
          <w:spacing w:val="3"/>
          <w:sz w:val="31"/>
          <w:szCs w:val="31"/>
          <w:highlight w:val="none"/>
          <w:lang w:eastAsia="zh-CN"/>
        </w:rPr>
      </w:pPr>
    </w:p>
    <w:p w14:paraId="69FA0780">
      <w:pPr>
        <w:rPr>
          <w:rFonts w:hint="eastAsia" w:ascii="仿宋" w:hAnsi="仿宋" w:eastAsia="仿宋" w:cs="仿宋"/>
          <w:b/>
          <w:bCs/>
          <w:spacing w:val="3"/>
          <w:sz w:val="31"/>
          <w:szCs w:val="31"/>
          <w:highlight w:val="none"/>
          <w:lang w:eastAsia="zh-CN"/>
        </w:rPr>
      </w:pPr>
    </w:p>
    <w:p w14:paraId="1EF689FC">
      <w:pPr>
        <w:rPr>
          <w:rFonts w:hint="eastAsia" w:ascii="仿宋" w:hAnsi="仿宋" w:eastAsia="仿宋" w:cs="仿宋"/>
          <w:b/>
          <w:bCs/>
          <w:spacing w:val="3"/>
          <w:sz w:val="31"/>
          <w:szCs w:val="31"/>
          <w:highlight w:val="none"/>
          <w:lang w:eastAsia="zh-CN"/>
        </w:rPr>
      </w:pPr>
    </w:p>
    <w:p w14:paraId="1DE0C4B9">
      <w:pPr>
        <w:rPr>
          <w:rFonts w:hint="eastAsia" w:ascii="仿宋" w:hAnsi="仿宋" w:eastAsia="仿宋" w:cs="仿宋"/>
          <w:b/>
          <w:bCs/>
          <w:spacing w:val="3"/>
          <w:sz w:val="31"/>
          <w:szCs w:val="31"/>
          <w:highlight w:val="none"/>
          <w:lang w:eastAsia="zh-CN"/>
        </w:rPr>
      </w:pPr>
    </w:p>
    <w:p w14:paraId="1134BDF9">
      <w:pPr>
        <w:rPr>
          <w:rFonts w:hint="eastAsia" w:ascii="仿宋" w:hAnsi="仿宋" w:eastAsia="仿宋" w:cs="仿宋"/>
          <w:b/>
          <w:bCs/>
          <w:spacing w:val="3"/>
          <w:sz w:val="31"/>
          <w:szCs w:val="31"/>
          <w:highlight w:val="none"/>
          <w:lang w:eastAsia="zh-CN"/>
        </w:rPr>
      </w:pPr>
    </w:p>
    <w:p w14:paraId="28C13AE1">
      <w:pPr>
        <w:rPr>
          <w:rFonts w:hint="eastAsia" w:ascii="仿宋" w:hAnsi="仿宋" w:eastAsia="仿宋" w:cs="仿宋"/>
          <w:b/>
          <w:bCs/>
          <w:spacing w:val="3"/>
          <w:sz w:val="31"/>
          <w:szCs w:val="31"/>
          <w:highlight w:val="none"/>
          <w:lang w:eastAsia="zh-CN"/>
        </w:rPr>
      </w:pPr>
    </w:p>
    <w:p w14:paraId="74526556">
      <w:pPr>
        <w:rPr>
          <w:rFonts w:hint="eastAsia" w:ascii="仿宋" w:hAnsi="仿宋" w:eastAsia="仿宋" w:cs="仿宋"/>
          <w:b/>
          <w:bCs/>
          <w:spacing w:val="3"/>
          <w:sz w:val="31"/>
          <w:szCs w:val="31"/>
          <w:highlight w:val="none"/>
          <w:lang w:eastAsia="zh-CN"/>
        </w:rPr>
      </w:pPr>
    </w:p>
    <w:p w14:paraId="73F0C17A">
      <w:pPr>
        <w:rPr>
          <w:rFonts w:hint="eastAsia" w:ascii="仿宋" w:hAnsi="仿宋" w:eastAsia="仿宋" w:cs="仿宋"/>
          <w:b/>
          <w:bCs/>
          <w:spacing w:val="3"/>
          <w:sz w:val="31"/>
          <w:szCs w:val="31"/>
          <w:highlight w:val="none"/>
          <w:lang w:eastAsia="zh-CN"/>
        </w:rPr>
      </w:pPr>
    </w:p>
    <w:p w14:paraId="437CFF85">
      <w:pPr>
        <w:rPr>
          <w:rFonts w:hint="eastAsia" w:ascii="仿宋" w:hAnsi="仿宋" w:eastAsia="仿宋" w:cs="仿宋"/>
          <w:b/>
          <w:bCs/>
          <w:spacing w:val="3"/>
          <w:sz w:val="31"/>
          <w:szCs w:val="31"/>
          <w:highlight w:val="none"/>
          <w:lang w:eastAsia="zh-CN"/>
        </w:rPr>
      </w:pPr>
    </w:p>
    <w:p w14:paraId="3518A9D8">
      <w:pPr>
        <w:numPr>
          <w:ilvl w:val="0"/>
          <w:numId w:val="0"/>
        </w:numPr>
        <w:rPr>
          <w:rFonts w:hint="eastAsia" w:ascii="仿宋" w:hAnsi="仿宋" w:eastAsia="仿宋" w:cs="仿宋"/>
          <w:b/>
          <w:bCs/>
          <w:spacing w:val="3"/>
          <w:sz w:val="31"/>
          <w:szCs w:val="31"/>
          <w:highlight w:val="none"/>
          <w:lang w:val="en-US" w:eastAsia="zh-CN"/>
        </w:rPr>
      </w:pPr>
    </w:p>
    <w:p w14:paraId="4005E344">
      <w:pPr>
        <w:numPr>
          <w:ilvl w:val="0"/>
          <w:numId w:val="0"/>
        </w:numPr>
        <w:rPr>
          <w:rFonts w:hint="eastAsia" w:ascii="仿宋" w:hAnsi="仿宋" w:eastAsia="仿宋" w:cs="仿宋"/>
          <w:b/>
          <w:bCs/>
          <w:spacing w:val="3"/>
          <w:sz w:val="31"/>
          <w:szCs w:val="31"/>
          <w:highlight w:val="none"/>
          <w:lang w:val="en-US" w:eastAsia="zh-CN"/>
        </w:rPr>
      </w:pPr>
      <w:r>
        <w:rPr>
          <w:rFonts w:hint="eastAsia" w:ascii="仿宋" w:hAnsi="仿宋" w:eastAsia="仿宋" w:cs="仿宋"/>
          <w:b/>
          <w:bCs/>
          <w:spacing w:val="3"/>
          <w:sz w:val="31"/>
          <w:szCs w:val="31"/>
          <w:highlight w:val="none"/>
          <w:lang w:val="en-US" w:eastAsia="zh-CN"/>
        </w:rPr>
        <w:t>4.</w:t>
      </w:r>
      <w:r>
        <w:rPr>
          <w:rFonts w:hint="eastAsia" w:ascii="仿宋" w:hAnsi="仿宋" w:eastAsia="仿宋" w:cs="仿宋"/>
          <w:b/>
          <w:bCs/>
          <w:spacing w:val="3"/>
          <w:sz w:val="31"/>
          <w:szCs w:val="31"/>
          <w:highlight w:val="none"/>
        </w:rPr>
        <w:t>标项</w:t>
      </w:r>
      <w:r>
        <w:rPr>
          <w:rFonts w:hint="eastAsia" w:ascii="仿宋" w:hAnsi="仿宋" w:eastAsia="仿宋" w:cs="仿宋"/>
          <w:b/>
          <w:bCs/>
          <w:spacing w:val="3"/>
          <w:sz w:val="31"/>
          <w:szCs w:val="31"/>
          <w:highlight w:val="none"/>
          <w:lang w:eastAsia="zh-CN"/>
        </w:rPr>
        <w:t>四</w:t>
      </w:r>
      <w:r>
        <w:rPr>
          <w:rFonts w:hint="eastAsia" w:ascii="仿宋" w:hAnsi="仿宋" w:eastAsia="仿宋" w:cs="仿宋"/>
          <w:b/>
          <w:bCs/>
          <w:spacing w:val="3"/>
          <w:sz w:val="31"/>
          <w:szCs w:val="31"/>
          <w:highlight w:val="none"/>
          <w:lang w:val="en-US" w:eastAsia="zh-CN"/>
        </w:rPr>
        <w:t>清单：</w:t>
      </w:r>
    </w:p>
    <w:tbl>
      <w:tblPr>
        <w:tblStyle w:val="17"/>
        <w:tblW w:w="106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7"/>
        <w:gridCol w:w="2062"/>
        <w:gridCol w:w="1243"/>
        <w:gridCol w:w="886"/>
        <w:gridCol w:w="1899"/>
        <w:gridCol w:w="1792"/>
        <w:gridCol w:w="1792"/>
      </w:tblGrid>
      <w:tr w14:paraId="0BF0A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E4D8">
            <w:pPr>
              <w:keepNext w:val="0"/>
              <w:keepLines w:val="0"/>
              <w:widowControl/>
              <w:suppressLineNumbers w:val="0"/>
              <w:kinsoku w:val="0"/>
              <w:autoSpaceDE w:val="0"/>
              <w:autoSpaceDN w:val="0"/>
              <w:adjustRightInd w:val="0"/>
              <w:snapToGrid w:val="0"/>
              <w:spacing w:line="240" w:lineRule="auto"/>
              <w:jc w:val="center"/>
              <w:textAlignment w:val="center"/>
              <w:rPr>
                <w:rFonts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序号</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12B8">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设备名称</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9DA0">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预算单价(万元)</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30E7">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总数量</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1DBA">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预算总价(万元)</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B639">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eastAsia="en-US"/>
              </w:rPr>
            </w:pPr>
            <w:r>
              <w:rPr>
                <w:rFonts w:hint="default" w:ascii="仿宋_GB2312" w:hAnsi="宋体" w:eastAsia="仿宋_GB2312" w:cs="仿宋_GB2312"/>
                <w:b/>
                <w:bCs/>
                <w:i w:val="0"/>
                <w:iCs w:val="0"/>
                <w:snapToGrid w:val="0"/>
                <w:color w:val="000000"/>
                <w:kern w:val="0"/>
                <w:sz w:val="28"/>
                <w:szCs w:val="28"/>
                <w:highlight w:val="none"/>
                <w:u w:val="none"/>
                <w:lang w:val="en-US" w:eastAsia="zh-CN" w:bidi="ar"/>
              </w:rPr>
              <w:t>资金来源</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0ED2">
            <w:pPr>
              <w:keepNext w:val="0"/>
              <w:keepLines w:val="0"/>
              <w:widowControl/>
              <w:suppressLineNumbers w:val="0"/>
              <w:kinsoku w:val="0"/>
              <w:autoSpaceDE w:val="0"/>
              <w:autoSpaceDN w:val="0"/>
              <w:adjustRightInd w:val="0"/>
              <w:snapToGrid w:val="0"/>
              <w:spacing w:line="240" w:lineRule="auto"/>
              <w:jc w:val="center"/>
              <w:textAlignment w:val="center"/>
              <w:rPr>
                <w:rFonts w:hint="default" w:ascii="仿宋_GB2312" w:hAnsi="宋体" w:eastAsia="仿宋_GB2312" w:cs="仿宋_GB2312"/>
                <w:b/>
                <w:bCs/>
                <w:i w:val="0"/>
                <w:iCs w:val="0"/>
                <w:snapToGrid w:val="0"/>
                <w:color w:val="000000"/>
                <w:kern w:val="0"/>
                <w:sz w:val="28"/>
                <w:szCs w:val="28"/>
                <w:highlight w:val="none"/>
                <w:u w:val="none"/>
                <w:lang w:val="en-US" w:eastAsia="zh-CN" w:bidi="ar"/>
              </w:rPr>
            </w:pPr>
            <w:r>
              <w:rPr>
                <w:rFonts w:hint="eastAsia" w:ascii="仿宋_GB2312" w:hAnsi="宋体" w:eastAsia="仿宋_GB2312" w:cs="仿宋_GB2312"/>
                <w:b/>
                <w:bCs/>
                <w:i w:val="0"/>
                <w:iCs w:val="0"/>
                <w:snapToGrid w:val="0"/>
                <w:color w:val="000000"/>
                <w:kern w:val="0"/>
                <w:sz w:val="28"/>
                <w:szCs w:val="28"/>
                <w:highlight w:val="none"/>
                <w:u w:val="none"/>
                <w:lang w:val="en-US" w:eastAsia="zh-CN" w:bidi="ar"/>
              </w:rPr>
              <w:t>备注</w:t>
            </w:r>
          </w:p>
        </w:tc>
      </w:tr>
      <w:tr w14:paraId="7551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5C0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069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HPV全自动一体化核酸分析系统检测分析一体机护仪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F80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D4F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230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1CBB">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A203">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5757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62A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2</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636B">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全自动宫颈细胞扫描成像AI智能分析系统（液基细胞人工智能扫描影像分析系统）</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DEB2">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5E36">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BA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55A0">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0B8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6CBC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00F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3</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21B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糖化血红蛋白分析仪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292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347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1AA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7A1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E4EE">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7C202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744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4</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401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全自动酶免工作站（全自动酶免洗板一体机）</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978B">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B27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1739">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507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CE71">
            <w:pPr>
              <w:keepNext w:val="0"/>
              <w:keepLines w:val="0"/>
              <w:widowControl/>
              <w:suppressLineNumbers w:val="0"/>
              <w:kinsoku w:val="0"/>
              <w:autoSpaceDE w:val="0"/>
              <w:autoSpaceDN w:val="0"/>
              <w:adjustRightInd w:val="0"/>
              <w:snapToGrid w:val="0"/>
              <w:spacing w:line="240" w:lineRule="auto"/>
              <w:jc w:val="both"/>
              <w:textAlignment w:val="center"/>
              <w:rPr>
                <w:rFonts w:hint="default"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核心设备</w:t>
            </w:r>
          </w:p>
        </w:tc>
      </w:tr>
      <w:tr w14:paraId="0B30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7F8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5</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831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微量元素分析仪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8762">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6C6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B366">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D5F6">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D29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6DC71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099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6</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607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全自动液基涂片系统</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90B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0F3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B90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081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7A5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624E7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9C6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7</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95D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全自动特种蛋白分析仪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484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F0C6">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B7FD">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A916">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87B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1084E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168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8</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B23F">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全自动病源菌药敏鉴定分析系统</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96B2">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C496">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C3B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963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909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235C7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4EE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9</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66FE">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全自动尿碘检测仪（尿碘分析仪）</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031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57C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6272">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2CF2">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332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61E2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37F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iCs w:val="0"/>
                <w:snapToGrid w:val="0"/>
                <w:color w:val="000000"/>
                <w:kern w:val="0"/>
                <w:sz w:val="22"/>
                <w:szCs w:val="22"/>
                <w:highlight w:val="none"/>
                <w:u w:val="none"/>
                <w:lang w:val="en-US" w:eastAsia="en-US"/>
              </w:rPr>
            </w:pPr>
            <w:r>
              <w:rPr>
                <w:rFonts w:hint="eastAsia" w:ascii="宋体" w:hAnsi="宋体" w:eastAsia="宋体" w:cs="宋体"/>
                <w:i w:val="0"/>
                <w:iCs w:val="0"/>
                <w:snapToGrid w:val="0"/>
                <w:color w:val="000000"/>
                <w:kern w:val="0"/>
                <w:sz w:val="22"/>
                <w:szCs w:val="22"/>
                <w:highlight w:val="none"/>
                <w:u w:val="none"/>
                <w:lang w:val="en-US" w:eastAsia="zh-CN" w:bidi="ar"/>
              </w:rPr>
              <w:t>10</w:t>
            </w:r>
          </w:p>
        </w:tc>
        <w:tc>
          <w:tcPr>
            <w:tcW w:w="2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7BF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超纯水处理设备</w:t>
            </w:r>
          </w:p>
        </w:tc>
        <w:tc>
          <w:tcPr>
            <w:tcW w:w="12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21D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0F36">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1</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70DC">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000000"/>
                <w:kern w:val="0"/>
                <w:sz w:val="22"/>
                <w:szCs w:val="22"/>
                <w:highlight w:val="none"/>
                <w:u w:val="none"/>
                <w:lang w:eastAsia="en-US"/>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D1D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eastAsia="en-US"/>
              </w:rPr>
            </w:pPr>
            <w:r>
              <w:rPr>
                <w:rFonts w:hint="eastAsia" w:ascii="宋体" w:hAnsi="宋体" w:eastAsia="宋体" w:cs="宋体"/>
                <w:i w:val="0"/>
                <w:iCs w:val="0"/>
                <w:snapToGrid w:val="0"/>
                <w:color w:val="000000"/>
                <w:kern w:val="0"/>
                <w:sz w:val="22"/>
                <w:szCs w:val="22"/>
                <w:highlight w:val="none"/>
                <w:u w:val="none"/>
                <w:lang w:val="en-US" w:eastAsia="zh-CN" w:bidi="ar"/>
              </w:rPr>
              <w:t>援疆项目资金</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6F6A">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r w14:paraId="105C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8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4C779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r>
              <w:rPr>
                <w:rFonts w:hint="eastAsia" w:ascii="宋体" w:hAnsi="宋体" w:eastAsia="宋体" w:cs="宋体"/>
                <w:i w:val="0"/>
                <w:iCs w:val="0"/>
                <w:snapToGrid w:val="0"/>
                <w:color w:val="000000"/>
                <w:kern w:val="0"/>
                <w:sz w:val="22"/>
                <w:szCs w:val="22"/>
                <w:highlight w:val="none"/>
                <w:u w:val="none"/>
                <w:lang w:val="en-US" w:eastAsia="zh-CN" w:bidi="ar"/>
              </w:rPr>
              <w:t>合计：元；大写：</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984E">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000000"/>
                <w:kern w:val="0"/>
                <w:sz w:val="22"/>
                <w:szCs w:val="22"/>
                <w:highlight w:val="none"/>
                <w:u w:val="none"/>
                <w:lang w:val="en-US" w:eastAsia="zh-CN" w:bidi="ar"/>
              </w:rPr>
            </w:pPr>
          </w:p>
        </w:tc>
      </w:tr>
    </w:tbl>
    <w:p w14:paraId="2D36819E">
      <w:pPr>
        <w:rPr>
          <w:rFonts w:ascii="仿宋" w:hAnsi="仿宋" w:eastAsia="仿宋" w:cs="仿宋"/>
          <w:b/>
          <w:bCs/>
          <w:spacing w:val="3"/>
          <w:sz w:val="31"/>
          <w:szCs w:val="31"/>
          <w:highlight w:val="none"/>
        </w:rPr>
      </w:pPr>
    </w:p>
    <w:p w14:paraId="4533F015">
      <w:pPr>
        <w:rPr>
          <w:rFonts w:ascii="仿宋" w:hAnsi="仿宋" w:eastAsia="仿宋" w:cs="仿宋"/>
          <w:b/>
          <w:bCs/>
          <w:spacing w:val="3"/>
          <w:sz w:val="31"/>
          <w:szCs w:val="31"/>
          <w:highlight w:val="none"/>
        </w:rPr>
      </w:pPr>
    </w:p>
    <w:p w14:paraId="390D301D">
      <w:pPr>
        <w:rPr>
          <w:rFonts w:ascii="仿宋" w:hAnsi="仿宋" w:eastAsia="仿宋" w:cs="仿宋"/>
          <w:b/>
          <w:bCs/>
          <w:spacing w:val="3"/>
          <w:sz w:val="31"/>
          <w:szCs w:val="31"/>
          <w:highlight w:val="none"/>
        </w:rPr>
      </w:pPr>
    </w:p>
    <w:p w14:paraId="2827D1A1">
      <w:pPr>
        <w:rPr>
          <w:rFonts w:ascii="仿宋" w:hAnsi="仿宋" w:eastAsia="仿宋" w:cs="仿宋"/>
          <w:b/>
          <w:bCs/>
          <w:spacing w:val="3"/>
          <w:sz w:val="31"/>
          <w:szCs w:val="31"/>
          <w:highlight w:val="none"/>
        </w:rPr>
      </w:pPr>
    </w:p>
    <w:p w14:paraId="3EB2E6D5">
      <w:pPr>
        <w:rPr>
          <w:rFonts w:ascii="仿宋" w:hAnsi="仿宋" w:eastAsia="仿宋" w:cs="仿宋"/>
          <w:b/>
          <w:bCs/>
          <w:spacing w:val="3"/>
          <w:sz w:val="31"/>
          <w:szCs w:val="31"/>
          <w:highlight w:val="none"/>
        </w:rPr>
      </w:pPr>
    </w:p>
    <w:p w14:paraId="061354CA">
      <w:pPr>
        <w:rPr>
          <w:rFonts w:ascii="仿宋" w:hAnsi="仿宋" w:eastAsia="仿宋" w:cs="仿宋"/>
          <w:b/>
          <w:bCs/>
          <w:spacing w:val="3"/>
          <w:sz w:val="31"/>
          <w:szCs w:val="31"/>
          <w:highlight w:val="none"/>
        </w:rPr>
      </w:pPr>
    </w:p>
    <w:p w14:paraId="3D251CB0">
      <w:pPr>
        <w:rPr>
          <w:rFonts w:ascii="仿宋" w:hAnsi="仿宋" w:eastAsia="仿宋" w:cs="仿宋"/>
          <w:b/>
          <w:bCs/>
          <w:spacing w:val="3"/>
          <w:sz w:val="31"/>
          <w:szCs w:val="31"/>
          <w:highlight w:val="none"/>
        </w:rPr>
      </w:pPr>
    </w:p>
    <w:p w14:paraId="08A23C2A">
      <w:pPr>
        <w:rPr>
          <w:rFonts w:ascii="仿宋" w:hAnsi="仿宋" w:eastAsia="仿宋" w:cs="仿宋"/>
          <w:b/>
          <w:bCs/>
          <w:spacing w:val="3"/>
          <w:sz w:val="31"/>
          <w:szCs w:val="31"/>
          <w:highlight w:val="none"/>
        </w:rPr>
      </w:pPr>
    </w:p>
    <w:p w14:paraId="2CDE932C">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Calibri" w:hAnsi="Calibri" w:eastAsia="宋体" w:cs="Times New Roman"/>
          <w:b/>
          <w:bCs/>
          <w:snapToGrid/>
          <w:kern w:val="2"/>
          <w:sz w:val="36"/>
          <w:szCs w:val="36"/>
          <w:highlight w:val="none"/>
          <w:lang w:val="en-US" w:eastAsia="zh-CN"/>
        </w:rPr>
      </w:pPr>
      <w:r>
        <w:rPr>
          <w:rFonts w:hint="eastAsia" w:ascii="Calibri" w:hAnsi="Calibri" w:eastAsia="宋体" w:cs="Times New Roman"/>
          <w:b/>
          <w:bCs/>
          <w:snapToGrid/>
          <w:kern w:val="2"/>
          <w:sz w:val="36"/>
          <w:szCs w:val="36"/>
          <w:highlight w:val="none"/>
          <w:lang w:val="en-US" w:eastAsia="zh-CN"/>
        </w:rPr>
        <w:t>一、微量元素分析仪</w:t>
      </w:r>
    </w:p>
    <w:p w14:paraId="7AC057C4">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default" w:ascii="仿宋" w:hAnsi="仿宋" w:eastAsia="仿宋" w:cs="仿宋"/>
          <w:color w:val="auto"/>
          <w:spacing w:val="7"/>
          <w:sz w:val="24"/>
          <w:szCs w:val="24"/>
          <w:highlight w:val="none"/>
          <w:lang w:val="en-US" w:eastAsia="zh-CN"/>
        </w:rPr>
        <w:t>▲</w:t>
      </w:r>
      <w:r>
        <w:rPr>
          <w:rFonts w:hint="eastAsia" w:ascii="Calibri" w:hAnsi="Calibri" w:eastAsia="宋体" w:cs="Times New Roman"/>
          <w:snapToGrid/>
          <w:kern w:val="2"/>
          <w:sz w:val="28"/>
          <w:szCs w:val="28"/>
          <w:highlight w:val="none"/>
          <w:lang w:eastAsia="zh-CN"/>
        </w:rPr>
        <w:t>1、功能：可检测铜、锌、钙、镁、铁、钾、钠、铅、镉</w:t>
      </w:r>
      <w:r>
        <w:rPr>
          <w:rFonts w:hint="eastAsia" w:ascii="Calibri" w:hAnsi="Calibri" w:eastAsia="宋体" w:cs="Times New Roman"/>
          <w:snapToGrid/>
          <w:kern w:val="2"/>
          <w:sz w:val="28"/>
          <w:szCs w:val="28"/>
          <w:highlight w:val="none"/>
          <w:lang w:val="en-US" w:eastAsia="zh-CN"/>
        </w:rPr>
        <w:t>等</w:t>
      </w:r>
      <w:r>
        <w:rPr>
          <w:rFonts w:hint="eastAsia" w:ascii="Calibri" w:hAnsi="Calibri" w:eastAsia="宋体" w:cs="Times New Roman"/>
          <w:snapToGrid/>
          <w:kern w:val="2"/>
          <w:sz w:val="28"/>
          <w:szCs w:val="28"/>
          <w:highlight w:val="none"/>
          <w:lang w:eastAsia="zh-CN"/>
        </w:rPr>
        <w:t>元素。投标人须提供国家认可的检验报告或技术白皮书作为证明材料。</w:t>
      </w:r>
    </w:p>
    <w:p w14:paraId="191BA42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default" w:ascii="仿宋" w:hAnsi="仿宋" w:eastAsia="仿宋" w:cs="仿宋"/>
          <w:color w:val="auto"/>
          <w:spacing w:val="7"/>
          <w:sz w:val="24"/>
          <w:szCs w:val="24"/>
          <w:highlight w:val="none"/>
          <w:lang w:val="en-US" w:eastAsia="zh-CN"/>
        </w:rPr>
        <w:t>▲</w:t>
      </w:r>
      <w:r>
        <w:rPr>
          <w:rFonts w:hint="eastAsia" w:ascii="Calibri" w:hAnsi="Calibri" w:eastAsia="宋体" w:cs="Times New Roman"/>
          <w:snapToGrid/>
          <w:kern w:val="2"/>
          <w:sz w:val="28"/>
          <w:szCs w:val="28"/>
          <w:highlight w:val="none"/>
          <w:lang w:val="en-US" w:eastAsia="zh-CN"/>
        </w:rPr>
        <w:t>2、</w:t>
      </w:r>
      <w:r>
        <w:rPr>
          <w:rFonts w:hint="eastAsia" w:ascii="Calibri" w:hAnsi="Calibri" w:eastAsia="宋体" w:cs="Times New Roman"/>
          <w:snapToGrid/>
          <w:kern w:val="2"/>
          <w:sz w:val="28"/>
          <w:szCs w:val="28"/>
          <w:highlight w:val="none"/>
          <w:lang w:eastAsia="zh-CN"/>
        </w:rPr>
        <w:t>分析方式：符合《血铅临床检验技术规范》等国家卫生标准要求的方法学，保证检测合规性及准确性。投标人须提供方法学验证报告或省级以上卫生行政部门认可的检测报告。</w:t>
      </w:r>
    </w:p>
    <w:p w14:paraId="29AC9C9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eastAsia="zh-CN"/>
        </w:rPr>
        <w:t>3、检测标本量：全血取血量≤40µL。</w:t>
      </w:r>
    </w:p>
    <w:p w14:paraId="3B473D0B">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eastAsia="zh-CN"/>
        </w:rPr>
        <w:t>4、检测时间：检测铜、锌、钙、镁、铁五种元素时≤</w:t>
      </w:r>
      <w:r>
        <w:rPr>
          <w:rFonts w:hint="eastAsia" w:ascii="Calibri" w:hAnsi="Calibri" w:eastAsia="宋体" w:cs="Times New Roman"/>
          <w:snapToGrid/>
          <w:kern w:val="2"/>
          <w:sz w:val="28"/>
          <w:szCs w:val="28"/>
          <w:highlight w:val="none"/>
          <w:lang w:val="en-US" w:eastAsia="zh-CN"/>
        </w:rPr>
        <w:t>15</w:t>
      </w:r>
      <w:r>
        <w:rPr>
          <w:rFonts w:hint="eastAsia" w:ascii="Calibri" w:hAnsi="Calibri" w:eastAsia="宋体" w:cs="Times New Roman"/>
          <w:snapToGrid/>
          <w:kern w:val="2"/>
          <w:sz w:val="28"/>
          <w:szCs w:val="28"/>
          <w:highlight w:val="none"/>
          <w:lang w:eastAsia="zh-CN"/>
        </w:rPr>
        <w:t>秒；或提供各元素实测检测速度及多元素同时检测方案。以第三方检测报告或技术白皮书为证明材料。</w:t>
      </w:r>
    </w:p>
    <w:p w14:paraId="19F1681B">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val="en-US" w:eastAsia="zh-CN"/>
        </w:rPr>
      </w:pPr>
      <w:r>
        <w:rPr>
          <w:rFonts w:hint="eastAsia" w:ascii="Calibri" w:hAnsi="Calibri" w:eastAsia="宋体" w:cs="Times New Roman"/>
          <w:snapToGrid/>
          <w:kern w:val="2"/>
          <w:sz w:val="28"/>
          <w:szCs w:val="28"/>
          <w:highlight w:val="none"/>
          <w:lang w:val="en-US" w:eastAsia="zh-CN"/>
        </w:rPr>
        <w:t>5、测量方法：标准曲线法</w:t>
      </w:r>
    </w:p>
    <w:p w14:paraId="2844D74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default" w:ascii="仿宋" w:hAnsi="仿宋" w:eastAsia="仿宋" w:cs="仿宋"/>
          <w:color w:val="auto"/>
          <w:spacing w:val="7"/>
          <w:sz w:val="24"/>
          <w:szCs w:val="24"/>
          <w:highlight w:val="none"/>
          <w:lang w:val="en-US" w:eastAsia="zh-CN"/>
        </w:rPr>
        <w:t>▲</w:t>
      </w:r>
      <w:r>
        <w:rPr>
          <w:rFonts w:hint="eastAsia" w:ascii="Calibri" w:hAnsi="Calibri" w:eastAsia="宋体" w:cs="Times New Roman"/>
          <w:snapToGrid/>
          <w:kern w:val="2"/>
          <w:sz w:val="28"/>
          <w:szCs w:val="28"/>
          <w:highlight w:val="none"/>
          <w:lang w:val="en-US" w:eastAsia="zh-CN"/>
        </w:rPr>
        <w:t>6、标准曲线线性相关系数：r≥0.995。</w:t>
      </w:r>
    </w:p>
    <w:p w14:paraId="38AA322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val="en-US" w:eastAsia="zh-CN"/>
        </w:rPr>
        <w:t>7</w:t>
      </w:r>
      <w:r>
        <w:rPr>
          <w:rFonts w:hint="eastAsia" w:ascii="Calibri" w:hAnsi="Calibri" w:eastAsia="宋体" w:cs="Times New Roman"/>
          <w:snapToGrid/>
          <w:kern w:val="2"/>
          <w:sz w:val="28"/>
          <w:szCs w:val="28"/>
          <w:highlight w:val="none"/>
          <w:lang w:eastAsia="zh-CN"/>
        </w:rPr>
        <w:t>、仪器灵敏度：整体Cu≤1.0%。</w:t>
      </w:r>
    </w:p>
    <w:p w14:paraId="00AEA7A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val="en-US" w:eastAsia="zh-CN"/>
        </w:rPr>
        <w:t>8</w:t>
      </w:r>
      <w:r>
        <w:rPr>
          <w:rFonts w:hint="eastAsia" w:ascii="Calibri" w:hAnsi="Calibri" w:eastAsia="宋体" w:cs="Times New Roman"/>
          <w:snapToGrid/>
          <w:kern w:val="2"/>
          <w:sz w:val="28"/>
          <w:szCs w:val="28"/>
          <w:highlight w:val="none"/>
          <w:lang w:eastAsia="zh-CN"/>
        </w:rPr>
        <w:t>、具备多元素检测能力。支持铜、锌、钙、镁、铁、钾、钠、铅、镉等元素的检测，可采用一次进样多元素同时检测、分组自动切换检测或等效自动化检测方案。投标人须说明进样方式、元素检测方案及检测通量，确保满足临床检测需求。</w:t>
      </w:r>
    </w:p>
    <w:p w14:paraId="0AB1A76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val="en-US" w:eastAsia="zh-CN"/>
        </w:rPr>
        <w:t>9</w:t>
      </w:r>
      <w:r>
        <w:rPr>
          <w:rFonts w:hint="eastAsia" w:ascii="Calibri" w:hAnsi="Calibri" w:eastAsia="宋体" w:cs="Times New Roman"/>
          <w:snapToGrid/>
          <w:kern w:val="2"/>
          <w:sz w:val="28"/>
          <w:szCs w:val="28"/>
          <w:highlight w:val="none"/>
          <w:lang w:eastAsia="zh-CN"/>
        </w:rPr>
        <w:t>、测量结果：自动计算、整理、存储并打印。</w:t>
      </w:r>
    </w:p>
    <w:p w14:paraId="66924FE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val="en-US" w:eastAsia="zh-CN"/>
        </w:rPr>
        <w:t>10</w:t>
      </w:r>
      <w:r>
        <w:rPr>
          <w:rFonts w:hint="eastAsia" w:ascii="Calibri" w:hAnsi="Calibri" w:eastAsia="宋体" w:cs="Times New Roman"/>
          <w:snapToGrid/>
          <w:kern w:val="2"/>
          <w:sz w:val="28"/>
          <w:szCs w:val="28"/>
          <w:highlight w:val="none"/>
          <w:lang w:eastAsia="zh-CN"/>
        </w:rPr>
        <w:t>、安全措施：</w:t>
      </w:r>
      <w:r>
        <w:rPr>
          <w:rFonts w:hint="eastAsia" w:ascii="Calibri" w:hAnsi="Calibri" w:eastAsia="宋体" w:cs="Times New Roman"/>
          <w:snapToGrid/>
          <w:kern w:val="2"/>
          <w:sz w:val="28"/>
          <w:szCs w:val="28"/>
          <w:highlight w:val="none"/>
          <w:lang w:val="en-US" w:eastAsia="zh-CN"/>
        </w:rPr>
        <w:t>仪器设计有诸如</w:t>
      </w:r>
      <w:r>
        <w:rPr>
          <w:rFonts w:hint="eastAsia" w:ascii="Calibri" w:hAnsi="Calibri" w:eastAsia="宋体" w:cs="Times New Roman"/>
          <w:snapToGrid/>
          <w:kern w:val="2"/>
          <w:sz w:val="28"/>
          <w:szCs w:val="28"/>
          <w:highlight w:val="none"/>
          <w:lang w:eastAsia="zh-CN"/>
        </w:rPr>
        <w:t>压力控制和流量监视</w:t>
      </w:r>
      <w:r>
        <w:rPr>
          <w:rFonts w:hint="eastAsia" w:ascii="Calibri" w:hAnsi="Calibri" w:eastAsia="宋体" w:cs="Times New Roman"/>
          <w:snapToGrid/>
          <w:kern w:val="2"/>
          <w:sz w:val="28"/>
          <w:szCs w:val="28"/>
          <w:highlight w:val="none"/>
          <w:lang w:val="en-US" w:eastAsia="zh-CN"/>
        </w:rPr>
        <w:t>等安全</w:t>
      </w:r>
      <w:r>
        <w:rPr>
          <w:rFonts w:hint="eastAsia" w:ascii="Calibri" w:hAnsi="Calibri" w:eastAsia="宋体" w:cs="Times New Roman"/>
          <w:snapToGrid/>
          <w:kern w:val="2"/>
          <w:sz w:val="28"/>
          <w:szCs w:val="28"/>
          <w:highlight w:val="none"/>
          <w:lang w:eastAsia="zh-CN"/>
        </w:rPr>
        <w:t>功能。</w:t>
      </w:r>
    </w:p>
    <w:p w14:paraId="3F5D3CC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eastAsia="zh-CN"/>
        </w:rPr>
        <w:t>1</w:t>
      </w:r>
      <w:r>
        <w:rPr>
          <w:rFonts w:hint="eastAsia" w:ascii="Calibri" w:hAnsi="Calibri" w:eastAsia="宋体" w:cs="Times New Roman"/>
          <w:snapToGrid/>
          <w:kern w:val="2"/>
          <w:sz w:val="28"/>
          <w:szCs w:val="28"/>
          <w:highlight w:val="none"/>
          <w:lang w:val="en-US" w:eastAsia="zh-CN"/>
        </w:rPr>
        <w:t>1</w:t>
      </w:r>
      <w:r>
        <w:rPr>
          <w:rFonts w:hint="eastAsia" w:ascii="Calibri" w:hAnsi="Calibri" w:eastAsia="宋体" w:cs="Times New Roman"/>
          <w:snapToGrid/>
          <w:kern w:val="2"/>
          <w:sz w:val="28"/>
          <w:szCs w:val="28"/>
          <w:highlight w:val="none"/>
          <w:lang w:eastAsia="zh-CN"/>
        </w:rPr>
        <w:t>、软件：配备仪器控制及数据管理软件，支持HL7或IHE标准协议与LIS、HIS系统连接，提供接口文档。软件升级服务在质保期内免费，质保期后收费标准在投标文件中明确。</w:t>
      </w:r>
    </w:p>
    <w:p w14:paraId="509F838C">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eastAsia="zh-CN"/>
        </w:rPr>
      </w:pPr>
      <w:r>
        <w:rPr>
          <w:rFonts w:hint="eastAsia" w:ascii="Calibri" w:hAnsi="Calibri" w:eastAsia="宋体" w:cs="Times New Roman"/>
          <w:snapToGrid/>
          <w:kern w:val="2"/>
          <w:sz w:val="28"/>
          <w:szCs w:val="28"/>
          <w:highlight w:val="none"/>
          <w:lang w:eastAsia="zh-CN"/>
        </w:rPr>
        <w:t>1</w:t>
      </w:r>
      <w:r>
        <w:rPr>
          <w:rFonts w:hint="eastAsia" w:ascii="Calibri" w:hAnsi="Calibri" w:eastAsia="宋体" w:cs="Times New Roman"/>
          <w:snapToGrid/>
          <w:kern w:val="2"/>
          <w:sz w:val="28"/>
          <w:szCs w:val="28"/>
          <w:highlight w:val="none"/>
          <w:lang w:val="en-US" w:eastAsia="zh-CN"/>
        </w:rPr>
        <w:t>2</w:t>
      </w:r>
      <w:r>
        <w:rPr>
          <w:rFonts w:hint="eastAsia" w:ascii="Calibri" w:hAnsi="Calibri" w:eastAsia="宋体" w:cs="Times New Roman"/>
          <w:snapToGrid/>
          <w:kern w:val="2"/>
          <w:sz w:val="28"/>
          <w:szCs w:val="28"/>
          <w:highlight w:val="none"/>
          <w:lang w:eastAsia="zh-CN"/>
        </w:rPr>
        <w:t>、相关耗材：配套试剂、校准溶液、质控品须为经国家药品监督管理局注册的医疗器械或体外诊断试剂，注册证在有效期内。投标人须提供配套耗材清单及注册证信息，或承诺供货时提供。允许使用经注册且与仪器兼容的第三方耗材。</w:t>
      </w:r>
    </w:p>
    <w:p w14:paraId="67E4F3B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Calibri" w:hAnsi="Calibri" w:eastAsia="宋体" w:cs="Times New Roman"/>
          <w:snapToGrid/>
          <w:kern w:val="2"/>
          <w:sz w:val="28"/>
          <w:szCs w:val="28"/>
          <w:highlight w:val="none"/>
          <w:lang w:val="en-US" w:eastAsia="zh-CN"/>
        </w:rPr>
      </w:pPr>
      <w:r>
        <w:rPr>
          <w:rFonts w:hint="default" w:ascii="仿宋" w:hAnsi="仿宋" w:eastAsia="仿宋" w:cs="仿宋"/>
          <w:color w:val="auto"/>
          <w:spacing w:val="7"/>
          <w:sz w:val="24"/>
          <w:szCs w:val="24"/>
          <w:highlight w:val="none"/>
          <w:lang w:val="en-US" w:eastAsia="zh-CN"/>
        </w:rPr>
        <w:t>▲</w:t>
      </w:r>
      <w:r>
        <w:rPr>
          <w:rFonts w:hint="eastAsia" w:ascii="Calibri" w:hAnsi="Calibri" w:eastAsia="宋体" w:cs="Times New Roman"/>
          <w:snapToGrid/>
          <w:kern w:val="2"/>
          <w:sz w:val="28"/>
          <w:szCs w:val="28"/>
          <w:highlight w:val="none"/>
          <w:lang w:val="en-US" w:eastAsia="zh-CN"/>
        </w:rPr>
        <w:t>13、质量溯源：质控品和标准品具有溯源性。</w:t>
      </w:r>
    </w:p>
    <w:p w14:paraId="7F98FAA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Calibri" w:hAnsi="Calibri" w:eastAsia="宋体" w:cs="Times New Roman"/>
          <w:snapToGrid/>
          <w:kern w:val="2"/>
          <w:sz w:val="28"/>
          <w:szCs w:val="28"/>
          <w:highlight w:val="none"/>
          <w:lang w:val="en-US" w:eastAsia="zh-CN"/>
        </w:rPr>
      </w:pPr>
      <w:r>
        <w:rPr>
          <w:rFonts w:hint="eastAsia" w:ascii="Calibri" w:hAnsi="Calibri" w:eastAsia="宋体" w:cs="Times New Roman"/>
          <w:snapToGrid/>
          <w:kern w:val="2"/>
          <w:sz w:val="28"/>
          <w:szCs w:val="28"/>
          <w:highlight w:val="none"/>
          <w:lang w:val="en-US" w:eastAsia="zh-CN"/>
        </w:rPr>
        <w:t>14、室间质评能力：投标人须提供投标产品近三年内参加省级以上临床检验中心组织的室间质评合格证明，或提供方法学验证报告证明检测准确性符合国家标准。</w:t>
      </w:r>
    </w:p>
    <w:p w14:paraId="1D15E90A">
      <w:pPr>
        <w:widowControl w:val="0"/>
        <w:kinsoku/>
        <w:autoSpaceDE/>
        <w:autoSpaceDN/>
        <w:adjustRightInd/>
        <w:snapToGrid/>
        <w:spacing w:line="240" w:lineRule="auto"/>
        <w:jc w:val="both"/>
        <w:textAlignment w:val="auto"/>
        <w:rPr>
          <w:rFonts w:ascii="Calibri" w:hAnsi="Calibri" w:eastAsia="宋体" w:cs="Times New Roman"/>
          <w:snapToGrid/>
          <w:kern w:val="2"/>
          <w:szCs w:val="24"/>
          <w:highlight w:val="none"/>
          <w:lang w:eastAsia="zh-CN"/>
        </w:rPr>
      </w:pPr>
    </w:p>
    <w:p w14:paraId="318C1F63">
      <w:pPr>
        <w:keepNext w:val="0"/>
        <w:keepLines w:val="0"/>
        <w:widowControl/>
        <w:suppressLineNumbers w:val="0"/>
        <w:bidi w:val="0"/>
        <w:spacing w:before="0" w:beforeAutospacing="1" w:after="0" w:afterAutospacing="0" w:line="17" w:lineRule="atLeast"/>
        <w:ind w:left="0" w:right="0" w:firstLine="0"/>
        <w:jc w:val="both"/>
        <w:rPr>
          <w:rFonts w:hint="eastAsia" w:ascii="Calibri" w:hAnsi="Calibri" w:eastAsia="宋体" w:cs="Calibri"/>
          <w:b/>
          <w:bCs/>
          <w:i w:val="0"/>
          <w:iCs w:val="0"/>
          <w:caps w:val="0"/>
          <w:color w:val="000000"/>
          <w:spacing w:val="0"/>
          <w:kern w:val="0"/>
          <w:sz w:val="28"/>
          <w:szCs w:val="28"/>
          <w:highlight w:val="none"/>
          <w:lang w:val="en-US" w:eastAsia="zh-CN" w:bidi="ar"/>
        </w:rPr>
      </w:pPr>
    </w:p>
    <w:p w14:paraId="35E6F4DE">
      <w:pPr>
        <w:keepNext w:val="0"/>
        <w:keepLines w:val="0"/>
        <w:widowControl/>
        <w:numPr>
          <w:ilvl w:val="0"/>
          <w:numId w:val="5"/>
        </w:numPr>
        <w:suppressLineNumbers w:val="0"/>
        <w:bidi w:val="0"/>
        <w:spacing w:before="0" w:beforeAutospacing="1" w:after="0" w:afterAutospacing="0" w:line="17" w:lineRule="atLeast"/>
        <w:ind w:left="0" w:leftChars="0" w:right="0" w:firstLine="0" w:firstLineChars="0"/>
        <w:jc w:val="both"/>
        <w:rPr>
          <w:rFonts w:hint="eastAsia" w:ascii="宋体" w:hAnsi="宋体" w:eastAsia="宋体" w:cs="宋体"/>
          <w:b/>
          <w:bCs/>
          <w:i w:val="0"/>
          <w:iCs w:val="0"/>
          <w:snapToGrid w:val="0"/>
          <w:color w:val="000000"/>
          <w:kern w:val="0"/>
          <w:sz w:val="32"/>
          <w:szCs w:val="32"/>
          <w:highlight w:val="none"/>
          <w:u w:val="none"/>
          <w:lang w:val="en-US" w:eastAsia="zh-CN" w:bidi="ar"/>
        </w:rPr>
      </w:pPr>
      <w:r>
        <w:rPr>
          <w:rFonts w:hint="eastAsia" w:ascii="宋体" w:hAnsi="宋体" w:eastAsia="宋体" w:cs="宋体"/>
          <w:b/>
          <w:bCs/>
          <w:i w:val="0"/>
          <w:iCs w:val="0"/>
          <w:snapToGrid w:val="0"/>
          <w:color w:val="000000"/>
          <w:kern w:val="0"/>
          <w:sz w:val="32"/>
          <w:szCs w:val="32"/>
          <w:highlight w:val="none"/>
          <w:u w:val="none"/>
          <w:lang w:val="en-US" w:eastAsia="zh-CN" w:bidi="ar"/>
        </w:rPr>
        <w:t>全自动病源菌药敏鉴定分析系统</w:t>
      </w:r>
    </w:p>
    <w:p w14:paraId="394D5AE4">
      <w:pPr>
        <w:keepNext w:val="0"/>
        <w:keepLines w:val="0"/>
        <w:widowControl/>
        <w:numPr>
          <w:ilvl w:val="0"/>
          <w:numId w:val="0"/>
        </w:numPr>
        <w:suppressLineNumbers w:val="0"/>
        <w:bidi w:val="0"/>
        <w:spacing w:before="0" w:beforeAutospacing="1" w:after="0" w:afterAutospacing="0" w:line="17" w:lineRule="atLeast"/>
        <w:ind w:leftChars="0" w:right="0" w:rightChars="0"/>
        <w:jc w:val="both"/>
        <w:rPr>
          <w:rFonts w:hint="eastAsia" w:ascii="宋体" w:hAnsi="宋体" w:eastAsia="宋体" w:cs="宋体"/>
          <w:i w:val="0"/>
          <w:iCs w:val="0"/>
          <w:caps w:val="0"/>
          <w:color w:val="13181D"/>
          <w:spacing w:val="0"/>
          <w:kern w:val="0"/>
          <w:sz w:val="22"/>
          <w:szCs w:val="22"/>
          <w:highlight w:val="none"/>
          <w:lang w:val="en-US" w:eastAsia="zh-CN" w:bidi="ar"/>
        </w:rPr>
      </w:pPr>
      <w:r>
        <w:rPr>
          <w:rFonts w:ascii="Calibri" w:hAnsi="Calibri" w:eastAsia="宋体" w:cs="Calibri"/>
          <w:i w:val="0"/>
          <w:iCs w:val="0"/>
          <w:caps w:val="0"/>
          <w:color w:val="000000"/>
          <w:spacing w:val="0"/>
          <w:kern w:val="0"/>
          <w:sz w:val="22"/>
          <w:szCs w:val="22"/>
          <w:highlight w:val="none"/>
          <w:lang w:val="en-US" w:eastAsia="zh-CN" w:bidi="ar"/>
        </w:rPr>
        <w:t>1.</w:t>
      </w:r>
      <w:r>
        <w:rPr>
          <w:rFonts w:hint="eastAsia" w:ascii="宋体" w:hAnsi="宋体" w:eastAsia="宋体" w:cs="宋体"/>
          <w:i w:val="0"/>
          <w:iCs w:val="0"/>
          <w:caps w:val="0"/>
          <w:color w:val="000000"/>
          <w:spacing w:val="0"/>
          <w:kern w:val="0"/>
          <w:sz w:val="22"/>
          <w:szCs w:val="22"/>
          <w:highlight w:val="none"/>
          <w:lang w:val="en-US" w:eastAsia="zh-CN" w:bidi="ar"/>
        </w:rPr>
        <w:t>适用范围：用于进行致病菌的鉴定和抗菌药物 </w:t>
      </w:r>
      <w:r>
        <w:rPr>
          <w:rFonts w:hint="default" w:ascii="Calibri" w:hAnsi="Calibri" w:eastAsia="宋体" w:cs="Calibri"/>
          <w:i w:val="0"/>
          <w:iCs w:val="0"/>
          <w:caps w:val="0"/>
          <w:color w:val="000000"/>
          <w:spacing w:val="0"/>
          <w:kern w:val="0"/>
          <w:sz w:val="22"/>
          <w:szCs w:val="22"/>
          <w:highlight w:val="none"/>
          <w:lang w:val="en-US" w:eastAsia="zh-CN" w:bidi="ar"/>
        </w:rPr>
        <w:t>MIC </w:t>
      </w:r>
      <w:r>
        <w:rPr>
          <w:rFonts w:hint="eastAsia" w:ascii="宋体" w:hAnsi="宋体" w:eastAsia="宋体" w:cs="宋体"/>
          <w:i w:val="0"/>
          <w:iCs w:val="0"/>
          <w:caps w:val="0"/>
          <w:color w:val="000000"/>
          <w:spacing w:val="0"/>
          <w:kern w:val="0"/>
          <w:sz w:val="22"/>
          <w:szCs w:val="22"/>
          <w:highlight w:val="none"/>
          <w:lang w:val="en-US" w:eastAsia="zh-CN" w:bidi="ar"/>
        </w:rPr>
        <w:t>分析。</w:t>
      </w:r>
    </w:p>
    <w:p w14:paraId="17268CA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2.</w:t>
      </w:r>
      <w:r>
        <w:rPr>
          <w:rFonts w:hint="eastAsia" w:ascii="宋体" w:hAnsi="宋体" w:eastAsia="宋体" w:cs="宋体"/>
          <w:i w:val="0"/>
          <w:iCs w:val="0"/>
          <w:caps w:val="0"/>
          <w:color w:val="000000"/>
          <w:spacing w:val="0"/>
          <w:kern w:val="0"/>
          <w:sz w:val="22"/>
          <w:szCs w:val="22"/>
          <w:highlight w:val="none"/>
          <w:lang w:val="en-US" w:eastAsia="zh-CN" w:bidi="ar"/>
        </w:rPr>
        <w:t>检测方法：鉴定：采用生化酶反应显色法；药敏：试验采用比浊法或显色法。</w:t>
      </w:r>
    </w:p>
    <w:p w14:paraId="5058F82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ascii="仿宋" w:hAnsi="仿宋" w:eastAsia="仿宋" w:cs="仿宋"/>
          <w:spacing w:val="7"/>
          <w:sz w:val="24"/>
          <w:szCs w:val="24"/>
          <w:highlight w:val="none"/>
        </w:rPr>
        <w:t>★</w:t>
      </w:r>
      <w:r>
        <w:rPr>
          <w:rFonts w:hint="default" w:ascii="Calibri" w:hAnsi="Calibri" w:eastAsia="宋体" w:cs="Calibri"/>
          <w:i w:val="0"/>
          <w:iCs w:val="0"/>
          <w:caps w:val="0"/>
          <w:color w:val="000000"/>
          <w:spacing w:val="0"/>
          <w:kern w:val="0"/>
          <w:sz w:val="22"/>
          <w:szCs w:val="22"/>
          <w:highlight w:val="none"/>
          <w:lang w:val="en-US" w:eastAsia="zh-CN" w:bidi="ar"/>
        </w:rPr>
        <w:t>3.</w:t>
      </w:r>
      <w:r>
        <w:rPr>
          <w:rFonts w:hint="eastAsia" w:ascii="宋体" w:hAnsi="宋体" w:eastAsia="宋体" w:cs="宋体"/>
          <w:i w:val="0"/>
          <w:iCs w:val="0"/>
          <w:caps w:val="0"/>
          <w:color w:val="000000"/>
          <w:spacing w:val="0"/>
          <w:kern w:val="0"/>
          <w:sz w:val="22"/>
          <w:szCs w:val="22"/>
          <w:highlight w:val="none"/>
          <w:lang w:val="en-US" w:eastAsia="zh-CN" w:bidi="ar"/>
        </w:rPr>
        <w:t>鉴定种类：提供临床常见超过</w:t>
      </w:r>
      <w:r>
        <w:rPr>
          <w:rFonts w:hint="default" w:ascii="Calibri" w:hAnsi="Calibri" w:eastAsia="宋体" w:cs="Calibri"/>
          <w:i w:val="0"/>
          <w:iCs w:val="0"/>
          <w:caps w:val="0"/>
          <w:color w:val="000000"/>
          <w:spacing w:val="0"/>
          <w:kern w:val="0"/>
          <w:sz w:val="22"/>
          <w:szCs w:val="22"/>
          <w:highlight w:val="none"/>
          <w:lang w:val="en-US" w:eastAsia="zh-CN" w:bidi="ar"/>
        </w:rPr>
        <w:t>600</w:t>
      </w:r>
      <w:r>
        <w:rPr>
          <w:rFonts w:hint="eastAsia" w:ascii="宋体" w:hAnsi="宋体" w:eastAsia="宋体" w:cs="宋体"/>
          <w:i w:val="0"/>
          <w:iCs w:val="0"/>
          <w:caps w:val="0"/>
          <w:color w:val="000000"/>
          <w:spacing w:val="0"/>
          <w:kern w:val="0"/>
          <w:sz w:val="22"/>
          <w:szCs w:val="22"/>
          <w:highlight w:val="none"/>
          <w:lang w:val="en-US" w:eastAsia="zh-CN" w:bidi="ar"/>
        </w:rPr>
        <w:t>种病原菌，包含肠杆菌、非发酵菌、链球菌（肠球菌）、葡萄球菌（微球菌）、真菌、棒状杆菌、奈瑟氏菌、嗜血杆菌、厌氧菌等。</w:t>
      </w:r>
    </w:p>
    <w:p w14:paraId="6F21DE5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4.</w:t>
      </w:r>
      <w:r>
        <w:rPr>
          <w:rFonts w:hint="eastAsia" w:ascii="宋体" w:hAnsi="宋体" w:eastAsia="宋体" w:cs="宋体"/>
          <w:i w:val="0"/>
          <w:iCs w:val="0"/>
          <w:caps w:val="0"/>
          <w:color w:val="000000"/>
          <w:spacing w:val="0"/>
          <w:kern w:val="0"/>
          <w:sz w:val="22"/>
          <w:szCs w:val="22"/>
          <w:highlight w:val="none"/>
          <w:lang w:val="en-US" w:eastAsia="zh-CN" w:bidi="ar"/>
        </w:rPr>
        <w:t>药敏种类：根据</w:t>
      </w:r>
      <w:r>
        <w:rPr>
          <w:rFonts w:hint="default" w:ascii="Calibri" w:hAnsi="Calibri" w:eastAsia="宋体" w:cs="Calibri"/>
          <w:i w:val="0"/>
          <w:iCs w:val="0"/>
          <w:caps w:val="0"/>
          <w:color w:val="000000"/>
          <w:spacing w:val="0"/>
          <w:kern w:val="0"/>
          <w:sz w:val="22"/>
          <w:szCs w:val="22"/>
          <w:highlight w:val="none"/>
          <w:lang w:val="en-US" w:eastAsia="zh-CN" w:bidi="ar"/>
        </w:rPr>
        <w:t>CLSI</w:t>
      </w:r>
      <w:r>
        <w:rPr>
          <w:rFonts w:hint="eastAsia" w:ascii="宋体" w:hAnsi="宋体" w:eastAsia="宋体" w:cs="宋体"/>
          <w:i w:val="0"/>
          <w:iCs w:val="0"/>
          <w:caps w:val="0"/>
          <w:color w:val="000000"/>
          <w:spacing w:val="0"/>
          <w:kern w:val="0"/>
          <w:sz w:val="22"/>
          <w:szCs w:val="22"/>
          <w:highlight w:val="none"/>
          <w:lang w:val="en-US" w:eastAsia="zh-CN" w:bidi="ar"/>
        </w:rPr>
        <w:t>标准、</w:t>
      </w:r>
      <w:r>
        <w:rPr>
          <w:rFonts w:hint="default" w:ascii="Calibri" w:hAnsi="Calibri" w:eastAsia="宋体" w:cs="Calibri"/>
          <w:i w:val="0"/>
          <w:iCs w:val="0"/>
          <w:caps w:val="0"/>
          <w:color w:val="000000"/>
          <w:spacing w:val="0"/>
          <w:kern w:val="0"/>
          <w:sz w:val="22"/>
          <w:szCs w:val="22"/>
          <w:highlight w:val="none"/>
          <w:lang w:val="en-US" w:eastAsia="zh-CN" w:bidi="ar"/>
        </w:rPr>
        <w:t>EUCAST</w:t>
      </w:r>
      <w:r>
        <w:rPr>
          <w:rFonts w:hint="eastAsia" w:ascii="宋体" w:hAnsi="宋体" w:eastAsia="宋体" w:cs="宋体"/>
          <w:i w:val="0"/>
          <w:iCs w:val="0"/>
          <w:caps w:val="0"/>
          <w:color w:val="000000"/>
          <w:spacing w:val="0"/>
          <w:kern w:val="0"/>
          <w:sz w:val="22"/>
          <w:szCs w:val="22"/>
          <w:highlight w:val="none"/>
          <w:lang w:val="en-US" w:eastAsia="zh-CN" w:bidi="ar"/>
        </w:rPr>
        <w:t>标准及相关指导性文件分析</w:t>
      </w:r>
      <w:r>
        <w:rPr>
          <w:rFonts w:hint="default" w:ascii="Calibri" w:hAnsi="Calibri" w:eastAsia="宋体" w:cs="Calibri"/>
          <w:i w:val="0"/>
          <w:iCs w:val="0"/>
          <w:caps w:val="0"/>
          <w:color w:val="000000"/>
          <w:spacing w:val="0"/>
          <w:kern w:val="0"/>
          <w:sz w:val="22"/>
          <w:szCs w:val="22"/>
          <w:highlight w:val="none"/>
          <w:lang w:val="en-US" w:eastAsia="zh-CN" w:bidi="ar"/>
        </w:rPr>
        <w:t>MIC</w:t>
      </w:r>
      <w:r>
        <w:rPr>
          <w:rFonts w:hint="eastAsia" w:ascii="宋体" w:hAnsi="宋体" w:eastAsia="宋体" w:cs="宋体"/>
          <w:i w:val="0"/>
          <w:iCs w:val="0"/>
          <w:caps w:val="0"/>
          <w:color w:val="000000"/>
          <w:spacing w:val="0"/>
          <w:kern w:val="0"/>
          <w:sz w:val="22"/>
          <w:szCs w:val="22"/>
          <w:highlight w:val="none"/>
          <w:lang w:val="en-US" w:eastAsia="zh-CN" w:bidi="ar"/>
        </w:rPr>
        <w:t>，能够报告</w:t>
      </w:r>
      <w:r>
        <w:rPr>
          <w:rFonts w:hint="default" w:ascii="Calibri" w:hAnsi="Calibri" w:eastAsia="宋体" w:cs="Calibri"/>
          <w:i w:val="0"/>
          <w:iCs w:val="0"/>
          <w:caps w:val="0"/>
          <w:color w:val="000000"/>
          <w:spacing w:val="0"/>
          <w:kern w:val="0"/>
          <w:sz w:val="22"/>
          <w:szCs w:val="22"/>
          <w:highlight w:val="none"/>
          <w:lang w:val="en-US" w:eastAsia="zh-CN" w:bidi="ar"/>
        </w:rPr>
        <w:t>MIC</w:t>
      </w:r>
      <w:r>
        <w:rPr>
          <w:rFonts w:hint="eastAsia" w:ascii="宋体" w:hAnsi="宋体" w:eastAsia="宋体" w:cs="宋体"/>
          <w:i w:val="0"/>
          <w:iCs w:val="0"/>
          <w:caps w:val="0"/>
          <w:color w:val="000000"/>
          <w:spacing w:val="0"/>
          <w:kern w:val="0"/>
          <w:sz w:val="22"/>
          <w:szCs w:val="22"/>
          <w:highlight w:val="none"/>
          <w:lang w:val="en-US" w:eastAsia="zh-CN" w:bidi="ar"/>
        </w:rPr>
        <w:t>和</w:t>
      </w:r>
      <w:r>
        <w:rPr>
          <w:rFonts w:hint="default" w:ascii="Calibri" w:hAnsi="Calibri" w:eastAsia="宋体" w:cs="Calibri"/>
          <w:i w:val="0"/>
          <w:iCs w:val="0"/>
          <w:caps w:val="0"/>
          <w:color w:val="000000"/>
          <w:spacing w:val="0"/>
          <w:kern w:val="0"/>
          <w:sz w:val="22"/>
          <w:szCs w:val="22"/>
          <w:highlight w:val="none"/>
          <w:lang w:val="en-US" w:eastAsia="zh-CN" w:bidi="ar"/>
        </w:rPr>
        <w:t>S</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I</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R</w:t>
      </w:r>
      <w:r>
        <w:rPr>
          <w:rFonts w:hint="eastAsia" w:ascii="宋体" w:hAnsi="宋体" w:eastAsia="宋体" w:cs="宋体"/>
          <w:i w:val="0"/>
          <w:iCs w:val="0"/>
          <w:caps w:val="0"/>
          <w:color w:val="000000"/>
          <w:spacing w:val="0"/>
          <w:kern w:val="0"/>
          <w:sz w:val="22"/>
          <w:szCs w:val="22"/>
          <w:highlight w:val="none"/>
          <w:lang w:val="en-US" w:eastAsia="zh-CN" w:bidi="ar"/>
        </w:rPr>
        <w:t>敏感度。</w:t>
      </w:r>
    </w:p>
    <w:p w14:paraId="431AECF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5.</w:t>
      </w:r>
      <w:r>
        <w:rPr>
          <w:rFonts w:hint="eastAsia" w:ascii="宋体" w:hAnsi="宋体" w:eastAsia="宋体" w:cs="宋体"/>
          <w:i w:val="0"/>
          <w:iCs w:val="0"/>
          <w:caps w:val="0"/>
          <w:color w:val="000000"/>
          <w:spacing w:val="0"/>
          <w:kern w:val="0"/>
          <w:sz w:val="22"/>
          <w:szCs w:val="22"/>
          <w:highlight w:val="none"/>
          <w:lang w:val="en-US" w:eastAsia="zh-CN" w:bidi="ar"/>
        </w:rPr>
        <w:t>仪器容量：仪器可同时容纳≥</w:t>
      </w:r>
      <w:r>
        <w:rPr>
          <w:rFonts w:hint="default" w:ascii="Calibri" w:hAnsi="Calibri" w:eastAsia="宋体" w:cs="Calibri"/>
          <w:i w:val="0"/>
          <w:iCs w:val="0"/>
          <w:caps w:val="0"/>
          <w:color w:val="000000"/>
          <w:spacing w:val="0"/>
          <w:kern w:val="0"/>
          <w:sz w:val="22"/>
          <w:szCs w:val="22"/>
          <w:highlight w:val="none"/>
          <w:lang w:val="en-US" w:eastAsia="zh-CN" w:bidi="ar"/>
        </w:rPr>
        <w:t>60</w:t>
      </w:r>
      <w:r>
        <w:rPr>
          <w:rFonts w:hint="eastAsia" w:ascii="宋体" w:hAnsi="宋体" w:eastAsia="宋体" w:cs="宋体"/>
          <w:i w:val="0"/>
          <w:iCs w:val="0"/>
          <w:caps w:val="0"/>
          <w:color w:val="000000"/>
          <w:spacing w:val="0"/>
          <w:kern w:val="0"/>
          <w:sz w:val="22"/>
          <w:szCs w:val="22"/>
          <w:highlight w:val="none"/>
          <w:lang w:val="en-US" w:eastAsia="zh-CN" w:bidi="ar"/>
        </w:rPr>
        <w:t>个测试卡。</w:t>
      </w:r>
    </w:p>
    <w:p w14:paraId="15893D48">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6.</w:t>
      </w:r>
      <w:r>
        <w:rPr>
          <w:rFonts w:hint="eastAsia" w:ascii="宋体" w:hAnsi="宋体" w:eastAsia="宋体" w:cs="宋体"/>
          <w:i w:val="0"/>
          <w:iCs w:val="0"/>
          <w:caps w:val="0"/>
          <w:color w:val="000000"/>
          <w:spacing w:val="0"/>
          <w:kern w:val="0"/>
          <w:sz w:val="22"/>
          <w:szCs w:val="22"/>
          <w:highlight w:val="none"/>
          <w:lang w:val="en-US" w:eastAsia="zh-CN" w:bidi="ar"/>
        </w:rPr>
        <w:t>自动化功能：</w:t>
      </w:r>
    </w:p>
    <w:p w14:paraId="2C0476F4">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6.1</w:t>
      </w:r>
      <w:r>
        <w:rPr>
          <w:rFonts w:hint="eastAsia" w:ascii="宋体" w:hAnsi="宋体" w:eastAsia="宋体" w:cs="宋体"/>
          <w:i w:val="0"/>
          <w:iCs w:val="0"/>
          <w:caps w:val="0"/>
          <w:color w:val="000000"/>
          <w:spacing w:val="0"/>
          <w:kern w:val="0"/>
          <w:sz w:val="22"/>
          <w:szCs w:val="22"/>
          <w:highlight w:val="none"/>
          <w:lang w:val="en-US" w:eastAsia="zh-CN" w:bidi="ar"/>
        </w:rPr>
        <w:t>仪器开机自检，采用高精度图像识别技术，通过图象处理器检测测试卡反应情况，上传数据库分析，得出试验结果。</w:t>
      </w:r>
    </w:p>
    <w:p w14:paraId="572E4974">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6.2</w:t>
      </w:r>
      <w:r>
        <w:rPr>
          <w:rFonts w:hint="eastAsia" w:ascii="宋体" w:hAnsi="宋体" w:eastAsia="宋体" w:cs="宋体"/>
          <w:i w:val="0"/>
          <w:iCs w:val="0"/>
          <w:caps w:val="0"/>
          <w:color w:val="000000"/>
          <w:spacing w:val="0"/>
          <w:kern w:val="0"/>
          <w:sz w:val="22"/>
          <w:szCs w:val="22"/>
          <w:highlight w:val="none"/>
          <w:lang w:val="en-US" w:eastAsia="zh-CN" w:bidi="ar"/>
        </w:rPr>
        <w:t>仪器具备自动检测与手工录入功能，用户可查询和修改报告。</w:t>
      </w:r>
    </w:p>
    <w:p w14:paraId="5B12CE2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000000"/>
          <w:spacing w:val="0"/>
          <w:kern w:val="0"/>
          <w:sz w:val="22"/>
          <w:szCs w:val="22"/>
          <w:highlight w:val="none"/>
          <w:lang w:val="en-US" w:eastAsia="zh-CN" w:bidi="ar"/>
        </w:rPr>
      </w:pPr>
      <w:r>
        <w:rPr>
          <w:rFonts w:ascii="仿宋" w:hAnsi="仿宋" w:eastAsia="仿宋" w:cs="仿宋"/>
          <w:spacing w:val="7"/>
          <w:sz w:val="24"/>
          <w:szCs w:val="24"/>
          <w:highlight w:val="none"/>
        </w:rPr>
        <w:t>★</w:t>
      </w:r>
      <w:r>
        <w:rPr>
          <w:rFonts w:hint="default" w:ascii="Calibri" w:hAnsi="Calibri" w:eastAsia="宋体" w:cs="Calibri"/>
          <w:i w:val="0"/>
          <w:iCs w:val="0"/>
          <w:caps w:val="0"/>
          <w:color w:val="000000"/>
          <w:spacing w:val="0"/>
          <w:kern w:val="0"/>
          <w:sz w:val="22"/>
          <w:szCs w:val="22"/>
          <w:highlight w:val="none"/>
          <w:lang w:val="en-US" w:eastAsia="zh-CN" w:bidi="ar"/>
        </w:rPr>
        <w:t>6.3</w:t>
      </w:r>
      <w:r>
        <w:rPr>
          <w:rFonts w:hint="eastAsia" w:ascii="宋体" w:hAnsi="宋体" w:eastAsia="宋体" w:cs="宋体"/>
          <w:i w:val="0"/>
          <w:iCs w:val="0"/>
          <w:caps w:val="0"/>
          <w:color w:val="000000"/>
          <w:spacing w:val="0"/>
          <w:kern w:val="0"/>
          <w:sz w:val="22"/>
          <w:szCs w:val="22"/>
          <w:highlight w:val="none"/>
          <w:lang w:val="en-US" w:eastAsia="zh-CN" w:bidi="ar"/>
        </w:rPr>
        <w:t>自动检测功能：仪器自动识别条形码、自动孵育、自动判读结果。</w:t>
      </w:r>
    </w:p>
    <w:p w14:paraId="0DAE652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6.4仪器可配置自动加样功能，支持自动加样仪与主机分体或一体化设计，</w:t>
      </w:r>
      <w:r>
        <w:rPr>
          <w:rFonts w:hint="eastAsia" w:ascii="宋体" w:hAnsi="宋体" w:eastAsia="宋体" w:cs="宋体"/>
          <w:i w:val="0"/>
          <w:iCs w:val="0"/>
          <w:caps w:val="0"/>
          <w:color w:val="000000"/>
          <w:spacing w:val="0"/>
          <w:kern w:val="0"/>
          <w:sz w:val="22"/>
          <w:szCs w:val="22"/>
          <w:highlight w:val="none"/>
          <w:lang w:val="en-US" w:eastAsia="zh-CN" w:bidi="ar"/>
        </w:rPr>
        <w:t>可灵活配置自动加样仪数量并可在生物安全柜内自动加样，避免样本污染确保生物安全。</w:t>
      </w:r>
    </w:p>
    <w:p w14:paraId="791B2FF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000000"/>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6.5</w:t>
      </w:r>
      <w:r>
        <w:rPr>
          <w:rFonts w:hint="eastAsia" w:ascii="宋体" w:hAnsi="宋体" w:eastAsia="宋体" w:cs="宋体"/>
          <w:i w:val="0"/>
          <w:iCs w:val="0"/>
          <w:caps w:val="0"/>
          <w:color w:val="000000"/>
          <w:spacing w:val="0"/>
          <w:kern w:val="0"/>
          <w:sz w:val="22"/>
          <w:szCs w:val="22"/>
          <w:highlight w:val="none"/>
          <w:lang w:val="en-US" w:eastAsia="zh-CN" w:bidi="ar"/>
        </w:rPr>
        <w:t>革兰阳性球菌、革兰阴性杆菌、真菌板卡开展鉴定测试实验。</w:t>
      </w:r>
    </w:p>
    <w:p w14:paraId="6AACC5C3">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7.</w:t>
      </w:r>
      <w:r>
        <w:rPr>
          <w:rFonts w:hint="eastAsia" w:ascii="宋体" w:hAnsi="宋体" w:eastAsia="宋体" w:cs="宋体"/>
          <w:i w:val="0"/>
          <w:iCs w:val="0"/>
          <w:caps w:val="0"/>
          <w:color w:val="000000"/>
          <w:spacing w:val="0"/>
          <w:kern w:val="0"/>
          <w:sz w:val="22"/>
          <w:szCs w:val="22"/>
          <w:highlight w:val="none"/>
          <w:lang w:val="en-US" w:eastAsia="zh-CN" w:bidi="ar"/>
        </w:rPr>
        <w:t>统计分析：软件可实现综合数据统计分析，预置≥</w:t>
      </w:r>
      <w:r>
        <w:rPr>
          <w:rFonts w:hint="default" w:ascii="Calibri" w:hAnsi="Calibri" w:eastAsia="宋体" w:cs="Calibri"/>
          <w:i w:val="0"/>
          <w:iCs w:val="0"/>
          <w:caps w:val="0"/>
          <w:color w:val="000000"/>
          <w:spacing w:val="0"/>
          <w:kern w:val="0"/>
          <w:sz w:val="22"/>
          <w:szCs w:val="22"/>
          <w:highlight w:val="none"/>
          <w:lang w:val="en-US" w:eastAsia="zh-CN" w:bidi="ar"/>
        </w:rPr>
        <w:t>20</w:t>
      </w:r>
      <w:r>
        <w:rPr>
          <w:rFonts w:hint="eastAsia" w:ascii="宋体" w:hAnsi="宋体" w:eastAsia="宋体" w:cs="宋体"/>
          <w:i w:val="0"/>
          <w:iCs w:val="0"/>
          <w:caps w:val="0"/>
          <w:color w:val="000000"/>
          <w:spacing w:val="0"/>
          <w:kern w:val="0"/>
          <w:sz w:val="22"/>
          <w:szCs w:val="22"/>
          <w:highlight w:val="none"/>
          <w:lang w:val="en-US" w:eastAsia="zh-CN" w:bidi="ar"/>
        </w:rPr>
        <w:t>余项临床检测针对细菌抗菌药物的常用统计分析，可根据医院需求增加统计项目。</w:t>
      </w:r>
    </w:p>
    <w:p w14:paraId="0E8D202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8.</w:t>
      </w:r>
      <w:r>
        <w:rPr>
          <w:rFonts w:hint="eastAsia" w:ascii="宋体" w:hAnsi="宋体" w:eastAsia="宋体" w:cs="宋体"/>
          <w:i w:val="0"/>
          <w:iCs w:val="0"/>
          <w:caps w:val="0"/>
          <w:color w:val="000000"/>
          <w:spacing w:val="0"/>
          <w:kern w:val="0"/>
          <w:sz w:val="22"/>
          <w:szCs w:val="22"/>
          <w:highlight w:val="none"/>
          <w:lang w:val="en-US" w:eastAsia="zh-CN" w:bidi="ar"/>
        </w:rPr>
        <w:t>管理系统：具备院内微生物感染管理功能、支原体分析软件可统计分析支原体检测结果。</w:t>
      </w:r>
    </w:p>
    <w:p w14:paraId="5BB4B9F3">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9.</w:t>
      </w:r>
      <w:r>
        <w:rPr>
          <w:rFonts w:hint="eastAsia" w:ascii="宋体" w:hAnsi="宋体" w:eastAsia="宋体" w:cs="宋体"/>
          <w:i w:val="0"/>
          <w:iCs w:val="0"/>
          <w:caps w:val="0"/>
          <w:color w:val="000000"/>
          <w:spacing w:val="0"/>
          <w:kern w:val="0"/>
          <w:sz w:val="22"/>
          <w:szCs w:val="22"/>
          <w:highlight w:val="none"/>
          <w:lang w:val="en-US" w:eastAsia="zh-CN" w:bidi="ar"/>
        </w:rPr>
        <w:t>高级专家管理系统：</w:t>
      </w:r>
    </w:p>
    <w:p w14:paraId="786B649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9.1</w:t>
      </w:r>
      <w:r>
        <w:rPr>
          <w:rFonts w:hint="eastAsia" w:ascii="宋体" w:hAnsi="宋体" w:eastAsia="宋体" w:cs="宋体"/>
          <w:i w:val="0"/>
          <w:iCs w:val="0"/>
          <w:caps w:val="0"/>
          <w:color w:val="000000"/>
          <w:spacing w:val="0"/>
          <w:kern w:val="0"/>
          <w:sz w:val="22"/>
          <w:szCs w:val="22"/>
          <w:highlight w:val="none"/>
          <w:lang w:val="en-US" w:eastAsia="zh-CN" w:bidi="ar"/>
        </w:rPr>
        <w:t>具备高级专家系统，可提≥</w:t>
      </w:r>
      <w:r>
        <w:rPr>
          <w:rFonts w:hint="default" w:ascii="Calibri" w:hAnsi="Calibri" w:eastAsia="宋体" w:cs="Calibri"/>
          <w:i w:val="0"/>
          <w:iCs w:val="0"/>
          <w:caps w:val="0"/>
          <w:color w:val="000000"/>
          <w:spacing w:val="0"/>
          <w:kern w:val="0"/>
          <w:sz w:val="22"/>
          <w:szCs w:val="22"/>
          <w:highlight w:val="none"/>
          <w:lang w:val="en-US" w:eastAsia="zh-CN" w:bidi="ar"/>
        </w:rPr>
        <w:t>20</w:t>
      </w:r>
      <w:r>
        <w:rPr>
          <w:rFonts w:hint="eastAsia" w:ascii="宋体" w:hAnsi="宋体" w:eastAsia="宋体" w:cs="宋体"/>
          <w:i w:val="0"/>
          <w:iCs w:val="0"/>
          <w:caps w:val="0"/>
          <w:color w:val="000000"/>
          <w:spacing w:val="0"/>
          <w:kern w:val="0"/>
          <w:sz w:val="22"/>
          <w:szCs w:val="22"/>
          <w:highlight w:val="none"/>
          <w:lang w:val="en-US" w:eastAsia="zh-CN" w:bidi="ar"/>
        </w:rPr>
        <w:t>种示天然耐药及特殊耐药表型，如</w:t>
      </w:r>
      <w:r>
        <w:rPr>
          <w:rFonts w:hint="default" w:ascii="Calibri" w:hAnsi="Calibri" w:eastAsia="宋体" w:cs="Calibri"/>
          <w:i w:val="0"/>
          <w:iCs w:val="0"/>
          <w:caps w:val="0"/>
          <w:color w:val="000000"/>
          <w:spacing w:val="0"/>
          <w:kern w:val="0"/>
          <w:sz w:val="22"/>
          <w:szCs w:val="22"/>
          <w:highlight w:val="none"/>
          <w:lang w:val="en-US" w:eastAsia="zh-CN" w:bidi="ar"/>
        </w:rPr>
        <w:t>MRSA</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MRCNS</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ESBL</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β-LAC</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ICR</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HLAR</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CRE</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CRKPN</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CRAB</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CRPAE</w:t>
      </w:r>
      <w:r>
        <w:rPr>
          <w:rFonts w:hint="eastAsia" w:ascii="宋体" w:hAnsi="宋体" w:eastAsia="宋体" w:cs="宋体"/>
          <w:i w:val="0"/>
          <w:iCs w:val="0"/>
          <w:caps w:val="0"/>
          <w:color w:val="000000"/>
          <w:spacing w:val="0"/>
          <w:kern w:val="0"/>
          <w:sz w:val="22"/>
          <w:szCs w:val="22"/>
          <w:highlight w:val="none"/>
          <w:lang w:val="en-US" w:eastAsia="zh-CN" w:bidi="ar"/>
        </w:rPr>
        <w:t>、</w:t>
      </w:r>
      <w:r>
        <w:rPr>
          <w:rFonts w:hint="default" w:ascii="Calibri" w:hAnsi="Calibri" w:eastAsia="宋体" w:cs="Calibri"/>
          <w:i w:val="0"/>
          <w:iCs w:val="0"/>
          <w:caps w:val="0"/>
          <w:color w:val="000000"/>
          <w:spacing w:val="0"/>
          <w:kern w:val="0"/>
          <w:sz w:val="22"/>
          <w:szCs w:val="22"/>
          <w:highlight w:val="none"/>
          <w:lang w:val="en-US" w:eastAsia="zh-CN" w:bidi="ar"/>
        </w:rPr>
        <w:t>VRE</w:t>
      </w:r>
      <w:r>
        <w:rPr>
          <w:rFonts w:hint="eastAsia" w:ascii="宋体" w:hAnsi="宋体" w:eastAsia="宋体" w:cs="宋体"/>
          <w:i w:val="0"/>
          <w:iCs w:val="0"/>
          <w:caps w:val="0"/>
          <w:color w:val="000000"/>
          <w:spacing w:val="0"/>
          <w:kern w:val="0"/>
          <w:sz w:val="22"/>
          <w:szCs w:val="22"/>
          <w:highlight w:val="none"/>
          <w:lang w:val="en-US" w:eastAsia="zh-CN" w:bidi="ar"/>
        </w:rPr>
        <w:t>等修正结果并对药敏结果进行科学注释。</w:t>
      </w:r>
    </w:p>
    <w:p w14:paraId="1161A05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9.2</w:t>
      </w:r>
      <w:r>
        <w:rPr>
          <w:rFonts w:hint="eastAsia" w:ascii="宋体" w:hAnsi="宋体" w:eastAsia="宋体" w:cs="宋体"/>
          <w:i w:val="0"/>
          <w:iCs w:val="0"/>
          <w:caps w:val="0"/>
          <w:color w:val="000000"/>
          <w:spacing w:val="0"/>
          <w:kern w:val="0"/>
          <w:sz w:val="22"/>
          <w:szCs w:val="22"/>
          <w:highlight w:val="none"/>
          <w:lang w:val="en-US" w:eastAsia="zh-CN" w:bidi="ar"/>
        </w:rPr>
        <w:t>高级专家系统可提示药敏报告中不合理现象以及临床医师用药时要注意的问题等。</w:t>
      </w:r>
    </w:p>
    <w:p w14:paraId="08144B54">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仿宋" w:hAnsi="仿宋" w:eastAsia="仿宋" w:cs="仿宋"/>
          <w:color w:val="auto"/>
          <w:spacing w:val="7"/>
          <w:sz w:val="24"/>
          <w:szCs w:val="24"/>
          <w:highlight w:val="none"/>
          <w:lang w:val="en-US" w:eastAsia="zh-CN"/>
        </w:rPr>
        <w:t>▲</w:t>
      </w:r>
      <w:r>
        <w:rPr>
          <w:rFonts w:hint="default" w:ascii="Calibri" w:hAnsi="Calibri" w:eastAsia="宋体" w:cs="Calibri"/>
          <w:i w:val="0"/>
          <w:iCs w:val="0"/>
          <w:caps w:val="0"/>
          <w:color w:val="000000"/>
          <w:spacing w:val="0"/>
          <w:kern w:val="0"/>
          <w:sz w:val="22"/>
          <w:szCs w:val="22"/>
          <w:highlight w:val="none"/>
          <w:lang w:val="en-US" w:eastAsia="zh-CN" w:bidi="ar"/>
        </w:rPr>
        <w:t>10.可通过标准化数据接口（如HL7、ASTM E1381/E1394或REST API等）与</w:t>
      </w:r>
      <w:r>
        <w:rPr>
          <w:rFonts w:hint="eastAsia" w:ascii="Calibri" w:hAnsi="Calibri" w:eastAsia="宋体" w:cs="Calibri"/>
          <w:i w:val="0"/>
          <w:iCs w:val="0"/>
          <w:caps w:val="0"/>
          <w:color w:val="000000"/>
          <w:spacing w:val="0"/>
          <w:kern w:val="0"/>
          <w:sz w:val="22"/>
          <w:szCs w:val="22"/>
          <w:highlight w:val="none"/>
          <w:lang w:val="en-US" w:eastAsia="zh-CN" w:bidi="ar"/>
        </w:rPr>
        <w:t>使用方</w:t>
      </w:r>
      <w:r>
        <w:rPr>
          <w:rFonts w:hint="default" w:ascii="Calibri" w:hAnsi="Calibri" w:eastAsia="宋体" w:cs="Calibri"/>
          <w:i w:val="0"/>
          <w:iCs w:val="0"/>
          <w:caps w:val="0"/>
          <w:color w:val="000000"/>
          <w:spacing w:val="0"/>
          <w:kern w:val="0"/>
          <w:sz w:val="22"/>
          <w:szCs w:val="22"/>
          <w:highlight w:val="none"/>
          <w:lang w:val="en-US" w:eastAsia="zh-CN" w:bidi="ar"/>
        </w:rPr>
        <w:t>质谱仪、LIS系统及WHONET耐药监测网络实现数据互联互通，支持质谱鉴定结果自动传输至本系统，无需手工录入。</w:t>
      </w:r>
    </w:p>
    <w:p w14:paraId="2AF8230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000000"/>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11.</w:t>
      </w:r>
      <w:r>
        <w:rPr>
          <w:rFonts w:hint="eastAsia" w:ascii="宋体" w:hAnsi="宋体" w:eastAsia="宋体" w:cs="宋体"/>
          <w:i w:val="0"/>
          <w:iCs w:val="0"/>
          <w:caps w:val="0"/>
          <w:color w:val="000000"/>
          <w:spacing w:val="0"/>
          <w:kern w:val="0"/>
          <w:sz w:val="22"/>
          <w:szCs w:val="22"/>
          <w:highlight w:val="none"/>
          <w:lang w:val="en-US" w:eastAsia="zh-CN" w:bidi="ar"/>
        </w:rPr>
        <w:t>仪器可通过</w:t>
      </w:r>
      <w:r>
        <w:rPr>
          <w:rFonts w:hint="default" w:ascii="Calibri" w:hAnsi="Calibri" w:eastAsia="宋体" w:cs="Calibri"/>
          <w:i w:val="0"/>
          <w:iCs w:val="0"/>
          <w:caps w:val="0"/>
          <w:color w:val="000000"/>
          <w:spacing w:val="0"/>
          <w:kern w:val="0"/>
          <w:sz w:val="22"/>
          <w:szCs w:val="22"/>
          <w:highlight w:val="none"/>
          <w:lang w:val="en-US" w:eastAsia="zh-CN" w:bidi="ar"/>
        </w:rPr>
        <w:t>WHONET</w:t>
      </w:r>
      <w:r>
        <w:rPr>
          <w:rFonts w:hint="eastAsia" w:ascii="宋体" w:hAnsi="宋体" w:eastAsia="宋体" w:cs="宋体"/>
          <w:i w:val="0"/>
          <w:iCs w:val="0"/>
          <w:caps w:val="0"/>
          <w:color w:val="000000"/>
          <w:spacing w:val="0"/>
          <w:kern w:val="0"/>
          <w:sz w:val="22"/>
          <w:szCs w:val="22"/>
          <w:highlight w:val="none"/>
          <w:lang w:val="en-US" w:eastAsia="zh-CN" w:bidi="ar"/>
        </w:rPr>
        <w:t>系统，检测数据可直接上传耐药监测网药敏数据。</w:t>
      </w:r>
    </w:p>
    <w:p w14:paraId="68CC928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12.</w:t>
      </w:r>
      <w:r>
        <w:rPr>
          <w:rFonts w:hint="eastAsia" w:ascii="宋体" w:hAnsi="宋体" w:eastAsia="宋体" w:cs="宋体"/>
          <w:i w:val="0"/>
          <w:iCs w:val="0"/>
          <w:caps w:val="0"/>
          <w:color w:val="000000"/>
          <w:spacing w:val="0"/>
          <w:kern w:val="0"/>
          <w:sz w:val="22"/>
          <w:szCs w:val="22"/>
          <w:highlight w:val="none"/>
          <w:lang w:val="en-US" w:eastAsia="zh-CN" w:bidi="ar"/>
        </w:rPr>
        <w:t>机身结构：采用模块化或一体化结构设计，计算机系统、温育系统、鉴定药敏读板系统可根据实验室需求灵活配置为一体化或分体式结构。</w:t>
      </w:r>
    </w:p>
    <w:p w14:paraId="7D124185">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13.</w:t>
      </w:r>
      <w:r>
        <w:rPr>
          <w:rFonts w:hint="eastAsia" w:ascii="宋体" w:hAnsi="宋体" w:eastAsia="宋体" w:cs="宋体"/>
          <w:i w:val="0"/>
          <w:iCs w:val="0"/>
          <w:caps w:val="0"/>
          <w:color w:val="000000"/>
          <w:spacing w:val="0"/>
          <w:kern w:val="0"/>
          <w:sz w:val="22"/>
          <w:szCs w:val="22"/>
          <w:highlight w:val="none"/>
          <w:lang w:val="en-US" w:eastAsia="zh-CN" w:bidi="ar"/>
        </w:rPr>
        <w:t>药敏板卡：</w:t>
      </w:r>
    </w:p>
    <w:p w14:paraId="54848BC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13.1</w:t>
      </w:r>
      <w:r>
        <w:rPr>
          <w:rFonts w:hint="eastAsia" w:ascii="宋体" w:hAnsi="宋体" w:eastAsia="宋体" w:cs="宋体"/>
          <w:i w:val="0"/>
          <w:iCs w:val="0"/>
          <w:caps w:val="0"/>
          <w:color w:val="000000"/>
          <w:spacing w:val="0"/>
          <w:kern w:val="0"/>
          <w:sz w:val="22"/>
          <w:szCs w:val="22"/>
          <w:highlight w:val="none"/>
          <w:lang w:val="en-US" w:eastAsia="zh-CN" w:bidi="ar"/>
        </w:rPr>
        <w:t>配套临床常见菌测试板卡：肠杆菌、非发酵菌、链球菌、葡萄球菌鉴定及药敏测试方案，同时具备药物种类和浓度梯度与复合板一致的药敏板。</w:t>
      </w:r>
    </w:p>
    <w:p w14:paraId="43EF838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Calibri" w:hAnsi="Calibri" w:eastAsia="宋体" w:cs="Calibri"/>
          <w:i w:val="0"/>
          <w:iCs w:val="0"/>
          <w:caps w:val="0"/>
          <w:color w:val="000000"/>
          <w:spacing w:val="0"/>
          <w:kern w:val="0"/>
          <w:sz w:val="22"/>
          <w:szCs w:val="22"/>
          <w:highlight w:val="none"/>
          <w:lang w:val="en-US" w:eastAsia="zh-CN" w:bidi="ar"/>
        </w:rPr>
        <w:t>13.</w:t>
      </w:r>
      <w:r>
        <w:rPr>
          <w:rFonts w:hint="eastAsia" w:ascii="Calibri" w:hAnsi="Calibri" w:eastAsia="宋体" w:cs="Calibri"/>
          <w:i w:val="0"/>
          <w:iCs w:val="0"/>
          <w:caps w:val="0"/>
          <w:color w:val="000000"/>
          <w:spacing w:val="0"/>
          <w:kern w:val="0"/>
          <w:sz w:val="22"/>
          <w:szCs w:val="22"/>
          <w:highlight w:val="none"/>
          <w:lang w:val="en-US" w:eastAsia="zh-CN" w:bidi="ar"/>
        </w:rPr>
        <w:t>2</w:t>
      </w:r>
      <w:r>
        <w:rPr>
          <w:rFonts w:hint="eastAsia" w:ascii="宋体" w:hAnsi="宋体" w:eastAsia="宋体" w:cs="宋体"/>
          <w:i w:val="0"/>
          <w:iCs w:val="0"/>
          <w:caps w:val="0"/>
          <w:color w:val="000000"/>
          <w:spacing w:val="0"/>
          <w:kern w:val="0"/>
          <w:sz w:val="22"/>
          <w:szCs w:val="22"/>
          <w:highlight w:val="none"/>
          <w:lang w:val="en-US" w:eastAsia="zh-CN" w:bidi="ar"/>
        </w:rPr>
        <w:t>配套测试板需所有药物浓度设置满足</w:t>
      </w:r>
      <w:r>
        <w:rPr>
          <w:rFonts w:hint="default" w:ascii="Calibri" w:hAnsi="Calibri" w:eastAsia="宋体" w:cs="Calibri"/>
          <w:i w:val="0"/>
          <w:iCs w:val="0"/>
          <w:caps w:val="0"/>
          <w:color w:val="000000"/>
          <w:spacing w:val="0"/>
          <w:kern w:val="0"/>
          <w:sz w:val="22"/>
          <w:szCs w:val="22"/>
          <w:highlight w:val="none"/>
          <w:lang w:val="en-US" w:eastAsia="zh-CN" w:bidi="ar"/>
        </w:rPr>
        <w:t>CLSI</w:t>
      </w:r>
      <w:r>
        <w:rPr>
          <w:rFonts w:hint="eastAsia" w:ascii="宋体" w:hAnsi="宋体" w:eastAsia="宋体" w:cs="宋体"/>
          <w:i w:val="0"/>
          <w:iCs w:val="0"/>
          <w:caps w:val="0"/>
          <w:color w:val="000000"/>
          <w:spacing w:val="0"/>
          <w:kern w:val="0"/>
          <w:sz w:val="22"/>
          <w:szCs w:val="22"/>
          <w:highlight w:val="none"/>
          <w:lang w:val="en-US" w:eastAsia="zh-CN" w:bidi="ar"/>
        </w:rPr>
        <w:t>标准，</w:t>
      </w:r>
      <w:r>
        <w:rPr>
          <w:rFonts w:hint="eastAsia" w:ascii="宋体" w:hAnsi="宋体" w:eastAsia="宋体" w:cs="宋体"/>
          <w:i w:val="0"/>
          <w:iCs w:val="0"/>
          <w:caps w:val="0"/>
          <w:color w:val="000000"/>
          <w:spacing w:val="0"/>
          <w:kern w:val="0"/>
          <w:sz w:val="22"/>
          <w:szCs w:val="22"/>
          <w:highlight w:val="none"/>
          <w:lang w:val="en-US" w:eastAsia="zh-CN" w:bidi="ar"/>
        </w:rPr>
        <w:t>保证产品质量。</w:t>
      </w:r>
    </w:p>
    <w:p w14:paraId="1CEA474E">
      <w:pPr>
        <w:keepNext w:val="0"/>
        <w:keepLines w:val="0"/>
        <w:widowControl/>
        <w:suppressLineNumbers w:val="0"/>
        <w:bidi w:val="0"/>
        <w:spacing w:before="0" w:beforeAutospacing="1" w:after="0" w:afterAutospacing="0" w:line="17" w:lineRule="atLeast"/>
        <w:ind w:left="0" w:right="0" w:firstLine="0"/>
        <w:jc w:val="both"/>
        <w:rPr>
          <w:rFonts w:ascii="Calibri" w:hAnsi="Calibri" w:eastAsia="宋体" w:cs="Times New Roman"/>
          <w:snapToGrid/>
          <w:kern w:val="2"/>
          <w:szCs w:val="24"/>
          <w:highlight w:val="none"/>
          <w:lang w:eastAsia="zh-CN"/>
        </w:rPr>
      </w:pPr>
      <w:r>
        <w:rPr>
          <w:rFonts w:hint="default" w:ascii="Calibri" w:hAnsi="Calibri" w:eastAsia="宋体" w:cs="Calibri"/>
          <w:i w:val="0"/>
          <w:iCs w:val="0"/>
          <w:caps w:val="0"/>
          <w:color w:val="000000"/>
          <w:spacing w:val="0"/>
          <w:kern w:val="0"/>
          <w:sz w:val="22"/>
          <w:szCs w:val="22"/>
          <w:highlight w:val="none"/>
          <w:lang w:val="en-US" w:eastAsia="zh-CN" w:bidi="ar"/>
        </w:rPr>
        <w:t>13.</w:t>
      </w:r>
      <w:r>
        <w:rPr>
          <w:rFonts w:hint="eastAsia" w:ascii="Calibri" w:hAnsi="Calibri" w:eastAsia="宋体" w:cs="Calibri"/>
          <w:i w:val="0"/>
          <w:iCs w:val="0"/>
          <w:caps w:val="0"/>
          <w:color w:val="000000"/>
          <w:spacing w:val="0"/>
          <w:kern w:val="0"/>
          <w:sz w:val="22"/>
          <w:szCs w:val="22"/>
          <w:highlight w:val="none"/>
          <w:lang w:val="en-US" w:eastAsia="zh-CN" w:bidi="ar"/>
        </w:rPr>
        <w:t>3</w:t>
      </w:r>
      <w:r>
        <w:rPr>
          <w:rFonts w:hint="eastAsia" w:ascii="宋体" w:hAnsi="宋体" w:eastAsia="宋体" w:cs="宋体"/>
          <w:i w:val="0"/>
          <w:iCs w:val="0"/>
          <w:caps w:val="0"/>
          <w:color w:val="000000"/>
          <w:spacing w:val="0"/>
          <w:kern w:val="0"/>
          <w:sz w:val="22"/>
          <w:szCs w:val="22"/>
          <w:highlight w:val="none"/>
          <w:lang w:val="en-US" w:eastAsia="zh-CN" w:bidi="ar"/>
        </w:rPr>
        <w:t>鉴定药敏测试卡采用透明薄膜封闭，防止检测过程中孔位交叉污染，且结果易于观察。</w:t>
      </w:r>
    </w:p>
    <w:p w14:paraId="2FE7B09D">
      <w:pPr>
        <w:rPr>
          <w:rFonts w:ascii="仿宋" w:hAnsi="仿宋" w:eastAsia="仿宋" w:cs="仿宋"/>
          <w:b/>
          <w:bCs/>
          <w:spacing w:val="3"/>
          <w:sz w:val="31"/>
          <w:szCs w:val="31"/>
          <w:highlight w:val="none"/>
        </w:rPr>
      </w:pPr>
    </w:p>
    <w:p w14:paraId="7574CE60">
      <w:pPr>
        <w:keepNext w:val="0"/>
        <w:keepLines w:val="0"/>
        <w:widowControl/>
        <w:suppressLineNumbers w:val="0"/>
        <w:kinsoku/>
        <w:autoSpaceDE/>
        <w:autoSpaceDN/>
        <w:adjustRightInd/>
        <w:snapToGrid/>
        <w:spacing w:line="240" w:lineRule="auto"/>
        <w:jc w:val="left"/>
        <w:textAlignment w:val="auto"/>
        <w:rPr>
          <w:rFonts w:ascii="Calibri" w:hAnsi="Calibri" w:eastAsia="宋体" w:cs="Times New Roman"/>
          <w:b/>
          <w:bCs/>
          <w:snapToGrid/>
          <w:kern w:val="2"/>
          <w:sz w:val="28"/>
          <w:szCs w:val="36"/>
          <w:highlight w:val="none"/>
          <w:lang w:eastAsia="zh-CN"/>
        </w:rPr>
      </w:pPr>
      <w:r>
        <w:rPr>
          <w:rFonts w:hint="eastAsia" w:ascii="Calibri" w:hAnsi="Calibri" w:eastAsia="宋体" w:cs="Times New Roman"/>
          <w:b/>
          <w:bCs/>
          <w:snapToGrid/>
          <w:kern w:val="2"/>
          <w:sz w:val="28"/>
          <w:szCs w:val="36"/>
          <w:highlight w:val="none"/>
          <w:lang w:val="en-US" w:eastAsia="zh-CN"/>
        </w:rPr>
        <w:t>三、</w:t>
      </w:r>
      <w:r>
        <w:rPr>
          <w:rFonts w:hint="eastAsia" w:ascii="Calibri" w:hAnsi="Calibri" w:eastAsia="宋体" w:cs="Times New Roman"/>
          <w:b/>
          <w:bCs/>
          <w:snapToGrid/>
          <w:kern w:val="2"/>
          <w:sz w:val="28"/>
          <w:szCs w:val="36"/>
          <w:highlight w:val="none"/>
          <w:lang w:eastAsia="zh-CN"/>
        </w:rPr>
        <w:t>全自</w:t>
      </w:r>
      <w:r>
        <w:rPr>
          <w:rFonts w:hint="eastAsia" w:ascii="Calibri" w:hAnsi="Calibri" w:eastAsia="宋体" w:cs="Times New Roman"/>
          <w:b/>
          <w:bCs/>
          <w:snapToGrid/>
          <w:kern w:val="2"/>
          <w:sz w:val="28"/>
          <w:szCs w:val="36"/>
          <w:highlight w:val="none"/>
          <w:lang w:val="en-US" w:eastAsia="zh-CN"/>
        </w:rPr>
        <w:t>动特种</w:t>
      </w:r>
      <w:r>
        <w:rPr>
          <w:rFonts w:hint="eastAsia" w:ascii="Calibri" w:hAnsi="Calibri" w:eastAsia="宋体" w:cs="Times New Roman"/>
          <w:b/>
          <w:bCs/>
          <w:snapToGrid/>
          <w:kern w:val="2"/>
          <w:sz w:val="28"/>
          <w:szCs w:val="36"/>
          <w:highlight w:val="none"/>
          <w:lang w:eastAsia="zh-CN"/>
        </w:rPr>
        <w:t>蛋白分析仪</w:t>
      </w:r>
    </w:p>
    <w:tbl>
      <w:tblPr>
        <w:tblStyle w:val="17"/>
        <w:tblW w:w="70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05" w:type="dxa"/>
          <w:left w:w="105" w:type="dxa"/>
          <w:bottom w:w="105" w:type="dxa"/>
          <w:right w:w="105" w:type="dxa"/>
        </w:tblCellMar>
      </w:tblPr>
      <w:tblGrid>
        <w:gridCol w:w="1875"/>
        <w:gridCol w:w="5169"/>
      </w:tblGrid>
      <w:tr w14:paraId="26CD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25"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28D8106">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2"/>
                <w:szCs w:val="22"/>
                <w:highlight w:val="none"/>
                <w:lang w:val="en-US" w:eastAsia="zh-CN" w:bidi="ar"/>
              </w:rPr>
              <w:t>具体参数内容</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02E959">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2"/>
                <w:szCs w:val="22"/>
                <w:highlight w:val="none"/>
                <w:lang w:val="en-US" w:eastAsia="zh-CN" w:bidi="ar"/>
              </w:rPr>
              <w:t>需求参数</w:t>
            </w:r>
          </w:p>
        </w:tc>
      </w:tr>
      <w:tr w14:paraId="425F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3F60904">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检测方法</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1B04354">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散射比浊法</w:t>
            </w:r>
          </w:p>
        </w:tc>
      </w:tr>
      <w:tr w14:paraId="71FD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F1019EA">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测试速度</w:t>
            </w:r>
            <w:r>
              <w:rPr>
                <w:rFonts w:hint="default" w:ascii="仿宋" w:hAnsi="仿宋" w:eastAsia="仿宋" w:cs="仿宋"/>
                <w:color w:val="auto"/>
                <w:spacing w:val="7"/>
                <w:sz w:val="24"/>
                <w:szCs w:val="24"/>
                <w:highlight w:val="none"/>
                <w:lang w:val="en-US" w:eastAsia="zh-CN"/>
              </w:rPr>
              <w:t>▲</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45EA53">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default" w:ascii="Arial" w:hAnsi="Arial" w:eastAsia="宋体" w:cs="Arial"/>
                <w:i w:val="0"/>
                <w:iCs w:val="0"/>
                <w:caps w:val="0"/>
                <w:color w:val="000000"/>
                <w:spacing w:val="0"/>
                <w:kern w:val="0"/>
                <w:sz w:val="20"/>
                <w:szCs w:val="20"/>
                <w:highlight w:val="none"/>
                <w:lang w:val="en-US" w:eastAsia="zh-CN" w:bidi="ar"/>
              </w:rPr>
              <w:t>≥</w:t>
            </w:r>
            <w:r>
              <w:rPr>
                <w:rFonts w:hint="eastAsia" w:ascii="宋体" w:hAnsi="宋体" w:eastAsia="宋体" w:cs="宋体"/>
                <w:i w:val="0"/>
                <w:iCs w:val="0"/>
                <w:caps w:val="0"/>
                <w:color w:val="000000"/>
                <w:spacing w:val="0"/>
                <w:kern w:val="0"/>
                <w:sz w:val="20"/>
                <w:szCs w:val="20"/>
                <w:highlight w:val="none"/>
                <w:lang w:val="en-US" w:eastAsia="zh-CN" w:bidi="ar"/>
              </w:rPr>
              <w:t>180T/小时</w:t>
            </w:r>
          </w:p>
        </w:tc>
      </w:tr>
      <w:tr w14:paraId="3771C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43CEBA">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重复性：</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2B8BAF1">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同一样品重复测量时变异系数不超过 </w:t>
            </w:r>
            <w:r>
              <w:rPr>
                <w:rFonts w:ascii="Calibri" w:hAnsi="Calibri" w:eastAsia="宋体" w:cs="Calibri"/>
                <w:i w:val="0"/>
                <w:iCs w:val="0"/>
                <w:caps w:val="0"/>
                <w:color w:val="000000"/>
                <w:spacing w:val="0"/>
                <w:kern w:val="0"/>
                <w:sz w:val="20"/>
                <w:szCs w:val="20"/>
                <w:highlight w:val="none"/>
                <w:lang w:val="en-US" w:eastAsia="zh-CN" w:bidi="ar"/>
              </w:rPr>
              <w:t>2%</w:t>
            </w:r>
          </w:p>
        </w:tc>
      </w:tr>
      <w:tr w14:paraId="04CD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359C63">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准确度：</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4AEAD6E">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在规定的测量范围内相对误差不超过</w:t>
            </w:r>
            <w:r>
              <w:rPr>
                <w:rFonts w:hint="default" w:ascii="Calibri" w:hAnsi="Calibri" w:eastAsia="宋体" w:cs="Calibri"/>
                <w:i w:val="0"/>
                <w:iCs w:val="0"/>
                <w:caps w:val="0"/>
                <w:color w:val="000000"/>
                <w:spacing w:val="0"/>
                <w:kern w:val="0"/>
                <w:sz w:val="20"/>
                <w:szCs w:val="20"/>
                <w:highlight w:val="none"/>
                <w:lang w:val="en-US" w:eastAsia="zh-CN" w:bidi="ar"/>
              </w:rPr>
              <w:t>±5%</w:t>
            </w:r>
          </w:p>
        </w:tc>
      </w:tr>
      <w:tr w14:paraId="2D39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EE1F33">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穿刺取样功能：</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127943">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满足穿刺取样功能</w:t>
            </w:r>
          </w:p>
        </w:tc>
      </w:tr>
      <w:tr w14:paraId="5C6B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3C4B0C">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仪器拓展功能：</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EE9A67">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可与市场上常见血细胞分析仪、尿液流水线轨道联机，支持拓展流水线功能</w:t>
            </w:r>
          </w:p>
        </w:tc>
      </w:tr>
      <w:tr w14:paraId="699E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636"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9114814">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样本类型：</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D9864FA">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全血、血清、血浆、预稀释血、尿液、脑脊液</w:t>
            </w:r>
          </w:p>
        </w:tc>
      </w:tr>
      <w:tr w14:paraId="6ADD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2078" w:hRule="atLeast"/>
          <w:jc w:val="center"/>
        </w:trPr>
        <w:tc>
          <w:tcPr>
            <w:tcW w:w="187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CB4995">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检测项目：</w:t>
            </w:r>
          </w:p>
        </w:tc>
        <w:tc>
          <w:tcPr>
            <w:tcW w:w="51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D067ED">
            <w:pPr>
              <w:keepNext w:val="0"/>
              <w:keepLines w:val="0"/>
              <w:widowControl/>
              <w:suppressLineNumbers w:val="0"/>
              <w:bidi w:val="0"/>
              <w:spacing w:before="0" w:beforeAutospacing="1" w:after="142" w:afterAutospacing="0" w:line="17" w:lineRule="atLeast"/>
              <w:ind w:left="0" w:right="0"/>
              <w:jc w:val="both"/>
              <w:rPr>
                <w:rFonts w:hint="eastAsia" w:ascii="宋体" w:hAnsi="宋体" w:eastAsia="宋体" w:cs="宋体"/>
                <w:kern w:val="0"/>
                <w:sz w:val="20"/>
                <w:szCs w:val="20"/>
                <w:highlight w:val="none"/>
                <w:lang w:val="en-US" w:eastAsia="zh-CN" w:bidi="ar"/>
              </w:rPr>
            </w:pPr>
            <w:r>
              <w:rPr>
                <w:rFonts w:hint="eastAsia" w:ascii="宋体" w:hAnsi="宋体" w:eastAsia="宋体" w:cs="宋体"/>
                <w:i w:val="0"/>
                <w:iCs w:val="0"/>
                <w:caps w:val="0"/>
                <w:color w:val="000000"/>
                <w:spacing w:val="0"/>
                <w:kern w:val="0"/>
                <w:sz w:val="20"/>
                <w:szCs w:val="20"/>
                <w:highlight w:val="none"/>
                <w:lang w:val="en-US" w:eastAsia="zh-CN" w:bidi="ar"/>
              </w:rPr>
              <w:t>可检测必备项目：超敏CRP、常规CRP、SAA、HbA1c、mALB、胱抑素C、D-二聚体、类风湿因子、抗链球菌溶血素O；扩展项目（满足≥6项即可）：铜蓝蛋白、CCP抗体、NGAL、游离κ轻链、游离λ轻链、IgG、IgA、IgM、IgG1、IgG4、IgE等。，可自主设置参考范围</w:t>
            </w:r>
          </w:p>
        </w:tc>
      </w:tr>
      <w:tr w14:paraId="2BD87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rHeight w:val="4309" w:hRule="atLeast"/>
          <w:jc w:val="center"/>
        </w:trPr>
        <w:tc>
          <w:tcPr>
            <w:tcW w:w="704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225C8045">
            <w:pPr>
              <w:keepNext w:val="0"/>
              <w:keepLines w:val="0"/>
              <w:widowControl/>
              <w:numPr>
                <w:ilvl w:val="0"/>
                <w:numId w:val="6"/>
              </w:numPr>
              <w:suppressLineNumbers w:val="0"/>
              <w:bidi w:val="0"/>
              <w:spacing w:before="0" w:beforeAutospacing="1" w:after="0" w:afterAutospacing="0" w:line="17" w:lineRule="atLeast"/>
              <w:ind w:left="0" w:right="0"/>
              <w:jc w:val="both"/>
              <w:rPr>
                <w:rFonts w:hint="eastAsia" w:ascii="宋体" w:hAnsi="宋体" w:eastAsia="宋体" w:cs="宋体"/>
                <w:i w:val="0"/>
                <w:iCs w:val="0"/>
                <w:caps w:val="0"/>
                <w:color w:val="000000"/>
                <w:spacing w:val="0"/>
                <w:kern w:val="0"/>
                <w:sz w:val="22"/>
                <w:szCs w:val="22"/>
                <w:highlight w:val="none"/>
                <w:lang w:val="en-US" w:eastAsia="zh-CN" w:bidi="ar"/>
              </w:rPr>
            </w:pPr>
            <w:r>
              <w:rPr>
                <w:rFonts w:hint="eastAsia" w:ascii="宋体" w:hAnsi="宋体" w:eastAsia="宋体" w:cs="宋体"/>
                <w:i w:val="0"/>
                <w:iCs w:val="0"/>
                <w:caps w:val="0"/>
                <w:color w:val="000000"/>
                <w:spacing w:val="0"/>
                <w:kern w:val="0"/>
                <w:sz w:val="22"/>
                <w:szCs w:val="22"/>
                <w:highlight w:val="none"/>
                <w:lang w:val="en-US" w:eastAsia="zh-CN" w:bidi="ar"/>
              </w:rPr>
              <w:t>采用免疫散射比浊法</w:t>
            </w:r>
            <w:r>
              <w:rPr>
                <w:rFonts w:hint="eastAsia" w:ascii="宋体" w:hAnsi="宋体" w:eastAsia="宋体" w:cs="宋体"/>
                <w:i w:val="0"/>
                <w:iCs w:val="0"/>
                <w:caps w:val="0"/>
                <w:color w:val="000000"/>
                <w:spacing w:val="0"/>
                <w:kern w:val="0"/>
                <w:sz w:val="22"/>
                <w:szCs w:val="22"/>
                <w:highlight w:val="none"/>
                <w:lang w:val="en-US" w:eastAsia="zh-CN" w:bidi="ar"/>
              </w:rPr>
              <w:br w:type="textWrapping"/>
            </w:r>
            <w:r>
              <w:rPr>
                <w:rFonts w:hint="eastAsia" w:ascii="宋体" w:hAnsi="宋体" w:eastAsia="宋体" w:cs="宋体"/>
                <w:i w:val="0"/>
                <w:iCs w:val="0"/>
                <w:caps w:val="0"/>
                <w:color w:val="000000"/>
                <w:spacing w:val="0"/>
                <w:kern w:val="0"/>
                <w:sz w:val="22"/>
                <w:szCs w:val="22"/>
                <w:highlight w:val="none"/>
                <w:lang w:val="en-US" w:eastAsia="zh-CN" w:bidi="ar"/>
              </w:rPr>
              <w:t>2、配备专门的急诊位用于急诊样本3.、配备设备状态监控与质控管理软件，支持实时监测仪器运行状态，支持室内质控数据管理与预警；数据传输方式：支持本地服务器部署或医院指定合规云平台对接，接口协议开放，不得限定特定品牌云平台。4.、配套试剂特异性及灵敏度强，可避免非特异性反应</w:t>
            </w:r>
            <w:r>
              <w:rPr>
                <w:rFonts w:hint="eastAsia" w:ascii="宋体" w:hAnsi="宋体" w:eastAsia="宋体" w:cs="宋体"/>
                <w:i w:val="0"/>
                <w:iCs w:val="0"/>
                <w:caps w:val="0"/>
                <w:color w:val="000000"/>
                <w:spacing w:val="0"/>
                <w:kern w:val="0"/>
                <w:sz w:val="22"/>
                <w:szCs w:val="22"/>
                <w:highlight w:val="none"/>
                <w:lang w:val="en-US" w:eastAsia="zh-CN" w:bidi="ar"/>
              </w:rPr>
              <w:br w:type="textWrapping"/>
            </w:r>
            <w:r>
              <w:rPr>
                <w:rFonts w:hint="eastAsia" w:ascii="宋体" w:hAnsi="宋体" w:eastAsia="宋体" w:cs="宋体"/>
                <w:i w:val="0"/>
                <w:iCs w:val="0"/>
                <w:caps w:val="0"/>
                <w:color w:val="000000"/>
                <w:spacing w:val="0"/>
                <w:kern w:val="0"/>
                <w:sz w:val="22"/>
                <w:szCs w:val="22"/>
                <w:highlight w:val="none"/>
                <w:lang w:val="en-US" w:eastAsia="zh-CN" w:bidi="ar"/>
              </w:rPr>
              <w:t>5</w:t>
            </w: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000000"/>
                <w:spacing w:val="0"/>
                <w:kern w:val="0"/>
                <w:sz w:val="22"/>
                <w:szCs w:val="22"/>
                <w:highlight w:val="none"/>
                <w:lang w:val="en-US" w:eastAsia="zh-CN" w:bidi="ar"/>
              </w:rPr>
              <w:t>、原始管直接上机，轨道式进样， 自动全血混匀，自动穿刺取血，自动条码扫描，支持采血管、 EP 管、尿液管、微量样品杯等上机</w:t>
            </w:r>
            <w:r>
              <w:rPr>
                <w:rFonts w:hint="eastAsia" w:ascii="宋体" w:hAnsi="宋体" w:eastAsia="宋体" w:cs="宋体"/>
                <w:i w:val="0"/>
                <w:iCs w:val="0"/>
                <w:caps w:val="0"/>
                <w:color w:val="000000"/>
                <w:spacing w:val="0"/>
                <w:kern w:val="0"/>
                <w:sz w:val="22"/>
                <w:szCs w:val="22"/>
                <w:highlight w:val="none"/>
                <w:lang w:val="en-US" w:eastAsia="zh-CN" w:bidi="ar"/>
              </w:rPr>
              <w:br w:type="textWrapping"/>
            </w:r>
            <w:r>
              <w:rPr>
                <w:rFonts w:hint="eastAsia" w:ascii="宋体" w:hAnsi="宋体" w:eastAsia="宋体" w:cs="宋体"/>
                <w:i w:val="0"/>
                <w:iCs w:val="0"/>
                <w:caps w:val="0"/>
                <w:color w:val="000000"/>
                <w:spacing w:val="0"/>
                <w:kern w:val="0"/>
                <w:sz w:val="22"/>
                <w:szCs w:val="22"/>
                <w:highlight w:val="none"/>
                <w:lang w:val="en-US" w:eastAsia="zh-CN" w:bidi="ar"/>
              </w:rPr>
              <w:t>6、可自动搅拌， 自动温控 ，支持液面探测功能</w:t>
            </w:r>
            <w:r>
              <w:rPr>
                <w:rFonts w:hint="eastAsia" w:ascii="宋体" w:hAnsi="宋体" w:eastAsia="宋体" w:cs="宋体"/>
                <w:i w:val="0"/>
                <w:iCs w:val="0"/>
                <w:caps w:val="0"/>
                <w:color w:val="000000"/>
                <w:spacing w:val="0"/>
                <w:kern w:val="0"/>
                <w:sz w:val="22"/>
                <w:szCs w:val="22"/>
                <w:highlight w:val="none"/>
                <w:lang w:val="en-US" w:eastAsia="zh-CN" w:bidi="ar"/>
              </w:rPr>
              <w:br w:type="textWrapping"/>
            </w:r>
            <w:r>
              <w:rPr>
                <w:rFonts w:hint="eastAsia" w:ascii="宋体" w:hAnsi="宋体" w:eastAsia="宋体" w:cs="宋体"/>
                <w:i w:val="0"/>
                <w:iCs w:val="0"/>
                <w:caps w:val="0"/>
                <w:color w:val="000000"/>
                <w:spacing w:val="0"/>
                <w:kern w:val="0"/>
                <w:sz w:val="22"/>
                <w:szCs w:val="22"/>
                <w:highlight w:val="none"/>
                <w:lang w:val="en-US" w:eastAsia="zh-CN" w:bidi="ar"/>
              </w:rPr>
              <w:t>7、抗原过剩检测，高值样本自动稀释重测</w:t>
            </w:r>
            <w:r>
              <w:rPr>
                <w:rFonts w:hint="eastAsia" w:ascii="宋体" w:hAnsi="宋体" w:eastAsia="宋体" w:cs="宋体"/>
                <w:i w:val="0"/>
                <w:iCs w:val="0"/>
                <w:caps w:val="0"/>
                <w:color w:val="000000"/>
                <w:spacing w:val="0"/>
                <w:kern w:val="0"/>
                <w:sz w:val="22"/>
                <w:szCs w:val="22"/>
                <w:highlight w:val="none"/>
                <w:lang w:val="en-US" w:eastAsia="zh-CN" w:bidi="ar"/>
              </w:rPr>
              <w:br w:type="textWrapping"/>
            </w:r>
            <w:r>
              <w:rPr>
                <w:rFonts w:hint="eastAsia" w:ascii="宋体" w:hAnsi="宋体" w:eastAsia="宋体" w:cs="宋体"/>
                <w:i w:val="0"/>
                <w:iCs w:val="0"/>
                <w:caps w:val="0"/>
                <w:color w:val="000000"/>
                <w:spacing w:val="0"/>
                <w:kern w:val="0"/>
                <w:sz w:val="22"/>
                <w:szCs w:val="22"/>
                <w:highlight w:val="none"/>
                <w:lang w:val="en-US" w:eastAsia="zh-CN" w:bidi="ar"/>
              </w:rPr>
              <w:t>8、可自主定标， 符合 ISO15189 质量控制要求</w:t>
            </w:r>
          </w:p>
          <w:p w14:paraId="19238318">
            <w:pPr>
              <w:keepNext w:val="0"/>
              <w:keepLines w:val="0"/>
              <w:widowControl/>
              <w:numPr>
                <w:ilvl w:val="0"/>
                <w:numId w:val="0"/>
              </w:numPr>
              <w:suppressLineNumbers w:val="0"/>
              <w:bidi w:val="0"/>
              <w:spacing w:before="0" w:beforeAutospacing="1" w:after="0" w:afterAutospacing="0" w:line="17" w:lineRule="atLeast"/>
              <w:ind w:right="0" w:rightChars="0"/>
              <w:jc w:val="both"/>
              <w:rPr>
                <w:rFonts w:hint="eastAsia" w:ascii="宋体" w:hAnsi="宋体" w:eastAsia="宋体" w:cs="宋体"/>
                <w:i w:val="0"/>
                <w:iCs w:val="0"/>
                <w:caps w:val="0"/>
                <w:color w:val="000000"/>
                <w:spacing w:val="0"/>
                <w:kern w:val="0"/>
                <w:sz w:val="22"/>
                <w:szCs w:val="22"/>
                <w:highlight w:val="none"/>
                <w:lang w:val="en-US" w:eastAsia="zh-CN" w:bidi="ar"/>
              </w:rPr>
            </w:pPr>
            <w:r>
              <w:rPr>
                <w:rFonts w:hint="eastAsia" w:ascii="宋体" w:hAnsi="宋体" w:eastAsia="宋体" w:cs="宋体"/>
                <w:i w:val="0"/>
                <w:iCs w:val="0"/>
                <w:caps w:val="0"/>
                <w:color w:val="000000"/>
                <w:spacing w:val="0"/>
                <w:kern w:val="0"/>
                <w:sz w:val="22"/>
                <w:szCs w:val="22"/>
                <w:highlight w:val="none"/>
                <w:lang w:val="en-US" w:eastAsia="zh-CN" w:bidi="ar"/>
              </w:rPr>
              <w:t>9、本地有售后维修和保障能力，质保期内故障响应时间≤4小时，到场维修时间≤24小时；关键部件故障无法修复时，承诺提供备用机或替代检测方案，确保临床检测不中断。</w:t>
            </w:r>
          </w:p>
        </w:tc>
      </w:tr>
    </w:tbl>
    <w:p w14:paraId="6E288011">
      <w:pPr>
        <w:rPr>
          <w:rFonts w:ascii="仿宋" w:hAnsi="仿宋" w:eastAsia="仿宋" w:cs="仿宋"/>
          <w:b/>
          <w:bCs/>
          <w:spacing w:val="3"/>
          <w:sz w:val="31"/>
          <w:szCs w:val="31"/>
          <w:highlight w:val="none"/>
        </w:rPr>
      </w:pPr>
    </w:p>
    <w:p w14:paraId="6A33591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b/>
          <w:bCs/>
          <w:i w:val="0"/>
          <w:iCs w:val="0"/>
          <w:caps w:val="0"/>
          <w:color w:val="000000"/>
          <w:spacing w:val="0"/>
          <w:kern w:val="0"/>
          <w:sz w:val="36"/>
          <w:szCs w:val="36"/>
          <w:highlight w:val="none"/>
          <w:lang w:val="en-US" w:eastAsia="zh-CN" w:bidi="ar"/>
        </w:rPr>
      </w:pPr>
    </w:p>
    <w:p w14:paraId="225498FE">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b/>
          <w:bCs/>
          <w:i w:val="0"/>
          <w:iCs w:val="0"/>
          <w:caps w:val="0"/>
          <w:color w:val="000000"/>
          <w:spacing w:val="0"/>
          <w:kern w:val="0"/>
          <w:sz w:val="36"/>
          <w:szCs w:val="36"/>
          <w:highlight w:val="none"/>
          <w:lang w:val="en-US" w:eastAsia="zh-CN" w:bidi="ar"/>
        </w:rPr>
      </w:pPr>
      <w:r>
        <w:rPr>
          <w:rFonts w:hint="eastAsia" w:ascii="宋体" w:hAnsi="宋体" w:eastAsia="宋体" w:cs="宋体"/>
          <w:b/>
          <w:bCs/>
          <w:i w:val="0"/>
          <w:iCs w:val="0"/>
          <w:caps w:val="0"/>
          <w:color w:val="000000"/>
          <w:spacing w:val="0"/>
          <w:kern w:val="0"/>
          <w:sz w:val="36"/>
          <w:szCs w:val="36"/>
          <w:highlight w:val="none"/>
          <w:lang w:val="en-US" w:eastAsia="zh-CN" w:bidi="ar"/>
        </w:rPr>
        <w:t>四、全自动酶免工作站</w:t>
      </w:r>
    </w:p>
    <w:p w14:paraId="6F58AAC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000000"/>
          <w:spacing w:val="0"/>
          <w:kern w:val="0"/>
          <w:sz w:val="24"/>
          <w:szCs w:val="24"/>
          <w:highlight w:val="none"/>
          <w:lang w:val="en-US" w:eastAsia="zh-CN" w:bidi="ar"/>
        </w:rPr>
        <w:t>1.</w:t>
      </w:r>
      <w:r>
        <w:rPr>
          <w:rFonts w:hint="eastAsia" w:ascii="宋体" w:hAnsi="宋体" w:eastAsia="宋体" w:cs="宋体"/>
          <w:i w:val="0"/>
          <w:iCs w:val="0"/>
          <w:caps w:val="0"/>
          <w:color w:val="13181D"/>
          <w:spacing w:val="0"/>
          <w:kern w:val="0"/>
          <w:sz w:val="24"/>
          <w:szCs w:val="24"/>
          <w:highlight w:val="none"/>
          <w:lang w:val="en-US" w:eastAsia="zh-CN" w:bidi="ar"/>
        </w:rPr>
        <w:t> 基本功能 全自动完成ELISA实验，包括加样、稀释、振荡、孵育、洗板、读数及结果判断全过程实验</w:t>
      </w:r>
    </w:p>
    <w:p w14:paraId="2C2F6B6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2. 试剂应用范围 完全开放试剂系统,可适配多种厂家试剂</w:t>
      </w:r>
    </w:p>
    <w:p w14:paraId="4EE9B1E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ascii="仿宋" w:hAnsi="仿宋" w:eastAsia="仿宋" w:cs="仿宋"/>
          <w:spacing w:val="7"/>
          <w:sz w:val="24"/>
          <w:szCs w:val="24"/>
          <w:highlight w:val="none"/>
        </w:rPr>
        <w:t>★</w:t>
      </w:r>
      <w:r>
        <w:rPr>
          <w:rFonts w:hint="eastAsia" w:ascii="宋体" w:hAnsi="宋体" w:eastAsia="宋体" w:cs="宋体"/>
          <w:i w:val="0"/>
          <w:iCs w:val="0"/>
          <w:caps w:val="0"/>
          <w:color w:val="13181D"/>
          <w:spacing w:val="0"/>
          <w:kern w:val="0"/>
          <w:sz w:val="24"/>
          <w:szCs w:val="24"/>
          <w:highlight w:val="none"/>
          <w:lang w:val="en-US" w:eastAsia="zh-CN" w:bidi="ar"/>
        </w:rPr>
        <w:t>3. 加样精度：</w:t>
      </w:r>
    </w:p>
    <w:p w14:paraId="6ED3C67F">
      <w:pPr>
        <w:keepNext w:val="0"/>
        <w:keepLines w:val="0"/>
        <w:widowControl/>
        <w:suppressLineNumbers w:val="0"/>
        <w:bidi w:val="0"/>
        <w:spacing w:before="0" w:beforeAutospacing="1" w:after="0" w:afterAutospacing="0" w:line="17" w:lineRule="atLeast"/>
        <w:ind w:left="0" w:right="0" w:firstLine="363"/>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加样量 精密度（CV） 准确度</w:t>
      </w:r>
    </w:p>
    <w:p w14:paraId="2BE78A4E">
      <w:pPr>
        <w:keepNext w:val="0"/>
        <w:keepLines w:val="0"/>
        <w:widowControl/>
        <w:suppressLineNumbers w:val="0"/>
        <w:bidi w:val="0"/>
        <w:spacing w:before="0" w:beforeAutospacing="1" w:after="0" w:afterAutospacing="0" w:line="17" w:lineRule="atLeast"/>
        <w:ind w:left="0" w:right="0" w:firstLine="363"/>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100ul ≤2%; ≤±3%</w:t>
      </w:r>
    </w:p>
    <w:p w14:paraId="74E0A5A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4. 可连续进样、连续进板、随到随做。具备微板连续插入功能，只要有空位无需等所有试验结束即可上机新项目</w:t>
      </w:r>
    </w:p>
    <w:p w14:paraId="071630D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5. 样本位 同时容纳（非连续装载）≥168个样本位：满足大标本量需求，减少频繁的样本装载</w:t>
      </w:r>
    </w:p>
    <w:p w14:paraId="48F2EB1A">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6. 加样通道性能 一次性加样头具有装针检测报警功能</w:t>
      </w:r>
    </w:p>
    <w:p w14:paraId="4E812F73">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7. 具备液面监测、凝块监测和空管监测功能，探测原理不限，投标人须说明所采用探测原理并提供相应技术验证资料。</w:t>
      </w:r>
    </w:p>
    <w:p w14:paraId="1F766EB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8. 加样原理 气动置换加样原理，无液体稀释、无尾液、无系统液污染</w:t>
      </w:r>
    </w:p>
    <w:p w14:paraId="4F6BA9F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9. 洗板机：≥1台独立洗板机。16通道32针洗板头或者96通道192针</w:t>
      </w:r>
    </w:p>
    <w:p w14:paraId="36B0948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10. 洗板位置 ≥2个</w:t>
      </w:r>
    </w:p>
    <w:p w14:paraId="53F891C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11. 洗板残留量 ≤1μl</w:t>
      </w:r>
    </w:p>
    <w:p w14:paraId="493FAC38">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15. 机械手功能 具有红外抓板检测，运行中不掉板</w:t>
      </w:r>
    </w:p>
    <w:p w14:paraId="21E4034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auto"/>
          <w:spacing w:val="0"/>
          <w:kern w:val="0"/>
          <w:sz w:val="24"/>
          <w:szCs w:val="24"/>
          <w:highlight w:val="none"/>
          <w:lang w:val="en-US" w:eastAsia="zh-CN" w:bidi="ar"/>
        </w:rPr>
      </w:pPr>
      <w:r>
        <w:rPr>
          <w:rFonts w:ascii="仿宋" w:hAnsi="仿宋" w:eastAsia="仿宋" w:cs="仿宋"/>
          <w:spacing w:val="7"/>
          <w:sz w:val="24"/>
          <w:szCs w:val="24"/>
          <w:highlight w:val="none"/>
        </w:rPr>
        <w:t>★</w:t>
      </w:r>
      <w:r>
        <w:rPr>
          <w:rFonts w:hint="eastAsia" w:ascii="仿宋" w:hAnsi="仿宋" w:eastAsia="仿宋" w:cs="仿宋"/>
          <w:spacing w:val="7"/>
          <w:sz w:val="24"/>
          <w:szCs w:val="24"/>
          <w:highlight w:val="none"/>
          <w:lang w:val="en-US" w:eastAsia="zh-CN"/>
        </w:rPr>
        <w:t>1</w:t>
      </w:r>
      <w:r>
        <w:rPr>
          <w:rFonts w:hint="eastAsia" w:ascii="宋体" w:hAnsi="宋体" w:eastAsia="宋体" w:cs="宋体"/>
          <w:i w:val="0"/>
          <w:iCs w:val="0"/>
          <w:caps w:val="0"/>
          <w:color w:val="auto"/>
          <w:spacing w:val="0"/>
          <w:kern w:val="0"/>
          <w:sz w:val="24"/>
          <w:szCs w:val="24"/>
          <w:highlight w:val="none"/>
          <w:lang w:val="en-US" w:eastAsia="zh-CN" w:bidi="ar"/>
        </w:rPr>
        <w:t>6. 内置或模块化集成酶标仪模块，可与主机协同运行并支持脱离主机独立使用（推荐与主机厂家一致，便于维保）；滤光片配置须覆盖405nm、450nm、492nm，以及620nm-650nm范围内的至少一个波长（如620nm、630nm或650nm），或配备连续波长扫描功能覆盖上述范围。</w:t>
      </w:r>
    </w:p>
    <w:p w14:paraId="286003A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auto"/>
          <w:spacing w:val="0"/>
          <w:kern w:val="0"/>
          <w:sz w:val="24"/>
          <w:szCs w:val="24"/>
          <w:highlight w:val="none"/>
          <w:lang w:val="en-US" w:eastAsia="zh-CN" w:bidi="ar"/>
        </w:rPr>
      </w:pPr>
      <w:r>
        <w:rPr>
          <w:rFonts w:hint="eastAsia" w:ascii="宋体" w:hAnsi="宋体" w:eastAsia="宋体" w:cs="宋体"/>
          <w:i w:val="0"/>
          <w:iCs w:val="0"/>
          <w:caps w:val="0"/>
          <w:color w:val="auto"/>
          <w:spacing w:val="0"/>
          <w:kern w:val="0"/>
          <w:sz w:val="24"/>
          <w:szCs w:val="24"/>
          <w:highlight w:val="none"/>
          <w:lang w:val="en-US" w:eastAsia="zh-CN" w:bidi="ar"/>
        </w:rPr>
        <w:t>17. 试剂仓 可同时放置≥24位试剂舱</w:t>
      </w:r>
    </w:p>
    <w:p w14:paraId="2C5CF554">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auto"/>
          <w:spacing w:val="0"/>
          <w:kern w:val="0"/>
          <w:sz w:val="24"/>
          <w:szCs w:val="24"/>
          <w:highlight w:val="none"/>
          <w:lang w:val="en-US" w:eastAsia="zh-CN" w:bidi="ar"/>
        </w:rPr>
      </w:pPr>
      <w:r>
        <w:rPr>
          <w:rFonts w:hint="eastAsia" w:ascii="宋体" w:hAnsi="宋体" w:eastAsia="宋体" w:cs="宋体"/>
          <w:i w:val="0"/>
          <w:iCs w:val="0"/>
          <w:caps w:val="0"/>
          <w:color w:val="auto"/>
          <w:spacing w:val="0"/>
          <w:kern w:val="0"/>
          <w:sz w:val="24"/>
          <w:szCs w:val="24"/>
          <w:highlight w:val="none"/>
          <w:lang w:val="en-US" w:eastAsia="zh-CN" w:bidi="ar"/>
        </w:rPr>
        <w:t>18. 试剂仓容量 ≥60ml</w:t>
      </w:r>
    </w:p>
    <w:p w14:paraId="4D115BFE">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auto"/>
          <w:spacing w:val="0"/>
          <w:kern w:val="0"/>
          <w:sz w:val="24"/>
          <w:szCs w:val="24"/>
          <w:highlight w:val="none"/>
          <w:lang w:val="en-US" w:eastAsia="zh-CN" w:bidi="ar"/>
        </w:rPr>
      </w:pPr>
      <w:r>
        <w:rPr>
          <w:rFonts w:hint="eastAsia" w:ascii="宋体" w:hAnsi="宋体" w:eastAsia="宋体" w:cs="宋体"/>
          <w:i w:val="0"/>
          <w:iCs w:val="0"/>
          <w:caps w:val="0"/>
          <w:color w:val="auto"/>
          <w:spacing w:val="0"/>
          <w:kern w:val="0"/>
          <w:sz w:val="24"/>
          <w:szCs w:val="24"/>
          <w:highlight w:val="none"/>
          <w:lang w:val="en-US" w:eastAsia="zh-CN" w:bidi="ar"/>
        </w:rPr>
        <w:t>19.设备使用期限≥10年，保障厂生命周期的使用需要，需提供设备铭牌为证。</w:t>
      </w:r>
    </w:p>
    <w:p w14:paraId="66118EA2">
      <w:pPr>
        <w:widowControl w:val="0"/>
        <w:kinsoku/>
        <w:autoSpaceDE/>
        <w:autoSpaceDN/>
        <w:adjustRightInd/>
        <w:snapToGrid/>
        <w:spacing w:line="240" w:lineRule="auto"/>
        <w:jc w:val="both"/>
        <w:textAlignment w:val="auto"/>
        <w:rPr>
          <w:rFonts w:ascii="Calibri" w:hAnsi="Calibri" w:eastAsia="宋体" w:cs="Times New Roman"/>
          <w:snapToGrid/>
          <w:color w:val="auto"/>
          <w:kern w:val="2"/>
          <w:szCs w:val="24"/>
          <w:highlight w:val="none"/>
          <w:lang w:eastAsia="zh-CN"/>
        </w:rPr>
      </w:pPr>
      <w:r>
        <w:rPr>
          <w:rFonts w:hint="eastAsia" w:ascii="宋体" w:hAnsi="宋体" w:eastAsia="宋体" w:cs="宋体"/>
          <w:i w:val="0"/>
          <w:iCs w:val="0"/>
          <w:caps w:val="0"/>
          <w:snapToGrid/>
          <w:color w:val="auto"/>
          <w:spacing w:val="0"/>
          <w:kern w:val="2"/>
          <w:sz w:val="24"/>
          <w:szCs w:val="24"/>
          <w:highlight w:val="none"/>
          <w:lang w:eastAsia="zh-CN"/>
        </w:rPr>
        <w:t>2</w:t>
      </w:r>
      <w:r>
        <w:rPr>
          <w:rFonts w:hint="eastAsia" w:ascii="宋体" w:hAnsi="宋体" w:eastAsia="宋体" w:cs="宋体"/>
          <w:i w:val="0"/>
          <w:iCs w:val="0"/>
          <w:caps w:val="0"/>
          <w:snapToGrid/>
          <w:color w:val="auto"/>
          <w:spacing w:val="0"/>
          <w:kern w:val="2"/>
          <w:sz w:val="24"/>
          <w:szCs w:val="24"/>
          <w:highlight w:val="none"/>
          <w:lang w:val="en-US" w:eastAsia="zh-CN"/>
        </w:rPr>
        <w:t>0.投标人须为所投产品的品牌持有方或获得品牌方直接授权的供应商，确保产品质量责任主体明确、售后服务体系完整，须提供售后服务承诺函及技术支持网络说明。</w:t>
      </w:r>
    </w:p>
    <w:p w14:paraId="46DE7D0C">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b/>
          <w:bCs/>
          <w:i w:val="0"/>
          <w:iCs w:val="0"/>
          <w:snapToGrid w:val="0"/>
          <w:color w:val="000000"/>
          <w:kern w:val="0"/>
          <w:sz w:val="32"/>
          <w:szCs w:val="32"/>
          <w:highlight w:val="none"/>
          <w:u w:val="none"/>
          <w:lang w:val="en-US" w:eastAsia="zh-CN" w:bidi="ar"/>
        </w:rPr>
      </w:pPr>
      <w:r>
        <w:rPr>
          <w:rFonts w:hint="eastAsia" w:ascii="宋体" w:hAnsi="宋体" w:eastAsia="宋体" w:cs="宋体"/>
          <w:b/>
          <w:bCs/>
          <w:i w:val="0"/>
          <w:iCs w:val="0"/>
          <w:caps w:val="0"/>
          <w:color w:val="13181D"/>
          <w:spacing w:val="0"/>
          <w:kern w:val="0"/>
          <w:sz w:val="28"/>
          <w:szCs w:val="28"/>
          <w:highlight w:val="none"/>
          <w:lang w:val="en-US" w:eastAsia="zh-CN" w:bidi="ar"/>
        </w:rPr>
        <w:t>五、</w:t>
      </w:r>
      <w:r>
        <w:rPr>
          <w:rFonts w:hint="eastAsia" w:ascii="宋体" w:hAnsi="宋体" w:eastAsia="宋体" w:cs="宋体"/>
          <w:b/>
          <w:bCs/>
          <w:i w:val="0"/>
          <w:iCs w:val="0"/>
          <w:snapToGrid w:val="0"/>
          <w:color w:val="000000"/>
          <w:kern w:val="0"/>
          <w:sz w:val="32"/>
          <w:szCs w:val="32"/>
          <w:highlight w:val="none"/>
          <w:u w:val="none"/>
          <w:lang w:val="en-US" w:eastAsia="zh-CN" w:bidi="ar"/>
        </w:rPr>
        <w:t>全自动宫颈细胞扫描成像AI智能分析系统（液基细胞人工智能扫描影像分析系统）</w:t>
      </w:r>
    </w:p>
    <w:p w14:paraId="4876966E">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w:t>
      </w: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8"/>
          <w:szCs w:val="28"/>
          <w:highlight w:val="none"/>
          <w:lang w:val="en-US" w:eastAsia="zh-CN" w:bidi="ar"/>
        </w:rPr>
        <w:t>.设备与软件应具有良好的兼容性与稳定性（推荐设备与软件为同一厂家），软件应支持开放的数据接口标准，确保数字切片的通用读取与后续分析处理。</w:t>
      </w:r>
    </w:p>
    <w:p w14:paraId="14A6B659">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2.仪器外型：仪器采用一体式外型设计，防尘、防潮及防干扰光。</w:t>
      </w:r>
    </w:p>
    <w:p w14:paraId="7D830CAC">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3.仪器平台：仪器采用同时装载1片载物平台设计，平台采用X,Y,Z三轴设计，其中X轴，Y轴精度&lt;=0.1um；Z轴精度≤0.1um。仪器配套有30片玻片夹，一次性可以装载30片玻片，</w:t>
      </w:r>
    </w:p>
    <w:p w14:paraId="1C30128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4.设备功能：具备TCT人工智能诊断、数字切片扫描，远程病理会诊，可拓展升级细胞DNA定量分析等。</w:t>
      </w:r>
    </w:p>
    <w:p w14:paraId="510C5EF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5.光学系统：光学系统为无限远色差校正光学系统，超高亮度LED照明和摇出式消色差聚光镜(N.A.0.9)；摄像接口：1X C口。20X、40X平场消色差物镜。</w:t>
      </w:r>
    </w:p>
    <w:p w14:paraId="68398D99">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6.图像系统：高清工业相机，高性能CMOS传感器，传感器尺寸≥1.1英寸，分辨率≥4096x3000；像元尺寸≥3.45um；帧速率≥30fps；传输接口USB3.1及以上标准接口，有效传输带宽≥5.0Gbps。</w:t>
      </w:r>
    </w:p>
    <w:p w14:paraId="0C4EA69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7.扫描方式及分辨率：采用面阵扫描方式，20倍扫描分辨率≤0.18μm/pixel，40倍扫描分辨率≤0.09μm/pixel。</w:t>
      </w:r>
    </w:p>
    <w:p w14:paraId="265A3829">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8.扫描速度：20X，15mmX15mm,全视野</w:t>
      </w:r>
      <w:r>
        <w:rPr>
          <w:rFonts w:hint="eastAsia" w:ascii="宋体" w:hAnsi="宋体" w:eastAsia="宋体" w:cs="宋体"/>
          <w:i w:val="0"/>
          <w:iCs w:val="0"/>
          <w:caps w:val="0"/>
          <w:color w:val="13181D"/>
          <w:spacing w:val="0"/>
          <w:kern w:val="0"/>
          <w:sz w:val="28"/>
          <w:szCs w:val="28"/>
          <w:highlight w:val="none"/>
          <w:lang w:val="en-US" w:eastAsia="zh-CN" w:bidi="ar"/>
        </w:rPr>
        <w:t>扫描时间≤60S、40X，15mmX15mm,全视野扫描时间≤120S。</w:t>
      </w:r>
    </w:p>
    <w:p w14:paraId="3552010C">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9.自动区域和条码识别：系统可对切片分布区域及条形码信息自动读取，保证扫描数据与标本一一对应。</w:t>
      </w:r>
    </w:p>
    <w:p w14:paraId="2469CE3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10.质控：通过质控玻片进行质控，同时可以通过网络远程质控，云端质控。</w:t>
      </w:r>
    </w:p>
    <w:p w14:paraId="54026E19">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11.数字切片：全视野扫描完成后，形成4倍到80倍全范围自由缩放数字切片，并能够在数字切片上自动标识出病变位置，病变等级，达到快速定位辅助诊断的功能。</w:t>
      </w:r>
    </w:p>
    <w:p w14:paraId="1D7B1C7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12.分析系统：具备TCT人工智能辅助诊断分析、全自动DNA定量分析功能（结果显示全片细胞数量、二倍体细胞数量、疑似病变细胞数量、病变细胞数量）、数字切片远程上传、远程会诊、远程报告的系统具备功能。</w:t>
      </w:r>
    </w:p>
    <w:p w14:paraId="512B468E">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8"/>
          <w:szCs w:val="28"/>
          <w:highlight w:val="none"/>
          <w:lang w:val="en-US" w:eastAsia="zh-CN" w:bidi="ar"/>
        </w:rPr>
        <w:t>13.TCT人工智能辅助诊断系统需按照标准的TBS诊断标准15分类，并支持成团细胞、化生细胞、萎缩细胞及颈管细胞的识别提示。（提供诊断界面截图进行佐证）</w:t>
      </w:r>
    </w:p>
    <w:p w14:paraId="77E272E1">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15. TCT人工智能实现及结果提示：支持本地化部署，具备无需上传至网络服务器，无需依赖网络即可实现AI功能的能力；异常可疑细胞按照置信度从高到低依次排序。</w:t>
      </w:r>
    </w:p>
    <w:p w14:paraId="27B5FFC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16.扫描系统：扫描系统自动区分组织片或者细胞片，自动识别需要扫描区域，自动定位聚焦位置，自动计算聚焦面，自动全视野扫描，自动形成数字切片，自动分析的功能。</w:t>
      </w:r>
    </w:p>
    <w:p w14:paraId="551EE8DC">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17.复核功能:支持切片自动定位复核，和原始图复核双重复核功能，可以随意切换倍数</w:t>
      </w:r>
    </w:p>
    <w:p w14:paraId="372A54BB">
      <w:pPr>
        <w:widowControl w:val="0"/>
        <w:kinsoku/>
        <w:autoSpaceDE/>
        <w:autoSpaceDN/>
        <w:adjustRightInd/>
        <w:snapToGrid/>
        <w:spacing w:line="240" w:lineRule="auto"/>
        <w:jc w:val="both"/>
        <w:textAlignment w:val="auto"/>
        <w:rPr>
          <w:rFonts w:hint="eastAsia" w:ascii="宋体" w:hAnsi="宋体" w:eastAsia="宋体" w:cs="宋体"/>
          <w:snapToGrid/>
          <w:kern w:val="2"/>
          <w:sz w:val="28"/>
          <w:szCs w:val="28"/>
          <w:highlight w:val="none"/>
          <w:lang w:eastAsia="zh-CN"/>
        </w:rPr>
      </w:pPr>
    </w:p>
    <w:p w14:paraId="39995056">
      <w:pPr>
        <w:rPr>
          <w:rFonts w:ascii="仿宋" w:hAnsi="仿宋" w:eastAsia="仿宋" w:cs="仿宋"/>
          <w:b/>
          <w:bCs/>
          <w:spacing w:val="3"/>
          <w:sz w:val="31"/>
          <w:szCs w:val="31"/>
          <w:highlight w:val="none"/>
        </w:rPr>
      </w:pPr>
    </w:p>
    <w:p w14:paraId="584DDAC5">
      <w:pPr>
        <w:rPr>
          <w:rFonts w:ascii="仿宋" w:hAnsi="仿宋" w:eastAsia="仿宋" w:cs="仿宋"/>
          <w:b/>
          <w:bCs/>
          <w:spacing w:val="3"/>
          <w:sz w:val="31"/>
          <w:szCs w:val="31"/>
          <w:highlight w:val="none"/>
        </w:rPr>
      </w:pPr>
    </w:p>
    <w:p w14:paraId="2197C9B7">
      <w:pPr>
        <w:keepNext w:val="0"/>
        <w:keepLines w:val="0"/>
        <w:widowControl/>
        <w:suppressLineNumbers w:val="0"/>
        <w:bidi w:val="0"/>
        <w:spacing w:before="0" w:beforeAutospacing="1" w:after="0" w:afterAutospacing="0" w:line="17" w:lineRule="atLeast"/>
        <w:ind w:left="0" w:right="0" w:firstLine="0"/>
        <w:jc w:val="center"/>
        <w:rPr>
          <w:rFonts w:hint="eastAsia" w:ascii="宋体" w:hAnsi="宋体" w:eastAsia="宋体" w:cs="宋体"/>
          <w:b/>
          <w:bCs/>
          <w:i w:val="0"/>
          <w:iCs w:val="0"/>
          <w:caps w:val="0"/>
          <w:color w:val="13181D"/>
          <w:spacing w:val="0"/>
          <w:kern w:val="0"/>
          <w:sz w:val="32"/>
          <w:szCs w:val="32"/>
          <w:highlight w:val="none"/>
          <w:lang w:val="en-US" w:eastAsia="zh-CN" w:bidi="ar"/>
        </w:rPr>
      </w:pPr>
      <w:r>
        <w:rPr>
          <w:rFonts w:hint="eastAsia" w:ascii="宋体" w:hAnsi="宋体" w:eastAsia="宋体" w:cs="宋体"/>
          <w:b/>
          <w:bCs/>
          <w:i w:val="0"/>
          <w:iCs w:val="0"/>
          <w:caps w:val="0"/>
          <w:color w:val="13181D"/>
          <w:spacing w:val="0"/>
          <w:kern w:val="0"/>
          <w:sz w:val="32"/>
          <w:szCs w:val="32"/>
          <w:highlight w:val="none"/>
          <w:lang w:val="en-US" w:eastAsia="zh-CN" w:bidi="ar"/>
        </w:rPr>
        <w:t>六、</w:t>
      </w:r>
      <w:r>
        <w:rPr>
          <w:rFonts w:hint="eastAsia" w:ascii="宋体" w:hAnsi="宋体" w:eastAsia="宋体" w:cs="宋体"/>
          <w:b/>
          <w:bCs/>
          <w:i w:val="0"/>
          <w:iCs w:val="0"/>
          <w:snapToGrid w:val="0"/>
          <w:color w:val="000000"/>
          <w:kern w:val="0"/>
          <w:sz w:val="32"/>
          <w:szCs w:val="32"/>
          <w:highlight w:val="none"/>
          <w:u w:val="none"/>
          <w:lang w:val="en-US" w:eastAsia="zh-CN" w:bidi="ar"/>
        </w:rPr>
        <w:t>全自动液基涂片系统</w:t>
      </w:r>
    </w:p>
    <w:p w14:paraId="40C4105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整机参数</w:t>
      </w:r>
    </w:p>
    <w:p w14:paraId="6789E46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1、每批次制片染色标本数量可随标本数量定，在1-48片之间均可。</w:t>
      </w:r>
    </w:p>
    <w:p w14:paraId="737ECFB8">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2、制成的薄层诊断面积为直径应为小于</w:t>
      </w:r>
      <w:r>
        <w:rPr>
          <w:rFonts w:hint="default" w:ascii="Arial" w:hAnsi="Arial" w:eastAsia="宋体" w:cs="Arial"/>
          <w:i w:val="0"/>
          <w:iCs w:val="0"/>
          <w:caps w:val="0"/>
          <w:color w:val="13181D"/>
          <w:spacing w:val="0"/>
          <w:kern w:val="0"/>
          <w:sz w:val="24"/>
          <w:szCs w:val="24"/>
          <w:highlight w:val="none"/>
          <w:lang w:val="en-US" w:eastAsia="zh-CN" w:bidi="ar"/>
        </w:rPr>
        <w:t>≤</w:t>
      </w:r>
      <w:r>
        <w:rPr>
          <w:rFonts w:hint="eastAsia" w:ascii="宋体" w:hAnsi="宋体" w:eastAsia="宋体" w:cs="宋体"/>
          <w:i w:val="0"/>
          <w:iCs w:val="0"/>
          <w:caps w:val="0"/>
          <w:color w:val="13181D"/>
          <w:spacing w:val="0"/>
          <w:kern w:val="0"/>
          <w:sz w:val="24"/>
          <w:szCs w:val="24"/>
          <w:highlight w:val="none"/>
          <w:lang w:val="en-US" w:eastAsia="zh-CN" w:bidi="ar"/>
        </w:rPr>
        <w:t>17mm的圆。</w:t>
      </w:r>
    </w:p>
    <w:p w14:paraId="56E0A3B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3</w:t>
      </w: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4"/>
          <w:szCs w:val="24"/>
          <w:highlight w:val="none"/>
          <w:lang w:val="en-US" w:eastAsia="zh-CN" w:bidi="ar"/>
        </w:rPr>
        <w:t>、最大批次制片染色时间在55分钟以内完成。</w:t>
      </w:r>
    </w:p>
    <w:p w14:paraId="1A7D804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4、支持巴氏染色，HE染色。</w:t>
      </w:r>
    </w:p>
    <w:p w14:paraId="422AAC3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5、语音声控功能（加分项）。</w:t>
      </w:r>
    </w:p>
    <w:p w14:paraId="7BAC793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6、采用中文操作界面，开机自检，设备操作简便、人性化。</w:t>
      </w:r>
    </w:p>
    <w:p w14:paraId="62AA3F78">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7、触摸式显示屏，无需另行配备电脑。实时监控，能在屏幕显示工作进度。</w:t>
      </w:r>
    </w:p>
    <w:p w14:paraId="422E7F7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8、制片方式：自然沉降或离心沉降法（至少支持一种）；染色方式：独立滴染或浸染（至少支持一种）；制片厚度可自由调整，标本转移量可调。</w:t>
      </w:r>
    </w:p>
    <w:p w14:paraId="3FED8F5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9、分化液自动添加，提高染色效果。</w:t>
      </w:r>
    </w:p>
    <w:p w14:paraId="0897A4C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10</w:t>
      </w: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4"/>
          <w:szCs w:val="24"/>
          <w:highlight w:val="none"/>
          <w:lang w:val="en-US" w:eastAsia="zh-CN" w:bidi="ar"/>
        </w:rPr>
        <w:t>、自动化程度高，上机后无需人工值守。全自动标准操作，避免因人工操作产生的误差。前处理后样本上机后设备全自动操作，细胞稀释、细胞转移、沉降制片、染液滴加，均自动完成。一次性使用，无交叉污染。</w:t>
      </w:r>
    </w:p>
    <w:p w14:paraId="44800D0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4"/>
          <w:szCs w:val="24"/>
          <w:highlight w:val="none"/>
          <w:lang w:val="en-US" w:eastAsia="zh-CN" w:bidi="ar"/>
        </w:rPr>
      </w:pPr>
      <w:r>
        <w:rPr>
          <w:rFonts w:hint="eastAsia" w:ascii="宋体" w:hAnsi="宋体" w:eastAsia="宋体" w:cs="宋体"/>
          <w:i w:val="0"/>
          <w:iCs w:val="0"/>
          <w:caps w:val="0"/>
          <w:color w:val="13181D"/>
          <w:spacing w:val="0"/>
          <w:kern w:val="0"/>
          <w:sz w:val="24"/>
          <w:szCs w:val="24"/>
          <w:highlight w:val="none"/>
          <w:lang w:val="en-US" w:eastAsia="zh-CN" w:bidi="ar"/>
        </w:rPr>
        <w:t>11、制片完成的样本玻片适用诊断系统：设备根据诊断项目需求制片完成的样本玻片，可在传统显微镜下阅片，也可适配玻片扫描影像分析系统的液基细胞学AI阅片</w:t>
      </w:r>
    </w:p>
    <w:p w14:paraId="655D57A3">
      <w:pPr>
        <w:rPr>
          <w:rFonts w:ascii="仿宋" w:hAnsi="仿宋" w:eastAsia="仿宋" w:cs="仿宋"/>
          <w:b/>
          <w:bCs/>
          <w:spacing w:val="3"/>
          <w:sz w:val="31"/>
          <w:szCs w:val="31"/>
          <w:highlight w:val="none"/>
        </w:rPr>
      </w:pPr>
    </w:p>
    <w:p w14:paraId="3E6755FB">
      <w:pPr>
        <w:rPr>
          <w:rFonts w:ascii="仿宋" w:hAnsi="仿宋" w:eastAsia="仿宋" w:cs="仿宋"/>
          <w:b/>
          <w:bCs/>
          <w:spacing w:val="3"/>
          <w:sz w:val="31"/>
          <w:szCs w:val="31"/>
          <w:highlight w:val="none"/>
        </w:rPr>
      </w:pPr>
    </w:p>
    <w:p w14:paraId="5C6657EA">
      <w:pPr>
        <w:keepNext w:val="0"/>
        <w:keepLines w:val="0"/>
        <w:widowControl/>
        <w:suppressLineNumbers w:val="0"/>
        <w:bidi w:val="0"/>
        <w:spacing w:before="0" w:beforeAutospacing="1" w:after="0" w:afterAutospacing="0" w:line="17" w:lineRule="atLeast"/>
        <w:ind w:left="0" w:right="0" w:firstLine="0"/>
        <w:jc w:val="center"/>
        <w:rPr>
          <w:rFonts w:hint="eastAsia" w:ascii="宋体" w:hAnsi="宋体" w:eastAsia="宋体" w:cs="宋体"/>
          <w:b/>
          <w:bCs/>
          <w:i w:val="0"/>
          <w:iCs w:val="0"/>
          <w:caps w:val="0"/>
          <w:color w:val="13181D"/>
          <w:spacing w:val="0"/>
          <w:kern w:val="0"/>
          <w:sz w:val="28"/>
          <w:szCs w:val="28"/>
          <w:highlight w:val="none"/>
          <w:lang w:val="en-US" w:eastAsia="zh-CN" w:bidi="ar"/>
        </w:rPr>
      </w:pPr>
      <w:r>
        <w:rPr>
          <w:rFonts w:hint="eastAsia" w:ascii="宋体" w:hAnsi="宋体" w:eastAsia="宋体" w:cs="宋体"/>
          <w:b/>
          <w:bCs/>
          <w:i w:val="0"/>
          <w:iCs w:val="0"/>
          <w:caps w:val="0"/>
          <w:color w:val="13181D"/>
          <w:spacing w:val="0"/>
          <w:kern w:val="0"/>
          <w:sz w:val="28"/>
          <w:szCs w:val="28"/>
          <w:highlight w:val="none"/>
          <w:lang w:val="en-US" w:eastAsia="zh-CN" w:bidi="ar"/>
        </w:rPr>
        <w:t>七、糖化血红蛋白分析仪</w:t>
      </w:r>
    </w:p>
    <w:p w14:paraId="2E1090E3">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1、测定原理：离子交换高效液相色谱法（HPLC）</w:t>
      </w:r>
    </w:p>
    <w:p w14:paraId="619AF58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2"/>
          <w:szCs w:val="22"/>
          <w:highlight w:val="none"/>
          <w:lang w:val="en-US" w:eastAsia="zh-CN" w:bidi="ar"/>
        </w:rPr>
        <w:t>2、变异体检测：不受变异血红蛋白影响，仪器至少能检测HbJ、HbE、HbD、HbS、HbC等常见变异体，并对异常血红蛋白峰有自动报警提示功能；</w:t>
      </w:r>
    </w:p>
    <w:p w14:paraId="44A53B2A">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3、检测速度：标准模式60T以上/小时</w:t>
      </w:r>
    </w:p>
    <w:p w14:paraId="59DD371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4、样本位50个批量或连续上样；具备急诊（ST）位</w:t>
      </w:r>
    </w:p>
    <w:p w14:paraId="663D71CF">
      <w:pPr>
        <w:keepNext w:val="0"/>
        <w:keepLines w:val="0"/>
        <w:widowControl/>
        <w:suppressLineNumbers w:val="0"/>
        <w:bidi w:val="0"/>
        <w:spacing w:before="0" w:beforeAutospacing="1" w:after="0" w:afterAutospacing="0" w:line="17" w:lineRule="atLeast"/>
        <w:ind w:left="0" w:right="0" w:firstLine="0"/>
        <w:jc w:val="both"/>
        <w:rPr>
          <w:rFonts w:hint="default" w:ascii="宋体" w:hAnsi="宋体" w:eastAsia="宋体" w:cs="宋体"/>
          <w:i w:val="0"/>
          <w:iCs w:val="0"/>
          <w:caps w:val="0"/>
          <w:color w:val="13181D"/>
          <w:spacing w:val="0"/>
          <w:kern w:val="0"/>
          <w:sz w:val="22"/>
          <w:szCs w:val="22"/>
          <w:highlight w:val="none"/>
          <w:lang w:val="en-US" w:eastAsia="zh-CN" w:bidi="ar"/>
        </w:rPr>
      </w:pP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2"/>
          <w:szCs w:val="22"/>
          <w:highlight w:val="none"/>
          <w:lang w:val="en-US" w:eastAsia="zh-CN" w:bidi="ar"/>
        </w:rPr>
        <w:t>5、重复性CV≤1.2%；检测范围3.5%-18%</w:t>
      </w:r>
    </w:p>
    <w:p w14:paraId="646473D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6、认证获得NGSP和IFCC认证</w:t>
      </w:r>
    </w:p>
    <w:p w14:paraId="626B9123">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000000"/>
          <w:spacing w:val="0"/>
          <w:kern w:val="0"/>
          <w:sz w:val="22"/>
          <w:szCs w:val="22"/>
          <w:highlight w:val="none"/>
          <w:lang w:val="en-US" w:eastAsia="zh-CN" w:bidi="ar"/>
        </w:rPr>
        <w:t>7</w:t>
      </w:r>
      <w:r>
        <w:rPr>
          <w:rFonts w:hint="eastAsia" w:ascii="宋体" w:hAnsi="宋体" w:eastAsia="宋体" w:cs="宋体"/>
          <w:i w:val="0"/>
          <w:iCs w:val="0"/>
          <w:caps w:val="0"/>
          <w:color w:val="13181D"/>
          <w:spacing w:val="0"/>
          <w:kern w:val="0"/>
          <w:sz w:val="22"/>
          <w:szCs w:val="22"/>
          <w:highlight w:val="none"/>
          <w:lang w:val="en-US" w:eastAsia="zh-CN" w:bidi="ar"/>
        </w:rPr>
        <w:t>、层析柱/过滤器层析柱测试次数：≥6000T</w:t>
      </w:r>
    </w:p>
    <w:p w14:paraId="2E955132">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8、扫描器功能：系统支持全自动扫描条形码的功能</w:t>
      </w:r>
    </w:p>
    <w:p w14:paraId="116236B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9、试剂余量提示：具有试剂剩余量提示功能，同时在试剂量剩余量不足时发出报警</w:t>
      </w:r>
    </w:p>
    <w:p w14:paraId="1A18213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10、采血管穿刺：具备采血管穿刺功能</w:t>
      </w:r>
    </w:p>
    <w:p w14:paraId="3EB0DB8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11.检测模式：具备常规检测模式，对异常血红蛋白变异体有识别报警功能；支持根据临床需要设置复检规则</w:t>
      </w:r>
    </w:p>
    <w:p w14:paraId="0763860B">
      <w:pPr>
        <w:keepNext w:val="0"/>
        <w:keepLines w:val="0"/>
        <w:widowControl/>
        <w:suppressLineNumbers w:val="0"/>
        <w:bidi w:val="0"/>
        <w:spacing w:before="0" w:beforeAutospacing="1" w:after="0" w:afterAutospacing="0" w:line="17" w:lineRule="atLeast"/>
        <w:ind w:left="0" w:right="0" w:firstLine="0"/>
        <w:jc w:val="both"/>
        <w:rPr>
          <w:rFonts w:hint="default"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12.洗脱系统：采用梯度洗脱或等效分离技术，确保HbA1c与其他血红蛋白组分有效分离，分辨率满足NGSP/IFCC要求</w:t>
      </w:r>
    </w:p>
    <w:p w14:paraId="46F86F56">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13、认证要求；NG</w:t>
      </w:r>
      <w:r>
        <w:rPr>
          <w:rFonts w:hint="eastAsia" w:ascii="宋体" w:hAnsi="宋体" w:eastAsia="宋体" w:cs="宋体"/>
          <w:i w:val="0"/>
          <w:iCs w:val="0"/>
          <w:caps w:val="0"/>
          <w:color w:val="13181D"/>
          <w:spacing w:val="0"/>
          <w:kern w:val="0"/>
          <w:sz w:val="22"/>
          <w:szCs w:val="22"/>
          <w:highlight w:val="none"/>
          <w:lang w:val="en-US" w:eastAsia="zh-CN" w:bidi="ar"/>
        </w:rPr>
        <w:t>SP+IFCC双认证，符合临床标准.生产企业体系完善，同时通过了ISO9001和ISO13485质量体系认证，</w:t>
      </w:r>
    </w:p>
    <w:p w14:paraId="7E376C85">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14、存储系统：系统内存可以存储50000T以上测试结果</w:t>
      </w:r>
    </w:p>
    <w:p w14:paraId="658F4CCD">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2"/>
          <w:szCs w:val="22"/>
          <w:highlight w:val="none"/>
          <w:lang w:val="en-US" w:eastAsia="zh-CN" w:bidi="ar"/>
        </w:rPr>
      </w:pPr>
      <w:r>
        <w:rPr>
          <w:rFonts w:hint="eastAsia" w:ascii="宋体" w:hAnsi="宋体" w:eastAsia="宋体" w:cs="宋体"/>
          <w:i w:val="0"/>
          <w:iCs w:val="0"/>
          <w:caps w:val="0"/>
          <w:color w:val="13181D"/>
          <w:spacing w:val="0"/>
          <w:kern w:val="0"/>
          <w:sz w:val="22"/>
          <w:szCs w:val="22"/>
          <w:highlight w:val="none"/>
          <w:lang w:val="en-US" w:eastAsia="zh-CN" w:bidi="ar"/>
        </w:rPr>
        <w:t>15、室间质评：仪器适用于国家卫生健康委临床检验中心的糖化血红蛋白室间质评，提供近2年质评合格证明</w:t>
      </w:r>
    </w:p>
    <w:p w14:paraId="263AD3C7">
      <w:pPr>
        <w:widowControl w:val="0"/>
        <w:kinsoku/>
        <w:autoSpaceDE/>
        <w:autoSpaceDN/>
        <w:adjustRightInd/>
        <w:snapToGrid/>
        <w:spacing w:line="240" w:lineRule="auto"/>
        <w:jc w:val="both"/>
        <w:textAlignment w:val="auto"/>
        <w:rPr>
          <w:rFonts w:ascii="Calibri" w:hAnsi="Calibri" w:eastAsia="宋体" w:cs="Times New Roman"/>
          <w:snapToGrid/>
          <w:kern w:val="2"/>
          <w:sz w:val="24"/>
          <w:szCs w:val="32"/>
          <w:highlight w:val="none"/>
          <w:lang w:eastAsia="zh-CN"/>
        </w:rPr>
      </w:pPr>
    </w:p>
    <w:p w14:paraId="00B16AD4">
      <w:pPr>
        <w:rPr>
          <w:rFonts w:ascii="仿宋" w:hAnsi="仿宋" w:eastAsia="仿宋" w:cs="仿宋"/>
          <w:b/>
          <w:bCs/>
          <w:spacing w:val="3"/>
          <w:sz w:val="31"/>
          <w:szCs w:val="31"/>
          <w:highlight w:val="none"/>
        </w:rPr>
      </w:pPr>
    </w:p>
    <w:p w14:paraId="3C8C6D74">
      <w:pPr>
        <w:rPr>
          <w:rFonts w:ascii="仿宋" w:hAnsi="仿宋" w:eastAsia="仿宋" w:cs="仿宋"/>
          <w:b/>
          <w:bCs/>
          <w:spacing w:val="3"/>
          <w:sz w:val="31"/>
          <w:szCs w:val="31"/>
          <w:highlight w:val="none"/>
        </w:rPr>
      </w:pPr>
    </w:p>
    <w:p w14:paraId="7A8080FA">
      <w:pPr>
        <w:widowControl w:val="0"/>
        <w:kinsoku/>
        <w:autoSpaceDE/>
        <w:autoSpaceDN/>
        <w:adjustRightInd/>
        <w:snapToGrid/>
        <w:spacing w:line="240" w:lineRule="auto"/>
        <w:jc w:val="center"/>
        <w:textAlignment w:val="auto"/>
        <w:rPr>
          <w:rFonts w:hint="eastAsia" w:ascii="宋体" w:hAnsi="宋体" w:eastAsia="宋体" w:cs="宋体"/>
          <w:b/>
          <w:bCs/>
          <w:i w:val="0"/>
          <w:iCs w:val="0"/>
          <w:caps w:val="0"/>
          <w:snapToGrid/>
          <w:color w:val="000000"/>
          <w:spacing w:val="0"/>
          <w:kern w:val="2"/>
          <w:sz w:val="32"/>
          <w:szCs w:val="32"/>
          <w:highlight w:val="none"/>
          <w:lang w:eastAsia="zh-CN"/>
        </w:rPr>
      </w:pPr>
      <w:r>
        <w:rPr>
          <w:rFonts w:hint="eastAsia" w:ascii="宋体" w:hAnsi="宋体" w:eastAsia="宋体" w:cs="宋体"/>
          <w:b/>
          <w:bCs/>
          <w:i w:val="0"/>
          <w:iCs w:val="0"/>
          <w:caps w:val="0"/>
          <w:snapToGrid/>
          <w:color w:val="000000"/>
          <w:spacing w:val="0"/>
          <w:kern w:val="2"/>
          <w:sz w:val="28"/>
          <w:szCs w:val="28"/>
          <w:highlight w:val="none"/>
          <w:lang w:val="en-US" w:eastAsia="zh-CN"/>
        </w:rPr>
        <w:t>八</w:t>
      </w:r>
      <w:r>
        <w:rPr>
          <w:rFonts w:hint="eastAsia" w:ascii="宋体" w:hAnsi="宋体" w:eastAsia="宋体" w:cs="宋体"/>
          <w:b/>
          <w:bCs/>
          <w:i w:val="0"/>
          <w:iCs w:val="0"/>
          <w:caps w:val="0"/>
          <w:snapToGrid/>
          <w:color w:val="000000"/>
          <w:spacing w:val="0"/>
          <w:kern w:val="2"/>
          <w:sz w:val="28"/>
          <w:szCs w:val="28"/>
          <w:highlight w:val="none"/>
          <w:lang w:eastAsia="zh-CN"/>
        </w:rPr>
        <w:t>、</w:t>
      </w:r>
      <w:r>
        <w:rPr>
          <w:rFonts w:hint="eastAsia" w:ascii="宋体" w:hAnsi="宋体" w:eastAsia="宋体" w:cs="宋体"/>
          <w:b/>
          <w:bCs/>
          <w:i w:val="0"/>
          <w:iCs w:val="0"/>
          <w:snapToGrid w:val="0"/>
          <w:color w:val="000000"/>
          <w:kern w:val="0"/>
          <w:sz w:val="32"/>
          <w:szCs w:val="32"/>
          <w:highlight w:val="none"/>
          <w:u w:val="none"/>
          <w:lang w:val="en-US" w:eastAsia="zh-CN" w:bidi="ar"/>
        </w:rPr>
        <w:t>HPV全自动一体化核酸分析系统检测分析一体机护仪</w:t>
      </w:r>
    </w:p>
    <w:p w14:paraId="7FB2F544">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▲1.检测通量≥12个测试/次。</w:t>
      </w:r>
    </w:p>
    <w:p w14:paraId="5E74F03B">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▲2.检测完成时间：检测完成时间</w:t>
      </w:r>
      <w:r>
        <w:rPr>
          <w:rFonts w:hint="eastAsia" w:ascii="宋体" w:hAnsi="宋体" w:eastAsia="宋体" w:cs="宋体"/>
          <w:i w:val="0"/>
          <w:iCs w:val="0"/>
          <w:caps w:val="0"/>
          <w:snapToGrid/>
          <w:color w:val="000000"/>
          <w:spacing w:val="0"/>
          <w:kern w:val="2"/>
          <w:sz w:val="24"/>
          <w:szCs w:val="24"/>
          <w:highlight w:val="none"/>
          <w:lang w:val="en-US" w:eastAsia="zh-CN"/>
        </w:rPr>
        <w:t>在</w:t>
      </w:r>
      <w:r>
        <w:rPr>
          <w:rFonts w:hint="eastAsia" w:ascii="宋体" w:hAnsi="宋体" w:eastAsia="宋体" w:cs="宋体"/>
          <w:i w:val="0"/>
          <w:iCs w:val="0"/>
          <w:caps w:val="0"/>
          <w:snapToGrid/>
          <w:color w:val="000000"/>
          <w:spacing w:val="0"/>
          <w:kern w:val="2"/>
          <w:sz w:val="24"/>
          <w:szCs w:val="24"/>
          <w:highlight w:val="none"/>
          <w:lang w:eastAsia="zh-CN"/>
        </w:rPr>
        <w:t>2.5</w:t>
      </w:r>
      <w:r>
        <w:rPr>
          <w:rFonts w:hint="eastAsia" w:ascii="宋体" w:hAnsi="宋体" w:eastAsia="宋体" w:cs="宋体"/>
          <w:i w:val="0"/>
          <w:iCs w:val="0"/>
          <w:caps w:val="0"/>
          <w:snapToGrid/>
          <w:color w:val="000000"/>
          <w:spacing w:val="0"/>
          <w:kern w:val="2"/>
          <w:sz w:val="24"/>
          <w:szCs w:val="24"/>
          <w:highlight w:val="none"/>
          <w:lang w:val="en-US" w:eastAsia="zh-CN"/>
        </w:rPr>
        <w:t>-</w:t>
      </w:r>
      <w:r>
        <w:rPr>
          <w:rFonts w:hint="eastAsia" w:ascii="宋体" w:hAnsi="宋体" w:eastAsia="宋体" w:cs="宋体"/>
          <w:i w:val="0"/>
          <w:iCs w:val="0"/>
          <w:caps w:val="0"/>
          <w:snapToGrid/>
          <w:color w:val="000000"/>
          <w:spacing w:val="0"/>
          <w:kern w:val="2"/>
          <w:sz w:val="24"/>
          <w:szCs w:val="24"/>
          <w:highlight w:val="none"/>
          <w:lang w:eastAsia="zh-CN"/>
        </w:rPr>
        <w:t>4.5小时</w:t>
      </w:r>
      <w:r>
        <w:rPr>
          <w:rFonts w:hint="eastAsia" w:ascii="宋体" w:hAnsi="宋体" w:eastAsia="宋体" w:cs="宋体"/>
          <w:i w:val="0"/>
          <w:iCs w:val="0"/>
          <w:caps w:val="0"/>
          <w:snapToGrid/>
          <w:color w:val="000000"/>
          <w:spacing w:val="0"/>
          <w:kern w:val="2"/>
          <w:sz w:val="24"/>
          <w:szCs w:val="24"/>
          <w:highlight w:val="none"/>
          <w:lang w:val="en-US" w:eastAsia="zh-CN"/>
        </w:rPr>
        <w:t>间</w:t>
      </w:r>
      <w:r>
        <w:rPr>
          <w:rFonts w:hint="eastAsia" w:ascii="宋体" w:hAnsi="宋体" w:eastAsia="宋体" w:cs="宋体"/>
          <w:i w:val="0"/>
          <w:iCs w:val="0"/>
          <w:caps w:val="0"/>
          <w:snapToGrid/>
          <w:color w:val="000000"/>
          <w:spacing w:val="0"/>
          <w:kern w:val="2"/>
          <w:sz w:val="24"/>
          <w:szCs w:val="24"/>
          <w:highlight w:val="none"/>
          <w:lang w:eastAsia="zh-CN"/>
        </w:rPr>
        <w:t>，全自动完成核酸提取、纯化、扩增、基因分型检测及结果判读检测实验。</w:t>
      </w:r>
    </w:p>
    <w:p w14:paraId="4B020BE3">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ascii="仿宋" w:hAnsi="仿宋" w:eastAsia="仿宋" w:cs="仿宋"/>
          <w:spacing w:val="7"/>
          <w:sz w:val="24"/>
          <w:szCs w:val="24"/>
          <w:highlight w:val="none"/>
        </w:rPr>
        <w:t>★</w:t>
      </w:r>
      <w:r>
        <w:rPr>
          <w:rFonts w:hint="eastAsia" w:ascii="宋体" w:hAnsi="宋体" w:eastAsia="宋体" w:cs="宋体"/>
          <w:i w:val="0"/>
          <w:iCs w:val="0"/>
          <w:caps w:val="0"/>
          <w:snapToGrid/>
          <w:color w:val="000000"/>
          <w:spacing w:val="0"/>
          <w:kern w:val="2"/>
          <w:sz w:val="24"/>
          <w:szCs w:val="24"/>
          <w:highlight w:val="none"/>
          <w:lang w:eastAsia="zh-CN"/>
        </w:rPr>
        <w:t>3.全封闭：检测过程中的样本、核酸、检测用试剂和废液在检测阶段无开盖，反应废液密闭收集。</w:t>
      </w:r>
    </w:p>
    <w:p w14:paraId="02D5D988">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4.移液范围5-</w:t>
      </w:r>
      <w:r>
        <w:rPr>
          <w:rFonts w:hint="eastAsia" w:ascii="宋体" w:hAnsi="宋体" w:eastAsia="宋体" w:cs="宋体"/>
          <w:i w:val="0"/>
          <w:iCs w:val="0"/>
          <w:caps w:val="0"/>
          <w:snapToGrid/>
          <w:color w:val="000000"/>
          <w:spacing w:val="0"/>
          <w:kern w:val="2"/>
          <w:sz w:val="24"/>
          <w:szCs w:val="24"/>
          <w:highlight w:val="none"/>
          <w:lang w:val="en-US" w:eastAsia="zh-CN"/>
        </w:rPr>
        <w:t>500</w:t>
      </w:r>
      <w:r>
        <w:rPr>
          <w:rFonts w:hint="eastAsia" w:ascii="宋体" w:hAnsi="宋体" w:eastAsia="宋体" w:cs="宋体"/>
          <w:i w:val="0"/>
          <w:iCs w:val="0"/>
          <w:caps w:val="0"/>
          <w:snapToGrid/>
          <w:color w:val="000000"/>
          <w:spacing w:val="0"/>
          <w:kern w:val="2"/>
          <w:sz w:val="24"/>
          <w:szCs w:val="24"/>
          <w:highlight w:val="none"/>
          <w:lang w:eastAsia="zh-CN"/>
        </w:rPr>
        <w:t>微升，移液误差≤3%,室温-95℃可调，温度控制精度±5℃;温度均匀性±1℃。</w:t>
      </w:r>
    </w:p>
    <w:p w14:paraId="4FC66C69">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5.设备适用于临床基因扩增检验实验室或经卫生健康行政部门备案的核酸检测工作场景，符合现行有效的《医疗机构临床基因扩增检验实验室管理办法》及《病原微生物实验室生物安全管理条例》要求。</w:t>
      </w:r>
    </w:p>
    <w:p w14:paraId="781CE81D">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6.覆盖全：检测范围包含23种HPV以上分型检测能力，直接提示感染HPV的基因型，可用于临床HPV感染的辅助诊断治疗。</w:t>
      </w:r>
    </w:p>
    <w:p w14:paraId="65C559C1">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7.消毒防污染能力纯净高效，具有防污染设计，具备UV紫外消毒系统</w:t>
      </w:r>
      <w:r>
        <w:rPr>
          <w:rFonts w:hint="eastAsia" w:ascii="宋体" w:hAnsi="宋体" w:eastAsia="宋体" w:cs="宋体"/>
          <w:i w:val="0"/>
          <w:iCs w:val="0"/>
          <w:caps w:val="0"/>
          <w:snapToGrid/>
          <w:color w:val="000000"/>
          <w:spacing w:val="0"/>
          <w:kern w:val="2"/>
          <w:sz w:val="24"/>
          <w:szCs w:val="24"/>
          <w:highlight w:val="none"/>
          <w:lang w:val="en-US" w:eastAsia="zh-CN"/>
        </w:rPr>
        <w:t>或</w:t>
      </w:r>
      <w:r>
        <w:rPr>
          <w:rFonts w:hint="eastAsia" w:ascii="宋体" w:hAnsi="宋体" w:eastAsia="宋体" w:cs="宋体"/>
          <w:i w:val="0"/>
          <w:iCs w:val="0"/>
          <w:caps w:val="0"/>
          <w:snapToGrid/>
          <w:color w:val="000000"/>
          <w:spacing w:val="0"/>
          <w:kern w:val="2"/>
          <w:sz w:val="24"/>
          <w:szCs w:val="24"/>
          <w:highlight w:val="none"/>
          <w:lang w:eastAsia="zh-CN"/>
        </w:rPr>
        <w:t>HEPA过滤正压系统，避免交叉污染。</w:t>
      </w:r>
    </w:p>
    <w:p w14:paraId="32276E55">
      <w:pPr>
        <w:widowControl w:val="0"/>
        <w:kinsoku/>
        <w:autoSpaceDE/>
        <w:autoSpaceDN/>
        <w:adjustRightInd/>
        <w:snapToGrid/>
        <w:spacing w:line="240" w:lineRule="auto"/>
        <w:jc w:val="both"/>
        <w:textAlignment w:val="auto"/>
        <w:rPr>
          <w:rFonts w:hint="eastAsia" w:ascii="宋体" w:hAnsi="宋体" w:eastAsia="宋体" w:cs="宋体"/>
          <w:i w:val="0"/>
          <w:iCs w:val="0"/>
          <w:caps w:val="0"/>
          <w:snapToGrid/>
          <w:color w:val="000000"/>
          <w:spacing w:val="0"/>
          <w:kern w:val="2"/>
          <w:sz w:val="24"/>
          <w:szCs w:val="24"/>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8.设备可开展除HPV检测以外，如投标人承诺设备开放平台可扩展其他分子诊断项目，可提供相关技术说明作为评审参考项。</w:t>
      </w:r>
    </w:p>
    <w:p w14:paraId="30A8ACDB">
      <w:pPr>
        <w:widowControl w:val="0"/>
        <w:kinsoku/>
        <w:autoSpaceDE/>
        <w:autoSpaceDN/>
        <w:adjustRightInd/>
        <w:snapToGrid/>
        <w:spacing w:line="240" w:lineRule="auto"/>
        <w:jc w:val="both"/>
        <w:textAlignment w:val="auto"/>
        <w:rPr>
          <w:rFonts w:ascii="Calibri" w:hAnsi="Calibri" w:eastAsia="宋体" w:cs="Times New Roman"/>
          <w:snapToGrid/>
          <w:kern w:val="2"/>
          <w:sz w:val="28"/>
          <w:szCs w:val="36"/>
          <w:highlight w:val="none"/>
          <w:lang w:eastAsia="zh-CN"/>
        </w:rPr>
      </w:pPr>
      <w:r>
        <w:rPr>
          <w:rFonts w:hint="eastAsia" w:ascii="宋体" w:hAnsi="宋体" w:eastAsia="宋体" w:cs="宋体"/>
          <w:i w:val="0"/>
          <w:iCs w:val="0"/>
          <w:caps w:val="0"/>
          <w:snapToGrid/>
          <w:color w:val="000000"/>
          <w:spacing w:val="0"/>
          <w:kern w:val="2"/>
          <w:sz w:val="24"/>
          <w:szCs w:val="24"/>
          <w:highlight w:val="none"/>
          <w:lang w:eastAsia="zh-CN"/>
        </w:rPr>
        <w:t>9.无需人员值守和干预，结果自动判读减少人工。</w:t>
      </w:r>
    </w:p>
    <w:p w14:paraId="5358A455">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0311FB24">
      <w:pPr>
        <w:keepNext w:val="0"/>
        <w:keepLines w:val="0"/>
        <w:widowControl/>
        <w:suppressLineNumbers w:val="0"/>
        <w:bidi w:val="0"/>
        <w:spacing w:before="0" w:beforeAutospacing="1" w:after="0" w:afterAutospacing="0" w:line="17" w:lineRule="atLeast"/>
        <w:ind w:left="0" w:right="0" w:firstLine="0"/>
        <w:jc w:val="center"/>
        <w:rPr>
          <w:rFonts w:hint="eastAsia" w:ascii="宋体" w:hAnsi="宋体" w:eastAsia="宋体" w:cs="宋体"/>
          <w:b/>
          <w:bCs/>
          <w:i w:val="0"/>
          <w:iCs w:val="0"/>
          <w:caps w:val="0"/>
          <w:color w:val="13181D"/>
          <w:spacing w:val="0"/>
          <w:kern w:val="0"/>
          <w:sz w:val="32"/>
          <w:szCs w:val="32"/>
          <w:highlight w:val="none"/>
          <w:lang w:val="en-US" w:eastAsia="zh-CN" w:bidi="ar"/>
        </w:rPr>
      </w:pPr>
      <w:r>
        <w:rPr>
          <w:rFonts w:hint="eastAsia" w:ascii="宋体" w:hAnsi="宋体" w:eastAsia="宋体" w:cs="宋体"/>
          <w:b/>
          <w:bCs/>
          <w:i w:val="0"/>
          <w:iCs w:val="0"/>
          <w:caps w:val="0"/>
          <w:color w:val="13181D"/>
          <w:spacing w:val="0"/>
          <w:kern w:val="0"/>
          <w:sz w:val="32"/>
          <w:szCs w:val="32"/>
          <w:highlight w:val="none"/>
          <w:lang w:val="en-US" w:eastAsia="zh-CN" w:bidi="ar"/>
        </w:rPr>
        <w:t>九、全自动尿碘分析仪</w:t>
      </w:r>
    </w:p>
    <w:p w14:paraId="053CE1D9">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1.适用范围：用于体外定量检测人体样本（尿液）中碘的含量，临床上主要用于甲状腺疾病的辅助诊断。</w:t>
      </w:r>
    </w:p>
    <w:p w14:paraId="19C4D3B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default" w:ascii="仿宋" w:hAnsi="仿宋" w:eastAsia="仿宋" w:cs="仿宋"/>
          <w:color w:val="auto"/>
          <w:spacing w:val="7"/>
          <w:sz w:val="24"/>
          <w:szCs w:val="24"/>
          <w:highlight w:val="none"/>
          <w:lang w:val="en-US" w:eastAsia="zh-CN"/>
        </w:rPr>
        <w:t>▲</w:t>
      </w:r>
      <w:r>
        <w:rPr>
          <w:rFonts w:hint="eastAsia" w:ascii="宋体" w:hAnsi="宋体" w:eastAsia="宋体" w:cs="宋体"/>
          <w:i w:val="0"/>
          <w:iCs w:val="0"/>
          <w:caps w:val="0"/>
          <w:color w:val="13181D"/>
          <w:spacing w:val="0"/>
          <w:kern w:val="0"/>
          <w:sz w:val="28"/>
          <w:szCs w:val="28"/>
          <w:highlight w:val="none"/>
          <w:lang w:val="en-US" w:eastAsia="zh-CN" w:bidi="ar"/>
        </w:rPr>
        <w:t>2．全自动化：仪器自动完成定标、纯化、稀释、加样、判读和打印报告单，有效地避免了手工加样、人工判读结果造成的误差。</w:t>
      </w:r>
    </w:p>
    <w:p w14:paraId="677E68E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3．方法学：符合《尿中碘的测定 第1部分：砷铈催化分光光度法》（WS/T 107.1-2016）或同等准确度的分光光度法/质谱法，检测原理应基于过氧乙酸氧化显色或同等灵敏度的氧化还原反应体系。</w:t>
      </w:r>
    </w:p>
    <w:p w14:paraId="27924CAE">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4．样本前处理：用户使用时无需对标本前处理</w:t>
      </w:r>
      <w:r>
        <w:rPr>
          <w:rFonts w:hint="eastAsia" w:ascii="宋体" w:hAnsi="宋体" w:eastAsia="宋体" w:cs="宋体"/>
          <w:i w:val="0"/>
          <w:iCs w:val="0"/>
          <w:caps w:val="0"/>
          <w:color w:val="13181D"/>
          <w:spacing w:val="0"/>
          <w:kern w:val="0"/>
          <w:sz w:val="28"/>
          <w:szCs w:val="28"/>
          <w:highlight w:val="none"/>
          <w:lang w:val="en-US" w:eastAsia="zh-CN" w:bidi="ar"/>
        </w:rPr>
        <w:t>（如消化尿液、加热、水浴等）。</w:t>
      </w:r>
    </w:p>
    <w:p w14:paraId="254DBA34">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5．标本随到随检，一次性可加样1～20个人体尿液标本。</w:t>
      </w:r>
    </w:p>
    <w:p w14:paraId="3E81256C">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6．速度：批量检测约40T/60min。</w:t>
      </w:r>
    </w:p>
    <w:p w14:paraId="41E57D0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7．安全性高：全封闭加盖设计，一次性比色皿，污染携带率K≤5%，避免交叉污染和生物安全风险。</w:t>
      </w:r>
    </w:p>
    <w:p w14:paraId="00C9993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8．试剂盒含有校准品，可以直接定标检测，无需手工配比定标溶液，溯源至冻干人尿碘成分分析标准物质GBW（E），检测重复性好，CV≤10%。</w:t>
      </w:r>
    </w:p>
    <w:p w14:paraId="243326E1">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9．加样准确度与重复性：高精度微量注射器，加样准确度误差不超过±10%，变异系数不超过5%。</w:t>
      </w:r>
    </w:p>
    <w:p w14:paraId="452EB1C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10．试剂要求：配套试剂盒应提供完整的检测所需试剂组分，试剂成分及安全性应符合《危险化学品安全管理条例》及实验室生物安全相关规定。检测过程应在仪器全封闭系统内完成，废气废液处理符合环保要求。投标人应提供试剂成分安全数据说明书.</w:t>
      </w:r>
    </w:p>
    <w:p w14:paraId="10A3B6EA">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11． 线性范围：50μg/L～500μg/L，回归系数r应≥0.990。</w:t>
      </w:r>
    </w:p>
    <w:p w14:paraId="44820C61">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12．仪器内置显示屏和嵌入式软件，实现人机对话，可实时显示每一个标本的检测过程，方便操作者进行有效的实时监控。</w:t>
      </w:r>
    </w:p>
    <w:p w14:paraId="1BDF0FFF">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13．操作方便性：原厂配套工作站软件，可独立在仪器内操作，完成检测全过程，无需连接电脑。</w:t>
      </w:r>
    </w:p>
    <w:p w14:paraId="504B7F5B">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14．恒温反应温度：保证恒温反应环境，27±1.5℃可调，恒温精确至+/- 0.1ºC。</w:t>
      </w:r>
    </w:p>
    <w:p w14:paraId="4ECE2F5A">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15．仪器自动进行定标和绘制标准曲线，在比色皿中实现标准点的自动判读。</w:t>
      </w:r>
    </w:p>
    <w:p w14:paraId="1775EF00">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16．高精度数字检测器，直读式技术，无流通池，比色皿中直接进行比色。</w:t>
      </w:r>
    </w:p>
    <w:p w14:paraId="3A1FA847">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17．知识产权要求：投标人应保证所投产品不存在侵犯第三方知识产权的情形，如发生侵权纠纷由投标人承担全部法律责任。产品核心技术应成熟稳定，提供产品上市以来的临床应用证明材料。</w:t>
      </w:r>
    </w:p>
    <w:p w14:paraId="40668075">
      <w:pPr>
        <w:keepNext w:val="0"/>
        <w:keepLines w:val="0"/>
        <w:widowControl/>
        <w:suppressLineNumbers w:val="0"/>
        <w:bidi w:val="0"/>
        <w:spacing w:before="0" w:beforeAutospacing="1" w:after="0" w:afterAutospacing="0" w:line="17" w:lineRule="atLeast"/>
        <w:ind w:left="0" w:right="0" w:firstLine="0"/>
        <w:jc w:val="both"/>
        <w:rPr>
          <w:rFonts w:hint="eastAsia" w:ascii="宋体" w:hAnsi="宋体" w:eastAsia="宋体" w:cs="宋体"/>
          <w:i w:val="0"/>
          <w:iCs w:val="0"/>
          <w:caps w:val="0"/>
          <w:color w:val="13181D"/>
          <w:spacing w:val="0"/>
          <w:kern w:val="0"/>
          <w:sz w:val="28"/>
          <w:szCs w:val="28"/>
          <w:highlight w:val="none"/>
          <w:lang w:val="en-US" w:eastAsia="zh-CN" w:bidi="ar"/>
        </w:rPr>
      </w:pPr>
      <w:r>
        <w:rPr>
          <w:rFonts w:hint="eastAsia" w:ascii="宋体" w:hAnsi="宋体" w:eastAsia="宋体" w:cs="宋体"/>
          <w:i w:val="0"/>
          <w:iCs w:val="0"/>
          <w:caps w:val="0"/>
          <w:color w:val="13181D"/>
          <w:spacing w:val="0"/>
          <w:kern w:val="0"/>
          <w:sz w:val="28"/>
          <w:szCs w:val="28"/>
          <w:highlight w:val="none"/>
          <w:lang w:val="en-US" w:eastAsia="zh-CN" w:bidi="ar"/>
        </w:rPr>
        <w:t>18．软件管理系统操作简便、功能全面，</w:t>
      </w:r>
      <w:r>
        <w:rPr>
          <w:rFonts w:hint="eastAsia" w:ascii="宋体" w:hAnsi="宋体" w:eastAsia="宋体" w:cs="宋体"/>
          <w:i w:val="0"/>
          <w:iCs w:val="0"/>
          <w:caps w:val="0"/>
          <w:color w:val="13181D"/>
          <w:spacing w:val="0"/>
          <w:kern w:val="0"/>
          <w:sz w:val="28"/>
          <w:szCs w:val="28"/>
          <w:highlight w:val="none"/>
          <w:lang w:val="en-US" w:eastAsia="zh-CN" w:bidi="ar"/>
        </w:rPr>
        <w:t>具备密码保护、用户切换、编辑、查询、统计、报告单格式编辑、样式设计、修改功能</w:t>
      </w:r>
    </w:p>
    <w:p w14:paraId="5DD71CC5">
      <w:pPr>
        <w:widowControl w:val="0"/>
        <w:kinsoku/>
        <w:autoSpaceDE/>
        <w:autoSpaceDN/>
        <w:adjustRightInd/>
        <w:snapToGrid/>
        <w:spacing w:line="240" w:lineRule="auto"/>
        <w:jc w:val="both"/>
        <w:textAlignment w:val="auto"/>
        <w:rPr>
          <w:rFonts w:ascii="Calibri" w:hAnsi="Calibri" w:eastAsia="宋体" w:cs="Times New Roman"/>
          <w:snapToGrid/>
          <w:kern w:val="2"/>
          <w:szCs w:val="24"/>
          <w:highlight w:val="none"/>
          <w:lang w:eastAsia="zh-CN"/>
        </w:rPr>
      </w:pPr>
    </w:p>
    <w:p w14:paraId="7F323FEA">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5945093B">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1BBA38B9">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47CAB00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635955EE">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26D99F1C">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51BE2D84">
      <w:pPr>
        <w:widowControl/>
        <w:spacing w:before="0" w:beforeAutospacing="1" w:after="0" w:afterAutospacing="0" w:line="17" w:lineRule="atLeast"/>
        <w:ind w:left="0" w:right="0" w:firstLine="420"/>
        <w:jc w:val="center"/>
        <w:rPr>
          <w:rFonts w:hint="default" w:ascii="宋体" w:hAnsi="宋体" w:eastAsia="宋体" w:cs="宋体"/>
          <w:b/>
          <w:bCs/>
          <w:color w:val="000000"/>
          <w:kern w:val="0"/>
          <w:sz w:val="32"/>
          <w:szCs w:val="32"/>
          <w:highlight w:val="none"/>
          <w:lang w:val="en-US" w:eastAsia="zh-CN" w:bidi="ar"/>
        </w:rPr>
      </w:pPr>
      <w:r>
        <w:rPr>
          <w:rFonts w:hint="eastAsia" w:ascii="宋体" w:hAnsi="宋体" w:eastAsia="宋体" w:cs="宋体"/>
          <w:b/>
          <w:bCs/>
          <w:color w:val="000000"/>
          <w:kern w:val="0"/>
          <w:sz w:val="32"/>
          <w:szCs w:val="32"/>
          <w:highlight w:val="none"/>
          <w:lang w:val="en-US" w:eastAsia="zh-CN" w:bidi="ar"/>
        </w:rPr>
        <w:t>十、超纯水水处理设备</w:t>
      </w:r>
    </w:p>
    <w:p w14:paraId="1C6E3869">
      <w:pPr>
        <w:widowControl/>
        <w:spacing w:before="0" w:beforeAutospacing="1" w:after="0" w:afterAutospacing="0" w:line="17" w:lineRule="atLeast"/>
        <w:ind w:left="0" w:right="0" w:firstLine="420"/>
        <w:jc w:val="both"/>
        <w:rPr>
          <w:rFonts w:ascii="Microsoft YaHei UI" w:hAnsi="Microsoft YaHei UI" w:eastAsia="Microsoft YaHei UI" w:cs="Microsoft YaHei 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ascii="system-ui" w:hAnsi="system-ui" w:eastAsia="system-ui" w:cs="system-ui"/>
          <w:color w:val="000000"/>
          <w:kern w:val="0"/>
          <w:sz w:val="24"/>
          <w:szCs w:val="24"/>
          <w:highlight w:val="none"/>
          <w:lang w:val="en-US" w:eastAsia="zh-CN" w:bidi="ar"/>
        </w:rPr>
        <w:t>、进水要求：城市自来水，水压</w:t>
      </w:r>
      <w:r>
        <w:rPr>
          <w:rFonts w:hint="eastAsia" w:ascii="宋体" w:hAnsi="宋体" w:eastAsia="宋体" w:cs="宋体"/>
          <w:color w:val="000000"/>
          <w:kern w:val="0"/>
          <w:sz w:val="24"/>
          <w:szCs w:val="24"/>
          <w:highlight w:val="none"/>
          <w:lang w:val="en-US" w:eastAsia="zh-CN" w:bidi="ar"/>
        </w:rPr>
        <w:t>0.2-0.4mpa,TDS≤300ppm</w:t>
      </w:r>
      <w:r>
        <w:rPr>
          <w:rFonts w:ascii="system-ui" w:hAnsi="system-ui" w:eastAsia="system-ui" w:cs="system-ui"/>
          <w:color w:val="000000"/>
          <w:kern w:val="0"/>
          <w:sz w:val="24"/>
          <w:szCs w:val="24"/>
          <w:highlight w:val="none"/>
          <w:lang w:val="en-US" w:eastAsia="zh-CN" w:bidi="ar"/>
        </w:rPr>
        <w:t>。</w:t>
      </w:r>
    </w:p>
    <w:p w14:paraId="7E1C79F7">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i w:val="0"/>
          <w:iCs w:val="0"/>
          <w:caps w:val="0"/>
          <w:snapToGrid/>
          <w:color w:val="000000"/>
          <w:spacing w:val="0"/>
          <w:kern w:val="2"/>
          <w:sz w:val="24"/>
          <w:szCs w:val="24"/>
          <w:highlight w:val="none"/>
          <w:lang w:eastAsia="zh-CN"/>
        </w:rPr>
        <w:t>▲</w:t>
      </w:r>
      <w:r>
        <w:rPr>
          <w:rFonts w:hint="eastAsia" w:ascii="宋体" w:hAnsi="宋体" w:eastAsia="宋体" w:cs="宋体"/>
          <w:color w:val="000000"/>
          <w:kern w:val="0"/>
          <w:sz w:val="24"/>
          <w:szCs w:val="24"/>
          <w:highlight w:val="none"/>
          <w:lang w:val="en-US" w:eastAsia="zh-CN" w:bidi="ar"/>
        </w:rPr>
        <w:t>2</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系统总产水量：300L/H（25℃进水水温）</w:t>
      </w:r>
      <w:r>
        <w:rPr>
          <w:rFonts w:ascii="system-ui" w:hAnsi="system-ui" w:eastAsia="system-ui" w:cs="system-ui"/>
          <w:color w:val="000000"/>
          <w:kern w:val="0"/>
          <w:sz w:val="24"/>
          <w:szCs w:val="24"/>
          <w:highlight w:val="none"/>
          <w:lang w:val="en-US" w:eastAsia="zh-CN" w:bidi="ar"/>
        </w:rPr>
        <w:t>。</w:t>
      </w:r>
    </w:p>
    <w:p w14:paraId="4944ECB8">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3</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产水水质：水质满足GB/T6682-2008</w:t>
      </w:r>
      <w:r>
        <w:rPr>
          <w:rFonts w:ascii="system-ui" w:hAnsi="system-ui" w:eastAsia="system-ui" w:cs="system-ui"/>
          <w:color w:val="000000"/>
          <w:kern w:val="0"/>
          <w:sz w:val="24"/>
          <w:szCs w:val="24"/>
          <w:highlight w:val="none"/>
          <w:lang w:val="en-US" w:eastAsia="zh-CN" w:bidi="ar"/>
        </w:rPr>
        <w:t>分析实验室用水规格及试验方法中标准要求。</w:t>
      </w:r>
    </w:p>
    <w:p w14:paraId="6FD11453">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4</w:t>
      </w:r>
      <w:r>
        <w:rPr>
          <w:rFonts w:ascii="system-ui" w:hAnsi="system-ui" w:eastAsia="system-ui" w:cs="system-ui"/>
          <w:color w:val="000000"/>
          <w:kern w:val="0"/>
          <w:sz w:val="24"/>
          <w:szCs w:val="24"/>
          <w:highlight w:val="none"/>
          <w:lang w:val="en-US" w:eastAsia="zh-CN" w:bidi="ar"/>
        </w:rPr>
        <w:t>、系统的核心部件（泵、膜、阀门、仪表、控制器件）应采用成熟稳定、性能可靠的产品，投标人须提供所投核心部件的品牌、型号及技术参数，并说明其性能稳定性保障措施。</w:t>
      </w:r>
    </w:p>
    <w:p w14:paraId="2497A116">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5</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反渗透系统设计有定时自动冲洗功能，根据设定时间自动进入到冲洗程序，防止膜性能衰减</w:t>
      </w:r>
      <w:r>
        <w:rPr>
          <w:rFonts w:ascii="system-ui" w:hAnsi="system-ui" w:eastAsia="system-ui" w:cs="system-ui"/>
          <w:color w:val="000000"/>
          <w:kern w:val="0"/>
          <w:sz w:val="24"/>
          <w:szCs w:val="24"/>
          <w:highlight w:val="none"/>
          <w:lang w:val="en-US" w:eastAsia="zh-CN" w:bidi="ar"/>
        </w:rPr>
        <w:t>。</w:t>
      </w:r>
    </w:p>
    <w:p w14:paraId="15378D88">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6</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系统应具备浓水回收功能，原水利用率应≥60%，投标人须提供原水利用率参数及实现方式。</w:t>
      </w:r>
    </w:p>
    <w:p w14:paraId="43D2F8DA">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7</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采用全自动预处理系统，根据设置的时间自动进入到再生冲洗状态</w:t>
      </w:r>
      <w:r>
        <w:rPr>
          <w:rFonts w:ascii="system-ui" w:hAnsi="system-ui" w:eastAsia="system-ui" w:cs="system-ui"/>
          <w:color w:val="000000"/>
          <w:kern w:val="0"/>
          <w:sz w:val="24"/>
          <w:szCs w:val="24"/>
          <w:highlight w:val="none"/>
          <w:lang w:val="en-US" w:eastAsia="zh-CN" w:bidi="ar"/>
        </w:rPr>
        <w:t>。</w:t>
      </w:r>
    </w:p>
    <w:p w14:paraId="51DD7F92">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8</w:t>
      </w:r>
      <w:r>
        <w:rPr>
          <w:rFonts w:ascii="system-ui" w:hAnsi="system-ui" w:eastAsia="system-ui" w:cs="system-ui"/>
          <w:color w:val="000000"/>
          <w:kern w:val="0"/>
          <w:sz w:val="24"/>
          <w:szCs w:val="24"/>
          <w:highlight w:val="none"/>
          <w:lang w:val="en-US" w:eastAsia="zh-CN" w:bidi="ar"/>
        </w:rPr>
        <w:t>、水质信息实时显示在触摸屏上且支持历史数据查询。</w:t>
      </w:r>
    </w:p>
    <w:p w14:paraId="5AA17C59">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9</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设计两种工作模式，自动功能出现故障时，可以选择手动运行，不影响</w:t>
      </w:r>
      <w:r>
        <w:rPr>
          <w:rFonts w:ascii="system-ui" w:hAnsi="system-ui" w:eastAsia="system-ui" w:cs="system-ui"/>
          <w:color w:val="000000"/>
          <w:kern w:val="0"/>
          <w:sz w:val="24"/>
          <w:szCs w:val="24"/>
          <w:highlight w:val="none"/>
          <w:lang w:val="en-US" w:eastAsia="zh-CN" w:bidi="ar"/>
        </w:rPr>
        <w:t>设备正常运行</w:t>
      </w:r>
      <w:r>
        <w:rPr>
          <w:rFonts w:hint="eastAsia" w:ascii="宋体" w:hAnsi="宋体" w:eastAsia="宋体" w:cs="宋体"/>
          <w:color w:val="000000"/>
          <w:kern w:val="0"/>
          <w:sz w:val="24"/>
          <w:szCs w:val="24"/>
          <w:highlight w:val="none"/>
          <w:lang w:val="en-US" w:eastAsia="zh-CN" w:bidi="ar"/>
        </w:rPr>
        <w:t>。</w:t>
      </w:r>
    </w:p>
    <w:p w14:paraId="08B32ECF">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10</w:t>
      </w:r>
      <w:r>
        <w:rPr>
          <w:rFonts w:ascii="system-ui" w:hAnsi="system-ui" w:eastAsia="system-ui" w:cs="system-ui"/>
          <w:color w:val="000000"/>
          <w:kern w:val="0"/>
          <w:sz w:val="24"/>
          <w:szCs w:val="24"/>
          <w:highlight w:val="none"/>
          <w:lang w:val="en-US" w:eastAsia="zh-CN" w:bidi="ar"/>
        </w:rPr>
        <w:t>、此外</w:t>
      </w:r>
      <w:r>
        <w:rPr>
          <w:rFonts w:hint="eastAsia" w:ascii="宋体" w:hAnsi="宋体" w:eastAsia="宋体" w:cs="宋体"/>
          <w:color w:val="000000"/>
          <w:kern w:val="0"/>
          <w:sz w:val="24"/>
          <w:szCs w:val="24"/>
          <w:highlight w:val="none"/>
          <w:lang w:val="en-US" w:eastAsia="zh-CN" w:bidi="ar"/>
        </w:rPr>
        <w:t>增加了漏水检测保护</w:t>
      </w:r>
      <w:r>
        <w:rPr>
          <w:rFonts w:ascii="system-ui" w:hAnsi="system-ui" w:eastAsia="system-ui" w:cs="system-ui"/>
          <w:color w:val="000000"/>
          <w:kern w:val="0"/>
          <w:sz w:val="24"/>
          <w:szCs w:val="24"/>
          <w:highlight w:val="none"/>
          <w:lang w:val="en-US" w:eastAsia="zh-CN" w:bidi="ar"/>
        </w:rPr>
        <w:t>系统</w:t>
      </w:r>
      <w:r>
        <w:rPr>
          <w:rFonts w:hint="eastAsia" w:ascii="宋体" w:hAnsi="宋体" w:eastAsia="宋体" w:cs="宋体"/>
          <w:color w:val="000000"/>
          <w:kern w:val="0"/>
          <w:sz w:val="24"/>
          <w:szCs w:val="24"/>
          <w:highlight w:val="none"/>
          <w:lang w:val="en-US" w:eastAsia="zh-CN" w:bidi="ar"/>
        </w:rPr>
        <w:t>，</w:t>
      </w:r>
      <w:r>
        <w:rPr>
          <w:rFonts w:ascii="system-ui" w:hAnsi="system-ui" w:eastAsia="system-ui" w:cs="system-ui"/>
          <w:color w:val="000000"/>
          <w:kern w:val="0"/>
          <w:sz w:val="24"/>
          <w:szCs w:val="24"/>
          <w:highlight w:val="none"/>
          <w:lang w:val="en-US" w:eastAsia="zh-CN" w:bidi="ar"/>
        </w:rPr>
        <w:t>当</w:t>
      </w:r>
      <w:r>
        <w:rPr>
          <w:rFonts w:hint="eastAsia" w:ascii="宋体" w:hAnsi="宋体" w:eastAsia="宋体" w:cs="宋体"/>
          <w:color w:val="000000"/>
          <w:kern w:val="0"/>
          <w:sz w:val="24"/>
          <w:szCs w:val="24"/>
          <w:highlight w:val="none"/>
          <w:lang w:val="en-US" w:eastAsia="zh-CN" w:bidi="ar"/>
        </w:rPr>
        <w:t>运行过程中一旦出现漏水</w:t>
      </w:r>
      <w:r>
        <w:rPr>
          <w:rFonts w:ascii="system-ui" w:hAnsi="system-ui" w:eastAsia="system-ui" w:cs="system-ui"/>
          <w:color w:val="000000"/>
          <w:kern w:val="0"/>
          <w:sz w:val="24"/>
          <w:szCs w:val="24"/>
          <w:highlight w:val="none"/>
          <w:lang w:val="en-US" w:eastAsia="zh-CN" w:bidi="ar"/>
        </w:rPr>
        <w:t>现象</w:t>
      </w:r>
      <w:r>
        <w:rPr>
          <w:rFonts w:hint="eastAsia" w:ascii="宋体" w:hAnsi="宋体" w:eastAsia="宋体" w:cs="宋体"/>
          <w:color w:val="000000"/>
          <w:kern w:val="0"/>
          <w:sz w:val="24"/>
          <w:szCs w:val="24"/>
          <w:highlight w:val="none"/>
          <w:lang w:val="en-US" w:eastAsia="zh-CN" w:bidi="ar"/>
        </w:rPr>
        <w:t>，</w:t>
      </w:r>
      <w:r>
        <w:rPr>
          <w:rFonts w:ascii="system-ui" w:hAnsi="system-ui" w:eastAsia="system-ui" w:cs="system-ui"/>
          <w:color w:val="000000"/>
          <w:kern w:val="0"/>
          <w:sz w:val="24"/>
          <w:szCs w:val="24"/>
          <w:highlight w:val="none"/>
          <w:lang w:val="en-US" w:eastAsia="zh-CN" w:bidi="ar"/>
        </w:rPr>
        <w:t>高灵敏度探针</w:t>
      </w:r>
      <w:r>
        <w:rPr>
          <w:rFonts w:hint="eastAsia" w:ascii="宋体" w:hAnsi="宋体" w:eastAsia="宋体" w:cs="宋体"/>
          <w:color w:val="000000"/>
          <w:kern w:val="0"/>
          <w:sz w:val="24"/>
          <w:szCs w:val="24"/>
          <w:highlight w:val="none"/>
          <w:lang w:val="en-US" w:eastAsia="zh-CN" w:bidi="ar"/>
        </w:rPr>
        <w:t>感应到漏水</w:t>
      </w:r>
      <w:r>
        <w:rPr>
          <w:rFonts w:ascii="system-ui" w:hAnsi="system-ui" w:eastAsia="system-ui" w:cs="system-ui"/>
          <w:color w:val="000000"/>
          <w:kern w:val="0"/>
          <w:sz w:val="24"/>
          <w:szCs w:val="24"/>
          <w:highlight w:val="none"/>
          <w:lang w:val="en-US" w:eastAsia="zh-CN" w:bidi="ar"/>
        </w:rPr>
        <w:t>立刻</w:t>
      </w:r>
      <w:r>
        <w:rPr>
          <w:rFonts w:hint="eastAsia" w:ascii="宋体" w:hAnsi="宋体" w:eastAsia="宋体" w:cs="宋体"/>
          <w:color w:val="000000"/>
          <w:kern w:val="0"/>
          <w:sz w:val="24"/>
          <w:szCs w:val="24"/>
          <w:highlight w:val="none"/>
          <w:lang w:val="en-US" w:eastAsia="zh-CN" w:bidi="ar"/>
        </w:rPr>
        <w:t>进行应急断电</w:t>
      </w:r>
      <w:r>
        <w:rPr>
          <w:rFonts w:ascii="system-ui" w:hAnsi="system-ui" w:eastAsia="system-ui" w:cs="system-ui"/>
          <w:color w:val="000000"/>
          <w:kern w:val="0"/>
          <w:sz w:val="24"/>
          <w:szCs w:val="24"/>
          <w:highlight w:val="none"/>
          <w:lang w:val="en-US" w:eastAsia="zh-CN" w:bidi="ar"/>
        </w:rPr>
        <w:t>断水</w:t>
      </w:r>
      <w:r>
        <w:rPr>
          <w:rFonts w:hint="eastAsia" w:ascii="宋体" w:hAnsi="宋体" w:eastAsia="宋体" w:cs="宋体"/>
          <w:color w:val="000000"/>
          <w:kern w:val="0"/>
          <w:sz w:val="24"/>
          <w:szCs w:val="24"/>
          <w:highlight w:val="none"/>
          <w:lang w:val="en-US" w:eastAsia="zh-CN" w:bidi="ar"/>
        </w:rPr>
        <w:t>，从而避免严重漏水造成损失。</w:t>
      </w:r>
    </w:p>
    <w:p w14:paraId="2BD8EE98">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11</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反渗透主机及输送管路无死腔设计，系统产水均为活水循环，避免水质的二次污染。系统</w:t>
      </w:r>
      <w:r>
        <w:rPr>
          <w:rFonts w:ascii="system-ui" w:hAnsi="system-ui" w:eastAsia="system-ui" w:cs="system-ui"/>
          <w:color w:val="000000"/>
          <w:kern w:val="0"/>
          <w:sz w:val="24"/>
          <w:szCs w:val="24"/>
          <w:highlight w:val="none"/>
          <w:lang w:val="en-US" w:eastAsia="zh-CN" w:bidi="ar"/>
        </w:rPr>
        <w:t>具有</w:t>
      </w:r>
      <w:r>
        <w:rPr>
          <w:rFonts w:hint="eastAsia" w:ascii="宋体" w:hAnsi="宋体" w:eastAsia="宋体" w:cs="宋体"/>
          <w:color w:val="000000"/>
          <w:kern w:val="0"/>
          <w:sz w:val="24"/>
          <w:szCs w:val="24"/>
          <w:highlight w:val="none"/>
          <w:lang w:val="en-US" w:eastAsia="zh-CN" w:bidi="ar"/>
        </w:rPr>
        <w:t>开机自动冲洗与检测功能。</w:t>
      </w:r>
    </w:p>
    <w:p w14:paraId="7F027801">
      <w:pPr>
        <w:widowControl/>
        <w:spacing w:before="0" w:beforeAutospacing="1" w:after="0" w:afterAutospacing="0" w:line="17" w:lineRule="atLeast"/>
        <w:ind w:left="0" w:right="0" w:firstLine="420"/>
        <w:jc w:val="both"/>
        <w:rPr>
          <w:rFonts w:ascii="system-ui" w:hAnsi="system-ui" w:eastAsia="system-ui" w:cs="system-ui"/>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12</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PLC智能人机控制，系统运行状态及重要运行数据可</w:t>
      </w:r>
      <w:r>
        <w:rPr>
          <w:rFonts w:ascii="system-ui" w:hAnsi="system-ui" w:eastAsia="system-ui" w:cs="system-ui"/>
          <w:color w:val="000000"/>
          <w:kern w:val="0"/>
          <w:sz w:val="24"/>
          <w:szCs w:val="24"/>
          <w:highlight w:val="none"/>
          <w:lang w:val="en-US" w:eastAsia="zh-CN" w:bidi="ar"/>
        </w:rPr>
        <w:t>实时在线</w:t>
      </w:r>
      <w:r>
        <w:rPr>
          <w:rFonts w:hint="eastAsia" w:ascii="宋体" w:hAnsi="宋体" w:eastAsia="宋体" w:cs="宋体"/>
          <w:color w:val="000000"/>
          <w:kern w:val="0"/>
          <w:sz w:val="24"/>
          <w:szCs w:val="24"/>
          <w:highlight w:val="none"/>
          <w:lang w:val="en-US" w:eastAsia="zh-CN" w:bidi="ar"/>
        </w:rPr>
        <w:t>监视。自动液位保护、水满自动停机、高低压保护、漏水检测、过流过载保护功能。水质在线监测，超标后，显示报警信息，并自动排放。</w:t>
      </w:r>
    </w:p>
    <w:p w14:paraId="6D83DC10">
      <w:pPr>
        <w:widowControl/>
        <w:spacing w:before="0" w:beforeAutospacing="1" w:after="0" w:afterAutospacing="0" w:line="17" w:lineRule="atLeast"/>
        <w:ind w:left="0" w:right="0" w:firstLine="420"/>
        <w:jc w:val="both"/>
        <w:rPr>
          <w:rFonts w:hint="eastAsia" w:ascii="宋体" w:hAnsi="宋体" w:eastAsia="宋体" w:cs="宋体"/>
          <w:color w:val="13181D"/>
          <w:kern w:val="0"/>
          <w:sz w:val="16"/>
          <w:szCs w:val="16"/>
          <w:highlight w:val="none"/>
          <w:lang w:val="en-US" w:eastAsia="zh-CN" w:bidi="ar"/>
        </w:rPr>
      </w:pPr>
      <w:r>
        <w:rPr>
          <w:rFonts w:hint="eastAsia" w:ascii="宋体" w:hAnsi="宋体" w:eastAsia="宋体" w:cs="宋体"/>
          <w:color w:val="000000"/>
          <w:kern w:val="0"/>
          <w:sz w:val="24"/>
          <w:szCs w:val="24"/>
          <w:highlight w:val="none"/>
          <w:lang w:val="en-US" w:eastAsia="zh-CN" w:bidi="ar"/>
        </w:rPr>
        <w:t>13</w:t>
      </w:r>
      <w:r>
        <w:rPr>
          <w:rFonts w:ascii="system-ui" w:hAnsi="system-ui" w:eastAsia="system-ui" w:cs="system-ui"/>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超纯水水箱应采用不低于304等级的不锈钢或其他符合GB/T 3280、GB 4806.9等食品/医药级卫生标准的材质，具备防止微生物滋生的结构设计。</w:t>
      </w:r>
    </w:p>
    <w:p w14:paraId="55DAB05C">
      <w:pPr>
        <w:rPr>
          <w:rFonts w:ascii="仿宋" w:hAnsi="仿宋" w:eastAsia="仿宋" w:cs="仿宋"/>
          <w:b/>
          <w:bCs/>
          <w:spacing w:val="3"/>
          <w:sz w:val="31"/>
          <w:szCs w:val="31"/>
          <w:highlight w:val="none"/>
        </w:rPr>
      </w:pPr>
    </w:p>
    <w:p w14:paraId="495E45F2">
      <w:pPr>
        <w:rPr>
          <w:rFonts w:ascii="仿宋" w:hAnsi="仿宋" w:eastAsia="仿宋" w:cs="仿宋"/>
          <w:b/>
          <w:bCs/>
          <w:spacing w:val="3"/>
          <w:sz w:val="31"/>
          <w:szCs w:val="31"/>
          <w:highlight w:val="none"/>
        </w:rPr>
      </w:pPr>
    </w:p>
    <w:p w14:paraId="240914A6">
      <w:pPr>
        <w:rPr>
          <w:rFonts w:ascii="仿宋" w:hAnsi="仿宋" w:eastAsia="仿宋" w:cs="仿宋"/>
          <w:b/>
          <w:bCs/>
          <w:spacing w:val="3"/>
          <w:sz w:val="31"/>
          <w:szCs w:val="31"/>
          <w:highlight w:val="none"/>
        </w:rPr>
      </w:pPr>
    </w:p>
    <w:p w14:paraId="18D8CAA9">
      <w:pPr>
        <w:rPr>
          <w:rFonts w:ascii="仿宋" w:hAnsi="仿宋" w:eastAsia="仿宋" w:cs="仿宋"/>
          <w:b/>
          <w:bCs/>
          <w:spacing w:val="3"/>
          <w:sz w:val="31"/>
          <w:szCs w:val="31"/>
          <w:highlight w:val="none"/>
        </w:rPr>
      </w:pPr>
    </w:p>
    <w:p w14:paraId="56AEDFFA">
      <w:pPr>
        <w:rPr>
          <w:rFonts w:ascii="仿宋" w:hAnsi="仿宋" w:eastAsia="仿宋" w:cs="仿宋"/>
          <w:b/>
          <w:bCs/>
          <w:spacing w:val="3"/>
          <w:sz w:val="31"/>
          <w:szCs w:val="31"/>
          <w:highlight w:val="none"/>
        </w:rPr>
      </w:pPr>
    </w:p>
    <w:p w14:paraId="40BE7F14">
      <w:pPr>
        <w:rPr>
          <w:rFonts w:ascii="仿宋" w:hAnsi="仿宋" w:eastAsia="仿宋" w:cs="仿宋"/>
          <w:b/>
          <w:bCs/>
          <w:spacing w:val="3"/>
          <w:sz w:val="31"/>
          <w:szCs w:val="31"/>
          <w:highlight w:val="none"/>
        </w:rPr>
      </w:pPr>
    </w:p>
    <w:p w14:paraId="0C276D42">
      <w:pPr>
        <w:rPr>
          <w:rFonts w:ascii="仿宋" w:hAnsi="仿宋" w:eastAsia="仿宋" w:cs="仿宋"/>
          <w:b/>
          <w:bCs/>
          <w:spacing w:val="3"/>
          <w:sz w:val="31"/>
          <w:szCs w:val="31"/>
          <w:highlight w:val="none"/>
        </w:rPr>
      </w:pPr>
    </w:p>
    <w:p w14:paraId="5F5A1CE0">
      <w:pPr>
        <w:rPr>
          <w:rFonts w:ascii="仿宋" w:hAnsi="仿宋" w:eastAsia="仿宋" w:cs="仿宋"/>
          <w:b/>
          <w:bCs/>
          <w:spacing w:val="3"/>
          <w:sz w:val="31"/>
          <w:szCs w:val="31"/>
          <w:highlight w:val="none"/>
        </w:rPr>
      </w:pPr>
    </w:p>
    <w:p w14:paraId="3F65742C">
      <w:pPr>
        <w:spacing w:before="91" w:line="225" w:lineRule="auto"/>
        <w:ind w:left="248"/>
        <w:outlineLvl w:val="1"/>
        <w:rPr>
          <w:rFonts w:ascii="楷体" w:hAnsi="楷体" w:eastAsia="楷体" w:cs="楷体"/>
          <w:spacing w:val="-1"/>
          <w:sz w:val="28"/>
          <w:szCs w:val="28"/>
          <w:highlight w:val="none"/>
        </w:rPr>
      </w:pPr>
    </w:p>
    <w:p w14:paraId="0BAE9DBC">
      <w:pPr>
        <w:spacing w:before="91" w:line="225" w:lineRule="auto"/>
        <w:ind w:left="248"/>
        <w:outlineLvl w:val="1"/>
        <w:rPr>
          <w:rFonts w:ascii="楷体" w:hAnsi="楷体" w:eastAsia="楷体" w:cs="楷体"/>
          <w:spacing w:val="-1"/>
          <w:sz w:val="28"/>
          <w:szCs w:val="28"/>
          <w:highlight w:val="none"/>
        </w:rPr>
      </w:pPr>
    </w:p>
    <w:p w14:paraId="64C56DBC">
      <w:pPr>
        <w:spacing w:before="91" w:line="225" w:lineRule="auto"/>
        <w:ind w:left="248"/>
        <w:outlineLvl w:val="1"/>
        <w:rPr>
          <w:rFonts w:ascii="楷体" w:hAnsi="楷体" w:eastAsia="楷体" w:cs="楷体"/>
          <w:spacing w:val="-1"/>
          <w:sz w:val="28"/>
          <w:szCs w:val="28"/>
          <w:highlight w:val="none"/>
        </w:rPr>
      </w:pPr>
    </w:p>
    <w:p w14:paraId="7AC91CC0">
      <w:pPr>
        <w:spacing w:before="91" w:line="225" w:lineRule="auto"/>
        <w:ind w:left="248"/>
        <w:outlineLvl w:val="1"/>
        <w:rPr>
          <w:b/>
          <w:bCs/>
          <w:spacing w:val="-7"/>
          <w:sz w:val="24"/>
          <w:szCs w:val="24"/>
          <w:highlight w:val="none"/>
        </w:rPr>
      </w:pPr>
      <w:r>
        <w:rPr>
          <w:rFonts w:ascii="楷体" w:hAnsi="楷体" w:eastAsia="楷体" w:cs="楷体"/>
          <w:spacing w:val="-1"/>
          <w:sz w:val="28"/>
          <w:szCs w:val="28"/>
          <w:highlight w:val="none"/>
        </w:rPr>
        <w:t>三、</w:t>
      </w:r>
      <w:r>
        <w:rPr>
          <w:rFonts w:hint="eastAsia" w:ascii="楷体" w:hAnsi="楷体" w:eastAsia="楷体" w:cs="楷体"/>
          <w:spacing w:val="-1"/>
          <w:sz w:val="28"/>
          <w:szCs w:val="28"/>
          <w:highlight w:val="none"/>
          <w:lang w:val="en-US" w:eastAsia="zh-CN"/>
        </w:rPr>
        <w:t>商务要求（提供承诺函，以承诺函的形式进行承诺）</w:t>
      </w:r>
    </w:p>
    <w:p w14:paraId="0C482D3F">
      <w:pPr>
        <w:keepNext w:val="0"/>
        <w:keepLines w:val="0"/>
        <w:pageBreakBefore w:val="0"/>
        <w:kinsoku w:val="0"/>
        <w:wordWrap/>
        <w:overflowPunct/>
        <w:topLinePunct w:val="0"/>
        <w:autoSpaceDE w:val="0"/>
        <w:autoSpaceDN w:val="0"/>
        <w:bidi w:val="0"/>
        <w:adjustRightInd w:val="0"/>
        <w:snapToGrid w:val="0"/>
        <w:spacing w:before="173" w:line="354" w:lineRule="auto"/>
        <w:ind w:left="733" w:right="674" w:firstLine="14"/>
        <w:jc w:val="left"/>
        <w:textAlignment w:val="baseline"/>
        <w:rPr>
          <w:rFonts w:hint="eastAsia" w:ascii="仿宋" w:hAnsi="仿宋" w:eastAsia="仿宋" w:cs="仿宋"/>
          <w:snapToGrid w:val="0"/>
          <w:color w:val="000000"/>
          <w:spacing w:val="-7"/>
          <w:kern w:val="0"/>
          <w:sz w:val="24"/>
          <w:szCs w:val="24"/>
          <w:highlight w:val="none"/>
          <w:lang w:val="en-US" w:eastAsia="en-US" w:bidi="ar-SA"/>
        </w:rPr>
      </w:pPr>
      <w:r>
        <w:rPr>
          <w:rFonts w:ascii="仿宋" w:hAnsi="仿宋" w:eastAsia="仿宋" w:cs="仿宋"/>
          <w:b/>
          <w:bCs/>
          <w:snapToGrid w:val="0"/>
          <w:color w:val="000000"/>
          <w:spacing w:val="-7"/>
          <w:kern w:val="0"/>
          <w:sz w:val="24"/>
          <w:szCs w:val="24"/>
          <w:highlight w:val="none"/>
          <w:lang w:val="en-US" w:eastAsia="en-US" w:bidi="ar-SA"/>
        </w:rPr>
        <w:t>1.</w:t>
      </w:r>
      <w:r>
        <w:rPr>
          <w:rFonts w:hint="eastAsia" w:ascii="仿宋" w:hAnsi="仿宋" w:eastAsia="仿宋" w:cs="仿宋"/>
          <w:b/>
          <w:bCs/>
          <w:snapToGrid w:val="0"/>
          <w:color w:val="000000"/>
          <w:spacing w:val="-7"/>
          <w:kern w:val="0"/>
          <w:sz w:val="24"/>
          <w:szCs w:val="24"/>
          <w:highlight w:val="none"/>
          <w:lang w:val="en-US" w:eastAsia="zh-CN" w:bidi="ar-SA"/>
        </w:rPr>
        <w:t>供货</w:t>
      </w:r>
      <w:r>
        <w:rPr>
          <w:rFonts w:ascii="仿宋" w:hAnsi="仿宋" w:eastAsia="仿宋" w:cs="仿宋"/>
          <w:b/>
          <w:bCs/>
          <w:snapToGrid w:val="0"/>
          <w:color w:val="000000"/>
          <w:spacing w:val="-7"/>
          <w:kern w:val="0"/>
          <w:sz w:val="24"/>
          <w:szCs w:val="24"/>
          <w:highlight w:val="none"/>
          <w:lang w:val="en-US" w:eastAsia="en-US" w:bidi="ar-SA"/>
        </w:rPr>
        <w:t>期限</w:t>
      </w:r>
      <w:r>
        <w:rPr>
          <w:rFonts w:ascii="仿宋" w:hAnsi="仿宋" w:eastAsia="仿宋" w:cs="仿宋"/>
          <w:snapToGrid w:val="0"/>
          <w:color w:val="000000"/>
          <w:spacing w:val="-7"/>
          <w:kern w:val="0"/>
          <w:sz w:val="24"/>
          <w:szCs w:val="24"/>
          <w:highlight w:val="none"/>
          <w:lang w:val="en-US" w:eastAsia="en-US" w:bidi="ar-SA"/>
        </w:rPr>
        <w:t>：</w:t>
      </w:r>
      <w:r>
        <w:rPr>
          <w:rFonts w:hint="eastAsia" w:ascii="仿宋" w:hAnsi="仿宋" w:eastAsia="仿宋" w:cs="仿宋"/>
          <w:snapToGrid w:val="0"/>
          <w:color w:val="000000"/>
          <w:spacing w:val="-7"/>
          <w:kern w:val="0"/>
          <w:sz w:val="24"/>
          <w:szCs w:val="24"/>
          <w:highlight w:val="none"/>
          <w:lang w:val="en-US" w:eastAsia="en-US" w:bidi="ar-SA"/>
        </w:rPr>
        <w:t>自合同签订之日起30个日历天内完成供货。</w:t>
      </w:r>
    </w:p>
    <w:p w14:paraId="119834A3">
      <w:pPr>
        <w:keepNext w:val="0"/>
        <w:keepLines w:val="0"/>
        <w:pageBreakBefore w:val="0"/>
        <w:kinsoku w:val="0"/>
        <w:wordWrap/>
        <w:overflowPunct/>
        <w:topLinePunct w:val="0"/>
        <w:autoSpaceDE w:val="0"/>
        <w:autoSpaceDN w:val="0"/>
        <w:bidi w:val="0"/>
        <w:adjustRightInd w:val="0"/>
        <w:snapToGrid w:val="0"/>
        <w:spacing w:before="173" w:line="354" w:lineRule="auto"/>
        <w:ind w:left="733" w:right="674" w:firstLine="14"/>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3"/>
          <w:kern w:val="0"/>
          <w:sz w:val="24"/>
          <w:szCs w:val="24"/>
          <w:highlight w:val="none"/>
          <w:lang w:val="en-US" w:eastAsia="en-US" w:bidi="ar-SA"/>
        </w:rPr>
        <w:t>2.</w:t>
      </w:r>
      <w:r>
        <w:rPr>
          <w:rFonts w:hint="eastAsia" w:ascii="仿宋" w:hAnsi="仿宋" w:eastAsia="仿宋" w:cs="仿宋"/>
          <w:b/>
          <w:bCs/>
          <w:snapToGrid w:val="0"/>
          <w:color w:val="000000"/>
          <w:spacing w:val="-3"/>
          <w:kern w:val="0"/>
          <w:sz w:val="24"/>
          <w:szCs w:val="24"/>
          <w:highlight w:val="none"/>
          <w:lang w:val="en-US" w:eastAsia="zh-CN" w:bidi="ar-SA"/>
        </w:rPr>
        <w:t>供货</w:t>
      </w:r>
      <w:r>
        <w:rPr>
          <w:rFonts w:ascii="仿宋" w:hAnsi="仿宋" w:eastAsia="仿宋" w:cs="仿宋"/>
          <w:b/>
          <w:bCs/>
          <w:snapToGrid w:val="0"/>
          <w:color w:val="000000"/>
          <w:spacing w:val="-3"/>
          <w:kern w:val="0"/>
          <w:sz w:val="24"/>
          <w:szCs w:val="24"/>
          <w:highlight w:val="none"/>
          <w:lang w:val="en-US" w:eastAsia="en-US" w:bidi="ar-SA"/>
        </w:rPr>
        <w:t>地点</w:t>
      </w:r>
      <w:r>
        <w:rPr>
          <w:rFonts w:ascii="仿宋" w:hAnsi="仿宋" w:eastAsia="仿宋" w:cs="仿宋"/>
          <w:snapToGrid w:val="0"/>
          <w:color w:val="000000"/>
          <w:spacing w:val="-3"/>
          <w:kern w:val="0"/>
          <w:sz w:val="24"/>
          <w:szCs w:val="24"/>
          <w:highlight w:val="none"/>
          <w:lang w:val="en-US" w:eastAsia="en-US" w:bidi="ar-SA"/>
        </w:rPr>
        <w:t>：</w:t>
      </w:r>
      <w:r>
        <w:rPr>
          <w:rFonts w:hint="eastAsia" w:ascii="仿宋" w:hAnsi="仿宋" w:eastAsia="仿宋" w:cs="仿宋"/>
          <w:snapToGrid w:val="0"/>
          <w:color w:val="000000"/>
          <w:spacing w:val="-3"/>
          <w:kern w:val="0"/>
          <w:sz w:val="24"/>
          <w:szCs w:val="24"/>
          <w:highlight w:val="none"/>
          <w:lang w:val="en-US" w:eastAsia="en-US" w:bidi="ar-SA"/>
        </w:rPr>
        <w:t>阿克苏市妇幼保健院（具体以采购人指点地点为准）</w:t>
      </w:r>
    </w:p>
    <w:p w14:paraId="646DB860">
      <w:pPr>
        <w:keepNext w:val="0"/>
        <w:keepLines w:val="0"/>
        <w:pageBreakBefore w:val="0"/>
        <w:kinsoku w:val="0"/>
        <w:wordWrap/>
        <w:overflowPunct/>
        <w:topLinePunct w:val="0"/>
        <w:autoSpaceDE w:val="0"/>
        <w:autoSpaceDN w:val="0"/>
        <w:bidi w:val="0"/>
        <w:adjustRightInd w:val="0"/>
        <w:snapToGrid w:val="0"/>
        <w:spacing w:before="193" w:line="296" w:lineRule="auto"/>
        <w:ind w:left="0" w:right="16" w:firstLine="717" w:firstLineChars="300"/>
        <w:jc w:val="left"/>
        <w:textAlignment w:val="baseline"/>
        <w:rPr>
          <w:rFonts w:hint="eastAsia" w:ascii="仿宋" w:hAnsi="仿宋" w:eastAsia="仿宋" w:cs="仿宋"/>
          <w:snapToGrid w:val="0"/>
          <w:color w:val="000000"/>
          <w:spacing w:val="-1"/>
          <w:kern w:val="0"/>
          <w:sz w:val="24"/>
          <w:szCs w:val="24"/>
          <w:highlight w:val="none"/>
          <w:u w:val="single" w:color="auto"/>
          <w:lang w:val="en-US" w:eastAsia="en-US" w:bidi="ar-SA"/>
        </w:rPr>
      </w:pPr>
      <w:r>
        <w:rPr>
          <w:rFonts w:ascii="仿宋" w:hAnsi="仿宋" w:eastAsia="仿宋" w:cs="仿宋"/>
          <w:b/>
          <w:bCs/>
          <w:snapToGrid w:val="0"/>
          <w:color w:val="000000"/>
          <w:spacing w:val="-1"/>
          <w:kern w:val="0"/>
          <w:sz w:val="24"/>
          <w:szCs w:val="24"/>
          <w:highlight w:val="none"/>
          <w:lang w:val="en-US" w:eastAsia="en-US" w:bidi="ar-SA"/>
        </w:rPr>
        <w:t>3.付款方式</w:t>
      </w:r>
      <w:r>
        <w:rPr>
          <w:rFonts w:ascii="仿宋" w:hAnsi="仿宋" w:eastAsia="仿宋" w:cs="仿宋"/>
          <w:snapToGrid w:val="0"/>
          <w:color w:val="000000"/>
          <w:spacing w:val="-1"/>
          <w:kern w:val="0"/>
          <w:sz w:val="24"/>
          <w:szCs w:val="24"/>
          <w:highlight w:val="none"/>
          <w:lang w:val="en-US" w:eastAsia="en-US" w:bidi="ar-SA"/>
        </w:rPr>
        <w:t>：</w:t>
      </w:r>
      <w:r>
        <w:rPr>
          <w:rFonts w:hint="eastAsia" w:ascii="仿宋" w:hAnsi="仿宋" w:eastAsia="仿宋" w:cs="仿宋"/>
          <w:snapToGrid w:val="0"/>
          <w:color w:val="000000"/>
          <w:spacing w:val="-1"/>
          <w:kern w:val="0"/>
          <w:sz w:val="24"/>
          <w:szCs w:val="24"/>
          <w:highlight w:val="none"/>
          <w:u w:val="single" w:color="auto"/>
          <w:lang w:val="en-US" w:eastAsia="en-US" w:bidi="ar-SA"/>
        </w:rPr>
        <w:t>合同签订后支付合同总额的30%，验收后支付合同总额的50%,项目审计完成后支付合同总额的17%，稳定运行一年后支付合同总额的3%。</w:t>
      </w:r>
    </w:p>
    <w:p w14:paraId="20A439DA">
      <w:pPr>
        <w:pStyle w:val="27"/>
        <w:keepLines w:val="0"/>
        <w:pageBreakBefore w:val="0"/>
        <w:kinsoku/>
        <w:wordWrap/>
        <w:overflowPunct/>
        <w:topLinePunct w:val="0"/>
        <w:bidi w:val="0"/>
        <w:spacing w:before="200" w:line="222" w:lineRule="auto"/>
        <w:ind w:firstLine="717" w:firstLineChars="300"/>
        <w:jc w:val="both"/>
        <w:rPr>
          <w:rFonts w:hint="eastAsia" w:ascii="仿宋" w:hAnsi="仿宋" w:eastAsia="仿宋" w:cs="仿宋"/>
          <w:b/>
          <w:bCs/>
          <w:snapToGrid w:val="0"/>
          <w:color w:val="000000"/>
          <w:spacing w:val="-1"/>
          <w:kern w:val="0"/>
          <w:sz w:val="24"/>
          <w:szCs w:val="24"/>
          <w:highlight w:val="none"/>
          <w:u w:val="none" w:color="auto"/>
          <w:lang w:val="en-US" w:eastAsia="zh-CN" w:bidi="ar-SA"/>
        </w:rPr>
      </w:pPr>
      <w:r>
        <w:rPr>
          <w:rFonts w:hint="eastAsia" w:ascii="仿宋" w:hAnsi="仿宋" w:eastAsia="仿宋" w:cs="仿宋"/>
          <w:b/>
          <w:bCs/>
          <w:snapToGrid w:val="0"/>
          <w:color w:val="000000"/>
          <w:spacing w:val="-1"/>
          <w:kern w:val="0"/>
          <w:sz w:val="24"/>
          <w:szCs w:val="24"/>
          <w:highlight w:val="none"/>
          <w:u w:val="none" w:color="auto"/>
          <w:lang w:val="en-US" w:eastAsia="zh-CN" w:bidi="ar-SA"/>
        </w:rPr>
        <w:t>4.质保期：</w:t>
      </w:r>
    </w:p>
    <w:p w14:paraId="2C6E2747">
      <w:pPr>
        <w:pStyle w:val="27"/>
        <w:keepLines w:val="0"/>
        <w:pageBreakBefore w:val="0"/>
        <w:kinsoku/>
        <w:wordWrap/>
        <w:overflowPunct/>
        <w:topLinePunct w:val="0"/>
        <w:bidi w:val="0"/>
        <w:spacing w:before="80" w:line="252" w:lineRule="auto"/>
        <w:ind w:right="993" w:firstLine="944" w:firstLineChars="400"/>
        <w:jc w:val="both"/>
        <w:rPr>
          <w:rFonts w:hint="default" w:ascii="仿宋" w:hAnsi="仿宋" w:eastAsia="仿宋" w:cs="仿宋"/>
          <w:snapToGrid w:val="0"/>
          <w:color w:val="000000"/>
          <w:spacing w:val="-1"/>
          <w:kern w:val="0"/>
          <w:sz w:val="24"/>
          <w:szCs w:val="24"/>
          <w:highlight w:val="none"/>
          <w:u w:val="single" w:color="auto"/>
          <w:lang w:val="en-US" w:eastAsia="zh-CN" w:bidi="ar-SA"/>
        </w:rPr>
      </w:pPr>
      <w:r>
        <w:rPr>
          <w:rFonts w:hint="eastAsia"/>
          <w:spacing w:val="-2"/>
          <w:highlight w:val="none"/>
          <w:lang w:val="en-US" w:eastAsia="zh-CN"/>
        </w:rPr>
        <w:t>标项四：质保期：3年</w:t>
      </w:r>
    </w:p>
    <w:p w14:paraId="73502A25">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5B8D8C9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0FBF621C">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15E7DF6E">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309A7B0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4D31F19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59CF3B9A">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3FDF9320">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20DCBD38">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69876BD3">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161D916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6575ECD8">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2F77F320">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46EB79B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71AC929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428C1F8D">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77CFDB7F">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761EC7BA">
      <w:pPr>
        <w:keepLines w:val="0"/>
        <w:pageBreakBefore w:val="0"/>
        <w:kinsoku/>
        <w:wordWrap/>
        <w:overflowPunct/>
        <w:topLinePunct w:val="0"/>
        <w:bidi w:val="0"/>
        <w:spacing w:before="101" w:line="228" w:lineRule="auto"/>
        <w:rPr>
          <w:rFonts w:ascii="仿宋" w:hAnsi="仿宋" w:eastAsia="仿宋" w:cs="仿宋"/>
          <w:b/>
          <w:bCs/>
          <w:spacing w:val="3"/>
          <w:sz w:val="31"/>
          <w:szCs w:val="31"/>
          <w:highlight w:val="none"/>
        </w:rPr>
      </w:pPr>
    </w:p>
    <w:p w14:paraId="65BA73DB">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5B96214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3ADCEA95">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05334D62">
      <w:pPr>
        <w:keepLines w:val="0"/>
        <w:pageBreakBefore w:val="0"/>
        <w:kinsoku/>
        <w:wordWrap/>
        <w:overflowPunct/>
        <w:topLinePunct w:val="0"/>
        <w:bidi w:val="0"/>
        <w:spacing w:before="101" w:line="228" w:lineRule="auto"/>
        <w:ind w:left="2888"/>
        <w:rPr>
          <w:rFonts w:ascii="仿宋" w:hAnsi="仿宋" w:eastAsia="仿宋" w:cs="仿宋"/>
          <w:b/>
          <w:bCs/>
          <w:spacing w:val="3"/>
          <w:sz w:val="31"/>
          <w:szCs w:val="31"/>
          <w:highlight w:val="none"/>
        </w:rPr>
      </w:pPr>
    </w:p>
    <w:p w14:paraId="399B2B9C">
      <w:pPr>
        <w:keepLines w:val="0"/>
        <w:pageBreakBefore w:val="0"/>
        <w:kinsoku/>
        <w:wordWrap/>
        <w:overflowPunct/>
        <w:topLinePunct w:val="0"/>
        <w:bidi w:val="0"/>
        <w:spacing w:before="101" w:line="228" w:lineRule="auto"/>
        <w:ind w:left="2888"/>
        <w:rPr>
          <w:rFonts w:ascii="仿宋" w:hAnsi="仿宋" w:eastAsia="仿宋" w:cs="仿宋"/>
          <w:sz w:val="31"/>
          <w:szCs w:val="31"/>
          <w:highlight w:val="none"/>
        </w:rPr>
      </w:pPr>
      <w:r>
        <w:rPr>
          <w:rFonts w:ascii="仿宋" w:hAnsi="仿宋" w:eastAsia="仿宋" w:cs="仿宋"/>
          <w:b/>
          <w:bCs/>
          <w:spacing w:val="3"/>
          <w:sz w:val="31"/>
          <w:szCs w:val="31"/>
          <w:highlight w:val="none"/>
        </w:rPr>
        <w:t>第六章</w:t>
      </w:r>
      <w:r>
        <w:rPr>
          <w:rFonts w:ascii="仿宋" w:hAnsi="仿宋" w:eastAsia="仿宋" w:cs="仿宋"/>
          <w:spacing w:val="3"/>
          <w:sz w:val="31"/>
          <w:szCs w:val="31"/>
          <w:highlight w:val="none"/>
        </w:rPr>
        <w:t xml:space="preserve"> </w:t>
      </w:r>
      <w:r>
        <w:rPr>
          <w:rFonts w:ascii="仿宋" w:hAnsi="仿宋" w:eastAsia="仿宋" w:cs="仿宋"/>
          <w:b/>
          <w:bCs/>
          <w:spacing w:val="3"/>
          <w:sz w:val="31"/>
          <w:szCs w:val="31"/>
          <w:highlight w:val="none"/>
        </w:rPr>
        <w:t>投标文件格式</w:t>
      </w:r>
    </w:p>
    <w:p w14:paraId="1F48F57F">
      <w:pPr>
        <w:pStyle w:val="9"/>
        <w:keepLines w:val="0"/>
        <w:pageBreakBefore w:val="0"/>
        <w:kinsoku/>
        <w:wordWrap/>
        <w:overflowPunct/>
        <w:topLinePunct w:val="0"/>
        <w:bidi w:val="0"/>
        <w:spacing w:line="257" w:lineRule="auto"/>
        <w:rPr>
          <w:highlight w:val="none"/>
        </w:rPr>
      </w:pPr>
    </w:p>
    <w:p w14:paraId="5DA65EC5">
      <w:pPr>
        <w:pStyle w:val="9"/>
        <w:keepLines w:val="0"/>
        <w:pageBreakBefore w:val="0"/>
        <w:kinsoku/>
        <w:wordWrap/>
        <w:overflowPunct/>
        <w:topLinePunct w:val="0"/>
        <w:bidi w:val="0"/>
        <w:spacing w:line="257" w:lineRule="auto"/>
        <w:rPr>
          <w:highlight w:val="none"/>
        </w:rPr>
      </w:pPr>
    </w:p>
    <w:p w14:paraId="23743AE5">
      <w:pPr>
        <w:pStyle w:val="9"/>
        <w:keepLines w:val="0"/>
        <w:pageBreakBefore w:val="0"/>
        <w:kinsoku/>
        <w:wordWrap/>
        <w:overflowPunct/>
        <w:topLinePunct w:val="0"/>
        <w:bidi w:val="0"/>
        <w:spacing w:line="258" w:lineRule="auto"/>
        <w:rPr>
          <w:highlight w:val="none"/>
        </w:rPr>
      </w:pPr>
    </w:p>
    <w:p w14:paraId="753F9C2F">
      <w:pPr>
        <w:pStyle w:val="9"/>
        <w:keepLines w:val="0"/>
        <w:pageBreakBefore w:val="0"/>
        <w:kinsoku/>
        <w:wordWrap/>
        <w:overflowPunct/>
        <w:topLinePunct w:val="0"/>
        <w:bidi w:val="0"/>
        <w:spacing w:line="258" w:lineRule="auto"/>
        <w:rPr>
          <w:highlight w:val="none"/>
        </w:rPr>
      </w:pPr>
    </w:p>
    <w:p w14:paraId="4AA90D24">
      <w:pPr>
        <w:keepLines w:val="0"/>
        <w:pageBreakBefore w:val="0"/>
        <w:kinsoku/>
        <w:wordWrap/>
        <w:overflowPunct/>
        <w:topLinePunct w:val="0"/>
        <w:bidi w:val="0"/>
        <w:spacing w:before="91" w:line="222" w:lineRule="auto"/>
        <w:ind w:left="3187"/>
        <w:rPr>
          <w:rFonts w:ascii="仿宋" w:hAnsi="仿宋" w:eastAsia="仿宋" w:cs="仿宋"/>
          <w:sz w:val="28"/>
          <w:szCs w:val="28"/>
          <w:highlight w:val="none"/>
        </w:rPr>
      </w:pPr>
      <w:r>
        <w:rPr>
          <w:highlight w:val="none"/>
        </w:rPr>
        <w:pict>
          <v:shape id="_x0000_s1026" o:spid="_x0000_s1026" style="position:absolute;left:0pt;margin-left:95.35pt;margin-top:17.95pt;height:0.6pt;width:238.15pt;z-index:251662336;mso-width-relative:page;mso-height-relative:page;" filled="f" stroked="t" coordsize="4762,12" path="m0,5l4762,5e">
            <v:fill on="f" focussize="0,0"/>
            <v:stroke weight="0.6pt" color="#000000" miterlimit="2" joinstyle="bevel"/>
            <v:imagedata o:title=""/>
            <o:lock v:ext="edit"/>
          </v:shape>
        </w:pict>
      </w:r>
      <w:r>
        <w:rPr>
          <w:rFonts w:ascii="仿宋" w:hAnsi="仿宋" w:eastAsia="仿宋" w:cs="仿宋"/>
          <w:spacing w:val="-3"/>
          <w:sz w:val="28"/>
          <w:szCs w:val="28"/>
          <w:highlight w:val="none"/>
        </w:rPr>
        <w:t>（</w:t>
      </w:r>
      <w:r>
        <w:rPr>
          <w:rFonts w:hint="eastAsia" w:ascii="仿宋" w:hAnsi="仿宋" w:eastAsia="仿宋" w:cs="仿宋"/>
          <w:spacing w:val="-3"/>
          <w:sz w:val="28"/>
          <w:szCs w:val="28"/>
          <w:highlight w:val="none"/>
          <w:lang w:eastAsia="zh-CN"/>
        </w:rPr>
        <w:t>项目名称</w:t>
      </w:r>
      <w:r>
        <w:rPr>
          <w:rFonts w:ascii="仿宋" w:hAnsi="仿宋" w:eastAsia="仿宋" w:cs="仿宋"/>
          <w:spacing w:val="-3"/>
          <w:sz w:val="28"/>
          <w:szCs w:val="28"/>
          <w:highlight w:val="none"/>
        </w:rPr>
        <w:t>）</w:t>
      </w:r>
    </w:p>
    <w:p w14:paraId="031C17C7">
      <w:pPr>
        <w:pStyle w:val="9"/>
        <w:keepLines w:val="0"/>
        <w:pageBreakBefore w:val="0"/>
        <w:kinsoku/>
        <w:wordWrap/>
        <w:overflowPunct/>
        <w:topLinePunct w:val="0"/>
        <w:bidi w:val="0"/>
        <w:spacing w:line="357" w:lineRule="auto"/>
        <w:rPr>
          <w:highlight w:val="none"/>
        </w:rPr>
      </w:pPr>
    </w:p>
    <w:p w14:paraId="0D9AC68E">
      <w:pPr>
        <w:pStyle w:val="9"/>
        <w:keepLines w:val="0"/>
        <w:pageBreakBefore w:val="0"/>
        <w:kinsoku/>
        <w:wordWrap/>
        <w:overflowPunct/>
        <w:topLinePunct w:val="0"/>
        <w:bidi w:val="0"/>
        <w:spacing w:line="357" w:lineRule="auto"/>
        <w:rPr>
          <w:highlight w:val="none"/>
        </w:rPr>
      </w:pPr>
    </w:p>
    <w:p w14:paraId="4CCB5EA0">
      <w:pPr>
        <w:keepLines w:val="0"/>
        <w:pageBreakBefore w:val="0"/>
        <w:tabs>
          <w:tab w:val="left" w:pos="3327"/>
        </w:tabs>
        <w:kinsoku/>
        <w:wordWrap/>
        <w:overflowPunct/>
        <w:topLinePunct w:val="0"/>
        <w:bidi w:val="0"/>
        <w:spacing w:before="91" w:line="224" w:lineRule="auto"/>
        <w:ind w:left="1907"/>
        <w:rPr>
          <w:rFonts w:ascii="仿宋" w:hAnsi="仿宋" w:eastAsia="仿宋" w:cs="仿宋"/>
          <w:sz w:val="28"/>
          <w:szCs w:val="28"/>
          <w:highlight w:val="none"/>
        </w:rPr>
      </w:pPr>
      <w:r>
        <w:rPr>
          <w:rFonts w:ascii="仿宋" w:hAnsi="仿宋" w:eastAsia="仿宋" w:cs="仿宋"/>
          <w:sz w:val="28"/>
          <w:szCs w:val="28"/>
          <w:highlight w:val="none"/>
          <w:u w:val="single" w:color="auto"/>
        </w:rPr>
        <w:tab/>
      </w:r>
      <w:r>
        <w:rPr>
          <w:rFonts w:ascii="仿宋" w:hAnsi="仿宋" w:eastAsia="仿宋" w:cs="仿宋"/>
          <w:spacing w:val="-27"/>
          <w:sz w:val="28"/>
          <w:szCs w:val="28"/>
          <w:highlight w:val="none"/>
          <w:u w:val="single" w:color="auto"/>
        </w:rPr>
        <w:t>（项目编号）</w:t>
      </w:r>
      <w:r>
        <w:rPr>
          <w:rFonts w:ascii="仿宋" w:hAnsi="仿宋" w:eastAsia="仿宋" w:cs="仿宋"/>
          <w:sz w:val="28"/>
          <w:szCs w:val="28"/>
          <w:highlight w:val="none"/>
          <w:u w:val="single" w:color="auto"/>
        </w:rPr>
        <w:t xml:space="preserve">             </w:t>
      </w:r>
    </w:p>
    <w:p w14:paraId="20A17E48">
      <w:pPr>
        <w:pStyle w:val="9"/>
        <w:keepLines w:val="0"/>
        <w:pageBreakBefore w:val="0"/>
        <w:kinsoku/>
        <w:wordWrap/>
        <w:overflowPunct/>
        <w:topLinePunct w:val="0"/>
        <w:bidi w:val="0"/>
        <w:spacing w:line="255" w:lineRule="auto"/>
        <w:rPr>
          <w:highlight w:val="none"/>
        </w:rPr>
      </w:pPr>
    </w:p>
    <w:p w14:paraId="7596F859">
      <w:pPr>
        <w:pStyle w:val="9"/>
        <w:keepLines w:val="0"/>
        <w:pageBreakBefore w:val="0"/>
        <w:kinsoku/>
        <w:wordWrap/>
        <w:overflowPunct/>
        <w:topLinePunct w:val="0"/>
        <w:bidi w:val="0"/>
        <w:spacing w:line="255" w:lineRule="auto"/>
        <w:rPr>
          <w:highlight w:val="none"/>
        </w:rPr>
      </w:pPr>
    </w:p>
    <w:p w14:paraId="5235B84C">
      <w:pPr>
        <w:pStyle w:val="9"/>
        <w:keepLines w:val="0"/>
        <w:pageBreakBefore w:val="0"/>
        <w:kinsoku/>
        <w:wordWrap/>
        <w:overflowPunct/>
        <w:topLinePunct w:val="0"/>
        <w:bidi w:val="0"/>
        <w:spacing w:line="255" w:lineRule="auto"/>
        <w:rPr>
          <w:highlight w:val="none"/>
        </w:rPr>
      </w:pPr>
    </w:p>
    <w:p w14:paraId="3DD1C639">
      <w:pPr>
        <w:pStyle w:val="9"/>
        <w:keepLines w:val="0"/>
        <w:pageBreakBefore w:val="0"/>
        <w:kinsoku/>
        <w:wordWrap/>
        <w:overflowPunct/>
        <w:topLinePunct w:val="0"/>
        <w:bidi w:val="0"/>
        <w:spacing w:line="255" w:lineRule="auto"/>
        <w:rPr>
          <w:highlight w:val="none"/>
        </w:rPr>
      </w:pPr>
    </w:p>
    <w:p w14:paraId="02FD6E3B">
      <w:pPr>
        <w:pStyle w:val="9"/>
        <w:keepLines w:val="0"/>
        <w:pageBreakBefore w:val="0"/>
        <w:kinsoku/>
        <w:wordWrap/>
        <w:overflowPunct/>
        <w:topLinePunct w:val="0"/>
        <w:bidi w:val="0"/>
        <w:spacing w:line="255" w:lineRule="auto"/>
        <w:rPr>
          <w:highlight w:val="none"/>
        </w:rPr>
      </w:pPr>
    </w:p>
    <w:p w14:paraId="57E93E9E">
      <w:pPr>
        <w:pStyle w:val="9"/>
        <w:keepLines w:val="0"/>
        <w:pageBreakBefore w:val="0"/>
        <w:kinsoku/>
        <w:wordWrap/>
        <w:overflowPunct/>
        <w:topLinePunct w:val="0"/>
        <w:bidi w:val="0"/>
        <w:spacing w:line="255" w:lineRule="auto"/>
        <w:rPr>
          <w:highlight w:val="none"/>
        </w:rPr>
      </w:pPr>
    </w:p>
    <w:p w14:paraId="201B4318">
      <w:pPr>
        <w:pStyle w:val="9"/>
        <w:keepLines w:val="0"/>
        <w:pageBreakBefore w:val="0"/>
        <w:kinsoku/>
        <w:wordWrap/>
        <w:overflowPunct/>
        <w:topLinePunct w:val="0"/>
        <w:bidi w:val="0"/>
        <w:spacing w:line="256" w:lineRule="auto"/>
        <w:rPr>
          <w:highlight w:val="none"/>
        </w:rPr>
      </w:pPr>
    </w:p>
    <w:p w14:paraId="37A59D48">
      <w:pPr>
        <w:pStyle w:val="9"/>
        <w:keepLines w:val="0"/>
        <w:pageBreakBefore w:val="0"/>
        <w:kinsoku/>
        <w:wordWrap/>
        <w:overflowPunct/>
        <w:topLinePunct w:val="0"/>
        <w:bidi w:val="0"/>
        <w:spacing w:line="256" w:lineRule="auto"/>
        <w:rPr>
          <w:highlight w:val="none"/>
        </w:rPr>
      </w:pPr>
    </w:p>
    <w:p w14:paraId="20031D6F">
      <w:pPr>
        <w:pStyle w:val="9"/>
        <w:keepLines w:val="0"/>
        <w:pageBreakBefore w:val="0"/>
        <w:kinsoku/>
        <w:wordWrap/>
        <w:overflowPunct/>
        <w:topLinePunct w:val="0"/>
        <w:bidi w:val="0"/>
        <w:spacing w:line="256" w:lineRule="auto"/>
        <w:rPr>
          <w:highlight w:val="none"/>
        </w:rPr>
      </w:pPr>
    </w:p>
    <w:p w14:paraId="40C9A6A1">
      <w:pPr>
        <w:keepLines w:val="0"/>
        <w:pageBreakBefore w:val="0"/>
        <w:kinsoku/>
        <w:wordWrap/>
        <w:overflowPunct/>
        <w:topLinePunct w:val="0"/>
        <w:bidi w:val="0"/>
        <w:spacing w:before="140" w:line="226" w:lineRule="auto"/>
        <w:ind w:left="2859"/>
        <w:rPr>
          <w:rFonts w:ascii="仿宋" w:hAnsi="仿宋" w:eastAsia="仿宋" w:cs="仿宋"/>
          <w:sz w:val="43"/>
          <w:szCs w:val="43"/>
          <w:highlight w:val="none"/>
        </w:rPr>
      </w:pPr>
      <w:r>
        <w:rPr>
          <w:rFonts w:ascii="仿宋" w:hAnsi="仿宋" w:eastAsia="仿宋" w:cs="仿宋"/>
          <w:b/>
          <w:bCs/>
          <w:spacing w:val="-19"/>
          <w:sz w:val="43"/>
          <w:szCs w:val="43"/>
          <w:highlight w:val="none"/>
        </w:rPr>
        <w:t>投</w:t>
      </w:r>
      <w:r>
        <w:rPr>
          <w:rFonts w:ascii="仿宋" w:hAnsi="仿宋" w:eastAsia="仿宋" w:cs="仿宋"/>
          <w:spacing w:val="20"/>
          <w:sz w:val="43"/>
          <w:szCs w:val="43"/>
          <w:highlight w:val="none"/>
        </w:rPr>
        <w:t xml:space="preserve">  </w:t>
      </w:r>
      <w:r>
        <w:rPr>
          <w:rFonts w:ascii="仿宋" w:hAnsi="仿宋" w:eastAsia="仿宋" w:cs="仿宋"/>
          <w:b/>
          <w:bCs/>
          <w:spacing w:val="-19"/>
          <w:sz w:val="43"/>
          <w:szCs w:val="43"/>
          <w:highlight w:val="none"/>
        </w:rPr>
        <w:t>标</w:t>
      </w:r>
      <w:r>
        <w:rPr>
          <w:rFonts w:ascii="仿宋" w:hAnsi="仿宋" w:eastAsia="仿宋" w:cs="仿宋"/>
          <w:spacing w:val="22"/>
          <w:sz w:val="43"/>
          <w:szCs w:val="43"/>
          <w:highlight w:val="none"/>
        </w:rPr>
        <w:t xml:space="preserve">  </w:t>
      </w:r>
      <w:r>
        <w:rPr>
          <w:rFonts w:ascii="仿宋" w:hAnsi="仿宋" w:eastAsia="仿宋" w:cs="仿宋"/>
          <w:b/>
          <w:bCs/>
          <w:spacing w:val="-19"/>
          <w:sz w:val="43"/>
          <w:szCs w:val="43"/>
          <w:highlight w:val="none"/>
        </w:rPr>
        <w:t>文</w:t>
      </w:r>
      <w:r>
        <w:rPr>
          <w:rFonts w:ascii="仿宋" w:hAnsi="仿宋" w:eastAsia="仿宋" w:cs="仿宋"/>
          <w:spacing w:val="21"/>
          <w:sz w:val="43"/>
          <w:szCs w:val="43"/>
          <w:highlight w:val="none"/>
        </w:rPr>
        <w:t xml:space="preserve">  </w:t>
      </w:r>
      <w:r>
        <w:rPr>
          <w:rFonts w:ascii="仿宋" w:hAnsi="仿宋" w:eastAsia="仿宋" w:cs="仿宋"/>
          <w:b/>
          <w:bCs/>
          <w:spacing w:val="-19"/>
          <w:sz w:val="43"/>
          <w:szCs w:val="43"/>
          <w:highlight w:val="none"/>
        </w:rPr>
        <w:t>件</w:t>
      </w:r>
    </w:p>
    <w:p w14:paraId="370318EE">
      <w:pPr>
        <w:pStyle w:val="9"/>
        <w:keepLines w:val="0"/>
        <w:pageBreakBefore w:val="0"/>
        <w:kinsoku/>
        <w:wordWrap/>
        <w:overflowPunct/>
        <w:topLinePunct w:val="0"/>
        <w:bidi w:val="0"/>
        <w:rPr>
          <w:highlight w:val="none"/>
        </w:rPr>
      </w:pPr>
    </w:p>
    <w:p w14:paraId="1FA941F1">
      <w:pPr>
        <w:pStyle w:val="9"/>
        <w:keepLines w:val="0"/>
        <w:pageBreakBefore w:val="0"/>
        <w:kinsoku/>
        <w:wordWrap/>
        <w:overflowPunct/>
        <w:topLinePunct w:val="0"/>
        <w:bidi w:val="0"/>
        <w:rPr>
          <w:highlight w:val="none"/>
        </w:rPr>
      </w:pPr>
    </w:p>
    <w:p w14:paraId="708D1AB0">
      <w:pPr>
        <w:pStyle w:val="9"/>
        <w:keepLines w:val="0"/>
        <w:pageBreakBefore w:val="0"/>
        <w:kinsoku/>
        <w:wordWrap/>
        <w:overflowPunct/>
        <w:topLinePunct w:val="0"/>
        <w:bidi w:val="0"/>
        <w:rPr>
          <w:highlight w:val="none"/>
        </w:rPr>
      </w:pPr>
    </w:p>
    <w:p w14:paraId="451F7235">
      <w:pPr>
        <w:pStyle w:val="9"/>
        <w:keepLines w:val="0"/>
        <w:pageBreakBefore w:val="0"/>
        <w:kinsoku/>
        <w:wordWrap/>
        <w:overflowPunct/>
        <w:topLinePunct w:val="0"/>
        <w:bidi w:val="0"/>
        <w:rPr>
          <w:highlight w:val="none"/>
        </w:rPr>
      </w:pPr>
    </w:p>
    <w:p w14:paraId="6983E727">
      <w:pPr>
        <w:pStyle w:val="9"/>
        <w:keepLines w:val="0"/>
        <w:pageBreakBefore w:val="0"/>
        <w:kinsoku/>
        <w:wordWrap/>
        <w:overflowPunct/>
        <w:topLinePunct w:val="0"/>
        <w:bidi w:val="0"/>
        <w:rPr>
          <w:highlight w:val="none"/>
        </w:rPr>
      </w:pPr>
    </w:p>
    <w:p w14:paraId="0C46C19F">
      <w:pPr>
        <w:pStyle w:val="9"/>
        <w:keepLines w:val="0"/>
        <w:pageBreakBefore w:val="0"/>
        <w:kinsoku/>
        <w:wordWrap/>
        <w:overflowPunct/>
        <w:topLinePunct w:val="0"/>
        <w:bidi w:val="0"/>
        <w:rPr>
          <w:highlight w:val="none"/>
        </w:rPr>
      </w:pPr>
    </w:p>
    <w:p w14:paraId="1FEC22E3">
      <w:pPr>
        <w:pStyle w:val="9"/>
        <w:keepLines w:val="0"/>
        <w:pageBreakBefore w:val="0"/>
        <w:kinsoku/>
        <w:wordWrap/>
        <w:overflowPunct/>
        <w:topLinePunct w:val="0"/>
        <w:bidi w:val="0"/>
        <w:rPr>
          <w:highlight w:val="none"/>
        </w:rPr>
      </w:pPr>
    </w:p>
    <w:p w14:paraId="340E03C5">
      <w:pPr>
        <w:pStyle w:val="9"/>
        <w:keepLines w:val="0"/>
        <w:pageBreakBefore w:val="0"/>
        <w:kinsoku/>
        <w:wordWrap/>
        <w:overflowPunct/>
        <w:topLinePunct w:val="0"/>
        <w:bidi w:val="0"/>
        <w:spacing w:line="241" w:lineRule="auto"/>
        <w:rPr>
          <w:highlight w:val="none"/>
        </w:rPr>
      </w:pPr>
    </w:p>
    <w:p w14:paraId="390CE6A3">
      <w:pPr>
        <w:pStyle w:val="9"/>
        <w:keepLines w:val="0"/>
        <w:pageBreakBefore w:val="0"/>
        <w:kinsoku/>
        <w:wordWrap/>
        <w:overflowPunct/>
        <w:topLinePunct w:val="0"/>
        <w:bidi w:val="0"/>
        <w:spacing w:line="241" w:lineRule="auto"/>
        <w:rPr>
          <w:highlight w:val="none"/>
        </w:rPr>
      </w:pPr>
    </w:p>
    <w:p w14:paraId="4C9AED1E">
      <w:pPr>
        <w:pStyle w:val="9"/>
        <w:keepLines w:val="0"/>
        <w:pageBreakBefore w:val="0"/>
        <w:kinsoku/>
        <w:wordWrap/>
        <w:overflowPunct/>
        <w:topLinePunct w:val="0"/>
        <w:bidi w:val="0"/>
        <w:spacing w:line="241" w:lineRule="auto"/>
        <w:rPr>
          <w:highlight w:val="none"/>
        </w:rPr>
      </w:pPr>
    </w:p>
    <w:p w14:paraId="2D4BE228">
      <w:pPr>
        <w:pStyle w:val="9"/>
        <w:keepLines w:val="0"/>
        <w:pageBreakBefore w:val="0"/>
        <w:kinsoku/>
        <w:wordWrap/>
        <w:overflowPunct/>
        <w:topLinePunct w:val="0"/>
        <w:bidi w:val="0"/>
        <w:spacing w:line="241" w:lineRule="auto"/>
        <w:rPr>
          <w:highlight w:val="none"/>
        </w:rPr>
      </w:pPr>
    </w:p>
    <w:p w14:paraId="2D16622E">
      <w:pPr>
        <w:pStyle w:val="9"/>
        <w:keepLines w:val="0"/>
        <w:pageBreakBefore w:val="0"/>
        <w:kinsoku/>
        <w:wordWrap/>
        <w:overflowPunct/>
        <w:topLinePunct w:val="0"/>
        <w:bidi w:val="0"/>
        <w:spacing w:line="241" w:lineRule="auto"/>
        <w:rPr>
          <w:highlight w:val="none"/>
        </w:rPr>
      </w:pPr>
    </w:p>
    <w:p w14:paraId="451BD203">
      <w:pPr>
        <w:pStyle w:val="9"/>
        <w:keepLines w:val="0"/>
        <w:pageBreakBefore w:val="0"/>
        <w:kinsoku/>
        <w:wordWrap/>
        <w:overflowPunct/>
        <w:topLinePunct w:val="0"/>
        <w:bidi w:val="0"/>
        <w:spacing w:line="241" w:lineRule="auto"/>
        <w:rPr>
          <w:highlight w:val="none"/>
        </w:rPr>
      </w:pPr>
    </w:p>
    <w:p w14:paraId="4B269D09">
      <w:pPr>
        <w:pStyle w:val="9"/>
        <w:keepLines w:val="0"/>
        <w:pageBreakBefore w:val="0"/>
        <w:kinsoku/>
        <w:wordWrap/>
        <w:overflowPunct/>
        <w:topLinePunct w:val="0"/>
        <w:bidi w:val="0"/>
        <w:spacing w:line="241" w:lineRule="auto"/>
        <w:rPr>
          <w:highlight w:val="none"/>
        </w:rPr>
      </w:pPr>
    </w:p>
    <w:p w14:paraId="4A47BEEC">
      <w:pPr>
        <w:pStyle w:val="9"/>
        <w:keepLines w:val="0"/>
        <w:pageBreakBefore w:val="0"/>
        <w:kinsoku/>
        <w:wordWrap/>
        <w:overflowPunct/>
        <w:topLinePunct w:val="0"/>
        <w:bidi w:val="0"/>
        <w:spacing w:line="241" w:lineRule="auto"/>
        <w:rPr>
          <w:highlight w:val="none"/>
        </w:rPr>
      </w:pPr>
    </w:p>
    <w:p w14:paraId="167973E0">
      <w:pPr>
        <w:pStyle w:val="9"/>
        <w:keepLines w:val="0"/>
        <w:pageBreakBefore w:val="0"/>
        <w:kinsoku/>
        <w:wordWrap/>
        <w:overflowPunct/>
        <w:topLinePunct w:val="0"/>
        <w:bidi w:val="0"/>
        <w:spacing w:line="241" w:lineRule="auto"/>
        <w:rPr>
          <w:highlight w:val="none"/>
        </w:rPr>
      </w:pPr>
    </w:p>
    <w:p w14:paraId="7212557E">
      <w:pPr>
        <w:pStyle w:val="9"/>
        <w:keepLines w:val="0"/>
        <w:pageBreakBefore w:val="0"/>
        <w:kinsoku/>
        <w:wordWrap/>
        <w:overflowPunct/>
        <w:topLinePunct w:val="0"/>
        <w:bidi w:val="0"/>
        <w:spacing w:line="241" w:lineRule="auto"/>
        <w:rPr>
          <w:highlight w:val="none"/>
        </w:rPr>
      </w:pPr>
    </w:p>
    <w:p w14:paraId="7A672FFB">
      <w:pPr>
        <w:keepLines w:val="0"/>
        <w:pageBreakBefore w:val="0"/>
        <w:kinsoku/>
        <w:wordWrap/>
        <w:overflowPunct/>
        <w:topLinePunct w:val="0"/>
        <w:bidi w:val="0"/>
        <w:spacing w:before="91" w:line="222" w:lineRule="auto"/>
        <w:ind w:left="896"/>
        <w:rPr>
          <w:rFonts w:ascii="仿宋" w:hAnsi="仿宋" w:eastAsia="仿宋" w:cs="仿宋"/>
          <w:sz w:val="28"/>
          <w:szCs w:val="28"/>
          <w:highlight w:val="none"/>
        </w:rPr>
      </w:pPr>
      <w:r>
        <w:rPr>
          <w:rFonts w:hint="eastAsia" w:ascii="仿宋" w:hAnsi="仿宋" w:eastAsia="仿宋" w:cs="仿宋"/>
          <w:spacing w:val="3"/>
          <w:sz w:val="28"/>
          <w:szCs w:val="28"/>
          <w:highlight w:val="none"/>
          <w:lang w:eastAsia="zh-CN"/>
        </w:rPr>
        <w:t>投标人</w:t>
      </w:r>
      <w:r>
        <w:rPr>
          <w:rFonts w:ascii="仿宋" w:hAnsi="仿宋" w:eastAsia="仿宋" w:cs="仿宋"/>
          <w:spacing w:val="-20"/>
          <w:sz w:val="28"/>
          <w:szCs w:val="28"/>
          <w:highlight w:val="none"/>
        </w:rPr>
        <w:t>：</w:t>
      </w:r>
      <w:r>
        <w:rPr>
          <w:rFonts w:ascii="仿宋" w:hAnsi="仿宋" w:eastAsia="仿宋" w:cs="仿宋"/>
          <w:spacing w:val="5"/>
          <w:sz w:val="28"/>
          <w:szCs w:val="28"/>
          <w:highlight w:val="none"/>
          <w:u w:val="single" w:color="auto"/>
        </w:rPr>
        <w:t xml:space="preserve">                      </w:t>
      </w:r>
      <w:r>
        <w:rPr>
          <w:rFonts w:ascii="仿宋" w:hAnsi="仿宋" w:eastAsia="仿宋" w:cs="仿宋"/>
          <w:spacing w:val="4"/>
          <w:sz w:val="28"/>
          <w:szCs w:val="28"/>
          <w:highlight w:val="none"/>
          <w:u w:val="single" w:color="auto"/>
        </w:rPr>
        <w:t xml:space="preserve">       </w:t>
      </w:r>
      <w:r>
        <w:rPr>
          <w:rFonts w:ascii="仿宋" w:hAnsi="仿宋" w:eastAsia="仿宋" w:cs="仿宋"/>
          <w:spacing w:val="-20"/>
          <w:sz w:val="28"/>
          <w:szCs w:val="28"/>
          <w:highlight w:val="none"/>
        </w:rPr>
        <w:t>（</w:t>
      </w:r>
      <w:r>
        <w:rPr>
          <w:rFonts w:ascii="仿宋" w:hAnsi="仿宋" w:eastAsia="仿宋" w:cs="仿宋"/>
          <w:spacing w:val="3"/>
          <w:sz w:val="28"/>
          <w:szCs w:val="28"/>
          <w:highlight w:val="none"/>
        </w:rPr>
        <w:t>盖单位章）</w:t>
      </w:r>
    </w:p>
    <w:p w14:paraId="2072C09A">
      <w:pPr>
        <w:keepLines w:val="0"/>
        <w:pageBreakBefore w:val="0"/>
        <w:kinsoku/>
        <w:wordWrap/>
        <w:overflowPunct/>
        <w:topLinePunct w:val="0"/>
        <w:bidi w:val="0"/>
        <w:spacing w:before="302" w:line="421" w:lineRule="auto"/>
        <w:ind w:left="905"/>
        <w:rPr>
          <w:rFonts w:ascii="仿宋" w:hAnsi="仿宋" w:eastAsia="仿宋" w:cs="仿宋"/>
          <w:sz w:val="28"/>
          <w:szCs w:val="28"/>
          <w:highlight w:val="none"/>
        </w:rPr>
      </w:pPr>
      <w:r>
        <w:rPr>
          <w:rFonts w:ascii="仿宋" w:hAnsi="仿宋" w:eastAsia="仿宋" w:cs="仿宋"/>
          <w:sz w:val="28"/>
          <w:szCs w:val="28"/>
          <w:highlight w:val="none"/>
        </w:rPr>
        <w:t>法定代表人或其委托代理人</w:t>
      </w:r>
      <w:r>
        <w:rPr>
          <w:rFonts w:ascii="仿宋" w:hAnsi="仿宋" w:eastAsia="仿宋" w:cs="仿宋"/>
          <w:spacing w:val="-14"/>
          <w:sz w:val="28"/>
          <w:szCs w:val="28"/>
          <w:highlight w:val="none"/>
        </w:rPr>
        <w:t>：</w:t>
      </w:r>
      <w:r>
        <w:rPr>
          <w:rFonts w:ascii="仿宋" w:hAnsi="仿宋" w:eastAsia="仿宋" w:cs="仿宋"/>
          <w:spacing w:val="9"/>
          <w:sz w:val="28"/>
          <w:szCs w:val="28"/>
          <w:highlight w:val="none"/>
          <w:u w:val="single" w:color="auto"/>
        </w:rPr>
        <w:t xml:space="preserve">               （签字</w:t>
      </w:r>
      <w:r>
        <w:rPr>
          <w:rFonts w:hint="eastAsia" w:ascii="仿宋" w:hAnsi="仿宋" w:eastAsia="仿宋" w:cs="仿宋"/>
          <w:spacing w:val="9"/>
          <w:sz w:val="28"/>
          <w:szCs w:val="28"/>
          <w:highlight w:val="none"/>
          <w:u w:val="single" w:color="auto"/>
          <w:lang w:val="en-US" w:eastAsia="zh-Hans"/>
        </w:rPr>
        <w:t>或盖章</w:t>
      </w:r>
      <w:r>
        <w:rPr>
          <w:rFonts w:ascii="仿宋" w:hAnsi="仿宋" w:eastAsia="仿宋" w:cs="仿宋"/>
          <w:spacing w:val="9"/>
          <w:sz w:val="28"/>
          <w:szCs w:val="28"/>
          <w:highlight w:val="none"/>
          <w:u w:val="single" w:color="auto"/>
        </w:rPr>
        <w:t>）</w:t>
      </w:r>
    </w:p>
    <w:p w14:paraId="6D5CDDE5">
      <w:pPr>
        <w:keepLines w:val="0"/>
        <w:pageBreakBefore w:val="0"/>
        <w:kinsoku/>
        <w:wordWrap/>
        <w:overflowPunct/>
        <w:topLinePunct w:val="0"/>
        <w:bidi w:val="0"/>
        <w:spacing w:before="2" w:line="222" w:lineRule="auto"/>
        <w:ind w:left="3352"/>
        <w:rPr>
          <w:rFonts w:ascii="仿宋" w:hAnsi="仿宋" w:eastAsia="仿宋" w:cs="仿宋"/>
          <w:sz w:val="28"/>
          <w:szCs w:val="28"/>
          <w:highlight w:val="none"/>
        </w:rPr>
      </w:pPr>
      <w:r>
        <w:rPr>
          <w:rFonts w:ascii="仿宋" w:hAnsi="仿宋" w:eastAsia="仿宋" w:cs="仿宋"/>
          <w:spacing w:val="-18"/>
          <w:sz w:val="28"/>
          <w:szCs w:val="28"/>
          <w:highlight w:val="none"/>
        </w:rPr>
        <w:t>年</w:t>
      </w:r>
      <w:r>
        <w:rPr>
          <w:rFonts w:ascii="仿宋" w:hAnsi="仿宋" w:eastAsia="仿宋" w:cs="仿宋"/>
          <w:spacing w:val="3"/>
          <w:sz w:val="28"/>
          <w:szCs w:val="28"/>
          <w:highlight w:val="none"/>
        </w:rPr>
        <w:t xml:space="preserve">        </w:t>
      </w:r>
      <w:r>
        <w:rPr>
          <w:rFonts w:ascii="仿宋" w:hAnsi="仿宋" w:eastAsia="仿宋" w:cs="仿宋"/>
          <w:spacing w:val="-18"/>
          <w:sz w:val="28"/>
          <w:szCs w:val="28"/>
          <w:highlight w:val="none"/>
        </w:rPr>
        <w:t>月</w:t>
      </w:r>
      <w:r>
        <w:rPr>
          <w:rFonts w:ascii="仿宋" w:hAnsi="仿宋" w:eastAsia="仿宋" w:cs="仿宋"/>
          <w:spacing w:val="10"/>
          <w:sz w:val="28"/>
          <w:szCs w:val="28"/>
          <w:highlight w:val="none"/>
        </w:rPr>
        <w:t xml:space="preserve">        </w:t>
      </w:r>
      <w:r>
        <w:rPr>
          <w:rFonts w:ascii="仿宋" w:hAnsi="仿宋" w:eastAsia="仿宋" w:cs="仿宋"/>
          <w:spacing w:val="-18"/>
          <w:sz w:val="28"/>
          <w:szCs w:val="28"/>
          <w:highlight w:val="none"/>
        </w:rPr>
        <w:t>日</w:t>
      </w:r>
    </w:p>
    <w:p w14:paraId="705D483C">
      <w:pPr>
        <w:keepLines w:val="0"/>
        <w:pageBreakBefore w:val="0"/>
        <w:kinsoku/>
        <w:wordWrap/>
        <w:overflowPunct/>
        <w:topLinePunct w:val="0"/>
        <w:bidi w:val="0"/>
        <w:spacing w:line="222" w:lineRule="auto"/>
        <w:rPr>
          <w:rFonts w:ascii="仿宋" w:hAnsi="仿宋" w:eastAsia="仿宋" w:cs="仿宋"/>
          <w:sz w:val="28"/>
          <w:szCs w:val="28"/>
          <w:highlight w:val="none"/>
        </w:rPr>
        <w:sectPr>
          <w:footerReference r:id="rId10" w:type="default"/>
          <w:pgSz w:w="11906" w:h="16839"/>
          <w:pgMar w:top="1440" w:right="1080" w:bottom="1440" w:left="1080" w:header="0" w:footer="989" w:gutter="0"/>
          <w:pgNumType w:fmt="decimal"/>
          <w:cols w:space="720" w:num="1"/>
        </w:sectPr>
      </w:pPr>
    </w:p>
    <w:p w14:paraId="1C109053">
      <w:pPr>
        <w:keepLines w:val="0"/>
        <w:pageBreakBefore w:val="0"/>
        <w:kinsoku/>
        <w:wordWrap/>
        <w:overflowPunct/>
        <w:topLinePunct w:val="0"/>
        <w:bidi w:val="0"/>
        <w:spacing w:before="65" w:line="232" w:lineRule="auto"/>
        <w:ind w:left="4216"/>
        <w:rPr>
          <w:rFonts w:ascii="仿宋" w:hAnsi="仿宋" w:eastAsia="仿宋" w:cs="仿宋"/>
          <w:sz w:val="32"/>
          <w:szCs w:val="32"/>
          <w:highlight w:val="none"/>
        </w:rPr>
      </w:pPr>
      <w:r>
        <w:rPr>
          <w:rFonts w:ascii="仿宋" w:hAnsi="仿宋" w:eastAsia="仿宋" w:cs="仿宋"/>
          <w:b/>
          <w:bCs/>
          <w:spacing w:val="-18"/>
          <w:sz w:val="32"/>
          <w:szCs w:val="32"/>
          <w:highlight w:val="none"/>
        </w:rPr>
        <w:t>目录</w:t>
      </w:r>
    </w:p>
    <w:p w14:paraId="4F2263CF">
      <w:pPr>
        <w:pStyle w:val="9"/>
        <w:keepLines w:val="0"/>
        <w:pageBreakBefore w:val="0"/>
        <w:kinsoku/>
        <w:wordWrap/>
        <w:overflowPunct/>
        <w:topLinePunct w:val="0"/>
        <w:bidi w:val="0"/>
        <w:spacing w:line="243" w:lineRule="auto"/>
        <w:rPr>
          <w:highlight w:val="none"/>
        </w:rPr>
      </w:pPr>
    </w:p>
    <w:p w14:paraId="089D5CB6">
      <w:pPr>
        <w:pStyle w:val="9"/>
        <w:keepLines w:val="0"/>
        <w:pageBreakBefore w:val="0"/>
        <w:kinsoku/>
        <w:wordWrap/>
        <w:overflowPunct/>
        <w:topLinePunct w:val="0"/>
        <w:bidi w:val="0"/>
        <w:spacing w:line="244" w:lineRule="auto"/>
        <w:rPr>
          <w:highlight w:val="none"/>
        </w:rPr>
      </w:pPr>
    </w:p>
    <w:p w14:paraId="20837384">
      <w:pPr>
        <w:keepNext w:val="0"/>
        <w:keepLines w:val="0"/>
        <w:pageBreakBefore w:val="0"/>
        <w:widowControl/>
        <w:kinsoku/>
        <w:wordWrap/>
        <w:overflowPunct/>
        <w:topLinePunct w:val="0"/>
        <w:autoSpaceDE w:val="0"/>
        <w:autoSpaceDN w:val="0"/>
        <w:bidi w:val="0"/>
        <w:adjustRightInd w:val="0"/>
        <w:snapToGrid w:val="0"/>
        <w:spacing w:before="65" w:line="440" w:lineRule="exact"/>
        <w:ind w:left="670"/>
        <w:textAlignment w:val="baseline"/>
        <w:outlineLvl w:val="1"/>
        <w:rPr>
          <w:rFonts w:ascii="仿宋" w:hAnsi="仿宋" w:eastAsia="仿宋" w:cs="仿宋"/>
          <w:color w:val="auto"/>
          <w:sz w:val="24"/>
          <w:szCs w:val="24"/>
          <w:highlight w:val="none"/>
        </w:rPr>
      </w:pPr>
      <w:r>
        <w:rPr>
          <w:rFonts w:ascii="仿宋" w:hAnsi="仿宋" w:eastAsia="仿宋" w:cs="仿宋"/>
          <w:b/>
          <w:bCs/>
          <w:color w:val="auto"/>
          <w:spacing w:val="1"/>
          <w:sz w:val="24"/>
          <w:szCs w:val="24"/>
          <w:highlight w:val="none"/>
        </w:rPr>
        <w:t>1.投标函</w:t>
      </w:r>
    </w:p>
    <w:p w14:paraId="4A638D6F">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color w:val="auto"/>
          <w:sz w:val="24"/>
          <w:szCs w:val="24"/>
          <w:highlight w:val="none"/>
        </w:rPr>
      </w:pPr>
      <w:r>
        <w:rPr>
          <w:rFonts w:ascii="仿宋" w:hAnsi="仿宋" w:eastAsia="仿宋" w:cs="仿宋"/>
          <w:b/>
          <w:bCs/>
          <w:color w:val="auto"/>
          <w:spacing w:val="6"/>
          <w:position w:val="14"/>
          <w:sz w:val="24"/>
          <w:szCs w:val="24"/>
          <w:highlight w:val="none"/>
        </w:rPr>
        <w:t>2.投标报价一览表</w:t>
      </w:r>
    </w:p>
    <w:p w14:paraId="04B6C174">
      <w:pPr>
        <w:keepNext w:val="0"/>
        <w:keepLines w:val="0"/>
        <w:pageBreakBefore w:val="0"/>
        <w:widowControl/>
        <w:kinsoku/>
        <w:wordWrap/>
        <w:overflowPunct/>
        <w:topLinePunct w:val="0"/>
        <w:autoSpaceDE w:val="0"/>
        <w:autoSpaceDN w:val="0"/>
        <w:bidi w:val="0"/>
        <w:adjustRightInd w:val="0"/>
        <w:snapToGrid w:val="0"/>
        <w:spacing w:before="1" w:line="440" w:lineRule="exact"/>
        <w:ind w:left="659"/>
        <w:textAlignment w:val="baseline"/>
        <w:rPr>
          <w:rFonts w:ascii="仿宋" w:hAnsi="仿宋" w:eastAsia="仿宋" w:cs="仿宋"/>
          <w:b/>
          <w:bCs/>
          <w:color w:val="auto"/>
          <w:spacing w:val="6"/>
          <w:sz w:val="24"/>
          <w:szCs w:val="24"/>
          <w:highlight w:val="none"/>
        </w:rPr>
      </w:pPr>
      <w:r>
        <w:rPr>
          <w:rFonts w:ascii="仿宋" w:hAnsi="仿宋" w:eastAsia="仿宋" w:cs="仿宋"/>
          <w:b/>
          <w:bCs/>
          <w:color w:val="auto"/>
          <w:spacing w:val="6"/>
          <w:sz w:val="24"/>
          <w:szCs w:val="24"/>
          <w:highlight w:val="none"/>
        </w:rPr>
        <w:t>3.分项报价明细表</w:t>
      </w:r>
    </w:p>
    <w:p w14:paraId="1CFBBED2">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default"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4.投标货物（设备）技术、性能、质量具体明细及偏离表</w:t>
      </w:r>
    </w:p>
    <w:p w14:paraId="56B3659D">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highlight w:val="none"/>
        </w:rPr>
      </w:pPr>
      <w:r>
        <w:rPr>
          <w:rFonts w:hint="eastAsia" w:ascii="仿宋" w:hAnsi="仿宋" w:eastAsia="仿宋" w:cs="仿宋"/>
          <w:b/>
          <w:bCs/>
          <w:color w:val="auto"/>
          <w:spacing w:val="6"/>
          <w:position w:val="14"/>
          <w:sz w:val="24"/>
          <w:szCs w:val="24"/>
          <w:highlight w:val="none"/>
          <w:lang w:val="en-US" w:eastAsia="zh-CN"/>
        </w:rPr>
        <w:t>5</w:t>
      </w:r>
      <w:r>
        <w:rPr>
          <w:rFonts w:ascii="仿宋" w:hAnsi="仿宋" w:eastAsia="仿宋" w:cs="仿宋"/>
          <w:b/>
          <w:bCs/>
          <w:color w:val="auto"/>
          <w:spacing w:val="6"/>
          <w:position w:val="14"/>
          <w:sz w:val="24"/>
          <w:szCs w:val="24"/>
          <w:highlight w:val="none"/>
        </w:rPr>
        <w:t>.法定代表人身份证明</w:t>
      </w:r>
    </w:p>
    <w:p w14:paraId="6CB3DD24">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highlight w:val="none"/>
        </w:rPr>
      </w:pPr>
      <w:r>
        <w:rPr>
          <w:rFonts w:hint="eastAsia" w:ascii="仿宋" w:hAnsi="仿宋" w:eastAsia="仿宋" w:cs="仿宋"/>
          <w:b/>
          <w:bCs/>
          <w:color w:val="auto"/>
          <w:spacing w:val="6"/>
          <w:position w:val="14"/>
          <w:sz w:val="24"/>
          <w:szCs w:val="24"/>
          <w:highlight w:val="none"/>
          <w:lang w:val="en-US" w:eastAsia="zh-CN"/>
        </w:rPr>
        <w:t>6</w:t>
      </w:r>
      <w:r>
        <w:rPr>
          <w:rFonts w:ascii="仿宋" w:hAnsi="仿宋" w:eastAsia="仿宋" w:cs="仿宋"/>
          <w:b/>
          <w:bCs/>
          <w:color w:val="auto"/>
          <w:spacing w:val="6"/>
          <w:position w:val="14"/>
          <w:sz w:val="24"/>
          <w:szCs w:val="24"/>
          <w:highlight w:val="none"/>
        </w:rPr>
        <w:t>.法定代表人授权委托书</w:t>
      </w:r>
    </w:p>
    <w:p w14:paraId="1C07361F">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highlight w:val="none"/>
        </w:rPr>
      </w:pPr>
      <w:r>
        <w:rPr>
          <w:rFonts w:hint="eastAsia" w:ascii="仿宋" w:hAnsi="仿宋" w:eastAsia="仿宋" w:cs="仿宋"/>
          <w:b/>
          <w:bCs/>
          <w:color w:val="auto"/>
          <w:spacing w:val="6"/>
          <w:position w:val="14"/>
          <w:sz w:val="24"/>
          <w:szCs w:val="24"/>
          <w:highlight w:val="none"/>
          <w:lang w:val="en-US" w:eastAsia="zh-CN"/>
        </w:rPr>
        <w:t>7</w:t>
      </w:r>
      <w:r>
        <w:rPr>
          <w:rFonts w:ascii="仿宋" w:hAnsi="仿宋" w:eastAsia="仿宋" w:cs="仿宋"/>
          <w:b/>
          <w:bCs/>
          <w:color w:val="auto"/>
          <w:spacing w:val="6"/>
          <w:position w:val="14"/>
          <w:sz w:val="24"/>
          <w:szCs w:val="24"/>
          <w:highlight w:val="none"/>
        </w:rPr>
        <w:t>.</w:t>
      </w:r>
      <w:r>
        <w:rPr>
          <w:rFonts w:hint="eastAsia" w:ascii="仿宋" w:hAnsi="仿宋" w:eastAsia="仿宋" w:cs="仿宋"/>
          <w:b/>
          <w:bCs/>
          <w:color w:val="auto"/>
          <w:spacing w:val="6"/>
          <w:position w:val="14"/>
          <w:sz w:val="24"/>
          <w:szCs w:val="24"/>
          <w:highlight w:val="none"/>
          <w:lang w:eastAsia="zh-CN"/>
        </w:rPr>
        <w:t>投标人</w:t>
      </w:r>
      <w:r>
        <w:rPr>
          <w:rFonts w:ascii="仿宋" w:hAnsi="仿宋" w:eastAsia="仿宋" w:cs="仿宋"/>
          <w:b/>
          <w:bCs/>
          <w:color w:val="auto"/>
          <w:spacing w:val="6"/>
          <w:position w:val="14"/>
          <w:sz w:val="24"/>
          <w:szCs w:val="24"/>
          <w:highlight w:val="none"/>
        </w:rPr>
        <w:t>基本情况</w:t>
      </w:r>
    </w:p>
    <w:p w14:paraId="015FB546">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ascii="仿宋" w:hAnsi="仿宋" w:eastAsia="仿宋" w:cs="仿宋"/>
          <w:b/>
          <w:bCs/>
          <w:color w:val="auto"/>
          <w:spacing w:val="6"/>
          <w:position w:val="14"/>
          <w:sz w:val="24"/>
          <w:szCs w:val="24"/>
          <w:highlight w:val="none"/>
        </w:rPr>
      </w:pPr>
      <w:r>
        <w:rPr>
          <w:rFonts w:hint="eastAsia" w:ascii="仿宋" w:hAnsi="仿宋" w:eastAsia="仿宋" w:cs="仿宋"/>
          <w:b/>
          <w:bCs/>
          <w:color w:val="auto"/>
          <w:spacing w:val="6"/>
          <w:position w:val="14"/>
          <w:sz w:val="24"/>
          <w:szCs w:val="24"/>
          <w:highlight w:val="none"/>
          <w:lang w:val="en-US" w:eastAsia="zh-CN"/>
        </w:rPr>
        <w:t>8</w:t>
      </w:r>
      <w:r>
        <w:rPr>
          <w:rFonts w:ascii="仿宋" w:hAnsi="仿宋" w:eastAsia="仿宋" w:cs="仿宋"/>
          <w:b/>
          <w:bCs/>
          <w:color w:val="auto"/>
          <w:spacing w:val="6"/>
          <w:position w:val="14"/>
          <w:sz w:val="24"/>
          <w:szCs w:val="24"/>
          <w:highlight w:val="none"/>
        </w:rPr>
        <w:t>.近三年无重大违法记录声明</w:t>
      </w:r>
    </w:p>
    <w:p w14:paraId="6E6C45B8">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9.具有履行合同所必需的设备和专业技术能力的承诺函</w:t>
      </w:r>
    </w:p>
    <w:p w14:paraId="18339355">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10.提供单位负责人为同一人或者存在直接控股、管理关系的不同投标人，不得参加同一合同项下的政府采购活动的书面声明（格式自拟）</w:t>
      </w:r>
    </w:p>
    <w:p w14:paraId="78DCC5FB">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11.拟投入本项目管理、服务、其他人员情况表</w:t>
      </w:r>
    </w:p>
    <w:p w14:paraId="4CA46E30">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12.保证金缴存证明（符合招标文件要求）</w:t>
      </w:r>
    </w:p>
    <w:p w14:paraId="0AE1513C">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default"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13.方案及承诺书</w:t>
      </w:r>
    </w:p>
    <w:p w14:paraId="43EC11E8">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14.其他证明材料</w:t>
      </w:r>
    </w:p>
    <w:p w14:paraId="3A4E1241">
      <w:pPr>
        <w:keepNext w:val="0"/>
        <w:keepLines w:val="0"/>
        <w:pageBreakBefore w:val="0"/>
        <w:widowControl/>
        <w:kinsoku/>
        <w:wordWrap/>
        <w:overflowPunct/>
        <w:topLinePunct w:val="0"/>
        <w:autoSpaceDE w:val="0"/>
        <w:autoSpaceDN w:val="0"/>
        <w:bidi w:val="0"/>
        <w:adjustRightInd w:val="0"/>
        <w:snapToGrid w:val="0"/>
        <w:spacing w:before="150" w:line="440" w:lineRule="exact"/>
        <w:ind w:left="657"/>
        <w:textAlignment w:val="baseline"/>
        <w:rPr>
          <w:rFonts w:hint="eastAsia" w:ascii="仿宋" w:hAnsi="仿宋" w:eastAsia="仿宋" w:cs="仿宋"/>
          <w:b/>
          <w:bCs/>
          <w:color w:val="auto"/>
          <w:spacing w:val="6"/>
          <w:position w:val="14"/>
          <w:sz w:val="24"/>
          <w:szCs w:val="24"/>
          <w:highlight w:val="none"/>
          <w:lang w:val="en-US" w:eastAsia="zh-CN"/>
        </w:rPr>
      </w:pPr>
      <w:r>
        <w:rPr>
          <w:rFonts w:hint="eastAsia" w:ascii="仿宋" w:hAnsi="仿宋" w:eastAsia="仿宋" w:cs="仿宋"/>
          <w:b/>
          <w:bCs/>
          <w:color w:val="auto"/>
          <w:spacing w:val="6"/>
          <w:position w:val="14"/>
          <w:sz w:val="24"/>
          <w:szCs w:val="24"/>
          <w:highlight w:val="none"/>
          <w:lang w:val="en-US" w:eastAsia="zh-CN"/>
        </w:rPr>
        <w:t>15.声明函</w:t>
      </w:r>
    </w:p>
    <w:p w14:paraId="7BB50BDB">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highlight w:val="none"/>
        </w:rPr>
      </w:pPr>
    </w:p>
    <w:p w14:paraId="6AB897A4">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highlight w:val="none"/>
        </w:rPr>
      </w:pPr>
    </w:p>
    <w:p w14:paraId="70DBCDB2">
      <w:pPr>
        <w:keepLines w:val="0"/>
        <w:pageBreakBefore w:val="0"/>
        <w:kinsoku/>
        <w:wordWrap/>
        <w:overflowPunct/>
        <w:topLinePunct w:val="0"/>
        <w:bidi w:val="0"/>
        <w:spacing w:before="182" w:line="534" w:lineRule="exact"/>
        <w:ind w:left="3440"/>
        <w:rPr>
          <w:rFonts w:ascii="仿宋" w:hAnsi="仿宋" w:eastAsia="仿宋" w:cs="仿宋"/>
          <w:b/>
          <w:bCs/>
          <w:color w:val="auto"/>
          <w:spacing w:val="1"/>
          <w:position w:val="15"/>
          <w:sz w:val="31"/>
          <w:szCs w:val="31"/>
          <w:highlight w:val="none"/>
        </w:rPr>
      </w:pPr>
    </w:p>
    <w:p w14:paraId="23B61480">
      <w:pPr>
        <w:keepLines w:val="0"/>
        <w:pageBreakBefore w:val="0"/>
        <w:kinsoku/>
        <w:wordWrap/>
        <w:overflowPunct/>
        <w:topLinePunct w:val="0"/>
        <w:bidi w:val="0"/>
        <w:spacing w:before="182" w:line="534" w:lineRule="exact"/>
        <w:ind w:left="3440"/>
        <w:rPr>
          <w:rFonts w:ascii="仿宋" w:hAnsi="仿宋" w:eastAsia="仿宋" w:cs="仿宋"/>
          <w:b/>
          <w:bCs/>
          <w:spacing w:val="1"/>
          <w:position w:val="15"/>
          <w:sz w:val="31"/>
          <w:szCs w:val="31"/>
          <w:highlight w:val="none"/>
        </w:rPr>
      </w:pPr>
    </w:p>
    <w:p w14:paraId="50CBA781">
      <w:pPr>
        <w:keepLines w:val="0"/>
        <w:pageBreakBefore w:val="0"/>
        <w:kinsoku/>
        <w:wordWrap/>
        <w:overflowPunct/>
        <w:topLinePunct w:val="0"/>
        <w:bidi w:val="0"/>
        <w:spacing w:before="182" w:line="534" w:lineRule="exact"/>
        <w:rPr>
          <w:rFonts w:ascii="仿宋" w:hAnsi="仿宋" w:eastAsia="仿宋" w:cs="仿宋"/>
          <w:b/>
          <w:bCs/>
          <w:spacing w:val="1"/>
          <w:position w:val="15"/>
          <w:sz w:val="31"/>
          <w:szCs w:val="31"/>
          <w:highlight w:val="none"/>
        </w:rPr>
      </w:pPr>
    </w:p>
    <w:p w14:paraId="2191BCD4">
      <w:pPr>
        <w:keepLines w:val="0"/>
        <w:pageBreakBefore w:val="0"/>
        <w:kinsoku/>
        <w:wordWrap/>
        <w:overflowPunct/>
        <w:topLinePunct w:val="0"/>
        <w:bidi w:val="0"/>
        <w:spacing w:before="182" w:line="534" w:lineRule="exact"/>
        <w:ind w:left="3440"/>
        <w:rPr>
          <w:rFonts w:ascii="仿宋" w:hAnsi="仿宋" w:eastAsia="仿宋" w:cs="仿宋"/>
          <w:sz w:val="31"/>
          <w:szCs w:val="31"/>
          <w:highlight w:val="none"/>
        </w:rPr>
      </w:pPr>
      <w:r>
        <w:rPr>
          <w:rFonts w:ascii="仿宋" w:hAnsi="仿宋" w:eastAsia="仿宋" w:cs="仿宋"/>
          <w:b/>
          <w:bCs/>
          <w:spacing w:val="1"/>
          <w:position w:val="15"/>
          <w:sz w:val="31"/>
          <w:szCs w:val="31"/>
          <w:highlight w:val="none"/>
        </w:rPr>
        <w:t>（报价文件）</w:t>
      </w:r>
    </w:p>
    <w:p w14:paraId="335C861B">
      <w:pPr>
        <w:keepLines w:val="0"/>
        <w:pageBreakBefore w:val="0"/>
        <w:kinsoku/>
        <w:wordWrap/>
        <w:overflowPunct/>
        <w:topLinePunct w:val="0"/>
        <w:bidi w:val="0"/>
        <w:spacing w:line="230" w:lineRule="auto"/>
        <w:ind w:left="3925"/>
        <w:rPr>
          <w:rFonts w:ascii="仿宋" w:hAnsi="仿宋" w:eastAsia="仿宋" w:cs="仿宋"/>
          <w:sz w:val="24"/>
          <w:szCs w:val="24"/>
          <w:highlight w:val="none"/>
        </w:rPr>
      </w:pPr>
      <w:r>
        <w:rPr>
          <w:rFonts w:ascii="仿宋" w:hAnsi="仿宋" w:eastAsia="仿宋" w:cs="仿宋"/>
          <w:b/>
          <w:bCs/>
          <w:spacing w:val="-1"/>
          <w:sz w:val="24"/>
          <w:szCs w:val="24"/>
          <w:highlight w:val="none"/>
        </w:rPr>
        <w:t>1.</w:t>
      </w:r>
      <w:r>
        <w:rPr>
          <w:rFonts w:ascii="仿宋" w:hAnsi="仿宋" w:eastAsia="仿宋" w:cs="仿宋"/>
          <w:spacing w:val="21"/>
          <w:sz w:val="24"/>
          <w:szCs w:val="24"/>
          <w:highlight w:val="none"/>
        </w:rPr>
        <w:t xml:space="preserve"> </w:t>
      </w:r>
      <w:r>
        <w:rPr>
          <w:rFonts w:ascii="仿宋" w:hAnsi="仿宋" w:eastAsia="仿宋" w:cs="仿宋"/>
          <w:b/>
          <w:bCs/>
          <w:spacing w:val="-1"/>
          <w:sz w:val="24"/>
          <w:szCs w:val="24"/>
          <w:highlight w:val="none"/>
        </w:rPr>
        <w:t>投标函</w:t>
      </w:r>
    </w:p>
    <w:p w14:paraId="09FBD4A8">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致：</w:t>
      </w:r>
      <w:r>
        <w:rPr>
          <w:rFonts w:ascii="仿宋" w:hAnsi="仿宋" w:eastAsia="仿宋" w:cs="仿宋"/>
          <w:spacing w:val="7"/>
          <w:sz w:val="24"/>
          <w:szCs w:val="24"/>
          <w:highlight w:val="none"/>
          <w:u w:val="single"/>
        </w:rPr>
        <w:t xml:space="preserve">             (</w:t>
      </w:r>
      <w:r>
        <w:rPr>
          <w:rFonts w:hint="eastAsia" w:ascii="仿宋" w:hAnsi="仿宋" w:eastAsia="仿宋" w:cs="仿宋"/>
          <w:spacing w:val="7"/>
          <w:sz w:val="24"/>
          <w:szCs w:val="24"/>
          <w:highlight w:val="none"/>
          <w:u w:val="single"/>
          <w:lang w:eastAsia="zh-CN"/>
        </w:rPr>
        <w:t>采购人</w:t>
      </w:r>
      <w:r>
        <w:rPr>
          <w:rFonts w:ascii="仿宋" w:hAnsi="仿宋" w:eastAsia="仿宋" w:cs="仿宋"/>
          <w:spacing w:val="7"/>
          <w:sz w:val="24"/>
          <w:szCs w:val="24"/>
          <w:highlight w:val="none"/>
          <w:u w:val="single"/>
        </w:rPr>
        <w:t>)：</w:t>
      </w:r>
    </w:p>
    <w:p w14:paraId="560BAC5F">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根据贵方为</w:t>
      </w:r>
      <w:r>
        <w:rPr>
          <w:rFonts w:ascii="仿宋" w:hAnsi="仿宋" w:eastAsia="仿宋" w:cs="仿宋"/>
          <w:spacing w:val="7"/>
          <w:sz w:val="24"/>
          <w:szCs w:val="24"/>
          <w:highlight w:val="none"/>
          <w:u w:val="single"/>
        </w:rPr>
        <w:t xml:space="preserve">           （</w:t>
      </w:r>
      <w:r>
        <w:rPr>
          <w:rFonts w:hint="eastAsia" w:ascii="仿宋" w:hAnsi="仿宋" w:eastAsia="仿宋" w:cs="仿宋"/>
          <w:spacing w:val="7"/>
          <w:sz w:val="24"/>
          <w:szCs w:val="24"/>
          <w:highlight w:val="none"/>
          <w:u w:val="single"/>
          <w:lang w:eastAsia="zh-CN"/>
        </w:rPr>
        <w:t>项目名称</w:t>
      </w:r>
      <w:r>
        <w:rPr>
          <w:rFonts w:ascii="仿宋" w:hAnsi="仿宋" w:eastAsia="仿宋" w:cs="仿宋"/>
          <w:spacing w:val="7"/>
          <w:sz w:val="24"/>
          <w:szCs w:val="24"/>
          <w:highlight w:val="none"/>
          <w:u w:val="single"/>
        </w:rPr>
        <w:t>、项目编号）</w:t>
      </w:r>
      <w:r>
        <w:rPr>
          <w:rFonts w:ascii="仿宋" w:hAnsi="仿宋" w:eastAsia="仿宋" w:cs="仿宋"/>
          <w:spacing w:val="7"/>
          <w:sz w:val="24"/>
          <w:szCs w:val="24"/>
          <w:highlight w:val="none"/>
        </w:rPr>
        <w:t>的要求，签字代表</w:t>
      </w:r>
      <w:r>
        <w:rPr>
          <w:rFonts w:ascii="仿宋" w:hAnsi="仿宋" w:eastAsia="仿宋" w:cs="仿宋"/>
          <w:spacing w:val="7"/>
          <w:sz w:val="24"/>
          <w:szCs w:val="24"/>
          <w:highlight w:val="none"/>
          <w:u w:val="single"/>
        </w:rPr>
        <w:t xml:space="preserve">         （姓名、 职务）</w:t>
      </w:r>
      <w:r>
        <w:rPr>
          <w:rFonts w:ascii="仿宋" w:hAnsi="仿宋" w:eastAsia="仿宋" w:cs="仿宋"/>
          <w:spacing w:val="7"/>
          <w:sz w:val="24"/>
          <w:szCs w:val="24"/>
          <w:highlight w:val="none"/>
        </w:rPr>
        <w:t>经正式授权并代表</w:t>
      </w: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u w:val="single"/>
        </w:rPr>
        <w:t xml:space="preserve">        （</w:t>
      </w:r>
      <w:r>
        <w:rPr>
          <w:rFonts w:hint="eastAsia" w:ascii="仿宋" w:hAnsi="仿宋" w:eastAsia="仿宋" w:cs="仿宋"/>
          <w:spacing w:val="7"/>
          <w:sz w:val="24"/>
          <w:szCs w:val="24"/>
          <w:highlight w:val="none"/>
          <w:u w:val="single"/>
          <w:lang w:eastAsia="zh-CN"/>
        </w:rPr>
        <w:t>投标人</w:t>
      </w:r>
      <w:r>
        <w:rPr>
          <w:rFonts w:ascii="仿宋" w:hAnsi="仿宋" w:eastAsia="仿宋" w:cs="仿宋"/>
          <w:spacing w:val="7"/>
          <w:sz w:val="24"/>
          <w:szCs w:val="24"/>
          <w:highlight w:val="none"/>
          <w:u w:val="single"/>
        </w:rPr>
        <w:t>名称、地址）</w:t>
      </w:r>
      <w:r>
        <w:rPr>
          <w:rFonts w:ascii="仿宋" w:hAnsi="仿宋" w:eastAsia="仿宋" w:cs="仿宋"/>
          <w:spacing w:val="7"/>
          <w:sz w:val="24"/>
          <w:szCs w:val="24"/>
          <w:highlight w:val="none"/>
        </w:rPr>
        <w:t>提交下述投标文件并在此声明，所递交的投标文件内容完整、真实。在此，签字代表承诺如下：</w:t>
      </w:r>
    </w:p>
    <w:p w14:paraId="113484DA">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1、我方在详细阅读招标文件各项要求，根据对应采购内容及采购要求规定愿以</w:t>
      </w:r>
      <w:r>
        <w:rPr>
          <w:rFonts w:hint="eastAsia" w:ascii="仿宋" w:hAnsi="仿宋" w:eastAsia="仿宋" w:cs="仿宋"/>
          <w:spacing w:val="7"/>
          <w:sz w:val="24"/>
          <w:szCs w:val="24"/>
          <w:highlight w:val="none"/>
          <w:lang w:eastAsia="zh-CN"/>
        </w:rPr>
        <w:t>投标总报价（元）</w:t>
      </w:r>
      <w:r>
        <w:rPr>
          <w:rFonts w:ascii="仿宋" w:hAnsi="仿宋" w:eastAsia="仿宋" w:cs="仿宋"/>
          <w:spacing w:val="7"/>
          <w:sz w:val="24"/>
          <w:szCs w:val="24"/>
          <w:highlight w:val="none"/>
        </w:rPr>
        <w:t>：</w:t>
      </w:r>
      <w:r>
        <w:rPr>
          <w:rFonts w:ascii="仿宋" w:hAnsi="仿宋" w:eastAsia="仿宋" w:cs="仿宋"/>
          <w:spacing w:val="7"/>
          <w:sz w:val="24"/>
          <w:szCs w:val="24"/>
          <w:highlight w:val="none"/>
          <w:u w:val="single"/>
        </w:rPr>
        <w:t>小写：           (大写：            )</w:t>
      </w:r>
      <w:r>
        <w:rPr>
          <w:rFonts w:ascii="仿宋" w:hAnsi="仿宋" w:eastAsia="仿宋" w:cs="仿宋"/>
          <w:spacing w:val="7"/>
          <w:sz w:val="24"/>
          <w:szCs w:val="24"/>
          <w:highlight w:val="none"/>
        </w:rPr>
        <w:t>完成本项目全部相关服务。</w:t>
      </w:r>
    </w:p>
    <w:p w14:paraId="25C840AB">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2、我方将按招标文件的规定履行合同责任和义务。</w:t>
      </w:r>
    </w:p>
    <w:p w14:paraId="36B3D8DE">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3、我方已详细审查全部招标文件，我们完全理解并同意放弃对这方面有不明及误解的权力。</w:t>
      </w:r>
    </w:p>
    <w:p w14:paraId="16EF5389">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4、若我方取得中标资格，愿以本项目招标文件规定，向</w:t>
      </w:r>
      <w:r>
        <w:rPr>
          <w:rFonts w:hint="eastAsia" w:ascii="仿宋" w:hAnsi="仿宋" w:eastAsia="仿宋" w:cs="仿宋"/>
          <w:spacing w:val="7"/>
          <w:sz w:val="24"/>
          <w:szCs w:val="24"/>
          <w:highlight w:val="none"/>
          <w:lang w:eastAsia="zh-CN"/>
        </w:rPr>
        <w:t>采购代理机构</w:t>
      </w:r>
      <w:r>
        <w:rPr>
          <w:rFonts w:ascii="仿宋" w:hAnsi="仿宋" w:eastAsia="仿宋" w:cs="仿宋"/>
          <w:spacing w:val="7"/>
          <w:sz w:val="24"/>
          <w:szCs w:val="24"/>
          <w:highlight w:val="none"/>
        </w:rPr>
        <w:t>缴纳招标代理服务费。</w:t>
      </w:r>
    </w:p>
    <w:p w14:paraId="52FA8B05">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val="en-US" w:eastAsia="zh-CN"/>
        </w:rPr>
        <w:t>5</w:t>
      </w:r>
      <w:r>
        <w:rPr>
          <w:rFonts w:ascii="仿宋" w:hAnsi="仿宋" w:eastAsia="仿宋" w:cs="仿宋"/>
          <w:spacing w:val="7"/>
          <w:sz w:val="24"/>
          <w:szCs w:val="24"/>
          <w:highlight w:val="none"/>
        </w:rPr>
        <w:t>、我方同意提供贵方可能要求的与其投标有关的一切数据或资料。</w:t>
      </w:r>
    </w:p>
    <w:p w14:paraId="74882614">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hint="eastAsia" w:ascii="仿宋" w:hAnsi="仿宋" w:eastAsia="仿宋" w:cs="仿宋"/>
          <w:spacing w:val="7"/>
          <w:sz w:val="24"/>
          <w:szCs w:val="24"/>
          <w:highlight w:val="none"/>
          <w:lang w:val="en-US" w:eastAsia="zh-CN"/>
        </w:rPr>
      </w:pPr>
      <w:r>
        <w:rPr>
          <w:rFonts w:hint="eastAsia" w:ascii="仿宋" w:hAnsi="仿宋" w:eastAsia="仿宋" w:cs="仿宋"/>
          <w:spacing w:val="7"/>
          <w:sz w:val="24"/>
          <w:szCs w:val="24"/>
          <w:highlight w:val="none"/>
          <w:lang w:val="en-US" w:eastAsia="zh-CN"/>
        </w:rPr>
        <w:t>6、</w:t>
      </w:r>
      <w:r>
        <w:rPr>
          <w:rFonts w:hint="eastAsia" w:ascii="仿宋" w:hAnsi="仿宋" w:eastAsia="仿宋" w:cs="仿宋"/>
          <w:spacing w:val="7"/>
          <w:sz w:val="24"/>
          <w:szCs w:val="24"/>
          <w:highlight w:val="none"/>
          <w:u w:val="single"/>
          <w:lang w:val="en-US" w:eastAsia="zh-CN"/>
        </w:rPr>
        <w:t xml:space="preserve">                                           </w:t>
      </w:r>
      <w:r>
        <w:rPr>
          <w:rFonts w:hint="eastAsia" w:ascii="仿宋" w:hAnsi="仿宋" w:eastAsia="仿宋" w:cs="仿宋"/>
          <w:spacing w:val="7"/>
          <w:sz w:val="24"/>
          <w:szCs w:val="24"/>
          <w:highlight w:val="none"/>
          <w:lang w:val="en-US" w:eastAsia="zh-CN"/>
        </w:rPr>
        <w:t>（投标人认为需要的其他补充说明）。</w:t>
      </w:r>
    </w:p>
    <w:p w14:paraId="3BE67639">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7、与本投标有关的一切正式往来信函请寄：</w:t>
      </w:r>
    </w:p>
    <w:p w14:paraId="65D01F10">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val="en-US" w:eastAsia="zh-CN"/>
        </w:rPr>
        <w:t>8、</w:t>
      </w:r>
      <w:r>
        <w:rPr>
          <w:rFonts w:ascii="仿宋" w:hAnsi="仿宋" w:eastAsia="仿宋" w:cs="仿宋"/>
          <w:spacing w:val="7"/>
          <w:sz w:val="24"/>
          <w:szCs w:val="24"/>
          <w:highlight w:val="none"/>
        </w:rPr>
        <w:t>投标文件自开标日起有效期为</w:t>
      </w:r>
      <w:r>
        <w:rPr>
          <w:rFonts w:ascii="仿宋" w:hAnsi="仿宋" w:eastAsia="仿宋" w:cs="仿宋"/>
          <w:spacing w:val="7"/>
          <w:sz w:val="24"/>
          <w:szCs w:val="24"/>
          <w:highlight w:val="none"/>
          <w:u w:val="single"/>
        </w:rPr>
        <w:t xml:space="preserve">     </w:t>
      </w:r>
      <w:r>
        <w:rPr>
          <w:rFonts w:ascii="仿宋" w:hAnsi="仿宋" w:eastAsia="仿宋" w:cs="仿宋"/>
          <w:spacing w:val="7"/>
          <w:sz w:val="24"/>
          <w:szCs w:val="24"/>
          <w:highlight w:val="none"/>
        </w:rPr>
        <w:t>日历日。</w:t>
      </w:r>
    </w:p>
    <w:p w14:paraId="488E9F21">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u w:val="single"/>
        </w:rPr>
      </w:pPr>
      <w:r>
        <w:rPr>
          <w:rFonts w:ascii="仿宋" w:hAnsi="仿宋" w:eastAsia="仿宋" w:cs="仿宋"/>
          <w:spacing w:val="7"/>
          <w:sz w:val="24"/>
          <w:szCs w:val="24"/>
          <w:highlight w:val="none"/>
          <w:u w:val="single"/>
        </w:rPr>
        <w:t xml:space="preserve">地址：              邮编：         电话：              传真：         </w:t>
      </w:r>
    </w:p>
    <w:p w14:paraId="377F0BB0">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名称(盖公章)：</w:t>
      </w:r>
      <w:r>
        <w:rPr>
          <w:rFonts w:ascii="仿宋" w:hAnsi="仿宋" w:eastAsia="仿宋" w:cs="仿宋"/>
          <w:spacing w:val="7"/>
          <w:sz w:val="24"/>
          <w:szCs w:val="24"/>
          <w:highlight w:val="none"/>
          <w:u w:val="single"/>
        </w:rPr>
        <w:t xml:space="preserve">                              </w:t>
      </w:r>
    </w:p>
    <w:p w14:paraId="173A2158">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法定代表人或其授权的代理人（签字</w:t>
      </w:r>
      <w:r>
        <w:rPr>
          <w:rFonts w:hint="eastAsia" w:ascii="仿宋" w:hAnsi="仿宋" w:eastAsia="仿宋" w:cs="仿宋"/>
          <w:spacing w:val="7"/>
          <w:sz w:val="24"/>
          <w:szCs w:val="24"/>
          <w:highlight w:val="none"/>
          <w:lang w:val="en-US" w:eastAsia="zh-Hans"/>
        </w:rPr>
        <w:t>或盖章</w:t>
      </w:r>
      <w:r>
        <w:rPr>
          <w:rFonts w:ascii="仿宋" w:hAnsi="仿宋" w:eastAsia="仿宋" w:cs="仿宋"/>
          <w:spacing w:val="7"/>
          <w:sz w:val="24"/>
          <w:szCs w:val="24"/>
          <w:highlight w:val="none"/>
        </w:rPr>
        <w:t>）：</w:t>
      </w:r>
      <w:r>
        <w:rPr>
          <w:rFonts w:ascii="仿宋" w:hAnsi="仿宋" w:eastAsia="仿宋" w:cs="仿宋"/>
          <w:spacing w:val="7"/>
          <w:sz w:val="24"/>
          <w:szCs w:val="24"/>
          <w:highlight w:val="none"/>
          <w:u w:val="single"/>
        </w:rPr>
        <w:t xml:space="preserve">         </w:t>
      </w:r>
      <w:r>
        <w:rPr>
          <w:rFonts w:hint="eastAsia" w:ascii="仿宋" w:hAnsi="仿宋" w:eastAsia="仿宋" w:cs="仿宋"/>
          <w:spacing w:val="7"/>
          <w:sz w:val="24"/>
          <w:szCs w:val="24"/>
          <w:highlight w:val="none"/>
          <w:u w:val="single"/>
          <w:lang w:val="en-US" w:eastAsia="zh-CN"/>
        </w:rPr>
        <w:t xml:space="preserve"> </w:t>
      </w:r>
      <w:r>
        <w:rPr>
          <w:rFonts w:ascii="仿宋" w:hAnsi="仿宋" w:eastAsia="仿宋" w:cs="仿宋"/>
          <w:spacing w:val="7"/>
          <w:sz w:val="24"/>
          <w:szCs w:val="24"/>
          <w:highlight w:val="none"/>
          <w:u w:val="single"/>
        </w:rPr>
        <w:t xml:space="preserve">       </w:t>
      </w:r>
    </w:p>
    <w:p w14:paraId="3984717F">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u w:val="single"/>
        </w:rPr>
      </w:pPr>
      <w:r>
        <w:rPr>
          <w:rFonts w:ascii="仿宋" w:hAnsi="仿宋" w:eastAsia="仿宋" w:cs="仿宋"/>
          <w:spacing w:val="7"/>
          <w:sz w:val="24"/>
          <w:szCs w:val="24"/>
          <w:highlight w:val="none"/>
        </w:rPr>
        <w:t>日期：</w:t>
      </w:r>
      <w:r>
        <w:rPr>
          <w:rFonts w:ascii="仿宋" w:hAnsi="仿宋" w:eastAsia="仿宋" w:cs="仿宋"/>
          <w:spacing w:val="7"/>
          <w:sz w:val="24"/>
          <w:szCs w:val="24"/>
          <w:highlight w:val="none"/>
          <w:u w:val="single"/>
        </w:rPr>
        <w:t xml:space="preserve">           年       月      日</w:t>
      </w:r>
    </w:p>
    <w:p w14:paraId="2A98C366">
      <w:pPr>
        <w:keepNext w:val="0"/>
        <w:keepLines w:val="0"/>
        <w:pageBreakBefore w:val="0"/>
        <w:widowControl/>
        <w:kinsoku/>
        <w:wordWrap/>
        <w:overflowPunct/>
        <w:topLinePunct w:val="0"/>
        <w:autoSpaceDE w:val="0"/>
        <w:autoSpaceDN w:val="0"/>
        <w:bidi w:val="0"/>
        <w:adjustRightInd w:val="0"/>
        <w:snapToGrid w:val="0"/>
        <w:spacing w:before="230" w:line="440" w:lineRule="exact"/>
        <w:ind w:left="238" w:right="17" w:firstLine="0"/>
        <w:textAlignment w:val="baseline"/>
        <w:rPr>
          <w:rFonts w:ascii="仿宋" w:hAnsi="仿宋" w:eastAsia="仿宋" w:cs="仿宋"/>
          <w:spacing w:val="7"/>
          <w:sz w:val="24"/>
          <w:szCs w:val="24"/>
          <w:highlight w:val="none"/>
        </w:rPr>
        <w:sectPr>
          <w:footerReference r:id="rId11" w:type="default"/>
          <w:pgSz w:w="11906" w:h="16839"/>
          <w:pgMar w:top="1440" w:right="1080" w:bottom="1440" w:left="1080" w:header="0" w:footer="989" w:gutter="0"/>
          <w:pgNumType w:fmt="decimal"/>
          <w:cols w:space="720" w:num="1"/>
        </w:sectPr>
      </w:pPr>
    </w:p>
    <w:p w14:paraId="2EFCBA6F">
      <w:pPr>
        <w:keepLines w:val="0"/>
        <w:pageBreakBefore w:val="0"/>
        <w:kinsoku/>
        <w:wordWrap/>
        <w:overflowPunct/>
        <w:topLinePunct w:val="0"/>
        <w:bidi w:val="0"/>
        <w:spacing w:before="274" w:line="231" w:lineRule="auto"/>
        <w:ind w:left="3620"/>
        <w:outlineLvl w:val="2"/>
        <w:rPr>
          <w:rFonts w:ascii="仿宋" w:hAnsi="仿宋" w:eastAsia="仿宋" w:cs="仿宋"/>
          <w:sz w:val="24"/>
          <w:szCs w:val="24"/>
          <w:highlight w:val="none"/>
        </w:rPr>
      </w:pPr>
      <w:r>
        <w:rPr>
          <w:rFonts w:ascii="仿宋" w:hAnsi="仿宋" w:eastAsia="仿宋" w:cs="仿宋"/>
          <w:b/>
          <w:bCs/>
          <w:spacing w:val="6"/>
          <w:sz w:val="24"/>
          <w:szCs w:val="24"/>
          <w:highlight w:val="none"/>
        </w:rPr>
        <w:t>2.投标报价一览表</w:t>
      </w:r>
    </w:p>
    <w:p w14:paraId="52CB07D2">
      <w:pPr>
        <w:pStyle w:val="9"/>
        <w:keepLines w:val="0"/>
        <w:pageBreakBefore w:val="0"/>
        <w:kinsoku/>
        <w:wordWrap/>
        <w:overflowPunct/>
        <w:topLinePunct w:val="0"/>
        <w:bidi w:val="0"/>
        <w:spacing w:line="448" w:lineRule="auto"/>
        <w:rPr>
          <w:highlight w:val="none"/>
        </w:rPr>
      </w:pPr>
    </w:p>
    <w:p w14:paraId="75A2E39F">
      <w:pPr>
        <w:keepLines w:val="0"/>
        <w:pageBreakBefore w:val="0"/>
        <w:kinsoku/>
        <w:wordWrap/>
        <w:overflowPunct/>
        <w:topLinePunct w:val="0"/>
        <w:bidi w:val="0"/>
        <w:spacing w:before="78" w:line="221" w:lineRule="auto"/>
        <w:ind w:left="319"/>
        <w:rPr>
          <w:rFonts w:ascii="仿宋" w:hAnsi="仿宋" w:eastAsia="仿宋" w:cs="仿宋"/>
          <w:sz w:val="24"/>
          <w:szCs w:val="24"/>
          <w:highlight w:val="none"/>
        </w:rPr>
      </w:pPr>
      <w:r>
        <w:rPr>
          <w:rFonts w:hint="eastAsia" w:ascii="仿宋" w:hAnsi="仿宋" w:eastAsia="仿宋" w:cs="仿宋"/>
          <w:spacing w:val="-2"/>
          <w:sz w:val="24"/>
          <w:szCs w:val="24"/>
          <w:highlight w:val="none"/>
          <w:lang w:eastAsia="zh-CN"/>
        </w:rPr>
        <w:t>项目名称</w:t>
      </w:r>
      <w:r>
        <w:rPr>
          <w:rFonts w:ascii="仿宋" w:hAnsi="仿宋" w:eastAsia="仿宋" w:cs="仿宋"/>
          <w:spacing w:val="-2"/>
          <w:sz w:val="24"/>
          <w:szCs w:val="24"/>
          <w:highlight w:val="none"/>
        </w:rPr>
        <w:t>：</w:t>
      </w:r>
      <w:r>
        <w:rPr>
          <w:rFonts w:ascii="仿宋" w:hAnsi="仿宋" w:eastAsia="仿宋" w:cs="仿宋"/>
          <w:spacing w:val="-2"/>
          <w:sz w:val="24"/>
          <w:szCs w:val="24"/>
          <w:highlight w:val="none"/>
          <w:u w:val="single" w:color="auto"/>
        </w:rPr>
        <w:t xml:space="preserve">              </w:t>
      </w:r>
      <w:r>
        <w:rPr>
          <w:rFonts w:ascii="仿宋" w:hAnsi="仿宋" w:eastAsia="仿宋" w:cs="仿宋"/>
          <w:spacing w:val="1"/>
          <w:sz w:val="24"/>
          <w:szCs w:val="24"/>
          <w:highlight w:val="none"/>
        </w:rPr>
        <w:t xml:space="preserve">                </w:t>
      </w:r>
      <w:r>
        <w:rPr>
          <w:rFonts w:ascii="仿宋" w:hAnsi="仿宋" w:eastAsia="仿宋" w:cs="仿宋"/>
          <w:spacing w:val="-2"/>
          <w:sz w:val="24"/>
          <w:szCs w:val="24"/>
          <w:highlight w:val="none"/>
        </w:rPr>
        <w:t>项目编号：</w:t>
      </w:r>
      <w:r>
        <w:rPr>
          <w:rFonts w:ascii="仿宋" w:hAnsi="仿宋" w:eastAsia="仿宋" w:cs="仿宋"/>
          <w:sz w:val="24"/>
          <w:szCs w:val="24"/>
          <w:highlight w:val="none"/>
          <w:u w:val="single" w:color="auto"/>
        </w:rPr>
        <w:t xml:space="preserve">              </w:t>
      </w:r>
    </w:p>
    <w:p w14:paraId="5DDDD891">
      <w:pPr>
        <w:keepLines w:val="0"/>
        <w:pageBreakBefore w:val="0"/>
        <w:kinsoku/>
        <w:wordWrap/>
        <w:overflowPunct/>
        <w:topLinePunct w:val="0"/>
        <w:bidi w:val="0"/>
        <w:spacing w:before="69"/>
        <w:rPr>
          <w:highlight w:val="none"/>
        </w:rPr>
      </w:pPr>
    </w:p>
    <w:p w14:paraId="4D5D36A6">
      <w:pPr>
        <w:keepLines w:val="0"/>
        <w:pageBreakBefore w:val="0"/>
        <w:kinsoku/>
        <w:wordWrap/>
        <w:overflowPunct/>
        <w:topLinePunct w:val="0"/>
        <w:bidi w:val="0"/>
        <w:spacing w:before="69"/>
        <w:rPr>
          <w:highlight w:val="none"/>
        </w:rPr>
      </w:pPr>
    </w:p>
    <w:p w14:paraId="40AE85B9">
      <w:pPr>
        <w:keepLines w:val="0"/>
        <w:pageBreakBefore w:val="0"/>
        <w:kinsoku/>
        <w:wordWrap/>
        <w:overflowPunct/>
        <w:topLinePunct w:val="0"/>
        <w:bidi w:val="0"/>
        <w:spacing w:before="68"/>
        <w:rPr>
          <w:highlight w:val="none"/>
        </w:rPr>
      </w:pPr>
    </w:p>
    <w:tbl>
      <w:tblPr>
        <w:tblStyle w:val="26"/>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3"/>
        <w:gridCol w:w="5939"/>
      </w:tblGrid>
      <w:tr w14:paraId="523D7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2963" w:type="dxa"/>
            <w:vMerge w:val="restart"/>
            <w:tcBorders>
              <w:bottom w:val="nil"/>
            </w:tcBorders>
            <w:vAlign w:val="top"/>
          </w:tcPr>
          <w:p w14:paraId="77FD0937">
            <w:pPr>
              <w:keepLines w:val="0"/>
              <w:pageBreakBefore w:val="0"/>
              <w:kinsoku/>
              <w:wordWrap/>
              <w:overflowPunct/>
              <w:topLinePunct w:val="0"/>
              <w:bidi w:val="0"/>
              <w:spacing w:line="254" w:lineRule="auto"/>
              <w:rPr>
                <w:rFonts w:ascii="Arial"/>
                <w:sz w:val="24"/>
                <w:szCs w:val="24"/>
                <w:highlight w:val="none"/>
              </w:rPr>
            </w:pPr>
          </w:p>
          <w:p w14:paraId="3787B339">
            <w:pPr>
              <w:keepLines w:val="0"/>
              <w:pageBreakBefore w:val="0"/>
              <w:kinsoku/>
              <w:wordWrap/>
              <w:overflowPunct/>
              <w:topLinePunct w:val="0"/>
              <w:bidi w:val="0"/>
              <w:spacing w:line="254" w:lineRule="auto"/>
              <w:rPr>
                <w:rFonts w:ascii="Arial"/>
                <w:sz w:val="24"/>
                <w:szCs w:val="24"/>
                <w:highlight w:val="none"/>
              </w:rPr>
            </w:pPr>
          </w:p>
          <w:p w14:paraId="157A1B3D">
            <w:pPr>
              <w:keepLines w:val="0"/>
              <w:pageBreakBefore w:val="0"/>
              <w:kinsoku/>
              <w:wordWrap/>
              <w:overflowPunct/>
              <w:topLinePunct w:val="0"/>
              <w:bidi w:val="0"/>
              <w:spacing w:line="254" w:lineRule="auto"/>
              <w:rPr>
                <w:rFonts w:ascii="Arial"/>
                <w:sz w:val="24"/>
                <w:szCs w:val="24"/>
                <w:highlight w:val="none"/>
              </w:rPr>
            </w:pPr>
          </w:p>
          <w:p w14:paraId="469A13D0">
            <w:pPr>
              <w:keepLines w:val="0"/>
              <w:pageBreakBefore w:val="0"/>
              <w:kinsoku/>
              <w:wordWrap/>
              <w:overflowPunct/>
              <w:topLinePunct w:val="0"/>
              <w:bidi w:val="0"/>
              <w:spacing w:line="254" w:lineRule="auto"/>
              <w:rPr>
                <w:rFonts w:ascii="Arial"/>
                <w:sz w:val="24"/>
                <w:szCs w:val="24"/>
                <w:highlight w:val="none"/>
              </w:rPr>
            </w:pPr>
          </w:p>
          <w:p w14:paraId="47948D8D">
            <w:pPr>
              <w:keepLines w:val="0"/>
              <w:pageBreakBefore w:val="0"/>
              <w:kinsoku/>
              <w:wordWrap/>
              <w:overflowPunct/>
              <w:topLinePunct w:val="0"/>
              <w:bidi w:val="0"/>
              <w:spacing w:line="254" w:lineRule="auto"/>
              <w:rPr>
                <w:rFonts w:ascii="Arial"/>
                <w:sz w:val="24"/>
                <w:szCs w:val="24"/>
                <w:highlight w:val="none"/>
              </w:rPr>
            </w:pPr>
          </w:p>
          <w:p w14:paraId="457503B8">
            <w:pPr>
              <w:keepLines w:val="0"/>
              <w:pageBreakBefore w:val="0"/>
              <w:kinsoku/>
              <w:wordWrap/>
              <w:overflowPunct/>
              <w:topLinePunct w:val="0"/>
              <w:bidi w:val="0"/>
              <w:spacing w:line="255" w:lineRule="auto"/>
              <w:rPr>
                <w:rFonts w:ascii="Arial"/>
                <w:sz w:val="24"/>
                <w:szCs w:val="24"/>
                <w:highlight w:val="none"/>
              </w:rPr>
            </w:pPr>
          </w:p>
          <w:p w14:paraId="7FDE39FF">
            <w:pPr>
              <w:pStyle w:val="27"/>
              <w:keepLines w:val="0"/>
              <w:pageBreakBefore w:val="0"/>
              <w:kinsoku/>
              <w:wordWrap/>
              <w:overflowPunct/>
              <w:topLinePunct w:val="0"/>
              <w:bidi w:val="0"/>
              <w:spacing w:before="78" w:line="222" w:lineRule="auto"/>
              <w:jc w:val="center"/>
              <w:rPr>
                <w:sz w:val="24"/>
                <w:szCs w:val="24"/>
                <w:highlight w:val="none"/>
              </w:rPr>
            </w:pPr>
            <w:r>
              <w:rPr>
                <w:spacing w:val="-2"/>
                <w:sz w:val="24"/>
                <w:szCs w:val="24"/>
                <w:highlight w:val="none"/>
              </w:rPr>
              <w:t>投标</w:t>
            </w:r>
            <w:r>
              <w:rPr>
                <w:rFonts w:hint="eastAsia"/>
                <w:spacing w:val="-2"/>
                <w:sz w:val="24"/>
                <w:szCs w:val="24"/>
                <w:highlight w:val="none"/>
                <w:lang w:eastAsia="zh-CN"/>
              </w:rPr>
              <w:t>报价（元）</w:t>
            </w:r>
          </w:p>
        </w:tc>
        <w:tc>
          <w:tcPr>
            <w:tcW w:w="5939" w:type="dxa"/>
            <w:vAlign w:val="top"/>
          </w:tcPr>
          <w:p w14:paraId="36A9E43D">
            <w:pPr>
              <w:keepLines w:val="0"/>
              <w:pageBreakBefore w:val="0"/>
              <w:kinsoku/>
              <w:wordWrap/>
              <w:overflowPunct/>
              <w:topLinePunct w:val="0"/>
              <w:bidi w:val="0"/>
              <w:spacing w:line="341" w:lineRule="auto"/>
              <w:rPr>
                <w:rFonts w:ascii="Arial"/>
                <w:sz w:val="24"/>
                <w:szCs w:val="24"/>
                <w:highlight w:val="none"/>
              </w:rPr>
            </w:pPr>
          </w:p>
          <w:p w14:paraId="3981B3B6">
            <w:pPr>
              <w:keepLines w:val="0"/>
              <w:pageBreakBefore w:val="0"/>
              <w:kinsoku/>
              <w:wordWrap/>
              <w:overflowPunct/>
              <w:topLinePunct w:val="0"/>
              <w:bidi w:val="0"/>
              <w:spacing w:line="342" w:lineRule="auto"/>
              <w:rPr>
                <w:rFonts w:ascii="Arial"/>
                <w:sz w:val="24"/>
                <w:szCs w:val="24"/>
                <w:highlight w:val="none"/>
              </w:rPr>
            </w:pPr>
          </w:p>
          <w:p w14:paraId="06956AAB">
            <w:pPr>
              <w:pStyle w:val="27"/>
              <w:keepLines w:val="0"/>
              <w:pageBreakBefore w:val="0"/>
              <w:kinsoku/>
              <w:wordWrap/>
              <w:overflowPunct/>
              <w:topLinePunct w:val="0"/>
              <w:bidi w:val="0"/>
              <w:spacing w:before="78" w:line="224" w:lineRule="auto"/>
              <w:ind w:left="27"/>
              <w:rPr>
                <w:sz w:val="24"/>
                <w:szCs w:val="24"/>
                <w:highlight w:val="none"/>
              </w:rPr>
            </w:pPr>
            <w:r>
              <w:rPr>
                <w:spacing w:val="-6"/>
                <w:sz w:val="24"/>
                <w:szCs w:val="24"/>
                <w:highlight w:val="none"/>
              </w:rPr>
              <w:t>小写：</w:t>
            </w:r>
            <w:r>
              <w:rPr>
                <w:sz w:val="24"/>
                <w:szCs w:val="24"/>
                <w:highlight w:val="none"/>
                <w:u w:val="single" w:color="auto"/>
              </w:rPr>
              <w:t xml:space="preserve">                    </w:t>
            </w:r>
          </w:p>
        </w:tc>
      </w:tr>
      <w:tr w14:paraId="69641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63" w:type="dxa"/>
            <w:vMerge w:val="continue"/>
            <w:tcBorders>
              <w:top w:val="nil"/>
            </w:tcBorders>
            <w:vAlign w:val="top"/>
          </w:tcPr>
          <w:p w14:paraId="69DBB773">
            <w:pPr>
              <w:keepLines w:val="0"/>
              <w:pageBreakBefore w:val="0"/>
              <w:kinsoku/>
              <w:wordWrap/>
              <w:overflowPunct/>
              <w:topLinePunct w:val="0"/>
              <w:bidi w:val="0"/>
              <w:rPr>
                <w:rFonts w:ascii="Arial"/>
                <w:sz w:val="24"/>
                <w:szCs w:val="24"/>
                <w:highlight w:val="none"/>
              </w:rPr>
            </w:pPr>
          </w:p>
        </w:tc>
        <w:tc>
          <w:tcPr>
            <w:tcW w:w="5939" w:type="dxa"/>
            <w:vAlign w:val="top"/>
          </w:tcPr>
          <w:p w14:paraId="3F06371E">
            <w:pPr>
              <w:keepLines w:val="0"/>
              <w:pageBreakBefore w:val="0"/>
              <w:kinsoku/>
              <w:wordWrap/>
              <w:overflowPunct/>
              <w:topLinePunct w:val="0"/>
              <w:bidi w:val="0"/>
              <w:spacing w:line="320" w:lineRule="auto"/>
              <w:rPr>
                <w:rFonts w:ascii="Arial"/>
                <w:sz w:val="24"/>
                <w:szCs w:val="24"/>
                <w:highlight w:val="none"/>
              </w:rPr>
            </w:pPr>
          </w:p>
          <w:p w14:paraId="28700A69">
            <w:pPr>
              <w:keepLines w:val="0"/>
              <w:pageBreakBefore w:val="0"/>
              <w:kinsoku/>
              <w:wordWrap/>
              <w:overflowPunct/>
              <w:topLinePunct w:val="0"/>
              <w:bidi w:val="0"/>
              <w:spacing w:line="320" w:lineRule="auto"/>
              <w:rPr>
                <w:rFonts w:ascii="Arial"/>
                <w:sz w:val="24"/>
                <w:szCs w:val="24"/>
                <w:highlight w:val="none"/>
              </w:rPr>
            </w:pPr>
          </w:p>
          <w:p w14:paraId="6A7EB380">
            <w:pPr>
              <w:pStyle w:val="27"/>
              <w:keepLines w:val="0"/>
              <w:pageBreakBefore w:val="0"/>
              <w:kinsoku/>
              <w:wordWrap/>
              <w:overflowPunct/>
              <w:topLinePunct w:val="0"/>
              <w:bidi w:val="0"/>
              <w:spacing w:before="78" w:line="224" w:lineRule="auto"/>
              <w:ind w:left="29"/>
              <w:rPr>
                <w:sz w:val="24"/>
                <w:szCs w:val="24"/>
                <w:highlight w:val="none"/>
              </w:rPr>
            </w:pPr>
            <w:r>
              <w:rPr>
                <w:spacing w:val="-7"/>
                <w:sz w:val="24"/>
                <w:szCs w:val="24"/>
                <w:highlight w:val="none"/>
              </w:rPr>
              <w:t>大写：</w:t>
            </w:r>
            <w:r>
              <w:rPr>
                <w:sz w:val="24"/>
                <w:szCs w:val="24"/>
                <w:highlight w:val="none"/>
                <w:u w:val="single" w:color="auto"/>
              </w:rPr>
              <w:t xml:space="preserve">                    </w:t>
            </w:r>
          </w:p>
        </w:tc>
      </w:tr>
      <w:tr w14:paraId="34825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5764CE3E">
            <w:pPr>
              <w:keepLines w:val="0"/>
              <w:pageBreakBefore w:val="0"/>
              <w:kinsoku/>
              <w:wordWrap/>
              <w:overflowPunct/>
              <w:topLinePunct w:val="0"/>
              <w:bidi w:val="0"/>
              <w:spacing w:line="404" w:lineRule="auto"/>
              <w:rPr>
                <w:rFonts w:ascii="Arial"/>
                <w:sz w:val="24"/>
                <w:szCs w:val="24"/>
                <w:highlight w:val="none"/>
              </w:rPr>
            </w:pPr>
          </w:p>
          <w:p w14:paraId="79E6F45C">
            <w:pPr>
              <w:pStyle w:val="27"/>
              <w:keepLines w:val="0"/>
              <w:pageBreakBefore w:val="0"/>
              <w:kinsoku/>
              <w:wordWrap/>
              <w:overflowPunct/>
              <w:topLinePunct w:val="0"/>
              <w:bidi w:val="0"/>
              <w:spacing w:before="78" w:line="222" w:lineRule="auto"/>
              <w:ind w:left="1014"/>
              <w:rPr>
                <w:sz w:val="24"/>
                <w:szCs w:val="24"/>
                <w:highlight w:val="none"/>
              </w:rPr>
            </w:pPr>
            <w:r>
              <w:rPr>
                <w:rFonts w:hint="eastAsia"/>
                <w:sz w:val="24"/>
                <w:szCs w:val="24"/>
                <w:highlight w:val="none"/>
                <w:lang w:eastAsia="zh-CN"/>
              </w:rPr>
              <w:t>供货</w:t>
            </w:r>
            <w:r>
              <w:rPr>
                <w:sz w:val="24"/>
                <w:szCs w:val="24"/>
                <w:highlight w:val="none"/>
              </w:rPr>
              <w:t>期限</w:t>
            </w:r>
          </w:p>
        </w:tc>
        <w:tc>
          <w:tcPr>
            <w:tcW w:w="5939" w:type="dxa"/>
            <w:vAlign w:val="top"/>
          </w:tcPr>
          <w:p w14:paraId="1DAF59C7">
            <w:pPr>
              <w:keepLines w:val="0"/>
              <w:pageBreakBefore w:val="0"/>
              <w:kinsoku/>
              <w:wordWrap/>
              <w:overflowPunct/>
              <w:topLinePunct w:val="0"/>
              <w:bidi w:val="0"/>
              <w:rPr>
                <w:rFonts w:ascii="Arial"/>
                <w:sz w:val="24"/>
                <w:szCs w:val="24"/>
                <w:highlight w:val="none"/>
              </w:rPr>
            </w:pPr>
          </w:p>
        </w:tc>
      </w:tr>
      <w:tr w14:paraId="55C19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center"/>
          </w:tcPr>
          <w:p w14:paraId="658A1494">
            <w:pPr>
              <w:pStyle w:val="27"/>
              <w:keepLines w:val="0"/>
              <w:pageBreakBefore w:val="0"/>
              <w:kinsoku/>
              <w:wordWrap/>
              <w:overflowPunct/>
              <w:topLinePunct w:val="0"/>
              <w:bidi w:val="0"/>
              <w:spacing w:before="78" w:line="222" w:lineRule="auto"/>
              <w:ind w:left="1014"/>
              <w:jc w:val="both"/>
              <w:rPr>
                <w:rFonts w:hint="eastAsia"/>
                <w:sz w:val="24"/>
                <w:szCs w:val="24"/>
                <w:highlight w:val="none"/>
                <w:lang w:eastAsia="zh-CN"/>
              </w:rPr>
            </w:pPr>
            <w:r>
              <w:rPr>
                <w:rFonts w:hint="eastAsia"/>
                <w:sz w:val="24"/>
                <w:szCs w:val="24"/>
                <w:highlight w:val="none"/>
                <w:lang w:eastAsia="zh-CN"/>
              </w:rPr>
              <w:t>质保期</w:t>
            </w:r>
          </w:p>
        </w:tc>
        <w:tc>
          <w:tcPr>
            <w:tcW w:w="5939" w:type="dxa"/>
            <w:vAlign w:val="center"/>
          </w:tcPr>
          <w:p w14:paraId="2A41005A">
            <w:pPr>
              <w:keepLines w:val="0"/>
              <w:pageBreakBefore w:val="0"/>
              <w:kinsoku/>
              <w:wordWrap/>
              <w:overflowPunct/>
              <w:topLinePunct w:val="0"/>
              <w:bidi w:val="0"/>
              <w:jc w:val="both"/>
              <w:rPr>
                <w:rFonts w:ascii="Arial"/>
                <w:sz w:val="24"/>
                <w:szCs w:val="24"/>
                <w:highlight w:val="none"/>
              </w:rPr>
            </w:pPr>
          </w:p>
        </w:tc>
      </w:tr>
      <w:tr w14:paraId="3EC07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45A5E3EC">
            <w:pPr>
              <w:keepLines w:val="0"/>
              <w:pageBreakBefore w:val="0"/>
              <w:kinsoku/>
              <w:wordWrap/>
              <w:overflowPunct/>
              <w:topLinePunct w:val="0"/>
              <w:bidi w:val="0"/>
              <w:spacing w:line="404" w:lineRule="auto"/>
              <w:rPr>
                <w:rFonts w:ascii="Arial"/>
                <w:sz w:val="24"/>
                <w:szCs w:val="24"/>
                <w:highlight w:val="none"/>
              </w:rPr>
            </w:pPr>
          </w:p>
          <w:p w14:paraId="3AFF3D30">
            <w:pPr>
              <w:pStyle w:val="27"/>
              <w:keepLines w:val="0"/>
              <w:pageBreakBefore w:val="0"/>
              <w:kinsoku/>
              <w:wordWrap/>
              <w:overflowPunct/>
              <w:topLinePunct w:val="0"/>
              <w:bidi w:val="0"/>
              <w:spacing w:before="78" w:line="223" w:lineRule="auto"/>
              <w:ind w:left="295"/>
              <w:rPr>
                <w:sz w:val="24"/>
                <w:szCs w:val="24"/>
                <w:highlight w:val="none"/>
              </w:rPr>
            </w:pPr>
            <w:r>
              <w:rPr>
                <w:spacing w:val="-2"/>
                <w:sz w:val="24"/>
                <w:szCs w:val="24"/>
                <w:highlight w:val="none"/>
              </w:rPr>
              <w:t>项目负责人及联系方式</w:t>
            </w:r>
          </w:p>
        </w:tc>
        <w:tc>
          <w:tcPr>
            <w:tcW w:w="5939" w:type="dxa"/>
            <w:vAlign w:val="top"/>
          </w:tcPr>
          <w:p w14:paraId="76E2AD0E">
            <w:pPr>
              <w:keepLines w:val="0"/>
              <w:pageBreakBefore w:val="0"/>
              <w:kinsoku/>
              <w:wordWrap/>
              <w:overflowPunct/>
              <w:topLinePunct w:val="0"/>
              <w:bidi w:val="0"/>
              <w:rPr>
                <w:rFonts w:ascii="Arial"/>
                <w:sz w:val="24"/>
                <w:szCs w:val="24"/>
                <w:highlight w:val="none"/>
              </w:rPr>
            </w:pPr>
          </w:p>
        </w:tc>
      </w:tr>
      <w:tr w14:paraId="38AE5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963" w:type="dxa"/>
            <w:vAlign w:val="top"/>
          </w:tcPr>
          <w:p w14:paraId="6F7EFE2A">
            <w:pPr>
              <w:keepLines w:val="0"/>
              <w:pageBreakBefore w:val="0"/>
              <w:kinsoku/>
              <w:wordWrap/>
              <w:overflowPunct/>
              <w:topLinePunct w:val="0"/>
              <w:bidi w:val="0"/>
              <w:spacing w:line="407" w:lineRule="auto"/>
              <w:rPr>
                <w:rFonts w:ascii="Arial"/>
                <w:sz w:val="24"/>
                <w:szCs w:val="24"/>
                <w:highlight w:val="none"/>
              </w:rPr>
            </w:pPr>
          </w:p>
          <w:p w14:paraId="72A2D982">
            <w:pPr>
              <w:pStyle w:val="27"/>
              <w:keepLines w:val="0"/>
              <w:pageBreakBefore w:val="0"/>
              <w:kinsoku/>
              <w:wordWrap/>
              <w:overflowPunct/>
              <w:topLinePunct w:val="0"/>
              <w:bidi w:val="0"/>
              <w:spacing w:before="78" w:line="224" w:lineRule="auto"/>
              <w:ind w:left="1256"/>
              <w:rPr>
                <w:sz w:val="24"/>
                <w:szCs w:val="24"/>
                <w:highlight w:val="none"/>
              </w:rPr>
            </w:pPr>
            <w:r>
              <w:rPr>
                <w:spacing w:val="-9"/>
                <w:sz w:val="24"/>
                <w:szCs w:val="24"/>
                <w:highlight w:val="none"/>
              </w:rPr>
              <w:t>备注</w:t>
            </w:r>
          </w:p>
        </w:tc>
        <w:tc>
          <w:tcPr>
            <w:tcW w:w="5939" w:type="dxa"/>
            <w:vAlign w:val="top"/>
          </w:tcPr>
          <w:p w14:paraId="2A6C3148">
            <w:pPr>
              <w:keepLines w:val="0"/>
              <w:pageBreakBefore w:val="0"/>
              <w:kinsoku/>
              <w:wordWrap/>
              <w:overflowPunct/>
              <w:topLinePunct w:val="0"/>
              <w:bidi w:val="0"/>
              <w:rPr>
                <w:rFonts w:ascii="Arial"/>
                <w:sz w:val="24"/>
                <w:szCs w:val="24"/>
                <w:highlight w:val="none"/>
              </w:rPr>
            </w:pPr>
          </w:p>
        </w:tc>
      </w:tr>
    </w:tbl>
    <w:p w14:paraId="578B8870">
      <w:pPr>
        <w:keepLines w:val="0"/>
        <w:pageBreakBefore w:val="0"/>
        <w:kinsoku/>
        <w:wordWrap/>
        <w:overflowPunct/>
        <w:topLinePunct w:val="0"/>
        <w:bidi w:val="0"/>
        <w:spacing w:before="302" w:line="503" w:lineRule="auto"/>
        <w:ind w:left="1926"/>
        <w:rPr>
          <w:rFonts w:ascii="仿宋" w:hAnsi="仿宋" w:eastAsia="仿宋" w:cs="仿宋"/>
          <w:sz w:val="24"/>
          <w:szCs w:val="24"/>
          <w:highlight w:val="none"/>
        </w:rPr>
      </w:pPr>
      <w:r>
        <w:rPr>
          <w:rFonts w:hint="eastAsia" w:ascii="仿宋" w:hAnsi="仿宋" w:eastAsia="仿宋" w:cs="仿宋"/>
          <w:spacing w:val="8"/>
          <w:sz w:val="24"/>
          <w:szCs w:val="24"/>
          <w:highlight w:val="none"/>
          <w:lang w:eastAsia="zh-CN"/>
        </w:rPr>
        <w:t>投标人</w:t>
      </w:r>
      <w:r>
        <w:rPr>
          <w:rFonts w:ascii="仿宋" w:hAnsi="仿宋" w:eastAsia="仿宋" w:cs="仿宋"/>
          <w:spacing w:val="8"/>
          <w:sz w:val="24"/>
          <w:szCs w:val="24"/>
          <w:highlight w:val="none"/>
        </w:rPr>
        <w:t>名称（盖公章</w:t>
      </w:r>
      <w:r>
        <w:rPr>
          <w:rFonts w:ascii="仿宋" w:hAnsi="仿宋" w:eastAsia="仿宋" w:cs="仿宋"/>
          <w:spacing w:val="-10"/>
          <w:sz w:val="24"/>
          <w:szCs w:val="24"/>
          <w:highlight w:val="none"/>
        </w:rPr>
        <w:t>）</w:t>
      </w:r>
      <w:r>
        <w:rPr>
          <w:rFonts w:ascii="仿宋" w:hAnsi="仿宋" w:eastAsia="仿宋" w:cs="仿宋"/>
          <w:spacing w:val="-59"/>
          <w:sz w:val="24"/>
          <w:szCs w:val="24"/>
          <w:highlight w:val="none"/>
        </w:rPr>
        <w:t xml:space="preserve"> </w:t>
      </w:r>
      <w:r>
        <w:rPr>
          <w:rFonts w:ascii="仿宋" w:hAnsi="仿宋" w:eastAsia="仿宋" w:cs="仿宋"/>
          <w:spacing w:val="-10"/>
          <w:sz w:val="24"/>
          <w:szCs w:val="24"/>
          <w:highlight w:val="none"/>
        </w:rPr>
        <w:t>：</w:t>
      </w:r>
      <w:r>
        <w:rPr>
          <w:rFonts w:ascii="仿宋" w:hAnsi="仿宋" w:eastAsia="仿宋" w:cs="仿宋"/>
          <w:spacing w:val="1"/>
          <w:sz w:val="24"/>
          <w:szCs w:val="24"/>
          <w:highlight w:val="none"/>
          <w:u w:val="single" w:color="auto"/>
        </w:rPr>
        <w:t xml:space="preserve">                             </w:t>
      </w:r>
      <w:r>
        <w:rPr>
          <w:rFonts w:ascii="仿宋" w:hAnsi="仿宋" w:eastAsia="仿宋" w:cs="仿宋"/>
          <w:spacing w:val="8"/>
          <w:sz w:val="24"/>
          <w:szCs w:val="24"/>
          <w:highlight w:val="none"/>
        </w:rPr>
        <w:t>_</w:t>
      </w:r>
    </w:p>
    <w:p w14:paraId="06C79415">
      <w:pPr>
        <w:keepLines w:val="0"/>
        <w:pageBreakBefore w:val="0"/>
        <w:kinsoku/>
        <w:wordWrap/>
        <w:overflowPunct/>
        <w:topLinePunct w:val="0"/>
        <w:bidi w:val="0"/>
        <w:spacing w:before="1" w:line="226" w:lineRule="auto"/>
        <w:ind w:left="1934"/>
        <w:rPr>
          <w:rFonts w:ascii="仿宋" w:hAnsi="仿宋" w:eastAsia="仿宋" w:cs="仿宋"/>
          <w:sz w:val="24"/>
          <w:szCs w:val="24"/>
          <w:highlight w:val="none"/>
        </w:rPr>
      </w:pPr>
      <w:r>
        <w:rPr>
          <w:rFonts w:ascii="仿宋" w:hAnsi="仿宋" w:eastAsia="仿宋" w:cs="仿宋"/>
          <w:spacing w:val="7"/>
          <w:sz w:val="24"/>
          <w:szCs w:val="24"/>
          <w:highlight w:val="none"/>
        </w:rPr>
        <w:t>法定代表人或其授权委托人</w:t>
      </w:r>
      <w:r>
        <w:rPr>
          <w:rFonts w:ascii="仿宋" w:hAnsi="仿宋" w:eastAsia="仿宋" w:cs="仿宋"/>
          <w:spacing w:val="8"/>
          <w:sz w:val="24"/>
          <w:szCs w:val="24"/>
          <w:highlight w:val="none"/>
        </w:rPr>
        <w:t>（签字</w:t>
      </w:r>
      <w:r>
        <w:rPr>
          <w:rFonts w:hint="eastAsia" w:ascii="仿宋" w:hAnsi="仿宋" w:eastAsia="仿宋" w:cs="仿宋"/>
          <w:spacing w:val="8"/>
          <w:sz w:val="24"/>
          <w:szCs w:val="24"/>
          <w:highlight w:val="none"/>
          <w:lang w:val="en-US" w:eastAsia="zh-Hans"/>
        </w:rPr>
        <w:t>或盖章</w:t>
      </w:r>
      <w:r>
        <w:rPr>
          <w:rFonts w:ascii="仿宋" w:hAnsi="仿宋" w:eastAsia="仿宋" w:cs="仿宋"/>
          <w:spacing w:val="8"/>
          <w:sz w:val="24"/>
          <w:szCs w:val="24"/>
          <w:highlight w:val="none"/>
        </w:rPr>
        <w:t>）</w:t>
      </w:r>
      <w:r>
        <w:rPr>
          <w:rFonts w:ascii="仿宋" w:hAnsi="仿宋" w:eastAsia="仿宋" w:cs="仿宋"/>
          <w:spacing w:val="7"/>
          <w:sz w:val="24"/>
          <w:szCs w:val="24"/>
          <w:highlight w:val="none"/>
        </w:rPr>
        <w:t>：</w:t>
      </w:r>
      <w:r>
        <w:rPr>
          <w:rFonts w:ascii="仿宋" w:hAnsi="仿宋" w:eastAsia="仿宋" w:cs="仿宋"/>
          <w:spacing w:val="7"/>
          <w:sz w:val="24"/>
          <w:szCs w:val="24"/>
          <w:highlight w:val="none"/>
          <w:u w:val="single" w:color="auto"/>
        </w:rPr>
        <w:t xml:space="preserve">        </w:t>
      </w:r>
      <w:r>
        <w:rPr>
          <w:rFonts w:ascii="仿宋" w:hAnsi="仿宋" w:eastAsia="仿宋" w:cs="仿宋"/>
          <w:spacing w:val="-99"/>
          <w:sz w:val="24"/>
          <w:szCs w:val="24"/>
          <w:highlight w:val="none"/>
        </w:rPr>
        <w:t xml:space="preserve"> </w:t>
      </w:r>
      <w:r>
        <w:rPr>
          <w:rFonts w:ascii="仿宋" w:hAnsi="仿宋" w:eastAsia="仿宋" w:cs="仿宋"/>
          <w:spacing w:val="7"/>
          <w:sz w:val="24"/>
          <w:szCs w:val="24"/>
          <w:highlight w:val="none"/>
        </w:rPr>
        <w:t>_</w:t>
      </w:r>
    </w:p>
    <w:p w14:paraId="12A6AD88">
      <w:pPr>
        <w:keepLines w:val="0"/>
        <w:pageBreakBefore w:val="0"/>
        <w:kinsoku/>
        <w:wordWrap/>
        <w:overflowPunct/>
        <w:topLinePunct w:val="0"/>
        <w:bidi w:val="0"/>
        <w:spacing w:before="299" w:line="231" w:lineRule="auto"/>
        <w:ind w:left="1971"/>
        <w:rPr>
          <w:rFonts w:ascii="仿宋" w:hAnsi="仿宋" w:eastAsia="仿宋" w:cs="仿宋"/>
          <w:sz w:val="24"/>
          <w:szCs w:val="24"/>
          <w:highlight w:val="none"/>
        </w:rPr>
      </w:pPr>
      <w:r>
        <w:rPr>
          <w:rFonts w:ascii="仿宋" w:hAnsi="仿宋" w:eastAsia="仿宋" w:cs="仿宋"/>
          <w:spacing w:val="-9"/>
          <w:sz w:val="24"/>
          <w:szCs w:val="24"/>
          <w:highlight w:val="none"/>
        </w:rPr>
        <w:t>日期：</w:t>
      </w:r>
      <w:r>
        <w:rPr>
          <w:rFonts w:ascii="仿宋" w:hAnsi="仿宋" w:eastAsia="仿宋" w:cs="仿宋"/>
          <w:spacing w:val="5"/>
          <w:sz w:val="24"/>
          <w:szCs w:val="24"/>
          <w:highlight w:val="none"/>
          <w:u w:val="single" w:color="auto"/>
        </w:rPr>
        <w:t xml:space="preserve">          </w:t>
      </w:r>
      <w:r>
        <w:rPr>
          <w:rFonts w:ascii="仿宋" w:hAnsi="仿宋" w:eastAsia="仿宋" w:cs="仿宋"/>
          <w:spacing w:val="-81"/>
          <w:sz w:val="24"/>
          <w:szCs w:val="24"/>
          <w:highlight w:val="none"/>
        </w:rPr>
        <w:t xml:space="preserve"> </w:t>
      </w:r>
      <w:r>
        <w:rPr>
          <w:rFonts w:ascii="仿宋" w:hAnsi="仿宋" w:eastAsia="仿宋" w:cs="仿宋"/>
          <w:spacing w:val="-9"/>
          <w:sz w:val="24"/>
          <w:szCs w:val="24"/>
          <w:highlight w:val="none"/>
        </w:rPr>
        <w:t>年</w:t>
      </w:r>
      <w:r>
        <w:rPr>
          <w:rFonts w:ascii="仿宋" w:hAnsi="仿宋" w:eastAsia="仿宋" w:cs="仿宋"/>
          <w:spacing w:val="-9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71"/>
          <w:sz w:val="24"/>
          <w:szCs w:val="24"/>
          <w:highlight w:val="none"/>
        </w:rPr>
        <w:t xml:space="preserve"> </w:t>
      </w:r>
      <w:r>
        <w:rPr>
          <w:rFonts w:ascii="仿宋" w:hAnsi="仿宋" w:eastAsia="仿宋" w:cs="仿宋"/>
          <w:spacing w:val="-9"/>
          <w:sz w:val="24"/>
          <w:szCs w:val="24"/>
          <w:highlight w:val="none"/>
        </w:rPr>
        <w:t>月</w:t>
      </w:r>
      <w:r>
        <w:rPr>
          <w:rFonts w:ascii="仿宋" w:hAnsi="仿宋" w:eastAsia="仿宋" w:cs="仿宋"/>
          <w:spacing w:val="-98"/>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42"/>
          <w:sz w:val="24"/>
          <w:szCs w:val="24"/>
          <w:highlight w:val="none"/>
        </w:rPr>
        <w:t xml:space="preserve"> </w:t>
      </w:r>
      <w:r>
        <w:rPr>
          <w:rFonts w:ascii="仿宋" w:hAnsi="仿宋" w:eastAsia="仿宋" w:cs="仿宋"/>
          <w:spacing w:val="-9"/>
          <w:sz w:val="24"/>
          <w:szCs w:val="24"/>
          <w:highlight w:val="none"/>
        </w:rPr>
        <w:t>日</w:t>
      </w:r>
    </w:p>
    <w:p w14:paraId="19DEF6BA">
      <w:pPr>
        <w:keepLines w:val="0"/>
        <w:pageBreakBefore w:val="0"/>
        <w:kinsoku/>
        <w:wordWrap/>
        <w:overflowPunct/>
        <w:topLinePunct w:val="0"/>
        <w:bidi w:val="0"/>
        <w:spacing w:before="17" w:line="224" w:lineRule="auto"/>
        <w:ind w:left="740"/>
        <w:rPr>
          <w:rFonts w:ascii="仿宋" w:hAnsi="仿宋" w:eastAsia="仿宋" w:cs="仿宋"/>
          <w:sz w:val="24"/>
          <w:szCs w:val="24"/>
          <w:highlight w:val="none"/>
        </w:rPr>
      </w:pPr>
      <w:r>
        <w:rPr>
          <w:rFonts w:ascii="仿宋" w:hAnsi="仿宋" w:eastAsia="仿宋" w:cs="仿宋"/>
          <w:b/>
          <w:bCs/>
          <w:spacing w:val="-7"/>
          <w:sz w:val="24"/>
          <w:szCs w:val="24"/>
          <w:highlight w:val="none"/>
        </w:rPr>
        <w:t>说明：</w:t>
      </w:r>
    </w:p>
    <w:p w14:paraId="03FC4468">
      <w:pPr>
        <w:keepLines w:val="0"/>
        <w:pageBreakBefore w:val="0"/>
        <w:kinsoku/>
        <w:wordWrap/>
        <w:overflowPunct/>
        <w:topLinePunct w:val="0"/>
        <w:bidi w:val="0"/>
        <w:spacing w:before="65" w:line="253" w:lineRule="auto"/>
        <w:ind w:left="744" w:right="319" w:firstLine="3"/>
        <w:rPr>
          <w:rFonts w:ascii="仿宋" w:hAnsi="仿宋" w:eastAsia="仿宋" w:cs="仿宋"/>
          <w:sz w:val="24"/>
          <w:szCs w:val="24"/>
          <w:highlight w:val="none"/>
        </w:rPr>
      </w:pPr>
      <w:r>
        <w:rPr>
          <w:rFonts w:ascii="仿宋" w:hAnsi="仿宋" w:eastAsia="仿宋" w:cs="仿宋"/>
          <w:b/>
          <w:bCs/>
          <w:spacing w:val="-2"/>
          <w:sz w:val="24"/>
          <w:szCs w:val="24"/>
          <w:highlight w:val="none"/>
        </w:rPr>
        <w:t>1、请严格按此“投标报价一览表</w:t>
      </w:r>
      <w:r>
        <w:rPr>
          <w:rFonts w:ascii="仿宋" w:hAnsi="仿宋" w:eastAsia="仿宋" w:cs="仿宋"/>
          <w:spacing w:val="-66"/>
          <w:sz w:val="24"/>
          <w:szCs w:val="24"/>
          <w:highlight w:val="none"/>
        </w:rPr>
        <w:t xml:space="preserve"> </w:t>
      </w:r>
      <w:r>
        <w:rPr>
          <w:rFonts w:ascii="仿宋" w:hAnsi="仿宋" w:eastAsia="仿宋" w:cs="仿宋"/>
          <w:b/>
          <w:bCs/>
          <w:spacing w:val="-2"/>
          <w:sz w:val="24"/>
          <w:szCs w:val="24"/>
          <w:highlight w:val="none"/>
        </w:rPr>
        <w:t>”格式填写，</w:t>
      </w:r>
      <w:r>
        <w:rPr>
          <w:rFonts w:hint="eastAsia" w:ascii="仿宋" w:hAnsi="仿宋" w:eastAsia="仿宋" w:cs="仿宋"/>
          <w:b/>
          <w:bCs/>
          <w:spacing w:val="-2"/>
          <w:sz w:val="24"/>
          <w:szCs w:val="24"/>
          <w:highlight w:val="none"/>
          <w:lang w:eastAsia="zh-CN"/>
        </w:rPr>
        <w:t>投标人</w:t>
      </w:r>
      <w:r>
        <w:rPr>
          <w:rFonts w:ascii="仿宋" w:hAnsi="仿宋" w:eastAsia="仿宋" w:cs="仿宋"/>
          <w:b/>
          <w:bCs/>
          <w:spacing w:val="-2"/>
          <w:sz w:val="24"/>
          <w:szCs w:val="24"/>
          <w:highlight w:val="none"/>
        </w:rPr>
        <w:t>报价时应详细</w:t>
      </w:r>
      <w:r>
        <w:rPr>
          <w:rFonts w:ascii="仿宋" w:hAnsi="仿宋" w:eastAsia="仿宋" w:cs="仿宋"/>
          <w:b/>
          <w:bCs/>
          <w:spacing w:val="-3"/>
          <w:sz w:val="24"/>
          <w:szCs w:val="24"/>
          <w:highlight w:val="none"/>
        </w:rPr>
        <w:t>阅读招标文件报价要求并自行考</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虑市场风险以及价格合理性。</w:t>
      </w:r>
    </w:p>
    <w:p w14:paraId="27BC29ED">
      <w:pPr>
        <w:keepLines w:val="0"/>
        <w:pageBreakBefore w:val="0"/>
        <w:kinsoku/>
        <w:wordWrap/>
        <w:overflowPunct/>
        <w:topLinePunct w:val="0"/>
        <w:bidi w:val="0"/>
        <w:spacing w:before="66" w:line="281" w:lineRule="exact"/>
        <w:ind w:left="736"/>
        <w:rPr>
          <w:rFonts w:ascii="仿宋" w:hAnsi="仿宋" w:eastAsia="仿宋" w:cs="仿宋"/>
          <w:sz w:val="24"/>
          <w:szCs w:val="24"/>
          <w:highlight w:val="none"/>
        </w:rPr>
      </w:pPr>
      <w:r>
        <w:rPr>
          <w:rFonts w:ascii="仿宋" w:hAnsi="仿宋" w:eastAsia="仿宋" w:cs="仿宋"/>
          <w:b/>
          <w:bCs/>
          <w:spacing w:val="-2"/>
          <w:position w:val="7"/>
          <w:sz w:val="24"/>
          <w:szCs w:val="24"/>
          <w:highlight w:val="none"/>
        </w:rPr>
        <w:t>2、合价之和即为投标总报价，合价依据为分项价格表计算得出。</w:t>
      </w:r>
    </w:p>
    <w:p w14:paraId="11730A9E">
      <w:pPr>
        <w:keepLines w:val="0"/>
        <w:pageBreakBefore w:val="0"/>
        <w:kinsoku/>
        <w:wordWrap/>
        <w:overflowPunct/>
        <w:topLinePunct w:val="0"/>
        <w:bidi w:val="0"/>
        <w:spacing w:line="222" w:lineRule="auto"/>
        <w:ind w:left="737"/>
        <w:rPr>
          <w:rFonts w:ascii="仿宋" w:hAnsi="仿宋" w:eastAsia="仿宋" w:cs="仿宋"/>
          <w:sz w:val="24"/>
          <w:szCs w:val="24"/>
          <w:highlight w:val="none"/>
        </w:rPr>
      </w:pPr>
      <w:r>
        <w:rPr>
          <w:rFonts w:ascii="仿宋" w:hAnsi="仿宋" w:eastAsia="仿宋" w:cs="仿宋"/>
          <w:b/>
          <w:bCs/>
          <w:spacing w:val="-2"/>
          <w:sz w:val="24"/>
          <w:szCs w:val="24"/>
          <w:highlight w:val="none"/>
        </w:rPr>
        <w:t>3、投标报价一览表中投标总报价应与投标函一致。</w:t>
      </w:r>
    </w:p>
    <w:p w14:paraId="2D4FFD15">
      <w:pPr>
        <w:keepLines w:val="0"/>
        <w:pageBreakBefore w:val="0"/>
        <w:kinsoku/>
        <w:wordWrap/>
        <w:overflowPunct/>
        <w:topLinePunct w:val="0"/>
        <w:bidi w:val="0"/>
        <w:spacing w:line="222" w:lineRule="auto"/>
        <w:rPr>
          <w:rFonts w:ascii="仿宋" w:hAnsi="仿宋" w:eastAsia="仿宋" w:cs="仿宋"/>
          <w:sz w:val="18"/>
          <w:szCs w:val="18"/>
          <w:highlight w:val="none"/>
        </w:rPr>
      </w:pPr>
    </w:p>
    <w:p w14:paraId="399FFE47">
      <w:pPr>
        <w:pStyle w:val="9"/>
        <w:keepLines w:val="0"/>
        <w:pageBreakBefore w:val="0"/>
        <w:kinsoku/>
        <w:wordWrap/>
        <w:overflowPunct/>
        <w:topLinePunct w:val="0"/>
        <w:bidi w:val="0"/>
        <w:rPr>
          <w:highlight w:val="none"/>
        </w:rPr>
        <w:sectPr>
          <w:footerReference r:id="rId12" w:type="default"/>
          <w:pgSz w:w="11906" w:h="16839"/>
          <w:pgMar w:top="1440" w:right="1080" w:bottom="1440" w:left="1080" w:header="0" w:footer="989" w:gutter="0"/>
          <w:pgNumType w:fmt="decimal"/>
          <w:cols w:space="720" w:num="1"/>
        </w:sectPr>
      </w:pPr>
    </w:p>
    <w:p w14:paraId="5FA3298C">
      <w:pPr>
        <w:keepLines w:val="0"/>
        <w:pageBreakBefore w:val="0"/>
        <w:kinsoku/>
        <w:wordWrap/>
        <w:overflowPunct/>
        <w:topLinePunct w:val="0"/>
        <w:bidi w:val="0"/>
        <w:spacing w:before="274" w:line="231" w:lineRule="auto"/>
        <w:jc w:val="center"/>
        <w:outlineLvl w:val="2"/>
        <w:rPr>
          <w:rFonts w:ascii="仿宋" w:hAnsi="仿宋" w:eastAsia="仿宋" w:cs="仿宋"/>
          <w:sz w:val="28"/>
          <w:szCs w:val="28"/>
          <w:highlight w:val="none"/>
        </w:rPr>
      </w:pPr>
      <w:r>
        <w:rPr>
          <w:rFonts w:ascii="仿宋" w:hAnsi="仿宋" w:eastAsia="仿宋" w:cs="仿宋"/>
          <w:b/>
          <w:bCs/>
          <w:spacing w:val="5"/>
          <w:sz w:val="28"/>
          <w:szCs w:val="28"/>
          <w:highlight w:val="none"/>
        </w:rPr>
        <w:t>3.分项报价明细表</w:t>
      </w:r>
    </w:p>
    <w:tbl>
      <w:tblPr>
        <w:tblStyle w:val="17"/>
        <w:tblW w:w="14580"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668"/>
        <w:gridCol w:w="1978"/>
        <w:gridCol w:w="847"/>
        <w:gridCol w:w="830"/>
        <w:gridCol w:w="1420"/>
        <w:gridCol w:w="1420"/>
        <w:gridCol w:w="2620"/>
        <w:gridCol w:w="1608"/>
        <w:gridCol w:w="1425"/>
      </w:tblGrid>
      <w:tr w14:paraId="4C43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64" w:type="dxa"/>
            <w:noWrap w:val="0"/>
            <w:vAlign w:val="center"/>
          </w:tcPr>
          <w:p w14:paraId="35EFD27A">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1668" w:type="dxa"/>
            <w:noWrap w:val="0"/>
            <w:vAlign w:val="center"/>
          </w:tcPr>
          <w:p w14:paraId="7402B11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品名</w:t>
            </w:r>
          </w:p>
        </w:tc>
        <w:tc>
          <w:tcPr>
            <w:tcW w:w="1978" w:type="dxa"/>
            <w:noWrap w:val="0"/>
            <w:vAlign w:val="center"/>
          </w:tcPr>
          <w:p w14:paraId="3F021A8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规格参数及要求</w:t>
            </w:r>
          </w:p>
        </w:tc>
        <w:tc>
          <w:tcPr>
            <w:tcW w:w="847" w:type="dxa"/>
            <w:noWrap w:val="0"/>
            <w:vAlign w:val="center"/>
          </w:tcPr>
          <w:p w14:paraId="1579733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830" w:type="dxa"/>
            <w:noWrap w:val="0"/>
            <w:vAlign w:val="center"/>
          </w:tcPr>
          <w:p w14:paraId="7104A50D">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w:t>
            </w:r>
          </w:p>
        </w:tc>
        <w:tc>
          <w:tcPr>
            <w:tcW w:w="1420" w:type="dxa"/>
            <w:noWrap w:val="0"/>
            <w:vAlign w:val="center"/>
          </w:tcPr>
          <w:p w14:paraId="2683EAC6">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单价（元）</w:t>
            </w:r>
          </w:p>
        </w:tc>
        <w:tc>
          <w:tcPr>
            <w:tcW w:w="1420" w:type="dxa"/>
            <w:noWrap w:val="0"/>
            <w:vAlign w:val="center"/>
          </w:tcPr>
          <w:p w14:paraId="62E748EF">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总</w:t>
            </w:r>
            <w:r>
              <w:rPr>
                <w:rFonts w:hint="eastAsia" w:ascii="宋体" w:hAnsi="宋体" w:eastAsia="宋体" w:cs="宋体"/>
                <w:color w:val="auto"/>
                <w:kern w:val="0"/>
                <w:sz w:val="24"/>
                <w:szCs w:val="24"/>
                <w:highlight w:val="none"/>
              </w:rPr>
              <w:t>价（元）</w:t>
            </w:r>
          </w:p>
        </w:tc>
        <w:tc>
          <w:tcPr>
            <w:tcW w:w="2620" w:type="dxa"/>
            <w:noWrap w:val="0"/>
            <w:vAlign w:val="center"/>
          </w:tcPr>
          <w:p w14:paraId="343B552B">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品牌/厂家</w:t>
            </w:r>
          </w:p>
        </w:tc>
        <w:tc>
          <w:tcPr>
            <w:tcW w:w="1608" w:type="dxa"/>
            <w:noWrap w:val="0"/>
            <w:vAlign w:val="center"/>
          </w:tcPr>
          <w:p w14:paraId="7162B10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型号</w:t>
            </w:r>
          </w:p>
        </w:tc>
        <w:tc>
          <w:tcPr>
            <w:tcW w:w="1425" w:type="dxa"/>
            <w:noWrap w:val="0"/>
            <w:vAlign w:val="center"/>
          </w:tcPr>
          <w:p w14:paraId="54F55209">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备注</w:t>
            </w:r>
          </w:p>
        </w:tc>
      </w:tr>
      <w:tr w14:paraId="2665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764" w:type="dxa"/>
            <w:noWrap w:val="0"/>
            <w:vAlign w:val="center"/>
          </w:tcPr>
          <w:p w14:paraId="5AB8389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3E8E3A3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14D637E0">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47" w:type="dxa"/>
            <w:noWrap w:val="0"/>
            <w:vAlign w:val="center"/>
          </w:tcPr>
          <w:p w14:paraId="5B8686E6">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48D08F6B">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420" w:type="dxa"/>
            <w:noWrap w:val="0"/>
            <w:vAlign w:val="center"/>
          </w:tcPr>
          <w:p w14:paraId="44334D7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62CD462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7127C558">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6A8FB779">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2FDB5E0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47E7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5C170F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5DA81D6">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7B2F309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6B5DA6F3">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3AF339C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4F82AC6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49B0A7D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59469C07">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1387397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5DD6ECC6">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2789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6608998A">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9690463">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07315C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5757D81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4C53AAEC">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03E1E3EF">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27EE9E71">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1A78A291">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7B89DD2E">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211B14FD">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30E1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4" w:type="dxa"/>
            <w:noWrap w:val="0"/>
            <w:vAlign w:val="center"/>
          </w:tcPr>
          <w:p w14:paraId="08225ED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1668" w:type="dxa"/>
            <w:noWrap w:val="0"/>
            <w:vAlign w:val="center"/>
          </w:tcPr>
          <w:p w14:paraId="1BCE32E2">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1978" w:type="dxa"/>
            <w:noWrap w:val="0"/>
            <w:vAlign w:val="center"/>
          </w:tcPr>
          <w:p w14:paraId="50CF5D62">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val="en-US" w:eastAsia="zh-CN"/>
              </w:rPr>
            </w:pPr>
          </w:p>
        </w:tc>
        <w:tc>
          <w:tcPr>
            <w:tcW w:w="847" w:type="dxa"/>
            <w:noWrap w:val="0"/>
            <w:vAlign w:val="center"/>
          </w:tcPr>
          <w:p w14:paraId="62D73328">
            <w:pPr>
              <w:keepNext w:val="0"/>
              <w:keepLines w:val="0"/>
              <w:pageBreakBefore w:val="0"/>
              <w:widowControl/>
              <w:kinsoku/>
              <w:wordWrap/>
              <w:overflowPunct/>
              <w:topLinePunct w:val="0"/>
              <w:bidi w:val="0"/>
              <w:snapToGrid/>
              <w:spacing w:line="340" w:lineRule="exact"/>
              <w:jc w:val="center"/>
              <w:rPr>
                <w:rFonts w:hint="default" w:ascii="宋体" w:hAnsi="宋体" w:eastAsia="宋体" w:cs="宋体"/>
                <w:color w:val="auto"/>
                <w:kern w:val="0"/>
                <w:sz w:val="24"/>
                <w:szCs w:val="24"/>
                <w:highlight w:val="none"/>
                <w:lang w:val="en-US" w:eastAsia="zh-CN"/>
              </w:rPr>
            </w:pPr>
          </w:p>
        </w:tc>
        <w:tc>
          <w:tcPr>
            <w:tcW w:w="830" w:type="dxa"/>
            <w:noWrap w:val="0"/>
            <w:vAlign w:val="center"/>
          </w:tcPr>
          <w:p w14:paraId="22F28972">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lang w:eastAsia="zh-CN"/>
              </w:rPr>
            </w:pPr>
          </w:p>
        </w:tc>
        <w:tc>
          <w:tcPr>
            <w:tcW w:w="1420" w:type="dxa"/>
            <w:noWrap w:val="0"/>
            <w:vAlign w:val="center"/>
          </w:tcPr>
          <w:p w14:paraId="7A61B555">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0" w:type="dxa"/>
            <w:noWrap w:val="0"/>
            <w:vAlign w:val="center"/>
          </w:tcPr>
          <w:p w14:paraId="1E397960">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2620" w:type="dxa"/>
            <w:noWrap w:val="0"/>
            <w:vAlign w:val="center"/>
          </w:tcPr>
          <w:p w14:paraId="73AFC413">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608" w:type="dxa"/>
            <w:noWrap w:val="0"/>
            <w:vAlign w:val="center"/>
          </w:tcPr>
          <w:p w14:paraId="760EE22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c>
          <w:tcPr>
            <w:tcW w:w="1425" w:type="dxa"/>
            <w:noWrap w:val="0"/>
            <w:vAlign w:val="center"/>
          </w:tcPr>
          <w:p w14:paraId="7B570704">
            <w:pPr>
              <w:keepNext w:val="0"/>
              <w:keepLines w:val="0"/>
              <w:pageBreakBefore w:val="0"/>
              <w:widowControl/>
              <w:kinsoku/>
              <w:wordWrap/>
              <w:overflowPunct/>
              <w:topLinePunct w:val="0"/>
              <w:bidi w:val="0"/>
              <w:snapToGrid/>
              <w:spacing w:line="340" w:lineRule="exact"/>
              <w:jc w:val="center"/>
              <w:rPr>
                <w:rFonts w:hint="eastAsia" w:ascii="宋体" w:hAnsi="宋体" w:eastAsia="宋体" w:cs="宋体"/>
                <w:color w:val="auto"/>
                <w:kern w:val="0"/>
                <w:sz w:val="24"/>
                <w:szCs w:val="24"/>
                <w:highlight w:val="none"/>
              </w:rPr>
            </w:pPr>
          </w:p>
        </w:tc>
      </w:tr>
      <w:tr w14:paraId="1D3F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3155" w:type="dxa"/>
            <w:gridSpan w:val="9"/>
            <w:noWrap w:val="0"/>
            <w:vAlign w:val="center"/>
          </w:tcPr>
          <w:p w14:paraId="2508BDCD">
            <w:pPr>
              <w:pStyle w:val="9"/>
              <w:keepNext w:val="0"/>
              <w:keepLines w:val="0"/>
              <w:pageBreakBefore w:val="0"/>
              <w:kinsoku/>
              <w:wordWrap/>
              <w:overflowPunct/>
              <w:topLinePunct w:val="0"/>
              <w:bidi w:val="0"/>
              <w:snapToGrid/>
              <w:spacing w:before="0" w:after="0" w:line="340" w:lineRule="exact"/>
              <w:ind w:left="0" w:leftChars="0"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合计</w:t>
            </w:r>
            <w:r>
              <w:rPr>
                <w:rFonts w:hint="eastAsia" w:ascii="宋体" w:hAnsi="宋体" w:eastAsia="宋体" w:cs="宋体"/>
                <w:color w:val="auto"/>
                <w:kern w:val="0"/>
                <w:sz w:val="24"/>
                <w:szCs w:val="24"/>
                <w:highlight w:val="none"/>
              </w:rPr>
              <w:t>（元）：</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小写：                           大写：</w:t>
            </w:r>
          </w:p>
        </w:tc>
        <w:tc>
          <w:tcPr>
            <w:tcW w:w="1425" w:type="dxa"/>
            <w:noWrap w:val="0"/>
            <w:vAlign w:val="center"/>
          </w:tcPr>
          <w:p w14:paraId="1030DFDE">
            <w:pPr>
              <w:pStyle w:val="9"/>
              <w:keepNext w:val="0"/>
              <w:keepLines w:val="0"/>
              <w:pageBreakBefore w:val="0"/>
              <w:kinsoku/>
              <w:wordWrap/>
              <w:overflowPunct/>
              <w:topLinePunct w:val="0"/>
              <w:bidi w:val="0"/>
              <w:snapToGrid/>
              <w:spacing w:before="0" w:after="0" w:line="340" w:lineRule="exact"/>
              <w:ind w:left="0" w:leftChars="0" w:firstLine="0" w:firstLineChars="0"/>
              <w:jc w:val="center"/>
              <w:rPr>
                <w:rFonts w:hint="eastAsia" w:ascii="宋体" w:hAnsi="宋体" w:eastAsia="宋体" w:cs="宋体"/>
                <w:color w:val="auto"/>
                <w:kern w:val="0"/>
                <w:sz w:val="24"/>
                <w:szCs w:val="24"/>
                <w:highlight w:val="none"/>
                <w:lang w:eastAsia="zh-CN"/>
              </w:rPr>
            </w:pPr>
          </w:p>
        </w:tc>
      </w:tr>
    </w:tbl>
    <w:p w14:paraId="4781254C">
      <w:pPr>
        <w:keepLines w:val="0"/>
        <w:pageBreakBefore w:val="0"/>
        <w:kinsoku/>
        <w:wordWrap/>
        <w:overflowPunct/>
        <w:topLinePunct w:val="0"/>
        <w:bidi w:val="0"/>
        <w:spacing w:line="240" w:lineRule="atLeast"/>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★备注：1.按照采购清单提供的内容填报，不得改变其顺序、格式、内容等，如需补充，可在备注栏里进行补充说明。否则视为不响应招标文件实质性条款。</w:t>
      </w:r>
    </w:p>
    <w:p w14:paraId="001796B7">
      <w:pPr>
        <w:keepLines w:val="0"/>
        <w:pageBreakBefore w:val="0"/>
        <w:kinsoku/>
        <w:wordWrap/>
        <w:overflowPunct/>
        <w:topLinePunct w:val="0"/>
        <w:bidi w:val="0"/>
        <w:spacing w:line="240" w:lineRule="atLeast"/>
        <w:ind w:firstLine="1124" w:firstLineChars="400"/>
        <w:rPr>
          <w:rFonts w:hint="eastAsia" w:ascii="仿宋_GB2312" w:eastAsia="仿宋_GB2312"/>
          <w:color w:val="auto"/>
          <w:sz w:val="28"/>
          <w:szCs w:val="28"/>
          <w:highlight w:val="none"/>
          <w:lang w:val="en-US" w:eastAsia="zh-CN"/>
        </w:rPr>
      </w:pPr>
      <w:r>
        <w:rPr>
          <w:rFonts w:hint="eastAsia" w:ascii="宋体" w:hAnsi="宋体" w:eastAsia="宋体" w:cs="宋体"/>
          <w:b/>
          <w:bCs/>
          <w:color w:val="auto"/>
          <w:kern w:val="0"/>
          <w:sz w:val="28"/>
          <w:szCs w:val="28"/>
          <w:highlight w:val="none"/>
          <w:lang w:val="en-US" w:eastAsia="zh-CN" w:bidi="ar-SA"/>
        </w:rPr>
        <w:t>2.</w:t>
      </w:r>
      <w:r>
        <w:rPr>
          <w:rFonts w:hint="eastAsia" w:ascii="宋体" w:eastAsia="宋体" w:cs="宋体"/>
          <w:b/>
          <w:bCs/>
          <w:color w:val="auto"/>
          <w:kern w:val="0"/>
          <w:sz w:val="28"/>
          <w:szCs w:val="28"/>
          <w:highlight w:val="none"/>
          <w:lang w:val="en-US" w:eastAsia="zh-CN" w:bidi="ar-SA"/>
        </w:rPr>
        <w:t xml:space="preserve"> 品名注册名称如不相同，供应商可根据自己备案名称填写。  </w:t>
      </w:r>
      <w:r>
        <w:rPr>
          <w:rFonts w:hint="eastAsia" w:ascii="仿宋_GB2312" w:eastAsia="仿宋_GB2312"/>
          <w:color w:val="auto"/>
          <w:sz w:val="28"/>
          <w:szCs w:val="28"/>
          <w:highlight w:val="none"/>
          <w:lang w:val="en-US" w:eastAsia="zh-CN"/>
        </w:rPr>
        <w:t xml:space="preserve">                                        </w:t>
      </w:r>
    </w:p>
    <w:p w14:paraId="4835AA3C">
      <w:pPr>
        <w:keepLines w:val="0"/>
        <w:pageBreakBefore w:val="0"/>
        <w:kinsoku/>
        <w:wordWrap/>
        <w:overflowPunct/>
        <w:topLinePunct w:val="0"/>
        <w:bidi w:val="0"/>
        <w:spacing w:line="440" w:lineRule="exact"/>
        <w:ind w:firstLine="560" w:firstLineChars="200"/>
        <w:jc w:val="center"/>
        <w:rPr>
          <w:rFonts w:hint="eastAsia" w:ascii="仿宋_GB2312" w:eastAsia="仿宋_GB2312"/>
          <w:color w:val="auto"/>
          <w:sz w:val="26"/>
          <w:szCs w:val="26"/>
          <w:highlight w:val="none"/>
        </w:rPr>
      </w:pPr>
      <w:r>
        <w:rPr>
          <w:rFonts w:hint="eastAsia" w:ascii="仿宋_GB2312" w:eastAsia="仿宋_GB2312"/>
          <w:color w:val="auto"/>
          <w:sz w:val="28"/>
          <w:szCs w:val="28"/>
          <w:highlight w:val="none"/>
          <w:lang w:val="en-US" w:eastAsia="zh-CN"/>
        </w:rPr>
        <w:t xml:space="preserve">                                             </w:t>
      </w:r>
      <w:r>
        <w:rPr>
          <w:rFonts w:hint="eastAsia" w:ascii="仿宋_GB2312" w:eastAsia="仿宋_GB2312"/>
          <w:color w:val="auto"/>
          <w:sz w:val="26"/>
          <w:szCs w:val="26"/>
          <w:highlight w:val="none"/>
        </w:rPr>
        <w:t>投标方：（单位盖章）</w:t>
      </w:r>
    </w:p>
    <w:p w14:paraId="085D0911">
      <w:pPr>
        <w:keepLines w:val="0"/>
        <w:pageBreakBefore w:val="0"/>
        <w:kinsoku/>
        <w:wordWrap/>
        <w:overflowPunct/>
        <w:topLinePunct w:val="0"/>
        <w:bidi w:val="0"/>
        <w:spacing w:line="440" w:lineRule="exact"/>
        <w:ind w:firstLine="520" w:firstLineChars="200"/>
        <w:jc w:val="center"/>
        <w:rPr>
          <w:rFonts w:hint="eastAsia" w:ascii="仿宋_GB2312" w:eastAsia="仿宋_GB2312"/>
          <w:color w:val="auto"/>
          <w:sz w:val="26"/>
          <w:szCs w:val="26"/>
          <w:highlight w:val="none"/>
          <w:lang w:eastAsia="zh-CN"/>
        </w:rPr>
      </w:pPr>
      <w:r>
        <w:rPr>
          <w:rFonts w:hint="eastAsia" w:ascii="仿宋_GB2312" w:eastAsia="仿宋_GB2312"/>
          <w:color w:val="auto"/>
          <w:sz w:val="26"/>
          <w:szCs w:val="26"/>
          <w:highlight w:val="none"/>
          <w:lang w:val="en-US" w:eastAsia="zh-CN"/>
        </w:rPr>
        <w:t xml:space="preserve">                                                            </w:t>
      </w:r>
      <w:r>
        <w:rPr>
          <w:rFonts w:hint="eastAsia" w:ascii="仿宋_GB2312" w:eastAsia="仿宋_GB2312"/>
          <w:color w:val="auto"/>
          <w:sz w:val="26"/>
          <w:szCs w:val="26"/>
          <w:highlight w:val="none"/>
        </w:rPr>
        <w:t>法定代表人或代理人：（签字或盖章）</w:t>
      </w:r>
    </w:p>
    <w:p w14:paraId="21A74B64">
      <w:pPr>
        <w:pStyle w:val="8"/>
        <w:keepLines w:val="0"/>
        <w:pageBreakBefore w:val="0"/>
        <w:kinsoku/>
        <w:wordWrap/>
        <w:overflowPunct/>
        <w:topLinePunct w:val="0"/>
        <w:bidi w:val="0"/>
        <w:ind w:firstLine="9880" w:firstLineChars="3800"/>
        <w:rPr>
          <w:rFonts w:hint="eastAsia" w:ascii="仿宋_GB2312" w:eastAsia="仿宋_GB2312"/>
          <w:b/>
          <w:bCs/>
          <w:color w:val="auto"/>
          <w:sz w:val="36"/>
          <w:szCs w:val="36"/>
          <w:highlight w:val="none"/>
        </w:rPr>
      </w:pPr>
      <w:r>
        <w:rPr>
          <w:rFonts w:hint="eastAsia" w:ascii="仿宋_GB2312" w:eastAsia="仿宋_GB2312"/>
          <w:color w:val="auto"/>
          <w:sz w:val="26"/>
          <w:szCs w:val="26"/>
          <w:highlight w:val="none"/>
          <w:lang w:eastAsia="zh-CN"/>
        </w:rPr>
        <w:t>年</w:t>
      </w:r>
      <w:r>
        <w:rPr>
          <w:rFonts w:hint="eastAsia" w:ascii="仿宋_GB2312" w:eastAsia="仿宋_GB2312"/>
          <w:color w:val="auto"/>
          <w:sz w:val="26"/>
          <w:szCs w:val="26"/>
          <w:highlight w:val="none"/>
          <w:lang w:val="en-US" w:eastAsia="zh-CN"/>
        </w:rPr>
        <w:t xml:space="preserve">   月   日 </w:t>
      </w:r>
    </w:p>
    <w:p w14:paraId="42C8536C">
      <w:pPr>
        <w:keepLines w:val="0"/>
        <w:pageBreakBefore w:val="0"/>
        <w:numPr>
          <w:ilvl w:val="0"/>
          <w:numId w:val="0"/>
        </w:numPr>
        <w:kinsoku/>
        <w:wordWrap/>
        <w:overflowPunct/>
        <w:topLinePunct w:val="0"/>
        <w:bidi w:val="0"/>
        <w:spacing w:line="440" w:lineRule="exact"/>
        <w:jc w:val="center"/>
        <w:rPr>
          <w:rFonts w:hint="eastAsia" w:ascii="宋体" w:hAnsi="宋体" w:eastAsia="宋体" w:cs="宋体"/>
          <w:b/>
          <w:bCs/>
          <w:color w:val="auto"/>
          <w:sz w:val="24"/>
          <w:szCs w:val="24"/>
          <w:highlight w:val="none"/>
          <w:lang w:val="en-US" w:eastAsia="zh-CN"/>
        </w:rPr>
      </w:pPr>
    </w:p>
    <w:p w14:paraId="3CF2C2E9">
      <w:pPr>
        <w:keepLines w:val="0"/>
        <w:pageBreakBefore w:val="0"/>
        <w:numPr>
          <w:ilvl w:val="0"/>
          <w:numId w:val="0"/>
        </w:numPr>
        <w:kinsoku/>
        <w:wordWrap/>
        <w:overflowPunct/>
        <w:topLinePunct w:val="0"/>
        <w:bidi w:val="0"/>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投标货物（设备）技术、性能、质量具体明细及偏离表</w:t>
      </w:r>
    </w:p>
    <w:p w14:paraId="39ABEC22">
      <w:pPr>
        <w:pStyle w:val="9"/>
        <w:keepLines w:val="0"/>
        <w:pageBreakBefore w:val="0"/>
        <w:kinsoku/>
        <w:wordWrap/>
        <w:overflowPunct/>
        <w:topLinePunct w:val="0"/>
        <w:bidi w:val="0"/>
        <w:rPr>
          <w:rFonts w:hint="eastAsia"/>
          <w:highlight w:val="none"/>
        </w:rPr>
      </w:pPr>
    </w:p>
    <w:tbl>
      <w:tblPr>
        <w:tblStyle w:val="17"/>
        <w:tblW w:w="15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747"/>
        <w:gridCol w:w="588"/>
        <w:gridCol w:w="2900"/>
        <w:gridCol w:w="588"/>
        <w:gridCol w:w="1053"/>
        <w:gridCol w:w="1360"/>
        <w:gridCol w:w="743"/>
        <w:gridCol w:w="897"/>
        <w:gridCol w:w="897"/>
        <w:gridCol w:w="901"/>
        <w:gridCol w:w="1176"/>
        <w:gridCol w:w="1176"/>
      </w:tblGrid>
      <w:tr w14:paraId="7C2A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jc w:val="center"/>
        </w:trPr>
        <w:tc>
          <w:tcPr>
            <w:tcW w:w="739" w:type="dxa"/>
            <w:vMerge w:val="restart"/>
            <w:tcBorders>
              <w:top w:val="single" w:color="auto" w:sz="4" w:space="0"/>
              <w:left w:val="single" w:color="auto" w:sz="4" w:space="0"/>
              <w:bottom w:val="single" w:color="auto" w:sz="4" w:space="0"/>
              <w:right w:val="single" w:color="auto" w:sz="4" w:space="0"/>
            </w:tcBorders>
            <w:vAlign w:val="center"/>
          </w:tcPr>
          <w:p w14:paraId="1F9DBA2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序号</w:t>
            </w:r>
          </w:p>
        </w:tc>
        <w:tc>
          <w:tcPr>
            <w:tcW w:w="3335" w:type="dxa"/>
            <w:gridSpan w:val="2"/>
            <w:tcBorders>
              <w:top w:val="single" w:color="auto" w:sz="4" w:space="0"/>
              <w:left w:val="single" w:color="auto" w:sz="4" w:space="0"/>
              <w:bottom w:val="single" w:color="auto" w:sz="4" w:space="0"/>
              <w:right w:val="single" w:color="auto" w:sz="4" w:space="0"/>
            </w:tcBorders>
            <w:vAlign w:val="center"/>
          </w:tcPr>
          <w:p w14:paraId="6A5E3351">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招标货物（设备）要求</w:t>
            </w:r>
          </w:p>
        </w:tc>
        <w:tc>
          <w:tcPr>
            <w:tcW w:w="3488" w:type="dxa"/>
            <w:gridSpan w:val="2"/>
            <w:tcBorders>
              <w:top w:val="single" w:color="auto" w:sz="4" w:space="0"/>
              <w:left w:val="single" w:color="auto" w:sz="4" w:space="0"/>
              <w:bottom w:val="single" w:color="auto" w:sz="4" w:space="0"/>
              <w:right w:val="single" w:color="auto" w:sz="4" w:space="0"/>
            </w:tcBorders>
            <w:vAlign w:val="center"/>
          </w:tcPr>
          <w:p w14:paraId="2B117EE1">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投标货物（设备）状况</w:t>
            </w:r>
          </w:p>
        </w:tc>
        <w:tc>
          <w:tcPr>
            <w:tcW w:w="1053" w:type="dxa"/>
            <w:vMerge w:val="restart"/>
            <w:tcBorders>
              <w:top w:val="single" w:color="auto" w:sz="4" w:space="0"/>
              <w:left w:val="single" w:color="auto" w:sz="4" w:space="0"/>
              <w:bottom w:val="single" w:color="auto" w:sz="4" w:space="0"/>
              <w:right w:val="single" w:color="auto" w:sz="4" w:space="0"/>
            </w:tcBorders>
            <w:vAlign w:val="center"/>
          </w:tcPr>
          <w:p w14:paraId="4B0236C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免费质保期</w:t>
            </w:r>
          </w:p>
        </w:tc>
        <w:tc>
          <w:tcPr>
            <w:tcW w:w="1360" w:type="dxa"/>
            <w:vMerge w:val="restart"/>
            <w:tcBorders>
              <w:top w:val="single" w:color="auto" w:sz="4" w:space="0"/>
              <w:left w:val="single" w:color="auto" w:sz="4" w:space="0"/>
              <w:bottom w:val="single" w:color="auto" w:sz="4" w:space="0"/>
              <w:right w:val="single" w:color="auto" w:sz="4" w:space="0"/>
            </w:tcBorders>
            <w:vAlign w:val="center"/>
          </w:tcPr>
          <w:p w14:paraId="198ADEC9">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免费质保期外服务年限</w:t>
            </w:r>
          </w:p>
        </w:tc>
        <w:tc>
          <w:tcPr>
            <w:tcW w:w="3438" w:type="dxa"/>
            <w:gridSpan w:val="4"/>
            <w:vMerge w:val="restart"/>
            <w:tcBorders>
              <w:top w:val="single" w:color="auto" w:sz="4" w:space="0"/>
              <w:left w:val="single" w:color="auto" w:sz="4" w:space="0"/>
              <w:bottom w:val="single" w:color="auto" w:sz="4" w:space="0"/>
              <w:right w:val="single" w:color="auto" w:sz="4" w:space="0"/>
            </w:tcBorders>
            <w:vAlign w:val="center"/>
          </w:tcPr>
          <w:p w14:paraId="59876A5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投标货物（设备）符合程度</w:t>
            </w:r>
          </w:p>
        </w:tc>
        <w:tc>
          <w:tcPr>
            <w:tcW w:w="1176" w:type="dxa"/>
            <w:vMerge w:val="restart"/>
            <w:tcBorders>
              <w:top w:val="single" w:color="auto" w:sz="4" w:space="0"/>
              <w:left w:val="single" w:color="auto" w:sz="4" w:space="0"/>
              <w:bottom w:val="single" w:color="auto" w:sz="4" w:space="0"/>
              <w:right w:val="single" w:color="auto" w:sz="4" w:space="0"/>
            </w:tcBorders>
            <w:vAlign w:val="center"/>
          </w:tcPr>
          <w:p w14:paraId="4F185232">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偏离说明</w:t>
            </w:r>
          </w:p>
        </w:tc>
        <w:tc>
          <w:tcPr>
            <w:tcW w:w="1176" w:type="dxa"/>
            <w:vMerge w:val="restart"/>
            <w:tcBorders>
              <w:top w:val="single" w:color="auto" w:sz="4" w:space="0"/>
              <w:left w:val="single" w:color="auto" w:sz="4" w:space="0"/>
              <w:right w:val="single" w:color="auto" w:sz="4" w:space="0"/>
            </w:tcBorders>
            <w:vAlign w:val="center"/>
          </w:tcPr>
          <w:p w14:paraId="1A553E4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lang w:val="en-US" w:eastAsia="zh-CN"/>
              </w:rPr>
            </w:pPr>
            <w:r>
              <w:rPr>
                <w:rFonts w:hint="eastAsia" w:asciiTheme="majorEastAsia" w:hAnsiTheme="majorEastAsia" w:eastAsiaTheme="majorEastAsia" w:cstheme="majorEastAsia"/>
                <w:b/>
                <w:bCs/>
                <w:color w:val="auto"/>
                <w:szCs w:val="21"/>
                <w:highlight w:val="none"/>
                <w:lang w:val="en-US" w:eastAsia="zh-CN"/>
              </w:rPr>
              <w:t>备注</w:t>
            </w:r>
          </w:p>
        </w:tc>
      </w:tr>
      <w:tr w14:paraId="0281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739" w:type="dxa"/>
            <w:vMerge w:val="continue"/>
            <w:tcBorders>
              <w:top w:val="single" w:color="auto" w:sz="4" w:space="0"/>
              <w:left w:val="single" w:color="auto" w:sz="4" w:space="0"/>
              <w:bottom w:val="single" w:color="auto" w:sz="4" w:space="0"/>
              <w:right w:val="single" w:color="auto" w:sz="4" w:space="0"/>
            </w:tcBorders>
            <w:vAlign w:val="center"/>
          </w:tcPr>
          <w:p w14:paraId="70EB150E">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2747" w:type="dxa"/>
            <w:vMerge w:val="restart"/>
            <w:tcBorders>
              <w:top w:val="single" w:color="auto" w:sz="4" w:space="0"/>
              <w:left w:val="single" w:color="auto" w:sz="4" w:space="0"/>
              <w:bottom w:val="single" w:color="auto" w:sz="4" w:space="0"/>
              <w:right w:val="single" w:color="auto" w:sz="4" w:space="0"/>
            </w:tcBorders>
            <w:vAlign w:val="center"/>
          </w:tcPr>
          <w:p w14:paraId="1B2CEF12">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型号、规格、质量、技术性能及参数要求</w:t>
            </w:r>
          </w:p>
        </w:tc>
        <w:tc>
          <w:tcPr>
            <w:tcW w:w="588" w:type="dxa"/>
            <w:vMerge w:val="restart"/>
            <w:tcBorders>
              <w:top w:val="single" w:color="auto" w:sz="4" w:space="0"/>
              <w:left w:val="single" w:color="auto" w:sz="4" w:space="0"/>
              <w:bottom w:val="single" w:color="auto" w:sz="4" w:space="0"/>
              <w:right w:val="single" w:color="auto" w:sz="4" w:space="0"/>
            </w:tcBorders>
            <w:vAlign w:val="center"/>
          </w:tcPr>
          <w:p w14:paraId="1A86EA3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数量</w:t>
            </w:r>
          </w:p>
        </w:tc>
        <w:tc>
          <w:tcPr>
            <w:tcW w:w="2900" w:type="dxa"/>
            <w:vMerge w:val="restart"/>
            <w:tcBorders>
              <w:top w:val="single" w:color="auto" w:sz="4" w:space="0"/>
              <w:left w:val="single" w:color="auto" w:sz="4" w:space="0"/>
              <w:bottom w:val="single" w:color="auto" w:sz="4" w:space="0"/>
              <w:right w:val="single" w:color="auto" w:sz="4" w:space="0"/>
            </w:tcBorders>
            <w:vAlign w:val="center"/>
          </w:tcPr>
          <w:p w14:paraId="45CB399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型号、规格、质量、技术性能及参数要求</w:t>
            </w:r>
          </w:p>
        </w:tc>
        <w:tc>
          <w:tcPr>
            <w:tcW w:w="588" w:type="dxa"/>
            <w:vMerge w:val="restart"/>
            <w:tcBorders>
              <w:top w:val="single" w:color="auto" w:sz="4" w:space="0"/>
              <w:left w:val="single" w:color="auto" w:sz="4" w:space="0"/>
              <w:bottom w:val="single" w:color="auto" w:sz="4" w:space="0"/>
              <w:right w:val="single" w:color="auto" w:sz="4" w:space="0"/>
            </w:tcBorders>
            <w:vAlign w:val="center"/>
          </w:tcPr>
          <w:p w14:paraId="081491BA">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数量</w:t>
            </w:r>
          </w:p>
        </w:tc>
        <w:tc>
          <w:tcPr>
            <w:tcW w:w="1053" w:type="dxa"/>
            <w:vMerge w:val="continue"/>
            <w:tcBorders>
              <w:top w:val="single" w:color="auto" w:sz="4" w:space="0"/>
              <w:left w:val="single" w:color="auto" w:sz="4" w:space="0"/>
              <w:bottom w:val="single" w:color="auto" w:sz="4" w:space="0"/>
              <w:right w:val="single" w:color="auto" w:sz="4" w:space="0"/>
            </w:tcBorders>
            <w:vAlign w:val="center"/>
          </w:tcPr>
          <w:p w14:paraId="64D07EDB">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360" w:type="dxa"/>
            <w:vMerge w:val="continue"/>
            <w:tcBorders>
              <w:top w:val="single" w:color="auto" w:sz="4" w:space="0"/>
              <w:left w:val="single" w:color="auto" w:sz="4" w:space="0"/>
              <w:bottom w:val="single" w:color="auto" w:sz="4" w:space="0"/>
              <w:right w:val="single" w:color="auto" w:sz="4" w:space="0"/>
            </w:tcBorders>
            <w:vAlign w:val="center"/>
          </w:tcPr>
          <w:p w14:paraId="63E7283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3438" w:type="dxa"/>
            <w:gridSpan w:val="4"/>
            <w:vMerge w:val="continue"/>
            <w:tcBorders>
              <w:top w:val="single" w:color="auto" w:sz="4" w:space="0"/>
              <w:left w:val="single" w:color="auto" w:sz="4" w:space="0"/>
              <w:bottom w:val="single" w:color="auto" w:sz="4" w:space="0"/>
              <w:right w:val="single" w:color="auto" w:sz="4" w:space="0"/>
            </w:tcBorders>
            <w:vAlign w:val="center"/>
          </w:tcPr>
          <w:p w14:paraId="31E26F26">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176" w:type="dxa"/>
            <w:vMerge w:val="continue"/>
            <w:tcBorders>
              <w:top w:val="single" w:color="auto" w:sz="4" w:space="0"/>
              <w:left w:val="single" w:color="auto" w:sz="4" w:space="0"/>
              <w:bottom w:val="single" w:color="auto" w:sz="4" w:space="0"/>
              <w:right w:val="single" w:color="auto" w:sz="4" w:space="0"/>
            </w:tcBorders>
            <w:vAlign w:val="center"/>
          </w:tcPr>
          <w:p w14:paraId="7538B0C3">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176" w:type="dxa"/>
            <w:vMerge w:val="continue"/>
            <w:tcBorders>
              <w:left w:val="single" w:color="auto" w:sz="4" w:space="0"/>
              <w:right w:val="single" w:color="auto" w:sz="4" w:space="0"/>
            </w:tcBorders>
            <w:vAlign w:val="center"/>
          </w:tcPr>
          <w:p w14:paraId="44FF8B21">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r>
      <w:tr w14:paraId="45ED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739" w:type="dxa"/>
            <w:vMerge w:val="continue"/>
            <w:tcBorders>
              <w:top w:val="single" w:color="auto" w:sz="4" w:space="0"/>
              <w:left w:val="single" w:color="auto" w:sz="4" w:space="0"/>
              <w:bottom w:val="single" w:color="auto" w:sz="4" w:space="0"/>
              <w:right w:val="single" w:color="auto" w:sz="4" w:space="0"/>
            </w:tcBorders>
            <w:vAlign w:val="center"/>
          </w:tcPr>
          <w:p w14:paraId="5DC7C4A0">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2747" w:type="dxa"/>
            <w:vMerge w:val="continue"/>
            <w:tcBorders>
              <w:top w:val="single" w:color="auto" w:sz="4" w:space="0"/>
              <w:left w:val="single" w:color="auto" w:sz="4" w:space="0"/>
              <w:bottom w:val="single" w:color="auto" w:sz="4" w:space="0"/>
              <w:right w:val="single" w:color="auto" w:sz="4" w:space="0"/>
            </w:tcBorders>
            <w:vAlign w:val="center"/>
          </w:tcPr>
          <w:p w14:paraId="7F493309">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588" w:type="dxa"/>
            <w:vMerge w:val="continue"/>
            <w:tcBorders>
              <w:top w:val="single" w:color="auto" w:sz="4" w:space="0"/>
              <w:left w:val="single" w:color="auto" w:sz="4" w:space="0"/>
              <w:bottom w:val="single" w:color="auto" w:sz="4" w:space="0"/>
              <w:right w:val="single" w:color="auto" w:sz="4" w:space="0"/>
            </w:tcBorders>
            <w:vAlign w:val="center"/>
          </w:tcPr>
          <w:p w14:paraId="78C2D59C">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2900" w:type="dxa"/>
            <w:vMerge w:val="continue"/>
            <w:tcBorders>
              <w:top w:val="single" w:color="auto" w:sz="4" w:space="0"/>
              <w:left w:val="single" w:color="auto" w:sz="4" w:space="0"/>
              <w:bottom w:val="single" w:color="auto" w:sz="4" w:space="0"/>
              <w:right w:val="single" w:color="auto" w:sz="4" w:space="0"/>
            </w:tcBorders>
            <w:vAlign w:val="center"/>
          </w:tcPr>
          <w:p w14:paraId="0A71E818">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588" w:type="dxa"/>
            <w:vMerge w:val="continue"/>
            <w:tcBorders>
              <w:top w:val="single" w:color="auto" w:sz="4" w:space="0"/>
              <w:left w:val="single" w:color="auto" w:sz="4" w:space="0"/>
              <w:bottom w:val="single" w:color="auto" w:sz="4" w:space="0"/>
              <w:right w:val="single" w:color="auto" w:sz="4" w:space="0"/>
            </w:tcBorders>
            <w:vAlign w:val="center"/>
          </w:tcPr>
          <w:p w14:paraId="189C9BD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053" w:type="dxa"/>
            <w:vMerge w:val="continue"/>
            <w:tcBorders>
              <w:top w:val="single" w:color="auto" w:sz="4" w:space="0"/>
              <w:left w:val="single" w:color="auto" w:sz="4" w:space="0"/>
              <w:bottom w:val="single" w:color="auto" w:sz="4" w:space="0"/>
              <w:right w:val="single" w:color="auto" w:sz="4" w:space="0"/>
            </w:tcBorders>
            <w:vAlign w:val="center"/>
          </w:tcPr>
          <w:p w14:paraId="5A0A8FEE">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360" w:type="dxa"/>
            <w:vMerge w:val="continue"/>
            <w:tcBorders>
              <w:top w:val="single" w:color="auto" w:sz="4" w:space="0"/>
              <w:left w:val="single" w:color="auto" w:sz="4" w:space="0"/>
              <w:bottom w:val="single" w:color="auto" w:sz="4" w:space="0"/>
              <w:right w:val="single" w:color="auto" w:sz="4" w:space="0"/>
            </w:tcBorders>
            <w:vAlign w:val="center"/>
          </w:tcPr>
          <w:p w14:paraId="5B36B4DD">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vAlign w:val="center"/>
          </w:tcPr>
          <w:p w14:paraId="7875DF95">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符合要求</w:t>
            </w:r>
          </w:p>
        </w:tc>
        <w:tc>
          <w:tcPr>
            <w:tcW w:w="897" w:type="dxa"/>
            <w:tcBorders>
              <w:top w:val="single" w:color="auto" w:sz="4" w:space="0"/>
              <w:left w:val="single" w:color="auto" w:sz="4" w:space="0"/>
              <w:bottom w:val="single" w:color="auto" w:sz="4" w:space="0"/>
              <w:right w:val="single" w:color="auto" w:sz="4" w:space="0"/>
            </w:tcBorders>
            <w:vAlign w:val="center"/>
          </w:tcPr>
          <w:p w14:paraId="257F88D0">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高于要求</w:t>
            </w:r>
          </w:p>
        </w:tc>
        <w:tc>
          <w:tcPr>
            <w:tcW w:w="897" w:type="dxa"/>
            <w:tcBorders>
              <w:top w:val="single" w:color="auto" w:sz="4" w:space="0"/>
              <w:left w:val="single" w:color="auto" w:sz="4" w:space="0"/>
              <w:bottom w:val="single" w:color="auto" w:sz="4" w:space="0"/>
              <w:right w:val="single" w:color="auto" w:sz="4" w:space="0"/>
            </w:tcBorders>
            <w:vAlign w:val="center"/>
          </w:tcPr>
          <w:p w14:paraId="764636B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低于要求</w:t>
            </w:r>
          </w:p>
        </w:tc>
        <w:tc>
          <w:tcPr>
            <w:tcW w:w="901" w:type="dxa"/>
            <w:tcBorders>
              <w:top w:val="single" w:color="auto" w:sz="4" w:space="0"/>
              <w:left w:val="single" w:color="auto" w:sz="4" w:space="0"/>
              <w:bottom w:val="single" w:color="auto" w:sz="4" w:space="0"/>
              <w:right w:val="single" w:color="auto" w:sz="4" w:space="0"/>
            </w:tcBorders>
            <w:vAlign w:val="center"/>
          </w:tcPr>
          <w:p w14:paraId="1264C23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rPr>
              <w:t>不能确定</w:t>
            </w:r>
          </w:p>
        </w:tc>
        <w:tc>
          <w:tcPr>
            <w:tcW w:w="1176" w:type="dxa"/>
            <w:vMerge w:val="continue"/>
            <w:tcBorders>
              <w:top w:val="single" w:color="auto" w:sz="4" w:space="0"/>
              <w:left w:val="single" w:color="auto" w:sz="4" w:space="0"/>
              <w:bottom w:val="single" w:color="auto" w:sz="4" w:space="0"/>
              <w:right w:val="single" w:color="auto" w:sz="4" w:space="0"/>
            </w:tcBorders>
            <w:vAlign w:val="center"/>
          </w:tcPr>
          <w:p w14:paraId="53CDD9C5">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c>
          <w:tcPr>
            <w:tcW w:w="1176" w:type="dxa"/>
            <w:vMerge w:val="continue"/>
            <w:tcBorders>
              <w:left w:val="single" w:color="auto" w:sz="4" w:space="0"/>
              <w:bottom w:val="single" w:color="auto" w:sz="4" w:space="0"/>
              <w:right w:val="single" w:color="auto" w:sz="4" w:space="0"/>
            </w:tcBorders>
            <w:vAlign w:val="center"/>
          </w:tcPr>
          <w:p w14:paraId="58718710">
            <w:pPr>
              <w:keepLines w:val="0"/>
              <w:pageBreakBefore w:val="0"/>
              <w:widowControl/>
              <w:kinsoku/>
              <w:wordWrap/>
              <w:overflowPunct/>
              <w:topLinePunct w:val="0"/>
              <w:bidi w:val="0"/>
              <w:jc w:val="left"/>
              <w:rPr>
                <w:rFonts w:hint="eastAsia" w:asciiTheme="majorEastAsia" w:hAnsiTheme="majorEastAsia" w:eastAsiaTheme="majorEastAsia" w:cstheme="majorEastAsia"/>
                <w:b/>
                <w:bCs/>
                <w:color w:val="auto"/>
                <w:szCs w:val="21"/>
                <w:highlight w:val="none"/>
              </w:rPr>
            </w:pPr>
          </w:p>
        </w:tc>
      </w:tr>
      <w:tr w14:paraId="00D5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3DC8090">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lang w:val="en-US" w:eastAsia="zh-CN"/>
              </w:rPr>
            </w:pPr>
            <w:r>
              <w:rPr>
                <w:rFonts w:hint="eastAsia" w:asciiTheme="majorEastAsia" w:hAnsiTheme="majorEastAsia" w:eastAsiaTheme="majorEastAsia" w:cstheme="majorEastAsia"/>
                <w:b/>
                <w:bCs/>
                <w:color w:val="auto"/>
                <w:szCs w:val="21"/>
                <w:highlight w:val="none"/>
                <w:lang w:val="en-US" w:eastAsia="zh-CN"/>
              </w:rPr>
              <w:t>1</w:t>
            </w:r>
          </w:p>
        </w:tc>
        <w:tc>
          <w:tcPr>
            <w:tcW w:w="2747" w:type="dxa"/>
            <w:tcBorders>
              <w:top w:val="single" w:color="auto" w:sz="4" w:space="0"/>
              <w:left w:val="single" w:color="auto" w:sz="4" w:space="0"/>
              <w:bottom w:val="single" w:color="auto" w:sz="4" w:space="0"/>
              <w:right w:val="single" w:color="auto" w:sz="4" w:space="0"/>
            </w:tcBorders>
            <w:vAlign w:val="center"/>
          </w:tcPr>
          <w:p w14:paraId="1744214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588" w:type="dxa"/>
            <w:tcBorders>
              <w:top w:val="single" w:color="auto" w:sz="4" w:space="0"/>
              <w:left w:val="single" w:color="auto" w:sz="4" w:space="0"/>
              <w:bottom w:val="single" w:color="auto" w:sz="4" w:space="0"/>
              <w:right w:val="single" w:color="auto" w:sz="4" w:space="0"/>
            </w:tcBorders>
            <w:vAlign w:val="center"/>
          </w:tcPr>
          <w:p w14:paraId="38359853">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2900" w:type="dxa"/>
            <w:tcBorders>
              <w:top w:val="single" w:color="auto" w:sz="4" w:space="0"/>
              <w:left w:val="single" w:color="auto" w:sz="4" w:space="0"/>
              <w:bottom w:val="single" w:color="auto" w:sz="4" w:space="0"/>
              <w:right w:val="single" w:color="auto" w:sz="4" w:space="0"/>
            </w:tcBorders>
            <w:vAlign w:val="center"/>
          </w:tcPr>
          <w:p w14:paraId="28D8F57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588" w:type="dxa"/>
            <w:tcBorders>
              <w:top w:val="single" w:color="auto" w:sz="4" w:space="0"/>
              <w:left w:val="single" w:color="auto" w:sz="4" w:space="0"/>
              <w:bottom w:val="single" w:color="auto" w:sz="4" w:space="0"/>
              <w:right w:val="single" w:color="auto" w:sz="4" w:space="0"/>
            </w:tcBorders>
            <w:vAlign w:val="center"/>
          </w:tcPr>
          <w:p w14:paraId="4959D5BA">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217DC74F">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1360" w:type="dxa"/>
            <w:tcBorders>
              <w:top w:val="single" w:color="auto" w:sz="4" w:space="0"/>
              <w:left w:val="single" w:color="auto" w:sz="4" w:space="0"/>
              <w:bottom w:val="single" w:color="auto" w:sz="4" w:space="0"/>
              <w:right w:val="single" w:color="auto" w:sz="4" w:space="0"/>
            </w:tcBorders>
            <w:vAlign w:val="center"/>
          </w:tcPr>
          <w:p w14:paraId="76ECE1BD">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vAlign w:val="center"/>
          </w:tcPr>
          <w:p w14:paraId="6604F185">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14:paraId="7B31481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14:paraId="06B5837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7653514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1176" w:type="dxa"/>
            <w:tcBorders>
              <w:top w:val="single" w:color="auto" w:sz="4" w:space="0"/>
              <w:left w:val="single" w:color="auto" w:sz="4" w:space="0"/>
              <w:bottom w:val="single" w:color="auto" w:sz="4" w:space="0"/>
              <w:right w:val="single" w:color="auto" w:sz="4" w:space="0"/>
            </w:tcBorders>
            <w:vAlign w:val="center"/>
          </w:tcPr>
          <w:p w14:paraId="1B4DFBB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c>
          <w:tcPr>
            <w:tcW w:w="1176" w:type="dxa"/>
            <w:tcBorders>
              <w:top w:val="single" w:color="auto" w:sz="4" w:space="0"/>
              <w:left w:val="single" w:color="auto" w:sz="4" w:space="0"/>
              <w:bottom w:val="single" w:color="auto" w:sz="4" w:space="0"/>
              <w:right w:val="single" w:color="auto" w:sz="4" w:space="0"/>
            </w:tcBorders>
            <w:vAlign w:val="center"/>
          </w:tcPr>
          <w:p w14:paraId="07591B7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Cs w:val="21"/>
                <w:highlight w:val="none"/>
              </w:rPr>
            </w:pPr>
          </w:p>
        </w:tc>
      </w:tr>
      <w:tr w14:paraId="0A06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739" w:type="dxa"/>
            <w:tcBorders>
              <w:top w:val="single" w:color="auto" w:sz="4" w:space="0"/>
              <w:left w:val="single" w:color="auto" w:sz="4" w:space="0"/>
              <w:bottom w:val="single" w:color="auto" w:sz="4" w:space="0"/>
              <w:right w:val="single" w:color="auto" w:sz="4" w:space="0"/>
            </w:tcBorders>
            <w:vAlign w:val="center"/>
          </w:tcPr>
          <w:p w14:paraId="1F6D8F3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lang w:val="en-US" w:eastAsia="zh-CN"/>
              </w:rPr>
              <w:t>2</w:t>
            </w:r>
          </w:p>
        </w:tc>
        <w:tc>
          <w:tcPr>
            <w:tcW w:w="2747" w:type="dxa"/>
            <w:tcBorders>
              <w:top w:val="single" w:color="auto" w:sz="4" w:space="0"/>
              <w:left w:val="single" w:color="auto" w:sz="4" w:space="0"/>
              <w:bottom w:val="single" w:color="auto" w:sz="4" w:space="0"/>
              <w:right w:val="single" w:color="auto" w:sz="4" w:space="0"/>
            </w:tcBorders>
            <w:vAlign w:val="center"/>
          </w:tcPr>
          <w:p w14:paraId="25411FCE">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588" w:type="dxa"/>
            <w:tcBorders>
              <w:top w:val="single" w:color="auto" w:sz="4" w:space="0"/>
              <w:left w:val="single" w:color="auto" w:sz="4" w:space="0"/>
              <w:bottom w:val="single" w:color="auto" w:sz="4" w:space="0"/>
              <w:right w:val="single" w:color="auto" w:sz="4" w:space="0"/>
            </w:tcBorders>
            <w:vAlign w:val="center"/>
          </w:tcPr>
          <w:p w14:paraId="3E8E0B84">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2900" w:type="dxa"/>
            <w:tcBorders>
              <w:top w:val="single" w:color="auto" w:sz="4" w:space="0"/>
              <w:left w:val="single" w:color="auto" w:sz="4" w:space="0"/>
              <w:bottom w:val="single" w:color="auto" w:sz="4" w:space="0"/>
              <w:right w:val="single" w:color="auto" w:sz="4" w:space="0"/>
            </w:tcBorders>
            <w:vAlign w:val="center"/>
          </w:tcPr>
          <w:p w14:paraId="7BDDFF8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588" w:type="dxa"/>
            <w:tcBorders>
              <w:top w:val="single" w:color="auto" w:sz="4" w:space="0"/>
              <w:left w:val="single" w:color="auto" w:sz="4" w:space="0"/>
              <w:bottom w:val="single" w:color="auto" w:sz="4" w:space="0"/>
              <w:right w:val="single" w:color="auto" w:sz="4" w:space="0"/>
            </w:tcBorders>
            <w:vAlign w:val="center"/>
          </w:tcPr>
          <w:p w14:paraId="3BCB5DBB">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1053" w:type="dxa"/>
            <w:tcBorders>
              <w:top w:val="single" w:color="auto" w:sz="4" w:space="0"/>
              <w:left w:val="single" w:color="auto" w:sz="4" w:space="0"/>
              <w:bottom w:val="single" w:color="auto" w:sz="4" w:space="0"/>
              <w:right w:val="single" w:color="auto" w:sz="4" w:space="0"/>
            </w:tcBorders>
            <w:vAlign w:val="center"/>
          </w:tcPr>
          <w:p w14:paraId="10AC722B">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1360" w:type="dxa"/>
            <w:tcBorders>
              <w:top w:val="single" w:color="auto" w:sz="4" w:space="0"/>
              <w:left w:val="single" w:color="auto" w:sz="4" w:space="0"/>
              <w:bottom w:val="single" w:color="auto" w:sz="4" w:space="0"/>
              <w:right w:val="single" w:color="auto" w:sz="4" w:space="0"/>
            </w:tcBorders>
            <w:vAlign w:val="center"/>
          </w:tcPr>
          <w:p w14:paraId="603AC5B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743" w:type="dxa"/>
            <w:tcBorders>
              <w:top w:val="single" w:color="auto" w:sz="4" w:space="0"/>
              <w:left w:val="single" w:color="auto" w:sz="4" w:space="0"/>
              <w:bottom w:val="single" w:color="auto" w:sz="4" w:space="0"/>
              <w:right w:val="single" w:color="auto" w:sz="4" w:space="0"/>
            </w:tcBorders>
            <w:vAlign w:val="center"/>
          </w:tcPr>
          <w:p w14:paraId="73DCD227">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14:paraId="2A8DFE97">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14:paraId="12055F38">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901" w:type="dxa"/>
            <w:tcBorders>
              <w:top w:val="single" w:color="auto" w:sz="4" w:space="0"/>
              <w:left w:val="single" w:color="auto" w:sz="4" w:space="0"/>
              <w:bottom w:val="single" w:color="auto" w:sz="4" w:space="0"/>
              <w:right w:val="single" w:color="auto" w:sz="4" w:space="0"/>
            </w:tcBorders>
            <w:vAlign w:val="center"/>
          </w:tcPr>
          <w:p w14:paraId="236EDCCF">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1176" w:type="dxa"/>
            <w:tcBorders>
              <w:top w:val="single" w:color="auto" w:sz="4" w:space="0"/>
              <w:left w:val="single" w:color="auto" w:sz="4" w:space="0"/>
              <w:bottom w:val="single" w:color="auto" w:sz="4" w:space="0"/>
              <w:right w:val="single" w:color="auto" w:sz="4" w:space="0"/>
            </w:tcBorders>
            <w:vAlign w:val="center"/>
          </w:tcPr>
          <w:p w14:paraId="7A71AA0C">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c>
          <w:tcPr>
            <w:tcW w:w="1176" w:type="dxa"/>
            <w:tcBorders>
              <w:top w:val="single" w:color="auto" w:sz="4" w:space="0"/>
              <w:left w:val="single" w:color="auto" w:sz="4" w:space="0"/>
              <w:bottom w:val="single" w:color="auto" w:sz="4" w:space="0"/>
              <w:right w:val="single" w:color="auto" w:sz="4" w:space="0"/>
            </w:tcBorders>
            <w:vAlign w:val="center"/>
          </w:tcPr>
          <w:p w14:paraId="2D720886">
            <w:pPr>
              <w:keepLines w:val="0"/>
              <w:pageBreakBefore w:val="0"/>
              <w:kinsoku/>
              <w:wordWrap/>
              <w:overflowPunct/>
              <w:topLinePunct w:val="0"/>
              <w:bidi w:val="0"/>
              <w:jc w:val="center"/>
              <w:rPr>
                <w:rFonts w:hint="eastAsia" w:asciiTheme="majorEastAsia" w:hAnsiTheme="majorEastAsia" w:eastAsiaTheme="majorEastAsia" w:cstheme="majorEastAsia"/>
                <w:b/>
                <w:bCs/>
                <w:color w:val="auto"/>
                <w:sz w:val="28"/>
                <w:szCs w:val="28"/>
                <w:highlight w:val="none"/>
              </w:rPr>
            </w:pPr>
          </w:p>
        </w:tc>
      </w:tr>
    </w:tbl>
    <w:p w14:paraId="1B692883">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投标人</w:t>
      </w:r>
      <w:r>
        <w:rPr>
          <w:rFonts w:hint="eastAsia" w:asciiTheme="majorEastAsia" w:hAnsiTheme="majorEastAsia" w:eastAsiaTheme="majorEastAsia" w:cstheme="majorEastAsia"/>
          <w:color w:val="auto"/>
          <w:sz w:val="24"/>
          <w:szCs w:val="24"/>
          <w:highlight w:val="none"/>
        </w:rPr>
        <w:t>(公章)：</w:t>
      </w:r>
    </w:p>
    <w:p w14:paraId="6ED3D87C">
      <w:pPr>
        <w:pStyle w:val="9"/>
        <w:keepLines w:val="0"/>
        <w:pageBreakBefore w:val="0"/>
        <w:kinsoku/>
        <w:wordWrap/>
        <w:overflowPunct/>
        <w:topLinePunct w:val="0"/>
        <w:bidi w:val="0"/>
        <w:ind w:left="0" w:leftChars="0" w:firstLine="0" w:firstLineChars="0"/>
        <w:rPr>
          <w:rFonts w:hint="eastAsia" w:eastAsiaTheme="majorEastAsia"/>
          <w:sz w:val="24"/>
          <w:szCs w:val="24"/>
          <w:highlight w:val="none"/>
          <w:lang w:eastAsia="zh-CN"/>
        </w:rPr>
      </w:pPr>
      <w:r>
        <w:rPr>
          <w:rFonts w:hint="eastAsia" w:asciiTheme="majorEastAsia" w:hAnsiTheme="majorEastAsia" w:eastAsiaTheme="majorEastAsia" w:cstheme="majorEastAsia"/>
          <w:color w:val="auto"/>
          <w:sz w:val="24"/>
          <w:szCs w:val="24"/>
          <w:highlight w:val="none"/>
        </w:rPr>
        <w:t>法人代表(签字</w:t>
      </w:r>
      <w:r>
        <w:rPr>
          <w:rFonts w:hint="eastAsia" w:asciiTheme="majorEastAsia" w:hAnsiTheme="majorEastAsia" w:eastAsiaTheme="majorEastAsia" w:cstheme="majorEastAsia"/>
          <w:color w:val="auto"/>
          <w:sz w:val="24"/>
          <w:szCs w:val="24"/>
          <w:highlight w:val="none"/>
          <w:lang w:eastAsia="zh-CN"/>
        </w:rPr>
        <w:t>或盖章</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eastAsia="zh-CN"/>
        </w:rPr>
        <w:t>：</w:t>
      </w:r>
    </w:p>
    <w:p w14:paraId="382A4C92">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 xml:space="preserve">投标单位联系人：                                </w:t>
      </w:r>
    </w:p>
    <w:p w14:paraId="2D64C82A">
      <w:pPr>
        <w:keepLines w:val="0"/>
        <w:pageBreakBefore w:val="0"/>
        <w:kinsoku/>
        <w:wordWrap/>
        <w:overflowPunct/>
        <w:topLinePunct w:val="0"/>
        <w:bidi w:val="0"/>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 xml:space="preserve">投标单位联系电话：            </w:t>
      </w:r>
    </w:p>
    <w:p w14:paraId="4C2B8AF0">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备注：1、</w:t>
      </w:r>
      <w:r>
        <w:rPr>
          <w:rFonts w:hint="eastAsia" w:asciiTheme="majorEastAsia" w:hAnsiTheme="majorEastAsia" w:eastAsiaTheme="majorEastAsia" w:cstheme="majorEastAsia"/>
          <w:color w:val="auto"/>
          <w:sz w:val="24"/>
          <w:szCs w:val="24"/>
          <w:highlight w:val="none"/>
          <w:lang w:eastAsia="zh-CN"/>
        </w:rPr>
        <w:t>投标人</w:t>
      </w:r>
      <w:r>
        <w:rPr>
          <w:rFonts w:hint="eastAsia" w:asciiTheme="majorEastAsia" w:hAnsiTheme="majorEastAsia" w:eastAsiaTheme="majorEastAsia" w:cstheme="majorEastAsia"/>
          <w:color w:val="auto"/>
          <w:sz w:val="24"/>
          <w:szCs w:val="24"/>
          <w:highlight w:val="none"/>
        </w:rPr>
        <w:t>严格按照《采购</w:t>
      </w:r>
      <w:r>
        <w:rPr>
          <w:rFonts w:hint="eastAsia" w:asciiTheme="majorEastAsia" w:hAnsiTheme="majorEastAsia" w:eastAsiaTheme="majorEastAsia" w:cstheme="majorEastAsia"/>
          <w:color w:val="auto"/>
          <w:sz w:val="24"/>
          <w:szCs w:val="24"/>
          <w:highlight w:val="none"/>
          <w:lang w:eastAsia="zh-CN"/>
        </w:rPr>
        <w:t>需求</w:t>
      </w:r>
      <w:r>
        <w:rPr>
          <w:rFonts w:hint="eastAsia" w:asciiTheme="majorEastAsia" w:hAnsiTheme="majorEastAsia" w:eastAsiaTheme="majorEastAsia" w:cstheme="majorEastAsia"/>
          <w:color w:val="auto"/>
          <w:sz w:val="24"/>
          <w:szCs w:val="24"/>
          <w:highlight w:val="none"/>
        </w:rPr>
        <w:t>》所列的具体明细，进行报价。</w:t>
      </w:r>
    </w:p>
    <w:p w14:paraId="7073097D">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2、</w:t>
      </w:r>
      <w:r>
        <w:rPr>
          <w:rFonts w:hint="eastAsia" w:asciiTheme="majorEastAsia" w:hAnsiTheme="majorEastAsia" w:eastAsiaTheme="majorEastAsia" w:cstheme="majorEastAsia"/>
          <w:color w:val="auto"/>
          <w:sz w:val="24"/>
          <w:szCs w:val="24"/>
          <w:highlight w:val="none"/>
          <w:lang w:eastAsia="zh-CN"/>
        </w:rPr>
        <w:t>投标人</w:t>
      </w:r>
      <w:r>
        <w:rPr>
          <w:rFonts w:hint="eastAsia" w:asciiTheme="majorEastAsia" w:hAnsiTheme="majorEastAsia" w:eastAsiaTheme="majorEastAsia" w:cstheme="majorEastAsia"/>
          <w:color w:val="auto"/>
          <w:sz w:val="24"/>
          <w:szCs w:val="24"/>
          <w:highlight w:val="none"/>
        </w:rPr>
        <w:t>应对照招标货物（设备）技术、质量及要求，审慎准确填写此表，详细列明投标货物（设备）技术、质量状况，全面披露各项符合程度并标注确定字样。如不能确定的请在不能确定栏内填写不确定字样。</w:t>
      </w:r>
    </w:p>
    <w:p w14:paraId="12FEDF18">
      <w:pPr>
        <w:keepLines w:val="0"/>
        <w:pageBreakBefore w:val="0"/>
        <w:kinsoku/>
        <w:wordWrap/>
        <w:overflowPunct/>
        <w:topLinePunct w:val="0"/>
        <w:bidi w:val="0"/>
        <w:spacing w:line="400" w:lineRule="exac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3、填列不清楚、不全面的，使评审人员不能判明投标货物（设备）技术、质量而造成的废标、无效标，由</w:t>
      </w:r>
      <w:r>
        <w:rPr>
          <w:rFonts w:hint="eastAsia" w:asciiTheme="majorEastAsia" w:hAnsiTheme="majorEastAsia" w:eastAsiaTheme="majorEastAsia" w:cstheme="majorEastAsia"/>
          <w:color w:val="auto"/>
          <w:sz w:val="24"/>
          <w:szCs w:val="24"/>
          <w:highlight w:val="none"/>
          <w:lang w:eastAsia="zh-CN"/>
        </w:rPr>
        <w:t>投标人</w:t>
      </w:r>
      <w:r>
        <w:rPr>
          <w:rFonts w:hint="eastAsia" w:asciiTheme="majorEastAsia" w:hAnsiTheme="majorEastAsia" w:eastAsiaTheme="majorEastAsia" w:cstheme="majorEastAsia"/>
          <w:color w:val="auto"/>
          <w:sz w:val="24"/>
          <w:szCs w:val="24"/>
          <w:highlight w:val="none"/>
        </w:rPr>
        <w:t>自行承担。</w:t>
      </w:r>
    </w:p>
    <w:p w14:paraId="1739411E">
      <w:pPr>
        <w:keepLines w:val="0"/>
        <w:pageBreakBefore w:val="0"/>
        <w:kinsoku/>
        <w:wordWrap/>
        <w:overflowPunct/>
        <w:topLinePunct w:val="0"/>
        <w:bidi w:val="0"/>
        <w:spacing w:line="440" w:lineRule="exact"/>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4、如果投标货物有偏离而不标注偏离，一旦在评审中被发现存在偏离或认定为偏离，评审人员有权视具体情况按照评标办法扣分或</w:t>
      </w:r>
      <w:r>
        <w:rPr>
          <w:rFonts w:hint="eastAsia" w:asciiTheme="majorEastAsia" w:hAnsiTheme="majorEastAsia" w:eastAsiaTheme="majorEastAsia" w:cstheme="majorEastAsia"/>
          <w:color w:val="auto"/>
          <w:sz w:val="24"/>
          <w:szCs w:val="24"/>
          <w:highlight w:val="none"/>
          <w:lang w:eastAsia="zh-CN"/>
        </w:rPr>
        <w:t>无效投标处理</w:t>
      </w:r>
      <w:r>
        <w:rPr>
          <w:rFonts w:hint="eastAsia" w:asciiTheme="majorEastAsia" w:hAnsiTheme="majorEastAsia" w:eastAsiaTheme="majorEastAsia" w:cstheme="majorEastAsia"/>
          <w:color w:val="auto"/>
          <w:sz w:val="24"/>
          <w:szCs w:val="24"/>
          <w:highlight w:val="none"/>
        </w:rPr>
        <w:t>。</w:t>
      </w:r>
    </w:p>
    <w:p w14:paraId="4F38CC80">
      <w:pPr>
        <w:pStyle w:val="5"/>
        <w:keepLines w:val="0"/>
        <w:pageBreakBefore w:val="0"/>
        <w:kinsoku/>
        <w:wordWrap/>
        <w:overflowPunct/>
        <w:topLinePunct w:val="0"/>
        <w:bidi w:val="0"/>
        <w:rPr>
          <w:rFonts w:hint="eastAsia"/>
          <w:highlight w:val="none"/>
        </w:rPr>
        <w:sectPr>
          <w:footerReference r:id="rId13" w:type="default"/>
          <w:pgSz w:w="16838" w:h="11906" w:orient="landscape"/>
          <w:pgMar w:top="1440" w:right="1701" w:bottom="1440" w:left="1440" w:header="851" w:footer="992" w:gutter="0"/>
          <w:cols w:space="720" w:num="1"/>
          <w:docGrid w:linePitch="312" w:charSpace="0"/>
        </w:sectPr>
      </w:pPr>
    </w:p>
    <w:p w14:paraId="69185F13">
      <w:pPr>
        <w:keepLines w:val="0"/>
        <w:pageBreakBefore w:val="0"/>
        <w:kinsoku/>
        <w:wordWrap/>
        <w:overflowPunct/>
        <w:topLinePunct w:val="0"/>
        <w:bidi w:val="0"/>
        <w:spacing w:before="140" w:line="460" w:lineRule="exact"/>
        <w:ind w:left="3770"/>
        <w:rPr>
          <w:rFonts w:ascii="仿宋" w:hAnsi="仿宋" w:eastAsia="仿宋" w:cs="仿宋"/>
          <w:sz w:val="28"/>
          <w:szCs w:val="28"/>
          <w:highlight w:val="none"/>
        </w:rPr>
      </w:pPr>
      <w:r>
        <w:rPr>
          <w:highlight w:val="none"/>
        </w:rPr>
        <w:pict>
          <v:shape id="_x0000_s1028" o:spid="_x0000_s1028" o:spt="202" type="#_x0000_t202" style="position:absolute;left:0pt;margin-left:76.25pt;margin-top:428.1pt;height:143.75pt;width:209pt;mso-position-horizontal-relative:page;mso-position-vertical-relative:page;z-index:251663360;mso-width-relative:page;mso-height-relative:page;" filled="f" stroked="f" coordsize="21600,21600" o:allowincell="f">
            <v:path/>
            <v:fill on="f" focussize="0,0"/>
            <v:stroke on="f"/>
            <v:imagedata o:title=""/>
            <o:lock v:ext="edit" aspectratio="f"/>
            <v:textbox inset="0mm,0mm,0mm,0mm">
              <w:txbxContent>
                <w:p w14:paraId="29629C36">
                  <w:pPr>
                    <w:spacing w:line="20" w:lineRule="exact"/>
                  </w:pPr>
                </w:p>
                <w:tbl>
                  <w:tblPr>
                    <w:tblStyle w:val="26"/>
                    <w:tblW w:w="4120"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0"/>
                  </w:tblGrid>
                  <w:tr w14:paraId="71EEB9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723" w:hRule="atLeast"/>
                    </w:trPr>
                    <w:tc>
                      <w:tcPr>
                        <w:tcW w:w="4120" w:type="dxa"/>
                        <w:tcBorders>
                          <w:top w:val="single" w:color="auto" w:sz="4" w:space="0"/>
                          <w:left w:val="single" w:color="auto" w:sz="4" w:space="0"/>
                          <w:bottom w:val="single" w:color="auto" w:sz="4" w:space="0"/>
                          <w:right w:val="single" w:color="auto" w:sz="4" w:space="0"/>
                        </w:tcBorders>
                        <w:vAlign w:val="top"/>
                      </w:tcPr>
                      <w:p w14:paraId="6E195100">
                        <w:pPr>
                          <w:spacing w:line="260" w:lineRule="auto"/>
                          <w:rPr>
                            <w:rFonts w:ascii="Arial"/>
                            <w:sz w:val="21"/>
                          </w:rPr>
                        </w:pPr>
                      </w:p>
                      <w:p w14:paraId="56162EDF">
                        <w:pPr>
                          <w:spacing w:line="260" w:lineRule="auto"/>
                          <w:rPr>
                            <w:rFonts w:ascii="Arial"/>
                            <w:sz w:val="21"/>
                          </w:rPr>
                        </w:pPr>
                      </w:p>
                      <w:p w14:paraId="122050C6">
                        <w:pPr>
                          <w:spacing w:line="261" w:lineRule="auto"/>
                          <w:rPr>
                            <w:rFonts w:ascii="Arial"/>
                            <w:sz w:val="21"/>
                          </w:rPr>
                        </w:pPr>
                      </w:p>
                      <w:p w14:paraId="190AC59E">
                        <w:pPr>
                          <w:spacing w:line="261" w:lineRule="auto"/>
                          <w:rPr>
                            <w:rFonts w:ascii="Arial"/>
                            <w:sz w:val="21"/>
                          </w:rPr>
                        </w:pPr>
                      </w:p>
                      <w:p w14:paraId="7DAE3D0C">
                        <w:pPr>
                          <w:spacing w:line="261" w:lineRule="auto"/>
                          <w:rPr>
                            <w:rFonts w:ascii="Arial"/>
                            <w:sz w:val="21"/>
                          </w:rPr>
                        </w:pPr>
                      </w:p>
                      <w:p w14:paraId="5793D20D">
                        <w:pPr>
                          <w:spacing w:before="65" w:line="227" w:lineRule="auto"/>
                          <w:ind w:left="1012"/>
                          <w:rPr>
                            <w:rFonts w:ascii="宋体" w:hAnsi="宋体" w:eastAsia="宋体" w:cs="宋体"/>
                            <w:sz w:val="20"/>
                            <w:szCs w:val="20"/>
                          </w:rPr>
                        </w:pPr>
                        <w:r>
                          <w:rPr>
                            <w:rFonts w:ascii="宋体" w:hAnsi="宋体" w:eastAsia="宋体" w:cs="宋体"/>
                            <w:spacing w:val="7"/>
                            <w:sz w:val="20"/>
                            <w:szCs w:val="20"/>
                          </w:rPr>
                          <w:t>附法人身份证复印件正面</w:t>
                        </w:r>
                      </w:p>
                    </w:tc>
                  </w:tr>
                </w:tbl>
                <w:p w14:paraId="20C589E7">
                  <w:pPr>
                    <w:pStyle w:val="9"/>
                  </w:pPr>
                </w:p>
              </w:txbxContent>
            </v:textbox>
          </v:shape>
        </w:pict>
      </w:r>
      <w:r>
        <w:rPr>
          <w:rFonts w:ascii="仿宋" w:hAnsi="仿宋" w:eastAsia="仿宋" w:cs="仿宋"/>
          <w:b/>
          <w:bCs/>
          <w:spacing w:val="-5"/>
          <w:position w:val="12"/>
          <w:sz w:val="28"/>
          <w:szCs w:val="28"/>
          <w:highlight w:val="none"/>
        </w:rPr>
        <w:t>（商务技术文件）</w:t>
      </w:r>
    </w:p>
    <w:p w14:paraId="47D98252">
      <w:pPr>
        <w:keepLines w:val="0"/>
        <w:pageBreakBefore w:val="0"/>
        <w:kinsoku/>
        <w:wordWrap/>
        <w:overflowPunct/>
        <w:topLinePunct w:val="0"/>
        <w:bidi w:val="0"/>
        <w:spacing w:line="230" w:lineRule="auto"/>
        <w:ind w:left="3827"/>
        <w:rPr>
          <w:rFonts w:ascii="仿宋" w:hAnsi="仿宋" w:eastAsia="仿宋" w:cs="仿宋"/>
          <w:sz w:val="24"/>
          <w:szCs w:val="24"/>
          <w:highlight w:val="none"/>
        </w:rPr>
      </w:pPr>
      <w:r>
        <w:rPr>
          <w:rFonts w:hint="eastAsia" w:ascii="仿宋" w:hAnsi="仿宋" w:eastAsia="仿宋" w:cs="仿宋"/>
          <w:b/>
          <w:bCs/>
          <w:spacing w:val="7"/>
          <w:sz w:val="24"/>
          <w:szCs w:val="24"/>
          <w:highlight w:val="none"/>
          <w:lang w:val="en-US" w:eastAsia="zh-CN"/>
        </w:rPr>
        <w:t>5</w:t>
      </w:r>
      <w:r>
        <w:rPr>
          <w:rFonts w:ascii="仿宋" w:hAnsi="仿宋" w:eastAsia="仿宋" w:cs="仿宋"/>
          <w:b/>
          <w:bCs/>
          <w:spacing w:val="7"/>
          <w:sz w:val="24"/>
          <w:szCs w:val="24"/>
          <w:highlight w:val="none"/>
        </w:rPr>
        <w:t>.法定代表人身份证明</w:t>
      </w:r>
    </w:p>
    <w:p w14:paraId="1AF63CD5">
      <w:pPr>
        <w:pStyle w:val="9"/>
        <w:keepLines w:val="0"/>
        <w:pageBreakBefore w:val="0"/>
        <w:kinsoku/>
        <w:wordWrap/>
        <w:overflowPunct/>
        <w:topLinePunct w:val="0"/>
        <w:bidi w:val="0"/>
        <w:spacing w:line="255" w:lineRule="auto"/>
        <w:rPr>
          <w:sz w:val="24"/>
          <w:szCs w:val="24"/>
          <w:highlight w:val="none"/>
        </w:rPr>
      </w:pPr>
    </w:p>
    <w:p w14:paraId="1E5A105E">
      <w:pPr>
        <w:pStyle w:val="9"/>
        <w:keepLines w:val="0"/>
        <w:pageBreakBefore w:val="0"/>
        <w:kinsoku/>
        <w:wordWrap/>
        <w:overflowPunct/>
        <w:topLinePunct w:val="0"/>
        <w:bidi w:val="0"/>
        <w:spacing w:line="255" w:lineRule="auto"/>
        <w:rPr>
          <w:sz w:val="24"/>
          <w:szCs w:val="24"/>
          <w:highlight w:val="none"/>
        </w:rPr>
      </w:pPr>
    </w:p>
    <w:p w14:paraId="72A4C3CA">
      <w:pPr>
        <w:pStyle w:val="9"/>
        <w:keepLines w:val="0"/>
        <w:pageBreakBefore w:val="0"/>
        <w:kinsoku/>
        <w:wordWrap/>
        <w:overflowPunct/>
        <w:topLinePunct w:val="0"/>
        <w:bidi w:val="0"/>
        <w:spacing w:line="256" w:lineRule="auto"/>
        <w:rPr>
          <w:sz w:val="24"/>
          <w:szCs w:val="24"/>
          <w:highlight w:val="none"/>
        </w:rPr>
      </w:pPr>
    </w:p>
    <w:p w14:paraId="5519451F">
      <w:pPr>
        <w:pStyle w:val="9"/>
        <w:keepLines w:val="0"/>
        <w:pageBreakBefore w:val="0"/>
        <w:kinsoku/>
        <w:wordWrap/>
        <w:overflowPunct/>
        <w:topLinePunct w:val="0"/>
        <w:bidi w:val="0"/>
        <w:spacing w:line="256" w:lineRule="auto"/>
        <w:rPr>
          <w:sz w:val="24"/>
          <w:szCs w:val="24"/>
          <w:highlight w:val="none"/>
        </w:rPr>
      </w:pPr>
    </w:p>
    <w:p w14:paraId="3BE19F3A">
      <w:pPr>
        <w:pStyle w:val="9"/>
        <w:keepLines w:val="0"/>
        <w:pageBreakBefore w:val="0"/>
        <w:kinsoku/>
        <w:wordWrap/>
        <w:overflowPunct/>
        <w:topLinePunct w:val="0"/>
        <w:bidi w:val="0"/>
        <w:spacing w:line="256" w:lineRule="auto"/>
        <w:rPr>
          <w:sz w:val="24"/>
          <w:szCs w:val="24"/>
          <w:highlight w:val="none"/>
        </w:rPr>
      </w:pPr>
    </w:p>
    <w:p w14:paraId="02032D86">
      <w:pPr>
        <w:keepLines w:val="0"/>
        <w:pageBreakBefore w:val="0"/>
        <w:kinsoku/>
        <w:wordWrap/>
        <w:overflowPunct/>
        <w:topLinePunct w:val="0"/>
        <w:bidi w:val="0"/>
        <w:spacing w:before="65" w:line="229" w:lineRule="auto"/>
        <w:ind w:left="642"/>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名称：</w:t>
      </w:r>
      <w:r>
        <w:rPr>
          <w:rFonts w:ascii="仿宋" w:hAnsi="仿宋" w:eastAsia="仿宋" w:cs="仿宋"/>
          <w:spacing w:val="1"/>
          <w:sz w:val="24"/>
          <w:szCs w:val="24"/>
          <w:highlight w:val="none"/>
          <w:u w:val="single" w:color="auto"/>
        </w:rPr>
        <w:t xml:space="preserve">                                                </w:t>
      </w:r>
      <w:r>
        <w:rPr>
          <w:rFonts w:ascii="仿宋" w:hAnsi="仿宋" w:eastAsia="仿宋" w:cs="仿宋"/>
          <w:sz w:val="24"/>
          <w:szCs w:val="24"/>
          <w:highlight w:val="none"/>
          <w:u w:val="single" w:color="auto"/>
        </w:rPr>
        <w:t xml:space="preserve">   </w:t>
      </w:r>
      <w:r>
        <w:rPr>
          <w:rFonts w:ascii="仿宋" w:hAnsi="仿宋" w:eastAsia="仿宋" w:cs="仿宋"/>
          <w:spacing w:val="1"/>
          <w:sz w:val="24"/>
          <w:szCs w:val="24"/>
          <w:highlight w:val="none"/>
        </w:rPr>
        <w:t xml:space="preserve"> </w:t>
      </w:r>
    </w:p>
    <w:p w14:paraId="42C98EC9">
      <w:pPr>
        <w:keepLines w:val="0"/>
        <w:pageBreakBefore w:val="0"/>
        <w:kinsoku/>
        <w:wordWrap/>
        <w:overflowPunct/>
        <w:topLinePunct w:val="0"/>
        <w:bidi w:val="0"/>
        <w:spacing w:before="152" w:line="231" w:lineRule="auto"/>
        <w:ind w:left="642"/>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类型：</w:t>
      </w:r>
      <w:r>
        <w:rPr>
          <w:rFonts w:ascii="仿宋" w:hAnsi="仿宋" w:eastAsia="仿宋" w:cs="仿宋"/>
          <w:spacing w:val="1"/>
          <w:sz w:val="24"/>
          <w:szCs w:val="24"/>
          <w:highlight w:val="none"/>
          <w:u w:val="single" w:color="auto"/>
        </w:rPr>
        <w:t xml:space="preserve">                                                </w:t>
      </w:r>
      <w:r>
        <w:rPr>
          <w:rFonts w:ascii="仿宋" w:hAnsi="仿宋" w:eastAsia="仿宋" w:cs="仿宋"/>
          <w:sz w:val="24"/>
          <w:szCs w:val="24"/>
          <w:highlight w:val="none"/>
          <w:u w:val="single" w:color="auto"/>
        </w:rPr>
        <w:t xml:space="preserve">   </w:t>
      </w:r>
      <w:r>
        <w:rPr>
          <w:rFonts w:ascii="仿宋" w:hAnsi="仿宋" w:eastAsia="仿宋" w:cs="仿宋"/>
          <w:spacing w:val="1"/>
          <w:sz w:val="24"/>
          <w:szCs w:val="24"/>
          <w:highlight w:val="none"/>
        </w:rPr>
        <w:t xml:space="preserve"> </w:t>
      </w:r>
    </w:p>
    <w:p w14:paraId="3032A81F">
      <w:pPr>
        <w:keepLines w:val="0"/>
        <w:pageBreakBefore w:val="0"/>
        <w:kinsoku/>
        <w:wordWrap/>
        <w:overflowPunct/>
        <w:topLinePunct w:val="0"/>
        <w:bidi w:val="0"/>
        <w:spacing w:before="148"/>
        <w:ind w:left="644"/>
        <w:rPr>
          <w:rFonts w:ascii="仿宋" w:hAnsi="仿宋" w:eastAsia="仿宋" w:cs="仿宋"/>
          <w:sz w:val="24"/>
          <w:szCs w:val="24"/>
          <w:highlight w:val="none"/>
        </w:rPr>
      </w:pPr>
      <w:r>
        <w:rPr>
          <w:rFonts w:ascii="仿宋" w:hAnsi="仿宋" w:eastAsia="仿宋" w:cs="仿宋"/>
          <w:spacing w:val="-1"/>
          <w:sz w:val="24"/>
          <w:szCs w:val="24"/>
          <w:highlight w:val="none"/>
        </w:rPr>
        <w:t>地</w:t>
      </w:r>
      <w:r>
        <w:rPr>
          <w:rFonts w:ascii="仿宋" w:hAnsi="仿宋" w:eastAsia="仿宋" w:cs="仿宋"/>
          <w:spacing w:val="11"/>
          <w:sz w:val="24"/>
          <w:szCs w:val="24"/>
          <w:highlight w:val="none"/>
        </w:rPr>
        <w:t xml:space="preserve">    </w:t>
      </w:r>
      <w:r>
        <w:rPr>
          <w:rFonts w:ascii="仿宋" w:hAnsi="仿宋" w:eastAsia="仿宋" w:cs="仿宋"/>
          <w:spacing w:val="-1"/>
          <w:sz w:val="24"/>
          <w:szCs w:val="24"/>
          <w:highlight w:val="none"/>
        </w:rPr>
        <w:t>址：</w:t>
      </w:r>
      <w:r>
        <w:rPr>
          <w:rFonts w:ascii="仿宋" w:hAnsi="仿宋" w:eastAsia="仿宋" w:cs="仿宋"/>
          <w:spacing w:val="-1"/>
          <w:sz w:val="24"/>
          <w:szCs w:val="24"/>
          <w:highlight w:val="none"/>
          <w:u w:val="single" w:color="auto"/>
        </w:rPr>
        <w:t xml:space="preserve">                                                      </w:t>
      </w:r>
    </w:p>
    <w:p w14:paraId="7255D3F3">
      <w:pPr>
        <w:keepLines w:val="0"/>
        <w:pageBreakBefore w:val="0"/>
        <w:kinsoku/>
        <w:wordWrap/>
        <w:overflowPunct/>
        <w:topLinePunct w:val="0"/>
        <w:bidi w:val="0"/>
        <w:spacing w:before="140" w:line="231" w:lineRule="auto"/>
        <w:ind w:left="649"/>
        <w:rPr>
          <w:rFonts w:ascii="仿宋" w:hAnsi="仿宋" w:eastAsia="仿宋" w:cs="仿宋"/>
          <w:sz w:val="24"/>
          <w:szCs w:val="24"/>
          <w:highlight w:val="none"/>
        </w:rPr>
      </w:pPr>
      <w:r>
        <w:rPr>
          <w:rFonts w:ascii="仿宋" w:hAnsi="仿宋" w:eastAsia="仿宋" w:cs="仿宋"/>
          <w:spacing w:val="3"/>
          <w:sz w:val="24"/>
          <w:szCs w:val="24"/>
          <w:highlight w:val="none"/>
        </w:rPr>
        <w:t>营业期限：</w:t>
      </w:r>
      <w:r>
        <w:rPr>
          <w:rFonts w:ascii="仿宋" w:hAnsi="仿宋" w:eastAsia="仿宋" w:cs="仿宋"/>
          <w:spacing w:val="3"/>
          <w:sz w:val="24"/>
          <w:szCs w:val="24"/>
          <w:highlight w:val="none"/>
          <w:u w:val="single" w:color="auto"/>
        </w:rPr>
        <w:t xml:space="preserve">                                                    </w:t>
      </w:r>
    </w:p>
    <w:p w14:paraId="5651DFEF">
      <w:pPr>
        <w:keepLines w:val="0"/>
        <w:pageBreakBefore w:val="0"/>
        <w:kinsoku/>
        <w:wordWrap/>
        <w:overflowPunct/>
        <w:topLinePunct w:val="0"/>
        <w:bidi w:val="0"/>
        <w:spacing w:before="151" w:line="232" w:lineRule="auto"/>
        <w:ind w:left="646"/>
        <w:rPr>
          <w:rFonts w:ascii="仿宋" w:hAnsi="仿宋" w:eastAsia="仿宋" w:cs="仿宋"/>
          <w:sz w:val="24"/>
          <w:szCs w:val="24"/>
          <w:highlight w:val="none"/>
        </w:rPr>
      </w:pPr>
      <w:r>
        <w:rPr>
          <w:rFonts w:ascii="仿宋" w:hAnsi="仿宋" w:eastAsia="仿宋" w:cs="仿宋"/>
          <w:spacing w:val="3"/>
          <w:sz w:val="24"/>
          <w:szCs w:val="24"/>
          <w:highlight w:val="none"/>
        </w:rPr>
        <w:t>成立时间：</w:t>
      </w:r>
      <w:r>
        <w:rPr>
          <w:rFonts w:ascii="仿宋" w:hAnsi="仿宋" w:eastAsia="仿宋" w:cs="仿宋"/>
          <w:spacing w:val="3"/>
          <w:sz w:val="24"/>
          <w:szCs w:val="24"/>
          <w:highlight w:val="none"/>
          <w:u w:val="single" w:color="auto"/>
        </w:rPr>
        <w:t xml:space="preserve">                                                    </w:t>
      </w:r>
    </w:p>
    <w:p w14:paraId="4B4815A1">
      <w:pPr>
        <w:keepLines w:val="0"/>
        <w:pageBreakBefore w:val="0"/>
        <w:kinsoku/>
        <w:wordWrap/>
        <w:overflowPunct/>
        <w:topLinePunct w:val="0"/>
        <w:bidi w:val="0"/>
        <w:spacing w:before="147" w:line="229" w:lineRule="auto"/>
        <w:ind w:left="643"/>
        <w:rPr>
          <w:rFonts w:ascii="仿宋" w:hAnsi="仿宋" w:eastAsia="仿宋" w:cs="仿宋"/>
          <w:sz w:val="24"/>
          <w:szCs w:val="24"/>
          <w:highlight w:val="none"/>
        </w:rPr>
      </w:pPr>
      <w:r>
        <w:rPr>
          <w:rFonts w:ascii="仿宋" w:hAnsi="仿宋" w:eastAsia="仿宋" w:cs="仿宋"/>
          <w:spacing w:val="4"/>
          <w:sz w:val="24"/>
          <w:szCs w:val="24"/>
          <w:highlight w:val="none"/>
        </w:rPr>
        <w:t>姓名：</w:t>
      </w:r>
      <w:r>
        <w:rPr>
          <w:rFonts w:ascii="仿宋" w:hAnsi="仿宋" w:eastAsia="仿宋" w:cs="仿宋"/>
          <w:spacing w:val="5"/>
          <w:sz w:val="24"/>
          <w:szCs w:val="24"/>
          <w:highlight w:val="none"/>
          <w:u w:val="single" w:color="auto"/>
        </w:rPr>
        <w:t xml:space="preserve">                   </w:t>
      </w:r>
      <w:r>
        <w:rPr>
          <w:rFonts w:ascii="仿宋" w:hAnsi="仿宋" w:eastAsia="仿宋" w:cs="仿宋"/>
          <w:spacing w:val="9"/>
          <w:sz w:val="24"/>
          <w:szCs w:val="24"/>
          <w:highlight w:val="none"/>
        </w:rPr>
        <w:t xml:space="preserve">     </w:t>
      </w:r>
      <w:r>
        <w:rPr>
          <w:rFonts w:ascii="仿宋" w:hAnsi="仿宋" w:eastAsia="仿宋" w:cs="仿宋"/>
          <w:spacing w:val="4"/>
          <w:sz w:val="24"/>
          <w:szCs w:val="24"/>
          <w:highlight w:val="none"/>
        </w:rPr>
        <w:t>性别：</w:t>
      </w:r>
      <w:r>
        <w:rPr>
          <w:rFonts w:ascii="仿宋" w:hAnsi="仿宋" w:eastAsia="仿宋" w:cs="仿宋"/>
          <w:sz w:val="24"/>
          <w:szCs w:val="24"/>
          <w:highlight w:val="none"/>
          <w:u w:val="single" w:color="auto"/>
        </w:rPr>
        <w:t xml:space="preserve">                 </w:t>
      </w:r>
    </w:p>
    <w:p w14:paraId="1D7F1D20">
      <w:pPr>
        <w:keepLines w:val="0"/>
        <w:pageBreakBefore w:val="0"/>
        <w:kinsoku/>
        <w:wordWrap/>
        <w:overflowPunct/>
        <w:topLinePunct w:val="0"/>
        <w:bidi w:val="0"/>
        <w:spacing w:before="153" w:line="231" w:lineRule="auto"/>
        <w:ind w:left="647"/>
        <w:rPr>
          <w:rFonts w:ascii="仿宋" w:hAnsi="仿宋" w:eastAsia="仿宋" w:cs="仿宋"/>
          <w:sz w:val="24"/>
          <w:szCs w:val="24"/>
          <w:highlight w:val="none"/>
        </w:rPr>
      </w:pPr>
      <w:r>
        <w:rPr>
          <w:rFonts w:ascii="仿宋" w:hAnsi="仿宋" w:eastAsia="仿宋" w:cs="仿宋"/>
          <w:spacing w:val="4"/>
          <w:sz w:val="24"/>
          <w:szCs w:val="24"/>
          <w:highlight w:val="none"/>
        </w:rPr>
        <w:t>年龄：</w:t>
      </w:r>
      <w:r>
        <w:rPr>
          <w:rFonts w:ascii="仿宋" w:hAnsi="仿宋" w:eastAsia="仿宋" w:cs="仿宋"/>
          <w:spacing w:val="5"/>
          <w:sz w:val="24"/>
          <w:szCs w:val="24"/>
          <w:highlight w:val="none"/>
          <w:u w:val="single" w:color="auto"/>
        </w:rPr>
        <w:t xml:space="preserve">                   </w:t>
      </w:r>
      <w:r>
        <w:rPr>
          <w:rFonts w:ascii="仿宋" w:hAnsi="仿宋" w:eastAsia="仿宋" w:cs="仿宋"/>
          <w:spacing w:val="8"/>
          <w:sz w:val="24"/>
          <w:szCs w:val="24"/>
          <w:highlight w:val="none"/>
        </w:rPr>
        <w:t xml:space="preserve">     </w:t>
      </w:r>
      <w:r>
        <w:rPr>
          <w:rFonts w:ascii="仿宋" w:hAnsi="仿宋" w:eastAsia="仿宋" w:cs="仿宋"/>
          <w:spacing w:val="4"/>
          <w:sz w:val="24"/>
          <w:szCs w:val="24"/>
          <w:highlight w:val="none"/>
        </w:rPr>
        <w:t>职务：</w:t>
      </w:r>
      <w:r>
        <w:rPr>
          <w:rFonts w:ascii="仿宋" w:hAnsi="仿宋" w:eastAsia="仿宋" w:cs="仿宋"/>
          <w:sz w:val="24"/>
          <w:szCs w:val="24"/>
          <w:highlight w:val="none"/>
          <w:u w:val="single" w:color="auto"/>
        </w:rPr>
        <w:t xml:space="preserve">                 </w:t>
      </w:r>
    </w:p>
    <w:p w14:paraId="74B96B60">
      <w:pPr>
        <w:keepLines w:val="0"/>
        <w:pageBreakBefore w:val="0"/>
        <w:kinsoku/>
        <w:wordWrap/>
        <w:overflowPunct/>
        <w:topLinePunct w:val="0"/>
        <w:bidi w:val="0"/>
        <w:spacing w:before="151" w:line="229" w:lineRule="auto"/>
        <w:ind w:left="651"/>
        <w:rPr>
          <w:rFonts w:ascii="仿宋" w:hAnsi="仿宋" w:eastAsia="仿宋" w:cs="仿宋"/>
          <w:sz w:val="24"/>
          <w:szCs w:val="24"/>
          <w:highlight w:val="none"/>
        </w:rPr>
      </w:pPr>
      <w:r>
        <w:rPr>
          <w:rFonts w:ascii="仿宋" w:hAnsi="仿宋" w:eastAsia="仿宋" w:cs="仿宋"/>
          <w:spacing w:val="5"/>
          <w:sz w:val="24"/>
          <w:szCs w:val="24"/>
          <w:highlight w:val="none"/>
        </w:rPr>
        <w:t xml:space="preserve">系 </w:t>
      </w:r>
      <w:r>
        <w:rPr>
          <w:rFonts w:ascii="仿宋" w:hAnsi="仿宋" w:eastAsia="仿宋" w:cs="仿宋"/>
          <w:spacing w:val="5"/>
          <w:sz w:val="24"/>
          <w:szCs w:val="24"/>
          <w:highlight w:val="none"/>
          <w:u w:val="single" w:color="auto"/>
        </w:rPr>
        <w:t xml:space="preserve">           </w:t>
      </w:r>
      <w:r>
        <w:rPr>
          <w:rFonts w:ascii="仿宋" w:hAnsi="仿宋" w:eastAsia="仿宋" w:cs="仿宋"/>
          <w:spacing w:val="5"/>
          <w:sz w:val="24"/>
          <w:szCs w:val="24"/>
          <w:highlight w:val="none"/>
        </w:rPr>
        <w:t>（</w:t>
      </w:r>
      <w:r>
        <w:rPr>
          <w:rFonts w:hint="eastAsia" w:ascii="仿宋" w:hAnsi="仿宋" w:eastAsia="仿宋" w:cs="仿宋"/>
          <w:spacing w:val="5"/>
          <w:sz w:val="24"/>
          <w:szCs w:val="24"/>
          <w:highlight w:val="none"/>
          <w:lang w:eastAsia="zh-CN"/>
        </w:rPr>
        <w:t>投标人</w:t>
      </w:r>
      <w:r>
        <w:rPr>
          <w:rFonts w:ascii="仿宋" w:hAnsi="仿宋" w:eastAsia="仿宋" w:cs="仿宋"/>
          <w:spacing w:val="5"/>
          <w:sz w:val="24"/>
          <w:szCs w:val="24"/>
          <w:highlight w:val="none"/>
        </w:rPr>
        <w:t>名称）</w:t>
      </w:r>
      <w:r>
        <w:rPr>
          <w:rFonts w:ascii="仿宋" w:hAnsi="仿宋" w:eastAsia="仿宋" w:cs="仿宋"/>
          <w:spacing w:val="5"/>
          <w:sz w:val="24"/>
          <w:szCs w:val="24"/>
          <w:highlight w:val="none"/>
          <w:u w:val="single" w:color="auto"/>
        </w:rPr>
        <w:t xml:space="preserve">               </w:t>
      </w:r>
      <w:r>
        <w:rPr>
          <w:rFonts w:ascii="仿宋" w:hAnsi="仿宋" w:eastAsia="仿宋" w:cs="仿宋"/>
          <w:spacing w:val="-61"/>
          <w:sz w:val="24"/>
          <w:szCs w:val="24"/>
          <w:highlight w:val="none"/>
        </w:rPr>
        <w:t xml:space="preserve"> </w:t>
      </w:r>
      <w:r>
        <w:rPr>
          <w:rFonts w:ascii="仿宋" w:hAnsi="仿宋" w:eastAsia="仿宋" w:cs="仿宋"/>
          <w:spacing w:val="5"/>
          <w:sz w:val="24"/>
          <w:szCs w:val="24"/>
          <w:highlight w:val="none"/>
        </w:rPr>
        <w:t>的法定代表人。</w:t>
      </w:r>
    </w:p>
    <w:p w14:paraId="269603E2">
      <w:pPr>
        <w:pStyle w:val="9"/>
        <w:keepLines w:val="0"/>
        <w:pageBreakBefore w:val="0"/>
        <w:kinsoku/>
        <w:wordWrap/>
        <w:overflowPunct/>
        <w:topLinePunct w:val="0"/>
        <w:bidi w:val="0"/>
        <w:spacing w:line="241" w:lineRule="auto"/>
        <w:rPr>
          <w:sz w:val="24"/>
          <w:szCs w:val="24"/>
          <w:highlight w:val="none"/>
        </w:rPr>
      </w:pPr>
    </w:p>
    <w:p w14:paraId="75F6D1A5">
      <w:pPr>
        <w:pStyle w:val="9"/>
        <w:keepLines w:val="0"/>
        <w:pageBreakBefore w:val="0"/>
        <w:kinsoku/>
        <w:wordWrap/>
        <w:overflowPunct/>
        <w:topLinePunct w:val="0"/>
        <w:bidi w:val="0"/>
        <w:spacing w:line="241" w:lineRule="auto"/>
        <w:rPr>
          <w:sz w:val="24"/>
          <w:szCs w:val="24"/>
          <w:highlight w:val="none"/>
        </w:rPr>
      </w:pPr>
    </w:p>
    <w:p w14:paraId="32EB65C5">
      <w:pPr>
        <w:keepLines w:val="0"/>
        <w:pageBreakBefore w:val="0"/>
        <w:kinsoku/>
        <w:wordWrap/>
        <w:overflowPunct/>
        <w:topLinePunct w:val="0"/>
        <w:bidi w:val="0"/>
        <w:spacing w:before="66" w:line="232" w:lineRule="auto"/>
        <w:ind w:left="642"/>
        <w:rPr>
          <w:rFonts w:ascii="仿宋" w:hAnsi="仿宋" w:eastAsia="仿宋" w:cs="仿宋"/>
          <w:sz w:val="24"/>
          <w:szCs w:val="24"/>
          <w:highlight w:val="none"/>
        </w:rPr>
      </w:pPr>
      <w:r>
        <w:rPr>
          <w:rFonts w:ascii="仿宋" w:hAnsi="仿宋" w:eastAsia="仿宋" w:cs="仿宋"/>
          <w:spacing w:val="4"/>
          <w:sz w:val="24"/>
          <w:szCs w:val="24"/>
          <w:highlight w:val="none"/>
        </w:rPr>
        <w:t>特此证明。</w:t>
      </w:r>
    </w:p>
    <w:p w14:paraId="47CC8527">
      <w:pPr>
        <w:keepLines w:val="0"/>
        <w:pageBreakBefore w:val="0"/>
        <w:kinsoku/>
        <w:wordWrap/>
        <w:overflowPunct/>
        <w:topLinePunct w:val="0"/>
        <w:bidi w:val="0"/>
        <w:spacing w:before="25"/>
        <w:rPr>
          <w:highlight w:val="none"/>
        </w:rPr>
      </w:pPr>
    </w:p>
    <w:tbl>
      <w:tblPr>
        <w:tblStyle w:val="26"/>
        <w:tblW w:w="4251" w:type="dxa"/>
        <w:tblInd w:w="48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51"/>
      </w:tblGrid>
      <w:tr w14:paraId="1905C07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00" w:hRule="atLeast"/>
        </w:trPr>
        <w:tc>
          <w:tcPr>
            <w:tcW w:w="4251" w:type="dxa"/>
            <w:vAlign w:val="top"/>
          </w:tcPr>
          <w:p w14:paraId="7ACE8BF1">
            <w:pPr>
              <w:keepLines w:val="0"/>
              <w:pageBreakBefore w:val="0"/>
              <w:kinsoku/>
              <w:wordWrap/>
              <w:overflowPunct/>
              <w:topLinePunct w:val="0"/>
              <w:bidi w:val="0"/>
              <w:spacing w:line="260" w:lineRule="auto"/>
              <w:rPr>
                <w:rFonts w:ascii="Arial"/>
                <w:sz w:val="21"/>
                <w:highlight w:val="none"/>
              </w:rPr>
            </w:pPr>
          </w:p>
          <w:p w14:paraId="239011E5">
            <w:pPr>
              <w:keepLines w:val="0"/>
              <w:pageBreakBefore w:val="0"/>
              <w:kinsoku/>
              <w:wordWrap/>
              <w:overflowPunct/>
              <w:topLinePunct w:val="0"/>
              <w:bidi w:val="0"/>
              <w:spacing w:line="260" w:lineRule="auto"/>
              <w:rPr>
                <w:rFonts w:ascii="Arial"/>
                <w:sz w:val="21"/>
                <w:highlight w:val="none"/>
              </w:rPr>
            </w:pPr>
          </w:p>
          <w:p w14:paraId="373C06B1">
            <w:pPr>
              <w:keepLines w:val="0"/>
              <w:pageBreakBefore w:val="0"/>
              <w:kinsoku/>
              <w:wordWrap/>
              <w:overflowPunct/>
              <w:topLinePunct w:val="0"/>
              <w:bidi w:val="0"/>
              <w:spacing w:line="261" w:lineRule="auto"/>
              <w:rPr>
                <w:rFonts w:ascii="Arial"/>
                <w:sz w:val="21"/>
                <w:highlight w:val="none"/>
              </w:rPr>
            </w:pPr>
          </w:p>
          <w:p w14:paraId="7958E4E5">
            <w:pPr>
              <w:keepLines w:val="0"/>
              <w:pageBreakBefore w:val="0"/>
              <w:kinsoku/>
              <w:wordWrap/>
              <w:overflowPunct/>
              <w:topLinePunct w:val="0"/>
              <w:bidi w:val="0"/>
              <w:spacing w:line="261" w:lineRule="auto"/>
              <w:rPr>
                <w:rFonts w:ascii="Arial"/>
                <w:sz w:val="21"/>
                <w:highlight w:val="none"/>
              </w:rPr>
            </w:pPr>
          </w:p>
          <w:p w14:paraId="12E66214">
            <w:pPr>
              <w:keepLines w:val="0"/>
              <w:pageBreakBefore w:val="0"/>
              <w:kinsoku/>
              <w:wordWrap/>
              <w:overflowPunct/>
              <w:topLinePunct w:val="0"/>
              <w:bidi w:val="0"/>
              <w:spacing w:line="261" w:lineRule="auto"/>
              <w:rPr>
                <w:rFonts w:ascii="Arial"/>
                <w:sz w:val="21"/>
                <w:highlight w:val="none"/>
              </w:rPr>
            </w:pPr>
          </w:p>
          <w:p w14:paraId="20EB0440">
            <w:pPr>
              <w:keepLines w:val="0"/>
              <w:pageBreakBefore w:val="0"/>
              <w:kinsoku/>
              <w:wordWrap/>
              <w:overflowPunct/>
              <w:topLinePunct w:val="0"/>
              <w:bidi w:val="0"/>
              <w:spacing w:before="65" w:line="227" w:lineRule="auto"/>
              <w:ind w:left="1118"/>
              <w:rPr>
                <w:rFonts w:ascii="宋体" w:hAnsi="宋体" w:eastAsia="宋体" w:cs="宋体"/>
                <w:sz w:val="20"/>
                <w:szCs w:val="20"/>
                <w:highlight w:val="none"/>
              </w:rPr>
            </w:pPr>
            <w:r>
              <w:rPr>
                <w:rFonts w:ascii="宋体" w:hAnsi="宋体" w:eastAsia="宋体" w:cs="宋体"/>
                <w:spacing w:val="7"/>
                <w:sz w:val="20"/>
                <w:szCs w:val="20"/>
                <w:highlight w:val="none"/>
              </w:rPr>
              <w:t>附法人身份证复印件反面</w:t>
            </w:r>
          </w:p>
        </w:tc>
      </w:tr>
    </w:tbl>
    <w:p w14:paraId="60BBF8A9">
      <w:pPr>
        <w:pStyle w:val="9"/>
        <w:keepLines w:val="0"/>
        <w:pageBreakBefore w:val="0"/>
        <w:kinsoku/>
        <w:wordWrap/>
        <w:overflowPunct/>
        <w:topLinePunct w:val="0"/>
        <w:bidi w:val="0"/>
        <w:spacing w:line="282" w:lineRule="auto"/>
        <w:rPr>
          <w:highlight w:val="none"/>
        </w:rPr>
      </w:pPr>
    </w:p>
    <w:p w14:paraId="25EFF2C7">
      <w:pPr>
        <w:pStyle w:val="9"/>
        <w:keepLines w:val="0"/>
        <w:pageBreakBefore w:val="0"/>
        <w:kinsoku/>
        <w:wordWrap/>
        <w:overflowPunct/>
        <w:topLinePunct w:val="0"/>
        <w:bidi w:val="0"/>
        <w:spacing w:line="283" w:lineRule="auto"/>
        <w:rPr>
          <w:highlight w:val="none"/>
        </w:rPr>
      </w:pPr>
    </w:p>
    <w:p w14:paraId="01F1B8EE">
      <w:pPr>
        <w:pStyle w:val="9"/>
        <w:keepLines w:val="0"/>
        <w:pageBreakBefore w:val="0"/>
        <w:kinsoku/>
        <w:wordWrap/>
        <w:overflowPunct/>
        <w:topLinePunct w:val="0"/>
        <w:bidi w:val="0"/>
        <w:spacing w:line="283" w:lineRule="auto"/>
        <w:rPr>
          <w:highlight w:val="none"/>
        </w:rPr>
      </w:pPr>
    </w:p>
    <w:p w14:paraId="7664BFF1">
      <w:pPr>
        <w:pStyle w:val="9"/>
        <w:keepLines w:val="0"/>
        <w:pageBreakBefore w:val="0"/>
        <w:kinsoku/>
        <w:wordWrap/>
        <w:overflowPunct/>
        <w:topLinePunct w:val="0"/>
        <w:bidi w:val="0"/>
        <w:spacing w:line="283" w:lineRule="auto"/>
        <w:rPr>
          <w:highlight w:val="none"/>
        </w:rPr>
      </w:pPr>
    </w:p>
    <w:p w14:paraId="367FD597">
      <w:pPr>
        <w:pStyle w:val="9"/>
        <w:keepLines w:val="0"/>
        <w:pageBreakBefore w:val="0"/>
        <w:kinsoku/>
        <w:wordWrap/>
        <w:overflowPunct/>
        <w:topLinePunct w:val="0"/>
        <w:bidi w:val="0"/>
        <w:spacing w:line="283" w:lineRule="auto"/>
        <w:rPr>
          <w:sz w:val="24"/>
          <w:szCs w:val="24"/>
          <w:highlight w:val="none"/>
        </w:rPr>
      </w:pPr>
    </w:p>
    <w:p w14:paraId="09BDD8B9">
      <w:pPr>
        <w:keepLines w:val="0"/>
        <w:pageBreakBefore w:val="0"/>
        <w:kinsoku/>
        <w:wordWrap/>
        <w:overflowPunct/>
        <w:topLinePunct w:val="0"/>
        <w:bidi w:val="0"/>
        <w:spacing w:before="66" w:line="229" w:lineRule="auto"/>
        <w:ind w:left="4364"/>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名称(公章)：</w:t>
      </w:r>
      <w:r>
        <w:rPr>
          <w:rFonts w:ascii="仿宋" w:hAnsi="仿宋" w:eastAsia="仿宋" w:cs="仿宋"/>
          <w:sz w:val="24"/>
          <w:szCs w:val="24"/>
          <w:highlight w:val="none"/>
          <w:u w:val="single" w:color="auto"/>
        </w:rPr>
        <w:t xml:space="preserve">                     </w:t>
      </w:r>
    </w:p>
    <w:p w14:paraId="463C5282">
      <w:pPr>
        <w:keepLines w:val="0"/>
        <w:pageBreakBefore w:val="0"/>
        <w:kinsoku/>
        <w:wordWrap/>
        <w:overflowPunct/>
        <w:topLinePunct w:val="0"/>
        <w:bidi w:val="0"/>
        <w:spacing w:before="25" w:line="231" w:lineRule="auto"/>
        <w:ind w:left="4364"/>
        <w:rPr>
          <w:rFonts w:ascii="仿宋" w:hAnsi="仿宋" w:eastAsia="仿宋" w:cs="仿宋"/>
          <w:sz w:val="24"/>
          <w:szCs w:val="24"/>
          <w:highlight w:val="none"/>
        </w:rPr>
      </w:pPr>
      <w:r>
        <w:rPr>
          <w:rFonts w:hint="eastAsia" w:ascii="仿宋" w:hAnsi="仿宋" w:eastAsia="仿宋" w:cs="仿宋"/>
          <w:spacing w:val="8"/>
          <w:sz w:val="24"/>
          <w:szCs w:val="24"/>
          <w:highlight w:val="none"/>
          <w:lang w:eastAsia="zh-CN"/>
        </w:rPr>
        <w:t>投标人</w:t>
      </w:r>
      <w:r>
        <w:rPr>
          <w:rFonts w:ascii="仿宋" w:hAnsi="仿宋" w:eastAsia="仿宋" w:cs="仿宋"/>
          <w:spacing w:val="8"/>
          <w:sz w:val="24"/>
          <w:szCs w:val="24"/>
          <w:highlight w:val="none"/>
        </w:rPr>
        <w:t>法人或授权代表（签字</w:t>
      </w:r>
      <w:r>
        <w:rPr>
          <w:rFonts w:hint="eastAsia" w:ascii="仿宋" w:hAnsi="仿宋" w:eastAsia="仿宋" w:cs="仿宋"/>
          <w:spacing w:val="8"/>
          <w:sz w:val="24"/>
          <w:szCs w:val="24"/>
          <w:highlight w:val="none"/>
          <w:lang w:val="en-US" w:eastAsia="zh-Hans"/>
        </w:rPr>
        <w:t>或盖章</w:t>
      </w:r>
      <w:r>
        <w:rPr>
          <w:rFonts w:ascii="仿宋" w:hAnsi="仿宋" w:eastAsia="仿宋" w:cs="仿宋"/>
          <w:spacing w:val="8"/>
          <w:sz w:val="24"/>
          <w:szCs w:val="24"/>
          <w:highlight w:val="none"/>
        </w:rPr>
        <w:t>）：</w:t>
      </w:r>
      <w:r>
        <w:rPr>
          <w:rFonts w:ascii="仿宋" w:hAnsi="仿宋" w:eastAsia="仿宋" w:cs="仿宋"/>
          <w:sz w:val="24"/>
          <w:szCs w:val="24"/>
          <w:highlight w:val="none"/>
          <w:u w:val="single" w:color="auto"/>
        </w:rPr>
        <w:t xml:space="preserve">             </w:t>
      </w:r>
    </w:p>
    <w:p w14:paraId="308FA52E">
      <w:pPr>
        <w:keepLines w:val="0"/>
        <w:pageBreakBefore w:val="0"/>
        <w:kinsoku/>
        <w:wordWrap/>
        <w:overflowPunct/>
        <w:topLinePunct w:val="0"/>
        <w:bidi w:val="0"/>
        <w:spacing w:before="131" w:line="231" w:lineRule="auto"/>
        <w:ind w:left="4409"/>
        <w:rPr>
          <w:rFonts w:ascii="仿宋" w:hAnsi="仿宋" w:eastAsia="仿宋" w:cs="仿宋"/>
          <w:sz w:val="20"/>
          <w:szCs w:val="20"/>
          <w:highlight w:val="none"/>
        </w:rPr>
      </w:pPr>
      <w:r>
        <w:rPr>
          <w:rFonts w:ascii="仿宋" w:hAnsi="仿宋" w:eastAsia="仿宋" w:cs="仿宋"/>
          <w:spacing w:val="-13"/>
          <w:sz w:val="24"/>
          <w:szCs w:val="24"/>
          <w:highlight w:val="none"/>
        </w:rPr>
        <w:t>日</w:t>
      </w:r>
      <w:r>
        <w:rPr>
          <w:rFonts w:ascii="仿宋" w:hAnsi="仿宋" w:eastAsia="仿宋" w:cs="仿宋"/>
          <w:spacing w:val="9"/>
          <w:sz w:val="24"/>
          <w:szCs w:val="24"/>
          <w:highlight w:val="none"/>
        </w:rPr>
        <w:t xml:space="preserve">   </w:t>
      </w:r>
      <w:r>
        <w:rPr>
          <w:rFonts w:ascii="仿宋" w:hAnsi="仿宋" w:eastAsia="仿宋" w:cs="仿宋"/>
          <w:spacing w:val="-13"/>
          <w:sz w:val="24"/>
          <w:szCs w:val="24"/>
          <w:highlight w:val="none"/>
        </w:rPr>
        <w:t>期：</w:t>
      </w:r>
      <w:r>
        <w:rPr>
          <w:rFonts w:ascii="仿宋" w:hAnsi="仿宋" w:eastAsia="仿宋" w:cs="仿宋"/>
          <w:spacing w:val="16"/>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81"/>
          <w:sz w:val="24"/>
          <w:szCs w:val="24"/>
          <w:highlight w:val="none"/>
        </w:rPr>
        <w:t xml:space="preserve"> </w:t>
      </w:r>
      <w:r>
        <w:rPr>
          <w:rFonts w:ascii="仿宋" w:hAnsi="仿宋" w:eastAsia="仿宋" w:cs="仿宋"/>
          <w:spacing w:val="-13"/>
          <w:sz w:val="24"/>
          <w:szCs w:val="24"/>
          <w:highlight w:val="none"/>
        </w:rPr>
        <w:t>年</w:t>
      </w:r>
      <w:r>
        <w:rPr>
          <w:rFonts w:ascii="仿宋" w:hAnsi="仿宋" w:eastAsia="仿宋" w:cs="仿宋"/>
          <w:spacing w:val="-99"/>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76"/>
          <w:sz w:val="24"/>
          <w:szCs w:val="24"/>
          <w:highlight w:val="none"/>
        </w:rPr>
        <w:t xml:space="preserve"> </w:t>
      </w:r>
      <w:r>
        <w:rPr>
          <w:rFonts w:ascii="仿宋" w:hAnsi="仿宋" w:eastAsia="仿宋" w:cs="仿宋"/>
          <w:spacing w:val="-13"/>
          <w:sz w:val="24"/>
          <w:szCs w:val="24"/>
          <w:highlight w:val="none"/>
        </w:rPr>
        <w:t>月</w:t>
      </w:r>
      <w:r>
        <w:rPr>
          <w:rFonts w:ascii="仿宋" w:hAnsi="仿宋" w:eastAsia="仿宋" w:cs="仿宋"/>
          <w:spacing w:val="5"/>
          <w:sz w:val="24"/>
          <w:szCs w:val="24"/>
          <w:highlight w:val="none"/>
          <w:u w:val="single" w:color="auto"/>
        </w:rPr>
        <w:t xml:space="preserve">   </w:t>
      </w:r>
      <w:r>
        <w:rPr>
          <w:rFonts w:ascii="仿宋" w:hAnsi="仿宋" w:eastAsia="仿宋" w:cs="仿宋"/>
          <w:spacing w:val="-40"/>
          <w:sz w:val="24"/>
          <w:szCs w:val="24"/>
          <w:highlight w:val="none"/>
        </w:rPr>
        <w:t xml:space="preserve"> </w:t>
      </w:r>
      <w:r>
        <w:rPr>
          <w:rFonts w:ascii="仿宋" w:hAnsi="仿宋" w:eastAsia="仿宋" w:cs="仿宋"/>
          <w:spacing w:val="-13"/>
          <w:sz w:val="20"/>
          <w:szCs w:val="20"/>
          <w:highlight w:val="none"/>
        </w:rPr>
        <w:t>日</w:t>
      </w:r>
    </w:p>
    <w:p w14:paraId="714ADCFA">
      <w:pPr>
        <w:keepLines w:val="0"/>
        <w:pageBreakBefore w:val="0"/>
        <w:kinsoku/>
        <w:wordWrap/>
        <w:overflowPunct/>
        <w:topLinePunct w:val="0"/>
        <w:bidi w:val="0"/>
        <w:spacing w:line="231" w:lineRule="auto"/>
        <w:rPr>
          <w:rFonts w:ascii="仿宋" w:hAnsi="仿宋" w:eastAsia="仿宋" w:cs="仿宋"/>
          <w:sz w:val="20"/>
          <w:szCs w:val="20"/>
          <w:highlight w:val="none"/>
        </w:rPr>
        <w:sectPr>
          <w:pgSz w:w="11906" w:h="16839"/>
          <w:pgMar w:top="1440" w:right="1080" w:bottom="1440" w:left="1080" w:header="0" w:footer="1054" w:gutter="0"/>
          <w:pgNumType w:fmt="decimal"/>
          <w:cols w:space="720" w:num="1"/>
        </w:sectPr>
      </w:pPr>
    </w:p>
    <w:p w14:paraId="732440CB">
      <w:pPr>
        <w:pStyle w:val="9"/>
        <w:keepLines w:val="0"/>
        <w:pageBreakBefore w:val="0"/>
        <w:kinsoku/>
        <w:wordWrap/>
        <w:overflowPunct/>
        <w:topLinePunct w:val="0"/>
        <w:bidi w:val="0"/>
        <w:spacing w:line="241" w:lineRule="auto"/>
        <w:jc w:val="center"/>
        <w:rPr>
          <w:rFonts w:hint="eastAsia" w:ascii="仿宋" w:hAnsi="仿宋" w:eastAsia="仿宋" w:cs="仿宋"/>
          <w:b/>
          <w:bCs/>
          <w:snapToGrid w:val="0"/>
          <w:color w:val="000000"/>
          <w:spacing w:val="11"/>
          <w:kern w:val="0"/>
          <w:position w:val="20"/>
          <w:sz w:val="24"/>
          <w:szCs w:val="24"/>
          <w:highlight w:val="none"/>
          <w:lang w:val="en-US" w:eastAsia="en-US" w:bidi="ar-SA"/>
        </w:rPr>
      </w:pPr>
      <w:r>
        <w:rPr>
          <w:rFonts w:hint="eastAsia" w:ascii="仿宋" w:hAnsi="仿宋" w:eastAsia="仿宋" w:cs="仿宋"/>
          <w:b/>
          <w:bCs/>
          <w:snapToGrid w:val="0"/>
          <w:color w:val="000000"/>
          <w:spacing w:val="11"/>
          <w:kern w:val="0"/>
          <w:position w:val="20"/>
          <w:sz w:val="24"/>
          <w:szCs w:val="24"/>
          <w:highlight w:val="none"/>
          <w:lang w:val="en-US" w:eastAsia="zh-CN" w:bidi="ar-SA"/>
        </w:rPr>
        <w:t>6</w:t>
      </w:r>
      <w:r>
        <w:rPr>
          <w:rFonts w:hint="eastAsia" w:ascii="仿宋" w:hAnsi="仿宋" w:eastAsia="仿宋" w:cs="仿宋"/>
          <w:b/>
          <w:bCs/>
          <w:snapToGrid w:val="0"/>
          <w:color w:val="000000"/>
          <w:spacing w:val="11"/>
          <w:kern w:val="0"/>
          <w:position w:val="20"/>
          <w:sz w:val="24"/>
          <w:szCs w:val="24"/>
          <w:highlight w:val="none"/>
          <w:lang w:val="en-US" w:eastAsia="en-US" w:bidi="ar-SA"/>
        </w:rPr>
        <w:t>.法定代表人授权委托书</w:t>
      </w:r>
    </w:p>
    <w:p w14:paraId="0B695B5A">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p>
    <w:p w14:paraId="6D1EBCF5">
      <w:pPr>
        <w:pStyle w:val="9"/>
        <w:keepLines w:val="0"/>
        <w:pageBreakBefore w:val="0"/>
        <w:kinsoku/>
        <w:wordWrap/>
        <w:overflowPunct/>
        <w:topLinePunct w:val="0"/>
        <w:bidi w:val="0"/>
        <w:spacing w:line="241" w:lineRule="auto"/>
        <w:ind w:firstLine="524" w:firstLineChars="200"/>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本授权委托书声明：我</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（姓名）</w:t>
      </w:r>
      <w:r>
        <w:rPr>
          <w:rFonts w:hint="eastAsia" w:ascii="仿宋" w:hAnsi="仿宋" w:eastAsia="仿宋" w:cs="仿宋"/>
          <w:snapToGrid w:val="0"/>
          <w:color w:val="000000"/>
          <w:spacing w:val="11"/>
          <w:kern w:val="0"/>
          <w:position w:val="20"/>
          <w:sz w:val="24"/>
          <w:szCs w:val="24"/>
          <w:highlight w:val="none"/>
          <w:lang w:val="en-US" w:eastAsia="en-US" w:bidi="ar-SA"/>
        </w:rPr>
        <w:t>系</w:t>
      </w:r>
      <w:r>
        <w:rPr>
          <w:rFonts w:hint="eastAsia" w:ascii="仿宋" w:hAnsi="仿宋" w:eastAsia="仿宋" w:cs="仿宋"/>
          <w:snapToGrid w:val="0"/>
          <w:color w:val="000000"/>
          <w:spacing w:val="11"/>
          <w:kern w:val="0"/>
          <w:position w:val="20"/>
          <w:sz w:val="24"/>
          <w:szCs w:val="24"/>
          <w:highlight w:val="none"/>
          <w:u w:val="single"/>
          <w:lang w:val="en-US" w:eastAsia="en-US" w:bidi="ar-SA"/>
        </w:rPr>
        <w:t>（</w:t>
      </w:r>
      <w:r>
        <w:rPr>
          <w:rFonts w:hint="eastAsia" w:ascii="仿宋" w:hAnsi="仿宋" w:eastAsia="仿宋" w:cs="仿宋"/>
          <w:snapToGrid w:val="0"/>
          <w:color w:val="000000"/>
          <w:spacing w:val="11"/>
          <w:kern w:val="0"/>
          <w:position w:val="20"/>
          <w:sz w:val="24"/>
          <w:szCs w:val="24"/>
          <w:highlight w:val="none"/>
          <w:u w:val="single"/>
          <w:lang w:val="en-US" w:eastAsia="zh-CN" w:bidi="ar-SA"/>
        </w:rPr>
        <w:t>投标人</w:t>
      </w:r>
      <w:r>
        <w:rPr>
          <w:rFonts w:hint="eastAsia" w:ascii="仿宋" w:hAnsi="仿宋" w:eastAsia="仿宋" w:cs="仿宋"/>
          <w:snapToGrid w:val="0"/>
          <w:color w:val="000000"/>
          <w:spacing w:val="11"/>
          <w:kern w:val="0"/>
          <w:position w:val="20"/>
          <w:sz w:val="24"/>
          <w:szCs w:val="24"/>
          <w:highlight w:val="none"/>
          <w:u w:val="single"/>
          <w:lang w:val="en-US" w:eastAsia="en-US" w:bidi="ar-SA"/>
        </w:rPr>
        <w:t>名称）</w:t>
      </w:r>
      <w:r>
        <w:rPr>
          <w:rFonts w:hint="eastAsia" w:ascii="仿宋" w:hAnsi="仿宋" w:eastAsia="仿宋" w:cs="仿宋"/>
          <w:snapToGrid w:val="0"/>
          <w:color w:val="000000"/>
          <w:spacing w:val="11"/>
          <w:kern w:val="0"/>
          <w:position w:val="20"/>
          <w:sz w:val="24"/>
          <w:szCs w:val="24"/>
          <w:highlight w:val="none"/>
          <w:lang w:val="en-US" w:eastAsia="en-US" w:bidi="ar-SA"/>
        </w:rPr>
        <w:t>的法定代表人，现授 权委托</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zh-CN" w:bidi="ar-SA"/>
        </w:rPr>
        <w:t>投标人</w:t>
      </w:r>
      <w:r>
        <w:rPr>
          <w:rFonts w:hint="eastAsia" w:ascii="仿宋" w:hAnsi="仿宋" w:eastAsia="仿宋" w:cs="仿宋"/>
          <w:snapToGrid w:val="0"/>
          <w:color w:val="000000"/>
          <w:spacing w:val="11"/>
          <w:kern w:val="0"/>
          <w:position w:val="20"/>
          <w:sz w:val="24"/>
          <w:szCs w:val="24"/>
          <w:highlight w:val="none"/>
          <w:u w:val="single"/>
          <w:lang w:val="en-US" w:eastAsia="en-US" w:bidi="ar-SA"/>
        </w:rPr>
        <w:t>名称）</w:t>
      </w:r>
      <w:r>
        <w:rPr>
          <w:rFonts w:hint="eastAsia" w:ascii="仿宋" w:hAnsi="仿宋" w:eastAsia="仿宋" w:cs="仿宋"/>
          <w:snapToGrid w:val="0"/>
          <w:color w:val="000000"/>
          <w:spacing w:val="11"/>
          <w:kern w:val="0"/>
          <w:position w:val="20"/>
          <w:sz w:val="24"/>
          <w:szCs w:val="24"/>
          <w:highlight w:val="none"/>
          <w:lang w:val="en-US" w:eastAsia="en-US" w:bidi="ar-SA"/>
        </w:rPr>
        <w:t>的</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（姓名）</w:t>
      </w:r>
      <w:r>
        <w:rPr>
          <w:rFonts w:hint="eastAsia" w:ascii="仿宋" w:hAnsi="仿宋" w:eastAsia="仿宋" w:cs="仿宋"/>
          <w:snapToGrid w:val="0"/>
          <w:color w:val="000000"/>
          <w:spacing w:val="11"/>
          <w:kern w:val="0"/>
          <w:position w:val="20"/>
          <w:sz w:val="24"/>
          <w:szCs w:val="24"/>
          <w:highlight w:val="none"/>
          <w:lang w:val="en-US" w:eastAsia="en-US" w:bidi="ar-SA"/>
        </w:rPr>
        <w:t>为我公司代理人，以本公司的名义参加</w:t>
      </w:r>
      <w:r>
        <w:rPr>
          <w:rFonts w:hint="eastAsia" w:ascii="仿宋" w:hAnsi="仿宋" w:eastAsia="仿宋" w:cs="仿宋"/>
          <w:snapToGrid w:val="0"/>
          <w:color w:val="000000"/>
          <w:spacing w:val="11"/>
          <w:kern w:val="0"/>
          <w:position w:val="20"/>
          <w:sz w:val="24"/>
          <w:szCs w:val="24"/>
          <w:highlight w:val="none"/>
          <w:u w:val="single"/>
          <w:lang w:val="en-US" w:eastAsia="en-US" w:bidi="ar-SA"/>
        </w:rPr>
        <w:t>（</w:t>
      </w:r>
      <w:r>
        <w:rPr>
          <w:rFonts w:hint="eastAsia" w:ascii="仿宋" w:hAnsi="仿宋" w:eastAsia="仿宋" w:cs="仿宋"/>
          <w:snapToGrid w:val="0"/>
          <w:color w:val="000000"/>
          <w:spacing w:val="11"/>
          <w:kern w:val="0"/>
          <w:position w:val="20"/>
          <w:sz w:val="24"/>
          <w:szCs w:val="24"/>
          <w:highlight w:val="none"/>
          <w:u w:val="single"/>
          <w:lang w:val="en-US" w:eastAsia="zh-CN" w:bidi="ar-SA"/>
        </w:rPr>
        <w:t>采购人</w:t>
      </w:r>
      <w:r>
        <w:rPr>
          <w:rFonts w:hint="eastAsia" w:ascii="仿宋" w:hAnsi="仿宋" w:eastAsia="仿宋" w:cs="仿宋"/>
          <w:snapToGrid w:val="0"/>
          <w:color w:val="000000"/>
          <w:spacing w:val="11"/>
          <w:kern w:val="0"/>
          <w:position w:val="20"/>
          <w:sz w:val="24"/>
          <w:szCs w:val="24"/>
          <w:highlight w:val="none"/>
          <w:u w:val="single"/>
          <w:lang w:val="en-US" w:eastAsia="en-US" w:bidi="ar-SA"/>
        </w:rPr>
        <w:t>）</w:t>
      </w:r>
      <w:r>
        <w:rPr>
          <w:rFonts w:hint="eastAsia" w:ascii="仿宋" w:hAnsi="仿宋" w:eastAsia="仿宋" w:cs="仿宋"/>
          <w:snapToGrid w:val="0"/>
          <w:color w:val="000000"/>
          <w:spacing w:val="11"/>
          <w:kern w:val="0"/>
          <w:position w:val="20"/>
          <w:sz w:val="24"/>
          <w:szCs w:val="24"/>
          <w:highlight w:val="none"/>
          <w:lang w:val="en-US" w:eastAsia="en-US" w:bidi="ar-SA"/>
        </w:rPr>
        <w:t>的</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项目的投标活动。代理人签署的投标文件和参加整个招标投标活动中所签署的一切文件和处理与之有关的一切</w:t>
      </w:r>
      <w:r>
        <w:rPr>
          <w:rFonts w:hint="eastAsia" w:ascii="仿宋" w:hAnsi="仿宋" w:eastAsia="仿宋" w:cs="仿宋"/>
          <w:snapToGrid w:val="0"/>
          <w:color w:val="000000"/>
          <w:spacing w:val="11"/>
          <w:kern w:val="0"/>
          <w:position w:val="20"/>
          <w:sz w:val="24"/>
          <w:szCs w:val="24"/>
          <w:highlight w:val="none"/>
          <w:lang w:val="en-US" w:eastAsia="zh-CN" w:bidi="ar-SA"/>
        </w:rPr>
        <w:t>事务</w:t>
      </w:r>
      <w:r>
        <w:rPr>
          <w:rFonts w:hint="eastAsia" w:ascii="仿宋" w:hAnsi="仿宋" w:eastAsia="仿宋" w:cs="仿宋"/>
          <w:snapToGrid w:val="0"/>
          <w:color w:val="000000"/>
          <w:spacing w:val="11"/>
          <w:kern w:val="0"/>
          <w:position w:val="20"/>
          <w:sz w:val="24"/>
          <w:szCs w:val="24"/>
          <w:highlight w:val="none"/>
          <w:lang w:val="en-US" w:eastAsia="en-US" w:bidi="ar-SA"/>
        </w:rPr>
        <w:t>，我均予以承认。</w:t>
      </w:r>
    </w:p>
    <w:p w14:paraId="27E2D7E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p>
    <w:p w14:paraId="028B9121">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代理人：</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性别：</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年龄：</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 xml:space="preserve">              </w:t>
      </w:r>
    </w:p>
    <w:p w14:paraId="18B5D00C">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单  位：</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部门：</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职务：</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lang w:val="en-US" w:eastAsia="en-US" w:bidi="ar-SA"/>
        </w:rPr>
        <w:t xml:space="preserve">           </w:t>
      </w:r>
    </w:p>
    <w:p w14:paraId="14705DCF">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代理人无转委权。特此委托。</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1004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trPr>
        <w:tc>
          <w:tcPr>
            <w:tcW w:w="4981" w:type="dxa"/>
            <w:vAlign w:val="center"/>
          </w:tcPr>
          <w:p w14:paraId="7904338E">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附法人身份证复印件正面</w:t>
            </w:r>
          </w:p>
          <w:p w14:paraId="61077277">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p>
        </w:tc>
        <w:tc>
          <w:tcPr>
            <w:tcW w:w="4981" w:type="dxa"/>
            <w:vAlign w:val="center"/>
          </w:tcPr>
          <w:p w14:paraId="0412B221">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附法人身份证复印件</w:t>
            </w:r>
            <w:r>
              <w:rPr>
                <w:rFonts w:hint="eastAsia" w:ascii="仿宋" w:hAnsi="仿宋" w:eastAsia="仿宋" w:cs="仿宋"/>
                <w:snapToGrid w:val="0"/>
                <w:color w:val="000000"/>
                <w:spacing w:val="11"/>
                <w:kern w:val="0"/>
                <w:position w:val="20"/>
                <w:sz w:val="24"/>
                <w:szCs w:val="24"/>
                <w:highlight w:val="none"/>
                <w:lang w:val="en-US" w:eastAsia="zh-CN" w:bidi="ar-SA"/>
              </w:rPr>
              <w:t>背</w:t>
            </w:r>
            <w:r>
              <w:rPr>
                <w:rFonts w:hint="eastAsia" w:ascii="仿宋" w:hAnsi="仿宋" w:eastAsia="仿宋" w:cs="仿宋"/>
                <w:snapToGrid w:val="0"/>
                <w:color w:val="000000"/>
                <w:spacing w:val="11"/>
                <w:kern w:val="0"/>
                <w:position w:val="20"/>
                <w:sz w:val="24"/>
                <w:szCs w:val="24"/>
                <w:highlight w:val="none"/>
                <w:lang w:val="en-US" w:eastAsia="en-US" w:bidi="ar-SA"/>
              </w:rPr>
              <w:t>面</w:t>
            </w:r>
          </w:p>
          <w:p w14:paraId="0E7E444A">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p>
        </w:tc>
      </w:tr>
      <w:tr w14:paraId="572D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0" w:hRule="atLeast"/>
        </w:trPr>
        <w:tc>
          <w:tcPr>
            <w:tcW w:w="4981" w:type="dxa"/>
            <w:vAlign w:val="center"/>
          </w:tcPr>
          <w:p w14:paraId="11B14992">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附委托人身份证复印件正面</w:t>
            </w:r>
          </w:p>
          <w:p w14:paraId="01321A19">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p>
        </w:tc>
        <w:tc>
          <w:tcPr>
            <w:tcW w:w="4981" w:type="dxa"/>
            <w:vAlign w:val="center"/>
          </w:tcPr>
          <w:p w14:paraId="23F3671D">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附委托人身份证复印件</w:t>
            </w:r>
            <w:r>
              <w:rPr>
                <w:rFonts w:hint="eastAsia" w:ascii="仿宋" w:hAnsi="仿宋" w:eastAsia="仿宋" w:cs="仿宋"/>
                <w:snapToGrid w:val="0"/>
                <w:color w:val="000000"/>
                <w:spacing w:val="11"/>
                <w:kern w:val="0"/>
                <w:position w:val="20"/>
                <w:sz w:val="24"/>
                <w:szCs w:val="24"/>
                <w:highlight w:val="none"/>
                <w:lang w:val="en-US" w:eastAsia="zh-CN" w:bidi="ar-SA"/>
              </w:rPr>
              <w:t>背</w:t>
            </w:r>
            <w:r>
              <w:rPr>
                <w:rFonts w:hint="eastAsia" w:ascii="仿宋" w:hAnsi="仿宋" w:eastAsia="仿宋" w:cs="仿宋"/>
                <w:snapToGrid w:val="0"/>
                <w:color w:val="000000"/>
                <w:spacing w:val="11"/>
                <w:kern w:val="0"/>
                <w:position w:val="20"/>
                <w:sz w:val="24"/>
                <w:szCs w:val="24"/>
                <w:highlight w:val="none"/>
                <w:lang w:val="en-US" w:eastAsia="en-US" w:bidi="ar-SA"/>
              </w:rPr>
              <w:t>面</w:t>
            </w:r>
          </w:p>
          <w:p w14:paraId="10F44555">
            <w:pPr>
              <w:pStyle w:val="9"/>
              <w:keepLines w:val="0"/>
              <w:pageBreakBefore w:val="0"/>
              <w:widowControl w:val="0"/>
              <w:kinsoku/>
              <w:wordWrap/>
              <w:overflowPunct/>
              <w:topLinePunct w:val="0"/>
              <w:bidi w:val="0"/>
              <w:spacing w:line="241" w:lineRule="auto"/>
              <w:jc w:val="center"/>
              <w:rPr>
                <w:rFonts w:hint="eastAsia" w:ascii="仿宋" w:hAnsi="仿宋" w:eastAsia="仿宋" w:cs="仿宋"/>
                <w:snapToGrid w:val="0"/>
                <w:color w:val="000000"/>
                <w:spacing w:val="11"/>
                <w:kern w:val="0"/>
                <w:position w:val="20"/>
                <w:sz w:val="24"/>
                <w:szCs w:val="24"/>
                <w:highlight w:val="none"/>
                <w:vertAlign w:val="baseline"/>
                <w:lang w:val="en-US" w:eastAsia="en-US" w:bidi="ar-SA"/>
              </w:rPr>
            </w:pPr>
          </w:p>
        </w:tc>
      </w:tr>
    </w:tbl>
    <w:p w14:paraId="45C129E6">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p>
    <w:p w14:paraId="5B74B894">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u w:val="singl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zh-CN" w:bidi="ar-SA"/>
        </w:rPr>
        <w:t>投标人</w:t>
      </w:r>
      <w:r>
        <w:rPr>
          <w:rFonts w:hint="eastAsia" w:ascii="仿宋" w:hAnsi="仿宋" w:eastAsia="仿宋" w:cs="仿宋"/>
          <w:snapToGrid w:val="0"/>
          <w:color w:val="000000"/>
          <w:spacing w:val="11"/>
          <w:kern w:val="0"/>
          <w:position w:val="20"/>
          <w:sz w:val="24"/>
          <w:szCs w:val="24"/>
          <w:highlight w:val="none"/>
          <w:lang w:val="en-US" w:eastAsia="en-US" w:bidi="ar-SA"/>
        </w:rPr>
        <w:t>名称(公章)：</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p>
    <w:p w14:paraId="558AD397">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zh-CN" w:bidi="ar-SA"/>
        </w:rPr>
        <w:t>投标人</w:t>
      </w:r>
      <w:r>
        <w:rPr>
          <w:rFonts w:hint="eastAsia" w:ascii="仿宋" w:hAnsi="仿宋" w:eastAsia="仿宋" w:cs="仿宋"/>
          <w:snapToGrid w:val="0"/>
          <w:color w:val="000000"/>
          <w:spacing w:val="11"/>
          <w:kern w:val="0"/>
          <w:position w:val="20"/>
          <w:sz w:val="24"/>
          <w:szCs w:val="24"/>
          <w:highlight w:val="none"/>
          <w:lang w:val="en-US" w:eastAsia="en-US" w:bidi="ar-SA"/>
        </w:rPr>
        <w:t xml:space="preserve">法人（签字或盖章）：  </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zh-CN"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p>
    <w:p w14:paraId="686921A2">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法定代表人身份证号：</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zh-CN"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p>
    <w:p w14:paraId="155DB557">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委托人签字：</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zh-CN"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p>
    <w:p w14:paraId="417F756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委托人身份证号：</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zh-CN" w:bidi="ar-SA"/>
        </w:rPr>
        <w:t xml:space="preserve"> </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w:t>
      </w:r>
    </w:p>
    <w:p w14:paraId="5FBA314B">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u w:val="singl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日      期：</w:t>
      </w:r>
      <w:r>
        <w:rPr>
          <w:rFonts w:hint="eastAsia" w:ascii="仿宋" w:hAnsi="仿宋" w:eastAsia="仿宋" w:cs="仿宋"/>
          <w:snapToGrid w:val="0"/>
          <w:color w:val="000000"/>
          <w:spacing w:val="11"/>
          <w:kern w:val="0"/>
          <w:position w:val="20"/>
          <w:sz w:val="24"/>
          <w:szCs w:val="24"/>
          <w:highlight w:val="none"/>
          <w:u w:val="single"/>
          <w:lang w:val="en-US" w:eastAsia="en-US" w:bidi="ar-SA"/>
        </w:rPr>
        <w:t xml:space="preserve">      年    月    日</w:t>
      </w:r>
    </w:p>
    <w:p w14:paraId="302D2678">
      <w:pPr>
        <w:pStyle w:val="9"/>
        <w:keepLines w:val="0"/>
        <w:pageBreakBefore w:val="0"/>
        <w:kinsoku/>
        <w:wordWrap/>
        <w:overflowPunct/>
        <w:topLinePunct w:val="0"/>
        <w:bidi w:val="0"/>
        <w:spacing w:line="241" w:lineRule="auto"/>
        <w:rPr>
          <w:rFonts w:hint="eastAsia" w:ascii="仿宋" w:hAnsi="仿宋" w:eastAsia="仿宋" w:cs="仿宋"/>
          <w:snapToGrid w:val="0"/>
          <w:color w:val="000000"/>
          <w:spacing w:val="11"/>
          <w:kern w:val="0"/>
          <w:position w:val="20"/>
          <w:sz w:val="24"/>
          <w:szCs w:val="24"/>
          <w:highlight w:val="none"/>
          <w:lang w:val="en-US" w:eastAsia="en-US" w:bidi="ar-SA"/>
        </w:rPr>
      </w:pPr>
    </w:p>
    <w:p w14:paraId="5498335C">
      <w:pPr>
        <w:pStyle w:val="9"/>
        <w:keepLines w:val="0"/>
        <w:pageBreakBefore w:val="0"/>
        <w:kinsoku/>
        <w:wordWrap/>
        <w:overflowPunct/>
        <w:topLinePunct w:val="0"/>
        <w:bidi w:val="0"/>
        <w:spacing w:line="241" w:lineRule="auto"/>
        <w:rPr>
          <w:rFonts w:ascii="仿宋" w:hAnsi="仿宋" w:eastAsia="仿宋" w:cs="仿宋"/>
          <w:snapToGrid w:val="0"/>
          <w:color w:val="000000"/>
          <w:spacing w:val="11"/>
          <w:kern w:val="0"/>
          <w:position w:val="20"/>
          <w:sz w:val="24"/>
          <w:szCs w:val="24"/>
          <w:highlight w:val="none"/>
          <w:lang w:val="en-US" w:eastAsia="en-US" w:bidi="ar-SA"/>
        </w:rPr>
      </w:pPr>
      <w:r>
        <w:rPr>
          <w:rFonts w:hint="eastAsia" w:ascii="仿宋" w:hAnsi="仿宋" w:eastAsia="仿宋" w:cs="仿宋"/>
          <w:snapToGrid w:val="0"/>
          <w:color w:val="000000"/>
          <w:spacing w:val="11"/>
          <w:kern w:val="0"/>
          <w:position w:val="20"/>
          <w:sz w:val="24"/>
          <w:szCs w:val="24"/>
          <w:highlight w:val="none"/>
          <w:lang w:val="en-US" w:eastAsia="en-US" w:bidi="ar-SA"/>
        </w:rPr>
        <w:t>注：若公司法人前来参加投标的</w:t>
      </w:r>
      <w:r>
        <w:rPr>
          <w:rFonts w:hint="eastAsia" w:ascii="仿宋" w:hAnsi="仿宋" w:eastAsia="仿宋" w:cs="仿宋"/>
          <w:snapToGrid w:val="0"/>
          <w:color w:val="000000"/>
          <w:spacing w:val="11"/>
          <w:kern w:val="0"/>
          <w:position w:val="20"/>
          <w:sz w:val="24"/>
          <w:szCs w:val="24"/>
          <w:highlight w:val="none"/>
          <w:lang w:val="en-US" w:eastAsia="zh-CN" w:bidi="ar-SA"/>
        </w:rPr>
        <w:t>投标人</w:t>
      </w:r>
      <w:r>
        <w:rPr>
          <w:rFonts w:hint="eastAsia" w:ascii="仿宋" w:hAnsi="仿宋" w:eastAsia="仿宋" w:cs="仿宋"/>
          <w:snapToGrid w:val="0"/>
          <w:color w:val="000000"/>
          <w:spacing w:val="11"/>
          <w:kern w:val="0"/>
          <w:position w:val="20"/>
          <w:sz w:val="24"/>
          <w:szCs w:val="24"/>
          <w:highlight w:val="none"/>
          <w:lang w:val="en-US" w:eastAsia="en-US" w:bidi="ar-SA"/>
        </w:rPr>
        <w:t>，可以不提供此项证明文件。</w:t>
      </w:r>
    </w:p>
    <w:p w14:paraId="70416C17">
      <w:pPr>
        <w:keepLines w:val="0"/>
        <w:pageBreakBefore w:val="0"/>
        <w:kinsoku/>
        <w:wordWrap/>
        <w:overflowPunct/>
        <w:topLinePunct w:val="0"/>
        <w:bidi w:val="0"/>
        <w:spacing w:before="42" w:line="231" w:lineRule="auto"/>
        <w:outlineLvl w:val="2"/>
        <w:rPr>
          <w:rFonts w:ascii="仿宋" w:hAnsi="仿宋" w:eastAsia="仿宋" w:cs="仿宋"/>
          <w:b/>
          <w:bCs/>
          <w:spacing w:val="6"/>
          <w:sz w:val="20"/>
          <w:szCs w:val="20"/>
          <w:highlight w:val="none"/>
        </w:rPr>
      </w:pPr>
    </w:p>
    <w:p w14:paraId="3A959A6B">
      <w:pPr>
        <w:keepLines w:val="0"/>
        <w:pageBreakBefore w:val="0"/>
        <w:kinsoku/>
        <w:wordWrap/>
        <w:overflowPunct/>
        <w:topLinePunct w:val="0"/>
        <w:bidi w:val="0"/>
        <w:spacing w:before="42" w:line="231" w:lineRule="auto"/>
        <w:ind w:left="3988"/>
        <w:outlineLvl w:val="2"/>
        <w:rPr>
          <w:rFonts w:ascii="仿宋" w:hAnsi="仿宋" w:eastAsia="仿宋" w:cs="仿宋"/>
          <w:sz w:val="24"/>
          <w:szCs w:val="24"/>
          <w:highlight w:val="none"/>
        </w:rPr>
      </w:pPr>
      <w:r>
        <w:rPr>
          <w:rFonts w:hint="eastAsia" w:ascii="仿宋" w:hAnsi="仿宋" w:eastAsia="仿宋" w:cs="仿宋"/>
          <w:b/>
          <w:bCs/>
          <w:spacing w:val="6"/>
          <w:sz w:val="24"/>
          <w:szCs w:val="24"/>
          <w:highlight w:val="none"/>
          <w:lang w:val="en-US" w:eastAsia="zh-CN"/>
        </w:rPr>
        <w:t>7</w:t>
      </w:r>
      <w:r>
        <w:rPr>
          <w:rFonts w:ascii="仿宋" w:hAnsi="仿宋" w:eastAsia="仿宋" w:cs="仿宋"/>
          <w:b/>
          <w:bCs/>
          <w:spacing w:val="6"/>
          <w:sz w:val="24"/>
          <w:szCs w:val="24"/>
          <w:highlight w:val="none"/>
        </w:rPr>
        <w:t>、</w:t>
      </w:r>
      <w:r>
        <w:rPr>
          <w:rFonts w:hint="eastAsia" w:ascii="仿宋" w:hAnsi="仿宋" w:eastAsia="仿宋" w:cs="仿宋"/>
          <w:b/>
          <w:bCs/>
          <w:spacing w:val="6"/>
          <w:sz w:val="24"/>
          <w:szCs w:val="24"/>
          <w:highlight w:val="none"/>
          <w:lang w:eastAsia="zh-CN"/>
        </w:rPr>
        <w:t>投标人</w:t>
      </w:r>
      <w:r>
        <w:rPr>
          <w:rFonts w:ascii="仿宋" w:hAnsi="仿宋" w:eastAsia="仿宋" w:cs="仿宋"/>
          <w:b/>
          <w:bCs/>
          <w:spacing w:val="6"/>
          <w:sz w:val="24"/>
          <w:szCs w:val="24"/>
          <w:highlight w:val="none"/>
        </w:rPr>
        <w:t>基本情况</w:t>
      </w:r>
    </w:p>
    <w:p w14:paraId="1A60EAD4">
      <w:pPr>
        <w:keepLines w:val="0"/>
        <w:pageBreakBefore w:val="0"/>
        <w:kinsoku/>
        <w:wordWrap/>
        <w:overflowPunct/>
        <w:topLinePunct w:val="0"/>
        <w:bidi w:val="0"/>
        <w:spacing w:line="89" w:lineRule="exact"/>
        <w:rPr>
          <w:sz w:val="24"/>
          <w:szCs w:val="24"/>
          <w:highlight w:val="none"/>
        </w:rPr>
      </w:pPr>
    </w:p>
    <w:tbl>
      <w:tblPr>
        <w:tblStyle w:val="26"/>
        <w:tblW w:w="8608" w:type="dxa"/>
        <w:tblInd w:w="5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6"/>
        <w:gridCol w:w="1765"/>
        <w:gridCol w:w="1210"/>
        <w:gridCol w:w="1766"/>
        <w:gridCol w:w="1771"/>
      </w:tblGrid>
      <w:tr w14:paraId="30714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2096" w:type="dxa"/>
            <w:vAlign w:val="top"/>
          </w:tcPr>
          <w:p w14:paraId="095DBD77">
            <w:pPr>
              <w:pStyle w:val="27"/>
              <w:keepLines w:val="0"/>
              <w:pageBreakBefore w:val="0"/>
              <w:kinsoku/>
              <w:wordWrap/>
              <w:overflowPunct/>
              <w:topLinePunct w:val="0"/>
              <w:bidi w:val="0"/>
              <w:spacing w:before="150" w:line="229" w:lineRule="auto"/>
              <w:ind w:left="531"/>
              <w:rPr>
                <w:sz w:val="24"/>
                <w:szCs w:val="24"/>
                <w:highlight w:val="none"/>
              </w:rPr>
            </w:pPr>
            <w:r>
              <w:rPr>
                <w:rFonts w:hint="eastAsia"/>
                <w:b/>
                <w:bCs/>
                <w:spacing w:val="5"/>
                <w:sz w:val="24"/>
                <w:szCs w:val="24"/>
                <w:highlight w:val="none"/>
                <w:lang w:eastAsia="zh-CN"/>
              </w:rPr>
              <w:t>投标人</w:t>
            </w:r>
            <w:r>
              <w:rPr>
                <w:b/>
                <w:bCs/>
                <w:spacing w:val="5"/>
                <w:sz w:val="24"/>
                <w:szCs w:val="24"/>
                <w:highlight w:val="none"/>
              </w:rPr>
              <w:t>名称</w:t>
            </w:r>
          </w:p>
        </w:tc>
        <w:tc>
          <w:tcPr>
            <w:tcW w:w="6512" w:type="dxa"/>
            <w:gridSpan w:val="4"/>
            <w:vAlign w:val="top"/>
          </w:tcPr>
          <w:p w14:paraId="296F71EC">
            <w:pPr>
              <w:keepLines w:val="0"/>
              <w:pageBreakBefore w:val="0"/>
              <w:kinsoku/>
              <w:wordWrap/>
              <w:overflowPunct/>
              <w:topLinePunct w:val="0"/>
              <w:bidi w:val="0"/>
              <w:rPr>
                <w:rFonts w:ascii="Arial"/>
                <w:sz w:val="24"/>
                <w:szCs w:val="24"/>
                <w:highlight w:val="none"/>
              </w:rPr>
            </w:pPr>
          </w:p>
        </w:tc>
      </w:tr>
      <w:tr w14:paraId="65B96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FAA7A4A">
            <w:pPr>
              <w:pStyle w:val="27"/>
              <w:keepLines w:val="0"/>
              <w:pageBreakBefore w:val="0"/>
              <w:kinsoku/>
              <w:wordWrap/>
              <w:overflowPunct/>
              <w:topLinePunct w:val="0"/>
              <w:bidi w:val="0"/>
              <w:spacing w:before="147" w:line="232" w:lineRule="auto"/>
              <w:ind w:left="643"/>
              <w:rPr>
                <w:sz w:val="24"/>
                <w:szCs w:val="24"/>
                <w:highlight w:val="none"/>
              </w:rPr>
            </w:pPr>
            <w:r>
              <w:rPr>
                <w:b/>
                <w:bCs/>
                <w:spacing w:val="3"/>
                <w:sz w:val="24"/>
                <w:szCs w:val="24"/>
                <w:highlight w:val="none"/>
              </w:rPr>
              <w:t>注册地址</w:t>
            </w:r>
          </w:p>
        </w:tc>
        <w:tc>
          <w:tcPr>
            <w:tcW w:w="6512" w:type="dxa"/>
            <w:gridSpan w:val="4"/>
            <w:vAlign w:val="top"/>
          </w:tcPr>
          <w:p w14:paraId="63DFB459">
            <w:pPr>
              <w:keepLines w:val="0"/>
              <w:pageBreakBefore w:val="0"/>
              <w:kinsoku/>
              <w:wordWrap/>
              <w:overflowPunct/>
              <w:topLinePunct w:val="0"/>
              <w:bidi w:val="0"/>
              <w:rPr>
                <w:rFonts w:ascii="Arial"/>
                <w:sz w:val="24"/>
                <w:szCs w:val="24"/>
                <w:highlight w:val="none"/>
              </w:rPr>
            </w:pPr>
          </w:p>
        </w:tc>
      </w:tr>
      <w:tr w14:paraId="06B8B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restart"/>
            <w:tcBorders>
              <w:bottom w:val="nil"/>
            </w:tcBorders>
            <w:vAlign w:val="top"/>
          </w:tcPr>
          <w:p w14:paraId="1158A7C0">
            <w:pPr>
              <w:keepLines w:val="0"/>
              <w:pageBreakBefore w:val="0"/>
              <w:kinsoku/>
              <w:wordWrap/>
              <w:overflowPunct/>
              <w:topLinePunct w:val="0"/>
              <w:bidi w:val="0"/>
              <w:spacing w:line="332" w:lineRule="auto"/>
              <w:rPr>
                <w:rFonts w:ascii="Arial"/>
                <w:sz w:val="24"/>
                <w:szCs w:val="24"/>
                <w:highlight w:val="none"/>
              </w:rPr>
            </w:pPr>
          </w:p>
          <w:p w14:paraId="522B08B6">
            <w:pPr>
              <w:pStyle w:val="27"/>
              <w:keepLines w:val="0"/>
              <w:pageBreakBefore w:val="0"/>
              <w:kinsoku/>
              <w:wordWrap/>
              <w:overflowPunct/>
              <w:topLinePunct w:val="0"/>
              <w:bidi w:val="0"/>
              <w:spacing w:before="65" w:line="232" w:lineRule="auto"/>
              <w:ind w:left="635"/>
              <w:rPr>
                <w:sz w:val="24"/>
                <w:szCs w:val="24"/>
                <w:highlight w:val="none"/>
              </w:rPr>
            </w:pPr>
            <w:r>
              <w:rPr>
                <w:b/>
                <w:bCs/>
                <w:spacing w:val="5"/>
                <w:sz w:val="24"/>
                <w:szCs w:val="24"/>
                <w:highlight w:val="none"/>
              </w:rPr>
              <w:t>联系方式</w:t>
            </w:r>
          </w:p>
        </w:tc>
        <w:tc>
          <w:tcPr>
            <w:tcW w:w="1765" w:type="dxa"/>
            <w:vAlign w:val="top"/>
          </w:tcPr>
          <w:p w14:paraId="79A92921">
            <w:pPr>
              <w:pStyle w:val="27"/>
              <w:keepLines w:val="0"/>
              <w:pageBreakBefore w:val="0"/>
              <w:kinsoku/>
              <w:wordWrap/>
              <w:overflowPunct/>
              <w:topLinePunct w:val="0"/>
              <w:bidi w:val="0"/>
              <w:spacing w:before="146" w:line="233" w:lineRule="auto"/>
              <w:ind w:left="574"/>
              <w:rPr>
                <w:sz w:val="24"/>
                <w:szCs w:val="24"/>
                <w:highlight w:val="none"/>
              </w:rPr>
            </w:pPr>
            <w:r>
              <w:rPr>
                <w:b/>
                <w:bCs/>
                <w:spacing w:val="4"/>
                <w:sz w:val="24"/>
                <w:szCs w:val="24"/>
                <w:highlight w:val="none"/>
              </w:rPr>
              <w:t>联系人</w:t>
            </w:r>
          </w:p>
        </w:tc>
        <w:tc>
          <w:tcPr>
            <w:tcW w:w="1210" w:type="dxa"/>
            <w:vAlign w:val="top"/>
          </w:tcPr>
          <w:p w14:paraId="5931C233">
            <w:pPr>
              <w:keepLines w:val="0"/>
              <w:pageBreakBefore w:val="0"/>
              <w:kinsoku/>
              <w:wordWrap/>
              <w:overflowPunct/>
              <w:topLinePunct w:val="0"/>
              <w:bidi w:val="0"/>
              <w:rPr>
                <w:rFonts w:ascii="Arial"/>
                <w:sz w:val="24"/>
                <w:szCs w:val="24"/>
                <w:highlight w:val="none"/>
              </w:rPr>
            </w:pPr>
          </w:p>
        </w:tc>
        <w:tc>
          <w:tcPr>
            <w:tcW w:w="1766" w:type="dxa"/>
            <w:vAlign w:val="top"/>
          </w:tcPr>
          <w:p w14:paraId="5E94A358">
            <w:pPr>
              <w:pStyle w:val="27"/>
              <w:keepLines w:val="0"/>
              <w:pageBreakBefore w:val="0"/>
              <w:kinsoku/>
              <w:wordWrap/>
              <w:overflowPunct/>
              <w:topLinePunct w:val="0"/>
              <w:bidi w:val="0"/>
              <w:spacing w:before="145" w:line="232" w:lineRule="auto"/>
              <w:ind w:left="706"/>
              <w:rPr>
                <w:sz w:val="24"/>
                <w:szCs w:val="24"/>
                <w:highlight w:val="none"/>
              </w:rPr>
            </w:pPr>
            <w:r>
              <w:rPr>
                <w:b/>
                <w:bCs/>
                <w:spacing w:val="-11"/>
                <w:sz w:val="24"/>
                <w:szCs w:val="24"/>
                <w:highlight w:val="none"/>
              </w:rPr>
              <w:t>电话</w:t>
            </w:r>
          </w:p>
        </w:tc>
        <w:tc>
          <w:tcPr>
            <w:tcW w:w="1771" w:type="dxa"/>
            <w:vAlign w:val="top"/>
          </w:tcPr>
          <w:p w14:paraId="7A666296">
            <w:pPr>
              <w:keepLines w:val="0"/>
              <w:pageBreakBefore w:val="0"/>
              <w:kinsoku/>
              <w:wordWrap/>
              <w:overflowPunct/>
              <w:topLinePunct w:val="0"/>
              <w:bidi w:val="0"/>
              <w:rPr>
                <w:rFonts w:ascii="Arial"/>
                <w:sz w:val="24"/>
                <w:szCs w:val="24"/>
                <w:highlight w:val="none"/>
              </w:rPr>
            </w:pPr>
          </w:p>
        </w:tc>
      </w:tr>
      <w:tr w14:paraId="30A68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continue"/>
            <w:tcBorders>
              <w:top w:val="nil"/>
            </w:tcBorders>
            <w:vAlign w:val="top"/>
          </w:tcPr>
          <w:p w14:paraId="208F307A">
            <w:pPr>
              <w:keepLines w:val="0"/>
              <w:pageBreakBefore w:val="0"/>
              <w:kinsoku/>
              <w:wordWrap/>
              <w:overflowPunct/>
              <w:topLinePunct w:val="0"/>
              <w:bidi w:val="0"/>
              <w:rPr>
                <w:rFonts w:ascii="Arial"/>
                <w:sz w:val="24"/>
                <w:szCs w:val="24"/>
                <w:highlight w:val="none"/>
              </w:rPr>
            </w:pPr>
          </w:p>
        </w:tc>
        <w:tc>
          <w:tcPr>
            <w:tcW w:w="1765" w:type="dxa"/>
            <w:vAlign w:val="top"/>
          </w:tcPr>
          <w:p w14:paraId="52D86B55">
            <w:pPr>
              <w:pStyle w:val="27"/>
              <w:keepLines w:val="0"/>
              <w:pageBreakBefore w:val="0"/>
              <w:kinsoku/>
              <w:wordWrap/>
              <w:overflowPunct/>
              <w:topLinePunct w:val="0"/>
              <w:bidi w:val="0"/>
              <w:spacing w:before="144" w:line="232" w:lineRule="auto"/>
              <w:ind w:left="685"/>
              <w:rPr>
                <w:sz w:val="24"/>
                <w:szCs w:val="24"/>
                <w:highlight w:val="none"/>
              </w:rPr>
            </w:pPr>
            <w:r>
              <w:rPr>
                <w:b/>
                <w:bCs/>
                <w:spacing w:val="-1"/>
                <w:sz w:val="24"/>
                <w:szCs w:val="24"/>
                <w:highlight w:val="none"/>
              </w:rPr>
              <w:t>传真</w:t>
            </w:r>
          </w:p>
        </w:tc>
        <w:tc>
          <w:tcPr>
            <w:tcW w:w="1210" w:type="dxa"/>
            <w:vAlign w:val="top"/>
          </w:tcPr>
          <w:p w14:paraId="0F31285C">
            <w:pPr>
              <w:keepLines w:val="0"/>
              <w:pageBreakBefore w:val="0"/>
              <w:kinsoku/>
              <w:wordWrap/>
              <w:overflowPunct/>
              <w:topLinePunct w:val="0"/>
              <w:bidi w:val="0"/>
              <w:rPr>
                <w:rFonts w:ascii="Arial"/>
                <w:sz w:val="24"/>
                <w:szCs w:val="24"/>
                <w:highlight w:val="none"/>
              </w:rPr>
            </w:pPr>
          </w:p>
        </w:tc>
        <w:tc>
          <w:tcPr>
            <w:tcW w:w="1766" w:type="dxa"/>
            <w:vAlign w:val="top"/>
          </w:tcPr>
          <w:p w14:paraId="67A3427C">
            <w:pPr>
              <w:pStyle w:val="27"/>
              <w:keepLines w:val="0"/>
              <w:pageBreakBefore w:val="0"/>
              <w:kinsoku/>
              <w:wordWrap/>
              <w:overflowPunct/>
              <w:topLinePunct w:val="0"/>
              <w:bidi w:val="0"/>
              <w:spacing w:before="145" w:line="229" w:lineRule="auto"/>
              <w:ind w:left="497"/>
              <w:rPr>
                <w:sz w:val="24"/>
                <w:szCs w:val="24"/>
                <w:highlight w:val="none"/>
              </w:rPr>
            </w:pPr>
            <w:r>
              <w:rPr>
                <w:b/>
                <w:bCs/>
                <w:spacing w:val="-1"/>
                <w:sz w:val="24"/>
                <w:szCs w:val="24"/>
                <w:highlight w:val="none"/>
              </w:rPr>
              <w:t>电子邮箱</w:t>
            </w:r>
          </w:p>
        </w:tc>
        <w:tc>
          <w:tcPr>
            <w:tcW w:w="1771" w:type="dxa"/>
            <w:vAlign w:val="top"/>
          </w:tcPr>
          <w:p w14:paraId="0012A6A6">
            <w:pPr>
              <w:keepLines w:val="0"/>
              <w:pageBreakBefore w:val="0"/>
              <w:kinsoku/>
              <w:wordWrap/>
              <w:overflowPunct/>
              <w:topLinePunct w:val="0"/>
              <w:bidi w:val="0"/>
              <w:rPr>
                <w:rFonts w:ascii="Arial"/>
                <w:sz w:val="24"/>
                <w:szCs w:val="24"/>
                <w:highlight w:val="none"/>
              </w:rPr>
            </w:pPr>
          </w:p>
        </w:tc>
      </w:tr>
      <w:tr w14:paraId="4C64D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096" w:type="dxa"/>
            <w:vAlign w:val="top"/>
          </w:tcPr>
          <w:p w14:paraId="56B72CD4">
            <w:pPr>
              <w:pStyle w:val="27"/>
              <w:keepLines w:val="0"/>
              <w:pageBreakBefore w:val="0"/>
              <w:kinsoku/>
              <w:wordWrap/>
              <w:overflowPunct/>
              <w:topLinePunct w:val="0"/>
              <w:bidi w:val="0"/>
              <w:spacing w:before="126" w:line="274" w:lineRule="exact"/>
              <w:ind w:left="538"/>
              <w:rPr>
                <w:sz w:val="24"/>
                <w:szCs w:val="24"/>
                <w:highlight w:val="none"/>
              </w:rPr>
            </w:pPr>
            <w:r>
              <w:rPr>
                <w:b/>
                <w:bCs/>
                <w:spacing w:val="4"/>
                <w:position w:val="4"/>
                <w:sz w:val="24"/>
                <w:szCs w:val="24"/>
                <w:highlight w:val="none"/>
              </w:rPr>
              <w:t>法定代表人</w:t>
            </w:r>
          </w:p>
          <w:p w14:paraId="31408634">
            <w:pPr>
              <w:pStyle w:val="27"/>
              <w:keepLines w:val="0"/>
              <w:pageBreakBefore w:val="0"/>
              <w:kinsoku/>
              <w:wordWrap/>
              <w:overflowPunct/>
              <w:topLinePunct w:val="0"/>
              <w:bidi w:val="0"/>
              <w:spacing w:line="232" w:lineRule="auto"/>
              <w:ind w:left="431"/>
              <w:rPr>
                <w:sz w:val="24"/>
                <w:szCs w:val="24"/>
                <w:highlight w:val="none"/>
              </w:rPr>
            </w:pPr>
            <w:r>
              <w:rPr>
                <w:b/>
                <w:bCs/>
                <w:spacing w:val="3"/>
                <w:sz w:val="24"/>
                <w:szCs w:val="24"/>
                <w:highlight w:val="none"/>
              </w:rPr>
              <w:t>（或负责人）</w:t>
            </w:r>
          </w:p>
        </w:tc>
        <w:tc>
          <w:tcPr>
            <w:tcW w:w="1765" w:type="dxa"/>
            <w:vAlign w:val="top"/>
          </w:tcPr>
          <w:p w14:paraId="2FCDB478">
            <w:pPr>
              <w:pStyle w:val="27"/>
              <w:keepLines w:val="0"/>
              <w:pageBreakBefore w:val="0"/>
              <w:kinsoku/>
              <w:wordWrap/>
              <w:overflowPunct/>
              <w:topLinePunct w:val="0"/>
              <w:bidi w:val="0"/>
              <w:spacing w:before="263" w:line="233" w:lineRule="auto"/>
              <w:ind w:left="682"/>
              <w:rPr>
                <w:sz w:val="24"/>
                <w:szCs w:val="24"/>
                <w:highlight w:val="none"/>
              </w:rPr>
            </w:pPr>
            <w:r>
              <w:rPr>
                <w:b/>
                <w:bCs/>
                <w:spacing w:val="1"/>
                <w:sz w:val="24"/>
                <w:szCs w:val="24"/>
                <w:highlight w:val="none"/>
              </w:rPr>
              <w:t>姓名</w:t>
            </w:r>
          </w:p>
        </w:tc>
        <w:tc>
          <w:tcPr>
            <w:tcW w:w="1210" w:type="dxa"/>
            <w:vAlign w:val="top"/>
          </w:tcPr>
          <w:p w14:paraId="1B836940">
            <w:pPr>
              <w:keepLines w:val="0"/>
              <w:pageBreakBefore w:val="0"/>
              <w:kinsoku/>
              <w:wordWrap/>
              <w:overflowPunct/>
              <w:topLinePunct w:val="0"/>
              <w:bidi w:val="0"/>
              <w:rPr>
                <w:rFonts w:ascii="Arial"/>
                <w:sz w:val="24"/>
                <w:szCs w:val="24"/>
                <w:highlight w:val="none"/>
              </w:rPr>
            </w:pPr>
          </w:p>
        </w:tc>
        <w:tc>
          <w:tcPr>
            <w:tcW w:w="1766" w:type="dxa"/>
            <w:vAlign w:val="top"/>
          </w:tcPr>
          <w:p w14:paraId="1336ED58">
            <w:pPr>
              <w:pStyle w:val="27"/>
              <w:keepLines w:val="0"/>
              <w:pageBreakBefore w:val="0"/>
              <w:kinsoku/>
              <w:wordWrap/>
              <w:overflowPunct/>
              <w:topLinePunct w:val="0"/>
              <w:bidi w:val="0"/>
              <w:spacing w:before="263" w:line="232" w:lineRule="auto"/>
              <w:ind w:left="706"/>
              <w:rPr>
                <w:sz w:val="24"/>
                <w:szCs w:val="24"/>
                <w:highlight w:val="none"/>
              </w:rPr>
            </w:pPr>
            <w:r>
              <w:rPr>
                <w:b/>
                <w:bCs/>
                <w:spacing w:val="-11"/>
                <w:sz w:val="24"/>
                <w:szCs w:val="24"/>
                <w:highlight w:val="none"/>
              </w:rPr>
              <w:t>电话</w:t>
            </w:r>
          </w:p>
        </w:tc>
        <w:tc>
          <w:tcPr>
            <w:tcW w:w="1771" w:type="dxa"/>
            <w:vAlign w:val="top"/>
          </w:tcPr>
          <w:p w14:paraId="3CEC2FD3">
            <w:pPr>
              <w:keepLines w:val="0"/>
              <w:pageBreakBefore w:val="0"/>
              <w:kinsoku/>
              <w:wordWrap/>
              <w:overflowPunct/>
              <w:topLinePunct w:val="0"/>
              <w:bidi w:val="0"/>
              <w:rPr>
                <w:rFonts w:ascii="Arial"/>
                <w:sz w:val="24"/>
                <w:szCs w:val="24"/>
                <w:highlight w:val="none"/>
              </w:rPr>
            </w:pPr>
          </w:p>
        </w:tc>
      </w:tr>
      <w:tr w14:paraId="4F4D7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7371FC93">
            <w:pPr>
              <w:pStyle w:val="27"/>
              <w:keepLines w:val="0"/>
              <w:pageBreakBefore w:val="0"/>
              <w:kinsoku/>
              <w:wordWrap/>
              <w:overflowPunct/>
              <w:topLinePunct w:val="0"/>
              <w:bidi w:val="0"/>
              <w:spacing w:before="147" w:line="230" w:lineRule="auto"/>
              <w:ind w:left="219"/>
              <w:rPr>
                <w:sz w:val="24"/>
                <w:szCs w:val="24"/>
                <w:highlight w:val="none"/>
              </w:rPr>
            </w:pPr>
            <w:r>
              <w:rPr>
                <w:b/>
                <w:bCs/>
                <w:spacing w:val="6"/>
                <w:sz w:val="24"/>
                <w:szCs w:val="24"/>
                <w:highlight w:val="none"/>
              </w:rPr>
              <w:t>统一社会信用代码</w:t>
            </w:r>
          </w:p>
        </w:tc>
        <w:tc>
          <w:tcPr>
            <w:tcW w:w="2975" w:type="dxa"/>
            <w:gridSpan w:val="2"/>
            <w:vAlign w:val="top"/>
          </w:tcPr>
          <w:p w14:paraId="5D5572A3">
            <w:pPr>
              <w:keepLines w:val="0"/>
              <w:pageBreakBefore w:val="0"/>
              <w:kinsoku/>
              <w:wordWrap/>
              <w:overflowPunct/>
              <w:topLinePunct w:val="0"/>
              <w:bidi w:val="0"/>
              <w:rPr>
                <w:rFonts w:ascii="Arial"/>
                <w:sz w:val="24"/>
                <w:szCs w:val="24"/>
                <w:highlight w:val="none"/>
              </w:rPr>
            </w:pPr>
          </w:p>
        </w:tc>
        <w:tc>
          <w:tcPr>
            <w:tcW w:w="1766" w:type="dxa"/>
            <w:vAlign w:val="top"/>
          </w:tcPr>
          <w:p w14:paraId="4575DA74">
            <w:pPr>
              <w:pStyle w:val="27"/>
              <w:keepLines w:val="0"/>
              <w:pageBreakBefore w:val="0"/>
              <w:kinsoku/>
              <w:wordWrap/>
              <w:overflowPunct/>
              <w:topLinePunct w:val="0"/>
              <w:bidi w:val="0"/>
              <w:spacing w:before="146" w:line="232" w:lineRule="auto"/>
              <w:ind w:left="385"/>
              <w:rPr>
                <w:sz w:val="24"/>
                <w:szCs w:val="24"/>
                <w:highlight w:val="none"/>
              </w:rPr>
            </w:pPr>
            <w:r>
              <w:rPr>
                <w:b/>
                <w:bCs/>
                <w:spacing w:val="2"/>
                <w:sz w:val="24"/>
                <w:szCs w:val="24"/>
                <w:highlight w:val="none"/>
              </w:rPr>
              <w:t>员工总人数</w:t>
            </w:r>
          </w:p>
        </w:tc>
        <w:tc>
          <w:tcPr>
            <w:tcW w:w="1771" w:type="dxa"/>
            <w:vAlign w:val="top"/>
          </w:tcPr>
          <w:p w14:paraId="01341D77">
            <w:pPr>
              <w:keepLines w:val="0"/>
              <w:pageBreakBefore w:val="0"/>
              <w:kinsoku/>
              <w:wordWrap/>
              <w:overflowPunct/>
              <w:topLinePunct w:val="0"/>
              <w:bidi w:val="0"/>
              <w:rPr>
                <w:rFonts w:ascii="Arial"/>
                <w:sz w:val="24"/>
                <w:szCs w:val="24"/>
                <w:highlight w:val="none"/>
              </w:rPr>
            </w:pPr>
          </w:p>
        </w:tc>
      </w:tr>
      <w:tr w14:paraId="4DEE0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43B66E8F">
            <w:pPr>
              <w:pStyle w:val="27"/>
              <w:keepLines w:val="0"/>
              <w:pageBreakBefore w:val="0"/>
              <w:kinsoku/>
              <w:wordWrap/>
              <w:overflowPunct/>
              <w:topLinePunct w:val="0"/>
              <w:bidi w:val="0"/>
              <w:spacing w:before="146" w:line="233" w:lineRule="auto"/>
              <w:ind w:left="851"/>
              <w:jc w:val="center"/>
              <w:rPr>
                <w:sz w:val="24"/>
                <w:szCs w:val="24"/>
                <w:highlight w:val="none"/>
              </w:rPr>
            </w:pPr>
            <w:r>
              <w:rPr>
                <w:b/>
                <w:bCs/>
                <w:spacing w:val="-1"/>
                <w:sz w:val="24"/>
                <w:szCs w:val="24"/>
                <w:highlight w:val="none"/>
              </w:rPr>
              <w:t>类型</w:t>
            </w:r>
          </w:p>
        </w:tc>
        <w:tc>
          <w:tcPr>
            <w:tcW w:w="1765" w:type="dxa"/>
            <w:vAlign w:val="center"/>
          </w:tcPr>
          <w:p w14:paraId="6339D703">
            <w:pPr>
              <w:keepLines w:val="0"/>
              <w:pageBreakBefore w:val="0"/>
              <w:kinsoku/>
              <w:wordWrap/>
              <w:overflowPunct/>
              <w:topLinePunct w:val="0"/>
              <w:bidi w:val="0"/>
              <w:jc w:val="center"/>
              <w:rPr>
                <w:rFonts w:ascii="Arial"/>
                <w:sz w:val="24"/>
                <w:szCs w:val="24"/>
                <w:highlight w:val="none"/>
              </w:rPr>
            </w:pPr>
          </w:p>
        </w:tc>
        <w:tc>
          <w:tcPr>
            <w:tcW w:w="1210" w:type="dxa"/>
            <w:vMerge w:val="restart"/>
            <w:tcBorders>
              <w:bottom w:val="nil"/>
            </w:tcBorders>
            <w:vAlign w:val="center"/>
          </w:tcPr>
          <w:p w14:paraId="1A347192">
            <w:pPr>
              <w:keepLines w:val="0"/>
              <w:pageBreakBefore w:val="0"/>
              <w:kinsoku/>
              <w:wordWrap/>
              <w:overflowPunct/>
              <w:topLinePunct w:val="0"/>
              <w:bidi w:val="0"/>
              <w:spacing w:line="273" w:lineRule="auto"/>
              <w:jc w:val="center"/>
              <w:rPr>
                <w:rFonts w:ascii="Arial"/>
                <w:sz w:val="24"/>
                <w:szCs w:val="24"/>
                <w:highlight w:val="none"/>
              </w:rPr>
            </w:pPr>
          </w:p>
          <w:p w14:paraId="3AF95DBF">
            <w:pPr>
              <w:keepLines w:val="0"/>
              <w:pageBreakBefore w:val="0"/>
              <w:kinsoku/>
              <w:wordWrap/>
              <w:overflowPunct/>
              <w:topLinePunct w:val="0"/>
              <w:bidi w:val="0"/>
              <w:spacing w:line="273" w:lineRule="auto"/>
              <w:jc w:val="center"/>
              <w:rPr>
                <w:rFonts w:ascii="Arial"/>
                <w:sz w:val="24"/>
                <w:szCs w:val="24"/>
                <w:highlight w:val="none"/>
              </w:rPr>
            </w:pPr>
          </w:p>
          <w:p w14:paraId="42EDA100">
            <w:pPr>
              <w:keepLines w:val="0"/>
              <w:pageBreakBefore w:val="0"/>
              <w:kinsoku/>
              <w:wordWrap/>
              <w:overflowPunct/>
              <w:topLinePunct w:val="0"/>
              <w:bidi w:val="0"/>
              <w:spacing w:line="274" w:lineRule="auto"/>
              <w:jc w:val="center"/>
              <w:rPr>
                <w:rFonts w:ascii="Arial"/>
                <w:sz w:val="24"/>
                <w:szCs w:val="24"/>
                <w:highlight w:val="none"/>
              </w:rPr>
            </w:pPr>
          </w:p>
          <w:p w14:paraId="2AC56474">
            <w:pPr>
              <w:keepLines w:val="0"/>
              <w:pageBreakBefore w:val="0"/>
              <w:kinsoku/>
              <w:wordWrap/>
              <w:overflowPunct/>
              <w:topLinePunct w:val="0"/>
              <w:bidi w:val="0"/>
              <w:spacing w:line="274" w:lineRule="auto"/>
              <w:jc w:val="center"/>
              <w:rPr>
                <w:rFonts w:ascii="Arial"/>
                <w:sz w:val="24"/>
                <w:szCs w:val="24"/>
                <w:highlight w:val="none"/>
              </w:rPr>
            </w:pPr>
          </w:p>
          <w:p w14:paraId="0414AF30">
            <w:pPr>
              <w:pStyle w:val="27"/>
              <w:keepLines w:val="0"/>
              <w:pageBreakBefore w:val="0"/>
              <w:kinsoku/>
              <w:wordWrap/>
              <w:overflowPunct/>
              <w:topLinePunct w:val="0"/>
              <w:bidi w:val="0"/>
              <w:spacing w:before="65" w:line="231" w:lineRule="auto"/>
              <w:ind w:left="407"/>
              <w:jc w:val="center"/>
              <w:rPr>
                <w:sz w:val="24"/>
                <w:szCs w:val="24"/>
                <w:highlight w:val="none"/>
              </w:rPr>
            </w:pPr>
            <w:r>
              <w:rPr>
                <w:b/>
                <w:bCs/>
                <w:sz w:val="24"/>
                <w:szCs w:val="24"/>
                <w:highlight w:val="none"/>
              </w:rPr>
              <w:t>其中</w:t>
            </w:r>
          </w:p>
        </w:tc>
        <w:tc>
          <w:tcPr>
            <w:tcW w:w="1766" w:type="dxa"/>
            <w:vMerge w:val="restart"/>
            <w:tcBorders>
              <w:bottom w:val="nil"/>
            </w:tcBorders>
            <w:vAlign w:val="center"/>
          </w:tcPr>
          <w:p w14:paraId="6F3975C8">
            <w:pPr>
              <w:pStyle w:val="27"/>
              <w:keepLines w:val="0"/>
              <w:pageBreakBefore w:val="0"/>
              <w:kinsoku/>
              <w:wordWrap/>
              <w:overflowPunct/>
              <w:topLinePunct w:val="0"/>
              <w:bidi w:val="0"/>
              <w:spacing w:before="65"/>
              <w:ind w:left="792" w:right="143" w:hanging="635"/>
              <w:jc w:val="both"/>
              <w:rPr>
                <w:sz w:val="24"/>
                <w:szCs w:val="24"/>
                <w:highlight w:val="none"/>
              </w:rPr>
            </w:pPr>
            <w:r>
              <w:rPr>
                <w:b/>
                <w:bCs/>
                <w:spacing w:val="6"/>
                <w:sz w:val="24"/>
                <w:szCs w:val="24"/>
                <w:highlight w:val="none"/>
              </w:rPr>
              <w:t>基本</w:t>
            </w:r>
            <w:r>
              <w:rPr>
                <w:rFonts w:hint="eastAsia"/>
                <w:b/>
                <w:bCs/>
                <w:spacing w:val="6"/>
                <w:sz w:val="24"/>
                <w:szCs w:val="24"/>
                <w:highlight w:val="none"/>
                <w:lang w:eastAsia="zh-CN"/>
              </w:rPr>
              <w:t>账户</w:t>
            </w:r>
            <w:r>
              <w:rPr>
                <w:b/>
                <w:bCs/>
                <w:spacing w:val="6"/>
                <w:sz w:val="24"/>
                <w:szCs w:val="24"/>
                <w:highlight w:val="none"/>
              </w:rPr>
              <w:t>银</w:t>
            </w:r>
            <w:r>
              <w:rPr>
                <w:b/>
                <w:bCs/>
                <w:spacing w:val="-3"/>
                <w:sz w:val="24"/>
                <w:szCs w:val="24"/>
                <w:highlight w:val="none"/>
              </w:rPr>
              <w:t>行</w:t>
            </w:r>
          </w:p>
        </w:tc>
        <w:tc>
          <w:tcPr>
            <w:tcW w:w="1771" w:type="dxa"/>
            <w:vMerge w:val="restart"/>
            <w:tcBorders>
              <w:bottom w:val="nil"/>
            </w:tcBorders>
            <w:vAlign w:val="center"/>
          </w:tcPr>
          <w:p w14:paraId="61CC606B">
            <w:pPr>
              <w:keepLines w:val="0"/>
              <w:pageBreakBefore w:val="0"/>
              <w:kinsoku/>
              <w:wordWrap/>
              <w:overflowPunct/>
              <w:topLinePunct w:val="0"/>
              <w:bidi w:val="0"/>
              <w:jc w:val="center"/>
              <w:rPr>
                <w:rFonts w:ascii="Arial"/>
                <w:sz w:val="24"/>
                <w:szCs w:val="24"/>
                <w:highlight w:val="none"/>
              </w:rPr>
            </w:pPr>
          </w:p>
        </w:tc>
      </w:tr>
      <w:tr w14:paraId="6DC3D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397A278C">
            <w:pPr>
              <w:pStyle w:val="27"/>
              <w:keepLines w:val="0"/>
              <w:pageBreakBefore w:val="0"/>
              <w:kinsoku/>
              <w:wordWrap/>
              <w:overflowPunct/>
              <w:topLinePunct w:val="0"/>
              <w:bidi w:val="0"/>
              <w:spacing w:before="147" w:line="231" w:lineRule="auto"/>
              <w:ind w:left="643"/>
              <w:jc w:val="center"/>
              <w:rPr>
                <w:sz w:val="24"/>
                <w:szCs w:val="24"/>
                <w:highlight w:val="none"/>
              </w:rPr>
            </w:pPr>
            <w:r>
              <w:rPr>
                <w:b/>
                <w:bCs/>
                <w:spacing w:val="3"/>
                <w:sz w:val="24"/>
                <w:szCs w:val="24"/>
                <w:highlight w:val="none"/>
              </w:rPr>
              <w:t>注册资本</w:t>
            </w:r>
          </w:p>
        </w:tc>
        <w:tc>
          <w:tcPr>
            <w:tcW w:w="1765" w:type="dxa"/>
            <w:vAlign w:val="center"/>
          </w:tcPr>
          <w:p w14:paraId="563F140A">
            <w:pPr>
              <w:keepLines w:val="0"/>
              <w:pageBreakBefore w:val="0"/>
              <w:kinsoku/>
              <w:wordWrap/>
              <w:overflowPunct/>
              <w:topLinePunct w:val="0"/>
              <w:bidi w:val="0"/>
              <w:jc w:val="center"/>
              <w:rPr>
                <w:rFonts w:ascii="Arial"/>
                <w:sz w:val="24"/>
                <w:szCs w:val="24"/>
                <w:highlight w:val="none"/>
              </w:rPr>
            </w:pPr>
          </w:p>
        </w:tc>
        <w:tc>
          <w:tcPr>
            <w:tcW w:w="1210" w:type="dxa"/>
            <w:vMerge w:val="continue"/>
            <w:tcBorders>
              <w:top w:val="nil"/>
              <w:bottom w:val="nil"/>
            </w:tcBorders>
            <w:vAlign w:val="center"/>
          </w:tcPr>
          <w:p w14:paraId="5BB993AE">
            <w:pPr>
              <w:keepLines w:val="0"/>
              <w:pageBreakBefore w:val="0"/>
              <w:kinsoku/>
              <w:wordWrap/>
              <w:overflowPunct/>
              <w:topLinePunct w:val="0"/>
              <w:bidi w:val="0"/>
              <w:jc w:val="center"/>
              <w:rPr>
                <w:rFonts w:ascii="Arial"/>
                <w:sz w:val="24"/>
                <w:szCs w:val="24"/>
                <w:highlight w:val="none"/>
              </w:rPr>
            </w:pPr>
          </w:p>
        </w:tc>
        <w:tc>
          <w:tcPr>
            <w:tcW w:w="1766" w:type="dxa"/>
            <w:vMerge w:val="continue"/>
            <w:tcBorders>
              <w:top w:val="nil"/>
              <w:bottom w:val="nil"/>
            </w:tcBorders>
            <w:vAlign w:val="center"/>
          </w:tcPr>
          <w:p w14:paraId="044F2CB3">
            <w:pPr>
              <w:keepLines w:val="0"/>
              <w:pageBreakBefore w:val="0"/>
              <w:kinsoku/>
              <w:wordWrap/>
              <w:overflowPunct/>
              <w:topLinePunct w:val="0"/>
              <w:bidi w:val="0"/>
              <w:jc w:val="both"/>
              <w:rPr>
                <w:rFonts w:ascii="Arial"/>
                <w:sz w:val="24"/>
                <w:szCs w:val="24"/>
                <w:highlight w:val="none"/>
              </w:rPr>
            </w:pPr>
          </w:p>
        </w:tc>
        <w:tc>
          <w:tcPr>
            <w:tcW w:w="1771" w:type="dxa"/>
            <w:vMerge w:val="continue"/>
            <w:tcBorders>
              <w:top w:val="nil"/>
              <w:bottom w:val="nil"/>
            </w:tcBorders>
            <w:vAlign w:val="center"/>
          </w:tcPr>
          <w:p w14:paraId="19054C63">
            <w:pPr>
              <w:keepLines w:val="0"/>
              <w:pageBreakBefore w:val="0"/>
              <w:kinsoku/>
              <w:wordWrap/>
              <w:overflowPunct/>
              <w:topLinePunct w:val="0"/>
              <w:bidi w:val="0"/>
              <w:jc w:val="center"/>
              <w:rPr>
                <w:rFonts w:ascii="Arial"/>
                <w:sz w:val="24"/>
                <w:szCs w:val="24"/>
                <w:highlight w:val="none"/>
              </w:rPr>
            </w:pPr>
          </w:p>
        </w:tc>
      </w:tr>
      <w:tr w14:paraId="5C5B4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center"/>
          </w:tcPr>
          <w:p w14:paraId="097980DE">
            <w:pPr>
              <w:pStyle w:val="27"/>
              <w:keepLines w:val="0"/>
              <w:pageBreakBefore w:val="0"/>
              <w:kinsoku/>
              <w:wordWrap/>
              <w:overflowPunct/>
              <w:topLinePunct w:val="0"/>
              <w:bidi w:val="0"/>
              <w:spacing w:before="145" w:line="232" w:lineRule="auto"/>
              <w:ind w:left="641"/>
              <w:jc w:val="center"/>
              <w:rPr>
                <w:sz w:val="24"/>
                <w:szCs w:val="24"/>
                <w:highlight w:val="none"/>
              </w:rPr>
            </w:pPr>
            <w:r>
              <w:rPr>
                <w:b/>
                <w:bCs/>
                <w:spacing w:val="4"/>
                <w:sz w:val="24"/>
                <w:szCs w:val="24"/>
                <w:highlight w:val="none"/>
              </w:rPr>
              <w:t>成立日期</w:t>
            </w:r>
          </w:p>
        </w:tc>
        <w:tc>
          <w:tcPr>
            <w:tcW w:w="1765" w:type="dxa"/>
            <w:vAlign w:val="center"/>
          </w:tcPr>
          <w:p w14:paraId="124CC594">
            <w:pPr>
              <w:keepLines w:val="0"/>
              <w:pageBreakBefore w:val="0"/>
              <w:kinsoku/>
              <w:wordWrap/>
              <w:overflowPunct/>
              <w:topLinePunct w:val="0"/>
              <w:bidi w:val="0"/>
              <w:jc w:val="center"/>
              <w:rPr>
                <w:rFonts w:ascii="Arial"/>
                <w:sz w:val="24"/>
                <w:szCs w:val="24"/>
                <w:highlight w:val="none"/>
              </w:rPr>
            </w:pPr>
          </w:p>
        </w:tc>
        <w:tc>
          <w:tcPr>
            <w:tcW w:w="1210" w:type="dxa"/>
            <w:vMerge w:val="continue"/>
            <w:tcBorders>
              <w:top w:val="nil"/>
              <w:bottom w:val="nil"/>
            </w:tcBorders>
            <w:vAlign w:val="center"/>
          </w:tcPr>
          <w:p w14:paraId="7A504783">
            <w:pPr>
              <w:keepLines w:val="0"/>
              <w:pageBreakBefore w:val="0"/>
              <w:kinsoku/>
              <w:wordWrap/>
              <w:overflowPunct/>
              <w:topLinePunct w:val="0"/>
              <w:bidi w:val="0"/>
              <w:jc w:val="center"/>
              <w:rPr>
                <w:rFonts w:ascii="Arial"/>
                <w:sz w:val="24"/>
                <w:szCs w:val="24"/>
                <w:highlight w:val="none"/>
              </w:rPr>
            </w:pPr>
          </w:p>
        </w:tc>
        <w:tc>
          <w:tcPr>
            <w:tcW w:w="1766" w:type="dxa"/>
            <w:vMerge w:val="continue"/>
            <w:tcBorders>
              <w:top w:val="nil"/>
            </w:tcBorders>
            <w:vAlign w:val="center"/>
          </w:tcPr>
          <w:p w14:paraId="46218268">
            <w:pPr>
              <w:keepLines w:val="0"/>
              <w:pageBreakBefore w:val="0"/>
              <w:kinsoku/>
              <w:wordWrap/>
              <w:overflowPunct/>
              <w:topLinePunct w:val="0"/>
              <w:bidi w:val="0"/>
              <w:jc w:val="both"/>
              <w:rPr>
                <w:rFonts w:ascii="Arial"/>
                <w:sz w:val="24"/>
                <w:szCs w:val="24"/>
                <w:highlight w:val="none"/>
              </w:rPr>
            </w:pPr>
          </w:p>
        </w:tc>
        <w:tc>
          <w:tcPr>
            <w:tcW w:w="1771" w:type="dxa"/>
            <w:vMerge w:val="continue"/>
            <w:tcBorders>
              <w:top w:val="nil"/>
            </w:tcBorders>
            <w:vAlign w:val="center"/>
          </w:tcPr>
          <w:p w14:paraId="624083B3">
            <w:pPr>
              <w:keepLines w:val="0"/>
              <w:pageBreakBefore w:val="0"/>
              <w:kinsoku/>
              <w:wordWrap/>
              <w:overflowPunct/>
              <w:topLinePunct w:val="0"/>
              <w:bidi w:val="0"/>
              <w:jc w:val="center"/>
              <w:rPr>
                <w:rFonts w:ascii="Arial"/>
                <w:sz w:val="24"/>
                <w:szCs w:val="24"/>
                <w:highlight w:val="none"/>
              </w:rPr>
            </w:pPr>
          </w:p>
        </w:tc>
      </w:tr>
      <w:tr w14:paraId="085AB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096" w:type="dxa"/>
            <w:vAlign w:val="center"/>
          </w:tcPr>
          <w:p w14:paraId="79868DA4">
            <w:pPr>
              <w:pStyle w:val="27"/>
              <w:keepLines w:val="0"/>
              <w:pageBreakBefore w:val="0"/>
              <w:kinsoku/>
              <w:wordWrap/>
              <w:overflowPunct/>
              <w:topLinePunct w:val="0"/>
              <w:bidi w:val="0"/>
              <w:spacing w:before="147" w:line="231" w:lineRule="auto"/>
              <w:ind w:left="643"/>
              <w:jc w:val="center"/>
              <w:rPr>
                <w:sz w:val="24"/>
                <w:szCs w:val="24"/>
                <w:highlight w:val="none"/>
              </w:rPr>
            </w:pPr>
            <w:r>
              <w:rPr>
                <w:b/>
                <w:bCs/>
                <w:spacing w:val="3"/>
                <w:sz w:val="24"/>
                <w:szCs w:val="24"/>
                <w:highlight w:val="none"/>
              </w:rPr>
              <w:t>营业期限</w:t>
            </w:r>
          </w:p>
        </w:tc>
        <w:tc>
          <w:tcPr>
            <w:tcW w:w="1765" w:type="dxa"/>
            <w:vAlign w:val="center"/>
          </w:tcPr>
          <w:p w14:paraId="728C220D">
            <w:pPr>
              <w:keepLines w:val="0"/>
              <w:pageBreakBefore w:val="0"/>
              <w:kinsoku/>
              <w:wordWrap/>
              <w:overflowPunct/>
              <w:topLinePunct w:val="0"/>
              <w:bidi w:val="0"/>
              <w:jc w:val="center"/>
              <w:rPr>
                <w:rFonts w:ascii="Arial"/>
                <w:sz w:val="24"/>
                <w:szCs w:val="24"/>
                <w:highlight w:val="none"/>
              </w:rPr>
            </w:pPr>
          </w:p>
        </w:tc>
        <w:tc>
          <w:tcPr>
            <w:tcW w:w="1210" w:type="dxa"/>
            <w:vMerge w:val="continue"/>
            <w:tcBorders>
              <w:top w:val="nil"/>
              <w:bottom w:val="nil"/>
            </w:tcBorders>
            <w:vAlign w:val="center"/>
          </w:tcPr>
          <w:p w14:paraId="541358D8">
            <w:pPr>
              <w:keepLines w:val="0"/>
              <w:pageBreakBefore w:val="0"/>
              <w:kinsoku/>
              <w:wordWrap/>
              <w:overflowPunct/>
              <w:topLinePunct w:val="0"/>
              <w:bidi w:val="0"/>
              <w:jc w:val="center"/>
              <w:rPr>
                <w:rFonts w:ascii="Arial"/>
                <w:sz w:val="24"/>
                <w:szCs w:val="24"/>
                <w:highlight w:val="none"/>
              </w:rPr>
            </w:pPr>
          </w:p>
        </w:tc>
        <w:tc>
          <w:tcPr>
            <w:tcW w:w="1766" w:type="dxa"/>
            <w:vMerge w:val="restart"/>
            <w:tcBorders>
              <w:bottom w:val="nil"/>
            </w:tcBorders>
            <w:vAlign w:val="center"/>
          </w:tcPr>
          <w:p w14:paraId="1B97AE4C">
            <w:pPr>
              <w:pStyle w:val="27"/>
              <w:keepLines w:val="0"/>
              <w:pageBreakBefore w:val="0"/>
              <w:kinsoku/>
              <w:wordWrap/>
              <w:overflowPunct/>
              <w:topLinePunct w:val="0"/>
              <w:bidi w:val="0"/>
              <w:spacing w:before="265" w:line="241" w:lineRule="auto"/>
              <w:ind w:left="795" w:right="143" w:hanging="638"/>
              <w:jc w:val="both"/>
              <w:rPr>
                <w:sz w:val="24"/>
                <w:szCs w:val="24"/>
                <w:highlight w:val="none"/>
              </w:rPr>
            </w:pPr>
            <w:r>
              <w:rPr>
                <w:b/>
                <w:bCs/>
                <w:spacing w:val="6"/>
                <w:sz w:val="24"/>
                <w:szCs w:val="24"/>
                <w:highlight w:val="none"/>
              </w:rPr>
              <w:t>基本账户银行账</w:t>
            </w:r>
            <w:r>
              <w:rPr>
                <w:b/>
                <w:bCs/>
                <w:spacing w:val="-3"/>
                <w:sz w:val="24"/>
                <w:szCs w:val="24"/>
                <w:highlight w:val="none"/>
              </w:rPr>
              <w:t>号</w:t>
            </w:r>
          </w:p>
        </w:tc>
        <w:tc>
          <w:tcPr>
            <w:tcW w:w="1771" w:type="dxa"/>
            <w:vMerge w:val="restart"/>
            <w:tcBorders>
              <w:bottom w:val="nil"/>
            </w:tcBorders>
            <w:vAlign w:val="center"/>
          </w:tcPr>
          <w:p w14:paraId="1B4EFE04">
            <w:pPr>
              <w:keepLines w:val="0"/>
              <w:pageBreakBefore w:val="0"/>
              <w:kinsoku/>
              <w:wordWrap/>
              <w:overflowPunct/>
              <w:topLinePunct w:val="0"/>
              <w:bidi w:val="0"/>
              <w:jc w:val="center"/>
              <w:rPr>
                <w:rFonts w:ascii="Arial"/>
                <w:sz w:val="24"/>
                <w:szCs w:val="24"/>
                <w:highlight w:val="none"/>
              </w:rPr>
            </w:pPr>
          </w:p>
        </w:tc>
      </w:tr>
      <w:tr w14:paraId="29704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603D8901">
            <w:pPr>
              <w:pStyle w:val="27"/>
              <w:keepLines w:val="0"/>
              <w:pageBreakBefore w:val="0"/>
              <w:kinsoku/>
              <w:wordWrap/>
              <w:overflowPunct/>
              <w:topLinePunct w:val="0"/>
              <w:bidi w:val="0"/>
              <w:spacing w:before="147" w:line="231" w:lineRule="auto"/>
              <w:ind w:left="641"/>
              <w:rPr>
                <w:sz w:val="24"/>
                <w:szCs w:val="24"/>
                <w:highlight w:val="none"/>
              </w:rPr>
            </w:pPr>
            <w:r>
              <w:rPr>
                <w:b/>
                <w:bCs/>
                <w:spacing w:val="4"/>
                <w:sz w:val="24"/>
                <w:szCs w:val="24"/>
                <w:highlight w:val="none"/>
              </w:rPr>
              <w:t>登记机关</w:t>
            </w:r>
          </w:p>
        </w:tc>
        <w:tc>
          <w:tcPr>
            <w:tcW w:w="1765" w:type="dxa"/>
            <w:vAlign w:val="top"/>
          </w:tcPr>
          <w:p w14:paraId="339CB7FE">
            <w:pPr>
              <w:keepLines w:val="0"/>
              <w:pageBreakBefore w:val="0"/>
              <w:kinsoku/>
              <w:wordWrap/>
              <w:overflowPunct/>
              <w:topLinePunct w:val="0"/>
              <w:bidi w:val="0"/>
              <w:rPr>
                <w:rFonts w:ascii="Arial"/>
                <w:sz w:val="24"/>
                <w:szCs w:val="24"/>
                <w:highlight w:val="none"/>
              </w:rPr>
            </w:pPr>
          </w:p>
        </w:tc>
        <w:tc>
          <w:tcPr>
            <w:tcW w:w="1210" w:type="dxa"/>
            <w:vMerge w:val="continue"/>
            <w:tcBorders>
              <w:top w:val="nil"/>
            </w:tcBorders>
            <w:vAlign w:val="top"/>
          </w:tcPr>
          <w:p w14:paraId="7AF299AE">
            <w:pPr>
              <w:keepLines w:val="0"/>
              <w:pageBreakBefore w:val="0"/>
              <w:kinsoku/>
              <w:wordWrap/>
              <w:overflowPunct/>
              <w:topLinePunct w:val="0"/>
              <w:bidi w:val="0"/>
              <w:rPr>
                <w:rFonts w:ascii="Arial"/>
                <w:sz w:val="24"/>
                <w:szCs w:val="24"/>
                <w:highlight w:val="none"/>
              </w:rPr>
            </w:pPr>
          </w:p>
        </w:tc>
        <w:tc>
          <w:tcPr>
            <w:tcW w:w="1766" w:type="dxa"/>
            <w:vMerge w:val="continue"/>
            <w:tcBorders>
              <w:top w:val="nil"/>
            </w:tcBorders>
            <w:vAlign w:val="top"/>
          </w:tcPr>
          <w:p w14:paraId="241D1B47">
            <w:pPr>
              <w:keepLines w:val="0"/>
              <w:pageBreakBefore w:val="0"/>
              <w:kinsoku/>
              <w:wordWrap/>
              <w:overflowPunct/>
              <w:topLinePunct w:val="0"/>
              <w:bidi w:val="0"/>
              <w:rPr>
                <w:rFonts w:ascii="Arial"/>
                <w:sz w:val="24"/>
                <w:szCs w:val="24"/>
                <w:highlight w:val="none"/>
              </w:rPr>
            </w:pPr>
          </w:p>
        </w:tc>
        <w:tc>
          <w:tcPr>
            <w:tcW w:w="1771" w:type="dxa"/>
            <w:vMerge w:val="continue"/>
            <w:tcBorders>
              <w:top w:val="nil"/>
            </w:tcBorders>
            <w:vAlign w:val="top"/>
          </w:tcPr>
          <w:p w14:paraId="08CE3452">
            <w:pPr>
              <w:keepLines w:val="0"/>
              <w:pageBreakBefore w:val="0"/>
              <w:kinsoku/>
              <w:wordWrap/>
              <w:overflowPunct/>
              <w:topLinePunct w:val="0"/>
              <w:bidi w:val="0"/>
              <w:rPr>
                <w:rFonts w:ascii="Arial"/>
                <w:sz w:val="24"/>
                <w:szCs w:val="24"/>
                <w:highlight w:val="none"/>
              </w:rPr>
            </w:pPr>
          </w:p>
        </w:tc>
      </w:tr>
      <w:tr w14:paraId="4ACF6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0" w:hRule="atLeast"/>
        </w:trPr>
        <w:tc>
          <w:tcPr>
            <w:tcW w:w="2096" w:type="dxa"/>
            <w:vAlign w:val="top"/>
          </w:tcPr>
          <w:p w14:paraId="70199367">
            <w:pPr>
              <w:keepLines w:val="0"/>
              <w:pageBreakBefore w:val="0"/>
              <w:kinsoku/>
              <w:wordWrap/>
              <w:overflowPunct/>
              <w:topLinePunct w:val="0"/>
              <w:bidi w:val="0"/>
              <w:spacing w:line="252" w:lineRule="auto"/>
              <w:rPr>
                <w:rFonts w:ascii="Arial"/>
                <w:sz w:val="24"/>
                <w:szCs w:val="24"/>
                <w:highlight w:val="none"/>
              </w:rPr>
            </w:pPr>
          </w:p>
          <w:p w14:paraId="19AB91F8">
            <w:pPr>
              <w:keepLines w:val="0"/>
              <w:pageBreakBefore w:val="0"/>
              <w:kinsoku/>
              <w:wordWrap/>
              <w:overflowPunct/>
              <w:topLinePunct w:val="0"/>
              <w:bidi w:val="0"/>
              <w:spacing w:line="252" w:lineRule="auto"/>
              <w:rPr>
                <w:rFonts w:ascii="Arial"/>
                <w:sz w:val="24"/>
                <w:szCs w:val="24"/>
                <w:highlight w:val="none"/>
              </w:rPr>
            </w:pPr>
          </w:p>
          <w:p w14:paraId="5C277C2E">
            <w:pPr>
              <w:keepLines w:val="0"/>
              <w:pageBreakBefore w:val="0"/>
              <w:kinsoku/>
              <w:wordWrap/>
              <w:overflowPunct/>
              <w:topLinePunct w:val="0"/>
              <w:bidi w:val="0"/>
              <w:spacing w:line="252" w:lineRule="auto"/>
              <w:rPr>
                <w:rFonts w:ascii="Arial"/>
                <w:sz w:val="24"/>
                <w:szCs w:val="24"/>
                <w:highlight w:val="none"/>
              </w:rPr>
            </w:pPr>
          </w:p>
          <w:p w14:paraId="0FF90516">
            <w:pPr>
              <w:keepLines w:val="0"/>
              <w:pageBreakBefore w:val="0"/>
              <w:kinsoku/>
              <w:wordWrap/>
              <w:overflowPunct/>
              <w:topLinePunct w:val="0"/>
              <w:bidi w:val="0"/>
              <w:spacing w:line="252" w:lineRule="auto"/>
              <w:rPr>
                <w:rFonts w:ascii="Arial"/>
                <w:sz w:val="24"/>
                <w:szCs w:val="24"/>
                <w:highlight w:val="none"/>
              </w:rPr>
            </w:pPr>
          </w:p>
          <w:p w14:paraId="7FD25708">
            <w:pPr>
              <w:keepLines w:val="0"/>
              <w:pageBreakBefore w:val="0"/>
              <w:kinsoku/>
              <w:wordWrap/>
              <w:overflowPunct/>
              <w:topLinePunct w:val="0"/>
              <w:bidi w:val="0"/>
              <w:spacing w:line="252" w:lineRule="auto"/>
              <w:rPr>
                <w:rFonts w:ascii="Arial"/>
                <w:sz w:val="24"/>
                <w:szCs w:val="24"/>
                <w:highlight w:val="none"/>
              </w:rPr>
            </w:pPr>
          </w:p>
          <w:p w14:paraId="7AF73327">
            <w:pPr>
              <w:keepLines w:val="0"/>
              <w:pageBreakBefore w:val="0"/>
              <w:kinsoku/>
              <w:wordWrap/>
              <w:overflowPunct/>
              <w:topLinePunct w:val="0"/>
              <w:bidi w:val="0"/>
              <w:spacing w:line="252" w:lineRule="auto"/>
              <w:rPr>
                <w:rFonts w:ascii="Arial"/>
                <w:sz w:val="24"/>
                <w:szCs w:val="24"/>
                <w:highlight w:val="none"/>
              </w:rPr>
            </w:pPr>
          </w:p>
          <w:p w14:paraId="1D145CB2">
            <w:pPr>
              <w:keepLines w:val="0"/>
              <w:pageBreakBefore w:val="0"/>
              <w:kinsoku/>
              <w:wordWrap/>
              <w:overflowPunct/>
              <w:topLinePunct w:val="0"/>
              <w:bidi w:val="0"/>
              <w:spacing w:line="252" w:lineRule="auto"/>
              <w:rPr>
                <w:rFonts w:ascii="Arial"/>
                <w:sz w:val="24"/>
                <w:szCs w:val="24"/>
                <w:highlight w:val="none"/>
              </w:rPr>
            </w:pPr>
          </w:p>
          <w:p w14:paraId="2B718AAF">
            <w:pPr>
              <w:keepLines w:val="0"/>
              <w:pageBreakBefore w:val="0"/>
              <w:kinsoku/>
              <w:wordWrap/>
              <w:overflowPunct/>
              <w:topLinePunct w:val="0"/>
              <w:bidi w:val="0"/>
              <w:spacing w:line="252" w:lineRule="auto"/>
              <w:rPr>
                <w:rFonts w:ascii="Arial"/>
                <w:sz w:val="24"/>
                <w:szCs w:val="24"/>
                <w:highlight w:val="none"/>
              </w:rPr>
            </w:pPr>
          </w:p>
          <w:p w14:paraId="0DEE2E03">
            <w:pPr>
              <w:keepLines w:val="0"/>
              <w:pageBreakBefore w:val="0"/>
              <w:kinsoku/>
              <w:wordWrap/>
              <w:overflowPunct/>
              <w:topLinePunct w:val="0"/>
              <w:bidi w:val="0"/>
              <w:spacing w:line="253" w:lineRule="auto"/>
              <w:rPr>
                <w:rFonts w:ascii="Arial"/>
                <w:sz w:val="24"/>
                <w:szCs w:val="24"/>
                <w:highlight w:val="none"/>
              </w:rPr>
            </w:pPr>
          </w:p>
          <w:p w14:paraId="4CCA81B2">
            <w:pPr>
              <w:pStyle w:val="27"/>
              <w:keepLines w:val="0"/>
              <w:pageBreakBefore w:val="0"/>
              <w:kinsoku/>
              <w:wordWrap/>
              <w:overflowPunct/>
              <w:topLinePunct w:val="0"/>
              <w:bidi w:val="0"/>
              <w:spacing w:before="65" w:line="232" w:lineRule="auto"/>
              <w:ind w:left="637"/>
              <w:rPr>
                <w:sz w:val="24"/>
                <w:szCs w:val="24"/>
                <w:highlight w:val="none"/>
              </w:rPr>
            </w:pPr>
            <w:r>
              <w:rPr>
                <w:b/>
                <w:bCs/>
                <w:spacing w:val="5"/>
                <w:sz w:val="24"/>
                <w:szCs w:val="24"/>
                <w:highlight w:val="none"/>
              </w:rPr>
              <w:t>经营范围</w:t>
            </w:r>
          </w:p>
        </w:tc>
        <w:tc>
          <w:tcPr>
            <w:tcW w:w="6512" w:type="dxa"/>
            <w:gridSpan w:val="4"/>
            <w:vAlign w:val="top"/>
          </w:tcPr>
          <w:p w14:paraId="6DA73ED9">
            <w:pPr>
              <w:keepLines w:val="0"/>
              <w:pageBreakBefore w:val="0"/>
              <w:kinsoku/>
              <w:wordWrap/>
              <w:overflowPunct/>
              <w:topLinePunct w:val="0"/>
              <w:bidi w:val="0"/>
              <w:rPr>
                <w:rFonts w:ascii="Arial"/>
                <w:sz w:val="24"/>
                <w:szCs w:val="24"/>
                <w:highlight w:val="none"/>
              </w:rPr>
            </w:pPr>
          </w:p>
        </w:tc>
      </w:tr>
    </w:tbl>
    <w:p w14:paraId="0DC7A398">
      <w:pPr>
        <w:keepLines w:val="0"/>
        <w:pageBreakBefore w:val="0"/>
        <w:kinsoku/>
        <w:wordWrap/>
        <w:overflowPunct/>
        <w:topLinePunct w:val="0"/>
        <w:bidi w:val="0"/>
        <w:spacing w:before="188" w:line="229" w:lineRule="auto"/>
        <w:jc w:val="right"/>
        <w:rPr>
          <w:rFonts w:ascii="仿宋" w:hAnsi="仿宋" w:eastAsia="仿宋" w:cs="仿宋"/>
          <w:b/>
          <w:bCs/>
          <w:spacing w:val="8"/>
          <w:sz w:val="24"/>
          <w:szCs w:val="24"/>
          <w:highlight w:val="none"/>
        </w:rPr>
      </w:pPr>
      <w:r>
        <w:rPr>
          <w:rFonts w:ascii="仿宋" w:hAnsi="仿宋" w:eastAsia="仿宋" w:cs="仿宋"/>
          <w:b/>
          <w:bCs/>
          <w:spacing w:val="8"/>
          <w:sz w:val="24"/>
          <w:szCs w:val="24"/>
          <w:highlight w:val="none"/>
        </w:rPr>
        <w:t>注：本表后应附企业法人营业执照等资格审查所需相关材料。</w:t>
      </w:r>
    </w:p>
    <w:p w14:paraId="42C4C74E">
      <w:pPr>
        <w:keepLines w:val="0"/>
        <w:pageBreakBefore w:val="0"/>
        <w:kinsoku/>
        <w:wordWrap/>
        <w:overflowPunct/>
        <w:topLinePunct w:val="0"/>
        <w:bidi w:val="0"/>
        <w:spacing w:before="188" w:line="229" w:lineRule="auto"/>
        <w:jc w:val="right"/>
        <w:rPr>
          <w:rFonts w:ascii="仿宋" w:hAnsi="仿宋" w:eastAsia="仿宋" w:cs="仿宋"/>
          <w:sz w:val="24"/>
          <w:szCs w:val="24"/>
          <w:highlight w:val="none"/>
        </w:rPr>
      </w:pPr>
      <w:r>
        <w:rPr>
          <w:rFonts w:ascii="仿宋" w:hAnsi="仿宋" w:eastAsia="仿宋" w:cs="仿宋"/>
          <w:b/>
          <w:bCs/>
          <w:spacing w:val="8"/>
          <w:sz w:val="24"/>
          <w:szCs w:val="24"/>
          <w:highlight w:val="none"/>
        </w:rPr>
        <w:t>（</w:t>
      </w:r>
      <w:r>
        <w:rPr>
          <w:rFonts w:hint="eastAsia" w:ascii="仿宋" w:hAnsi="仿宋" w:eastAsia="仿宋" w:cs="仿宋"/>
          <w:b/>
          <w:bCs/>
          <w:spacing w:val="8"/>
          <w:sz w:val="24"/>
          <w:szCs w:val="24"/>
          <w:highlight w:val="none"/>
          <w:lang w:eastAsia="zh-CN"/>
        </w:rPr>
        <w:t>投标人</w:t>
      </w:r>
      <w:r>
        <w:rPr>
          <w:rFonts w:ascii="仿宋" w:hAnsi="仿宋" w:eastAsia="仿宋" w:cs="仿宋"/>
          <w:b/>
          <w:bCs/>
          <w:spacing w:val="8"/>
          <w:sz w:val="24"/>
          <w:szCs w:val="24"/>
          <w:highlight w:val="none"/>
        </w:rPr>
        <w:t>可</w:t>
      </w:r>
      <w:r>
        <w:rPr>
          <w:rFonts w:ascii="仿宋" w:hAnsi="仿宋" w:eastAsia="仿宋" w:cs="仿宋"/>
          <w:b/>
          <w:bCs/>
          <w:spacing w:val="7"/>
          <w:sz w:val="24"/>
          <w:szCs w:val="24"/>
          <w:highlight w:val="none"/>
        </w:rPr>
        <w:t>根据本表自行编制）</w:t>
      </w:r>
    </w:p>
    <w:p w14:paraId="13E00256">
      <w:pPr>
        <w:pStyle w:val="9"/>
        <w:keepLines w:val="0"/>
        <w:pageBreakBefore w:val="0"/>
        <w:kinsoku/>
        <w:wordWrap/>
        <w:overflowPunct/>
        <w:topLinePunct w:val="0"/>
        <w:bidi w:val="0"/>
        <w:spacing w:line="262" w:lineRule="auto"/>
        <w:rPr>
          <w:highlight w:val="none"/>
        </w:rPr>
      </w:pPr>
    </w:p>
    <w:p w14:paraId="74507AA0">
      <w:pPr>
        <w:pStyle w:val="9"/>
        <w:keepLines w:val="0"/>
        <w:pageBreakBefore w:val="0"/>
        <w:kinsoku/>
        <w:wordWrap/>
        <w:overflowPunct/>
        <w:topLinePunct w:val="0"/>
        <w:bidi w:val="0"/>
        <w:spacing w:line="262" w:lineRule="auto"/>
        <w:rPr>
          <w:highlight w:val="none"/>
        </w:rPr>
      </w:pPr>
    </w:p>
    <w:p w14:paraId="2BB59CDB">
      <w:pPr>
        <w:pStyle w:val="9"/>
        <w:keepLines w:val="0"/>
        <w:pageBreakBefore w:val="0"/>
        <w:kinsoku/>
        <w:wordWrap/>
        <w:overflowPunct/>
        <w:topLinePunct w:val="0"/>
        <w:bidi w:val="0"/>
        <w:spacing w:line="263" w:lineRule="auto"/>
        <w:rPr>
          <w:highlight w:val="none"/>
        </w:rPr>
      </w:pPr>
    </w:p>
    <w:p w14:paraId="384BB25C">
      <w:pPr>
        <w:pStyle w:val="9"/>
        <w:keepLines w:val="0"/>
        <w:pageBreakBefore w:val="0"/>
        <w:kinsoku/>
        <w:wordWrap/>
        <w:overflowPunct/>
        <w:topLinePunct w:val="0"/>
        <w:bidi w:val="0"/>
        <w:spacing w:line="263" w:lineRule="auto"/>
        <w:rPr>
          <w:highlight w:val="none"/>
        </w:rPr>
      </w:pPr>
    </w:p>
    <w:p w14:paraId="48B6DA49">
      <w:pPr>
        <w:pStyle w:val="9"/>
        <w:keepLines w:val="0"/>
        <w:pageBreakBefore w:val="0"/>
        <w:kinsoku/>
        <w:wordWrap/>
        <w:overflowPunct/>
        <w:topLinePunct w:val="0"/>
        <w:bidi w:val="0"/>
        <w:spacing w:line="263" w:lineRule="auto"/>
        <w:rPr>
          <w:highlight w:val="none"/>
        </w:rPr>
      </w:pPr>
    </w:p>
    <w:p w14:paraId="70AAF0E9">
      <w:pPr>
        <w:keepLines w:val="0"/>
        <w:pageBreakBefore w:val="0"/>
        <w:kinsoku/>
        <w:wordWrap/>
        <w:overflowPunct/>
        <w:topLinePunct w:val="0"/>
        <w:bidi w:val="0"/>
        <w:spacing w:before="65" w:line="231" w:lineRule="auto"/>
        <w:ind w:left="3728"/>
        <w:outlineLvl w:val="2"/>
        <w:rPr>
          <w:rFonts w:ascii="仿宋" w:hAnsi="仿宋" w:eastAsia="仿宋" w:cs="仿宋"/>
          <w:sz w:val="24"/>
          <w:szCs w:val="24"/>
          <w:highlight w:val="none"/>
        </w:rPr>
      </w:pPr>
      <w:r>
        <w:rPr>
          <w:rFonts w:hint="eastAsia" w:ascii="仿宋" w:hAnsi="仿宋" w:eastAsia="仿宋" w:cs="仿宋"/>
          <w:b/>
          <w:bCs/>
          <w:spacing w:val="6"/>
          <w:sz w:val="24"/>
          <w:szCs w:val="24"/>
          <w:highlight w:val="none"/>
          <w:lang w:val="en-US" w:eastAsia="zh-CN"/>
        </w:rPr>
        <w:t>8</w:t>
      </w:r>
      <w:r>
        <w:rPr>
          <w:rFonts w:ascii="仿宋" w:hAnsi="仿宋" w:eastAsia="仿宋" w:cs="仿宋"/>
          <w:b/>
          <w:bCs/>
          <w:spacing w:val="6"/>
          <w:sz w:val="24"/>
          <w:szCs w:val="24"/>
          <w:highlight w:val="none"/>
        </w:rPr>
        <w:t>.近三年无重大违法记录声明</w:t>
      </w:r>
    </w:p>
    <w:p w14:paraId="67C34905">
      <w:pPr>
        <w:pStyle w:val="9"/>
        <w:keepLines w:val="0"/>
        <w:pageBreakBefore w:val="0"/>
        <w:kinsoku/>
        <w:wordWrap/>
        <w:overflowPunct/>
        <w:topLinePunct w:val="0"/>
        <w:bidi w:val="0"/>
        <w:spacing w:line="295" w:lineRule="auto"/>
        <w:rPr>
          <w:sz w:val="24"/>
          <w:szCs w:val="24"/>
          <w:highlight w:val="none"/>
        </w:rPr>
      </w:pPr>
    </w:p>
    <w:p w14:paraId="6AF87071">
      <w:pPr>
        <w:pStyle w:val="9"/>
        <w:keepLines w:val="0"/>
        <w:pageBreakBefore w:val="0"/>
        <w:kinsoku/>
        <w:wordWrap/>
        <w:overflowPunct/>
        <w:topLinePunct w:val="0"/>
        <w:bidi w:val="0"/>
        <w:spacing w:line="295" w:lineRule="auto"/>
        <w:rPr>
          <w:sz w:val="24"/>
          <w:szCs w:val="24"/>
          <w:highlight w:val="none"/>
        </w:rPr>
      </w:pPr>
    </w:p>
    <w:p w14:paraId="2E964988">
      <w:pPr>
        <w:keepLines w:val="0"/>
        <w:pageBreakBefore w:val="0"/>
        <w:kinsoku/>
        <w:wordWrap/>
        <w:overflowPunct/>
        <w:topLinePunct w:val="0"/>
        <w:bidi w:val="0"/>
        <w:spacing w:before="78" w:line="222" w:lineRule="auto"/>
        <w:ind w:left="19"/>
        <w:rPr>
          <w:rFonts w:ascii="仿宋" w:hAnsi="仿宋" w:eastAsia="仿宋" w:cs="仿宋"/>
          <w:sz w:val="24"/>
          <w:szCs w:val="24"/>
          <w:highlight w:val="none"/>
        </w:rPr>
      </w:pPr>
      <w:r>
        <w:rPr>
          <w:rFonts w:ascii="仿宋" w:hAnsi="仿宋" w:eastAsia="仿宋" w:cs="仿宋"/>
          <w:b/>
          <w:bCs/>
          <w:spacing w:val="-4"/>
          <w:sz w:val="24"/>
          <w:szCs w:val="24"/>
          <w:highlight w:val="none"/>
        </w:rPr>
        <w:t>致采购人、采购代理机构：</w:t>
      </w:r>
    </w:p>
    <w:p w14:paraId="7B41BD93">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我公司在参加本次政府采购活动前，做出以下郑重声明：</w:t>
      </w:r>
    </w:p>
    <w:p w14:paraId="051FEE19">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一、参加本次政府采购活动前三年内，在经营活动中没有重大违法记录。</w:t>
      </w:r>
    </w:p>
    <w:p w14:paraId="0C6FE81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二、在本次政府采购活动前三年内，我公司在信用中国、中国政府采购网平台及国家企业信用查询系统中，无任何重大违法记录。</w:t>
      </w:r>
    </w:p>
    <w:p w14:paraId="0C67999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若发现我方上述声明与事实不符，愿按照政府采购相关规定接受相关处罚。</w:t>
      </w:r>
    </w:p>
    <w:p w14:paraId="3988D92E">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特此声明。</w:t>
      </w:r>
    </w:p>
    <w:p w14:paraId="6FDA6973">
      <w:pPr>
        <w:pStyle w:val="9"/>
        <w:keepLines w:val="0"/>
        <w:pageBreakBefore w:val="0"/>
        <w:kinsoku/>
        <w:wordWrap/>
        <w:overflowPunct/>
        <w:topLinePunct w:val="0"/>
        <w:bidi w:val="0"/>
        <w:spacing w:line="284" w:lineRule="auto"/>
        <w:rPr>
          <w:sz w:val="24"/>
          <w:szCs w:val="24"/>
          <w:highlight w:val="none"/>
        </w:rPr>
      </w:pPr>
    </w:p>
    <w:p w14:paraId="55ED29A5">
      <w:pPr>
        <w:pStyle w:val="9"/>
        <w:keepLines w:val="0"/>
        <w:pageBreakBefore w:val="0"/>
        <w:kinsoku/>
        <w:wordWrap/>
        <w:overflowPunct/>
        <w:topLinePunct w:val="0"/>
        <w:bidi w:val="0"/>
        <w:spacing w:line="285" w:lineRule="auto"/>
        <w:rPr>
          <w:sz w:val="24"/>
          <w:szCs w:val="24"/>
          <w:highlight w:val="none"/>
        </w:rPr>
      </w:pPr>
    </w:p>
    <w:p w14:paraId="1FF7F7FD">
      <w:pPr>
        <w:pStyle w:val="9"/>
        <w:keepLines w:val="0"/>
        <w:pageBreakBefore w:val="0"/>
        <w:kinsoku/>
        <w:wordWrap/>
        <w:overflowPunct/>
        <w:topLinePunct w:val="0"/>
        <w:bidi w:val="0"/>
        <w:spacing w:line="285" w:lineRule="auto"/>
        <w:rPr>
          <w:sz w:val="24"/>
          <w:szCs w:val="24"/>
          <w:highlight w:val="none"/>
        </w:rPr>
      </w:pPr>
    </w:p>
    <w:p w14:paraId="60AB50F5">
      <w:pPr>
        <w:pStyle w:val="9"/>
        <w:keepLines w:val="0"/>
        <w:pageBreakBefore w:val="0"/>
        <w:kinsoku/>
        <w:wordWrap/>
        <w:overflowPunct/>
        <w:topLinePunct w:val="0"/>
        <w:bidi w:val="0"/>
        <w:spacing w:line="285" w:lineRule="auto"/>
        <w:rPr>
          <w:sz w:val="24"/>
          <w:szCs w:val="24"/>
          <w:highlight w:val="none"/>
        </w:rPr>
      </w:pPr>
    </w:p>
    <w:p w14:paraId="5EAA8E50">
      <w:pPr>
        <w:keepLines w:val="0"/>
        <w:pageBreakBefore w:val="0"/>
        <w:kinsoku/>
        <w:wordWrap/>
        <w:overflowPunct/>
        <w:topLinePunct w:val="0"/>
        <w:bidi w:val="0"/>
        <w:spacing w:before="65" w:line="229" w:lineRule="auto"/>
        <w:ind w:left="4153"/>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名称(公章)：</w:t>
      </w:r>
      <w:r>
        <w:rPr>
          <w:rFonts w:ascii="仿宋" w:hAnsi="仿宋" w:eastAsia="仿宋" w:cs="仿宋"/>
          <w:sz w:val="24"/>
          <w:szCs w:val="24"/>
          <w:highlight w:val="none"/>
          <w:u w:val="single" w:color="auto"/>
        </w:rPr>
        <w:t xml:space="preserve">                     </w:t>
      </w:r>
    </w:p>
    <w:p w14:paraId="03C6B61F">
      <w:pPr>
        <w:keepLines w:val="0"/>
        <w:pageBreakBefore w:val="0"/>
        <w:kinsoku/>
        <w:wordWrap/>
        <w:overflowPunct/>
        <w:topLinePunct w:val="0"/>
        <w:bidi w:val="0"/>
        <w:spacing w:before="296" w:line="231" w:lineRule="auto"/>
        <w:ind w:left="4206"/>
        <w:rPr>
          <w:rFonts w:ascii="仿宋" w:hAnsi="仿宋" w:eastAsia="仿宋" w:cs="仿宋"/>
          <w:sz w:val="24"/>
          <w:szCs w:val="24"/>
          <w:highlight w:val="none"/>
        </w:rPr>
      </w:pPr>
      <w:r>
        <w:rPr>
          <w:rFonts w:hint="eastAsia" w:ascii="仿宋" w:hAnsi="仿宋" w:eastAsia="仿宋" w:cs="仿宋"/>
          <w:spacing w:val="8"/>
          <w:sz w:val="24"/>
          <w:szCs w:val="24"/>
          <w:highlight w:val="none"/>
          <w:lang w:eastAsia="zh-CN"/>
        </w:rPr>
        <w:t>投标人</w:t>
      </w:r>
      <w:r>
        <w:rPr>
          <w:rFonts w:ascii="仿宋" w:hAnsi="仿宋" w:eastAsia="仿宋" w:cs="仿宋"/>
          <w:spacing w:val="8"/>
          <w:sz w:val="24"/>
          <w:szCs w:val="24"/>
          <w:highlight w:val="none"/>
        </w:rPr>
        <w:t>法人或授权代表（签字</w:t>
      </w:r>
      <w:r>
        <w:rPr>
          <w:rFonts w:hint="eastAsia" w:ascii="仿宋" w:hAnsi="仿宋" w:eastAsia="仿宋" w:cs="仿宋"/>
          <w:spacing w:val="8"/>
          <w:sz w:val="24"/>
          <w:szCs w:val="24"/>
          <w:highlight w:val="none"/>
          <w:lang w:val="en-US" w:eastAsia="zh-Hans"/>
        </w:rPr>
        <w:t>或盖章</w:t>
      </w:r>
      <w:r>
        <w:rPr>
          <w:rFonts w:ascii="仿宋" w:hAnsi="仿宋" w:eastAsia="仿宋" w:cs="仿宋"/>
          <w:spacing w:val="8"/>
          <w:sz w:val="24"/>
          <w:szCs w:val="24"/>
          <w:highlight w:val="none"/>
        </w:rPr>
        <w:t>）：</w:t>
      </w:r>
      <w:r>
        <w:rPr>
          <w:rFonts w:ascii="仿宋" w:hAnsi="仿宋" w:eastAsia="仿宋" w:cs="仿宋"/>
          <w:sz w:val="24"/>
          <w:szCs w:val="24"/>
          <w:highlight w:val="none"/>
          <w:u w:val="single" w:color="auto"/>
        </w:rPr>
        <w:t xml:space="preserve">             </w:t>
      </w:r>
    </w:p>
    <w:p w14:paraId="0D80F923">
      <w:pPr>
        <w:pStyle w:val="9"/>
        <w:keepLines w:val="0"/>
        <w:pageBreakBefore w:val="0"/>
        <w:kinsoku/>
        <w:wordWrap/>
        <w:overflowPunct/>
        <w:topLinePunct w:val="0"/>
        <w:bidi w:val="0"/>
        <w:spacing w:line="464" w:lineRule="auto"/>
        <w:rPr>
          <w:sz w:val="24"/>
          <w:szCs w:val="24"/>
          <w:highlight w:val="none"/>
        </w:rPr>
      </w:pPr>
    </w:p>
    <w:p w14:paraId="1EC48406">
      <w:pPr>
        <w:keepLines w:val="0"/>
        <w:pageBreakBefore w:val="0"/>
        <w:kinsoku/>
        <w:wordWrap/>
        <w:overflowPunct/>
        <w:topLinePunct w:val="0"/>
        <w:bidi w:val="0"/>
        <w:spacing w:before="66" w:line="231" w:lineRule="auto"/>
        <w:ind w:left="4304"/>
        <w:rPr>
          <w:rFonts w:ascii="仿宋" w:hAnsi="仿宋" w:eastAsia="仿宋" w:cs="仿宋"/>
          <w:sz w:val="24"/>
          <w:szCs w:val="24"/>
          <w:highlight w:val="none"/>
        </w:rPr>
      </w:pPr>
      <w:r>
        <w:rPr>
          <w:rFonts w:ascii="仿宋" w:hAnsi="仿宋" w:eastAsia="仿宋" w:cs="仿宋"/>
          <w:spacing w:val="-13"/>
          <w:sz w:val="24"/>
          <w:szCs w:val="24"/>
          <w:highlight w:val="none"/>
        </w:rPr>
        <w:t>日</w:t>
      </w:r>
      <w:r>
        <w:rPr>
          <w:rFonts w:ascii="仿宋" w:hAnsi="仿宋" w:eastAsia="仿宋" w:cs="仿宋"/>
          <w:spacing w:val="10"/>
          <w:sz w:val="24"/>
          <w:szCs w:val="24"/>
          <w:highlight w:val="none"/>
        </w:rPr>
        <w:t xml:space="preserve">   </w:t>
      </w:r>
      <w:r>
        <w:rPr>
          <w:rFonts w:ascii="仿宋" w:hAnsi="仿宋" w:eastAsia="仿宋" w:cs="仿宋"/>
          <w:spacing w:val="-13"/>
          <w:sz w:val="24"/>
          <w:szCs w:val="24"/>
          <w:highlight w:val="none"/>
        </w:rPr>
        <w:t>期：</w:t>
      </w:r>
      <w:r>
        <w:rPr>
          <w:rFonts w:ascii="仿宋" w:hAnsi="仿宋" w:eastAsia="仿宋" w:cs="仿宋"/>
          <w:spacing w:val="14"/>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82"/>
          <w:sz w:val="24"/>
          <w:szCs w:val="24"/>
          <w:highlight w:val="none"/>
        </w:rPr>
        <w:t xml:space="preserve"> </w:t>
      </w:r>
      <w:r>
        <w:rPr>
          <w:rFonts w:ascii="仿宋" w:hAnsi="仿宋" w:eastAsia="仿宋" w:cs="仿宋"/>
          <w:spacing w:val="-13"/>
          <w:sz w:val="24"/>
          <w:szCs w:val="24"/>
          <w:highlight w:val="none"/>
        </w:rPr>
        <w:t>年</w:t>
      </w:r>
      <w:r>
        <w:rPr>
          <w:rFonts w:ascii="仿宋" w:hAnsi="仿宋" w:eastAsia="仿宋" w:cs="仿宋"/>
          <w:spacing w:val="-9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74"/>
          <w:sz w:val="24"/>
          <w:szCs w:val="24"/>
          <w:highlight w:val="none"/>
        </w:rPr>
        <w:t xml:space="preserve"> </w:t>
      </w:r>
      <w:r>
        <w:rPr>
          <w:rFonts w:ascii="仿宋" w:hAnsi="仿宋" w:eastAsia="仿宋" w:cs="仿宋"/>
          <w:spacing w:val="-13"/>
          <w:sz w:val="24"/>
          <w:szCs w:val="24"/>
          <w:highlight w:val="none"/>
        </w:rPr>
        <w:t>月</w:t>
      </w:r>
      <w:r>
        <w:rPr>
          <w:rFonts w:ascii="仿宋" w:hAnsi="仿宋" w:eastAsia="仿宋" w:cs="仿宋"/>
          <w:spacing w:val="-99"/>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41"/>
          <w:sz w:val="24"/>
          <w:szCs w:val="24"/>
          <w:highlight w:val="none"/>
        </w:rPr>
        <w:t xml:space="preserve"> </w:t>
      </w:r>
      <w:r>
        <w:rPr>
          <w:rFonts w:ascii="仿宋" w:hAnsi="仿宋" w:eastAsia="仿宋" w:cs="仿宋"/>
          <w:spacing w:val="-13"/>
          <w:sz w:val="24"/>
          <w:szCs w:val="24"/>
          <w:highlight w:val="none"/>
        </w:rPr>
        <w:t>日</w:t>
      </w:r>
    </w:p>
    <w:p w14:paraId="11569628">
      <w:pPr>
        <w:keepLines w:val="0"/>
        <w:pageBreakBefore w:val="0"/>
        <w:kinsoku/>
        <w:wordWrap/>
        <w:overflowPunct/>
        <w:topLinePunct w:val="0"/>
        <w:bidi w:val="0"/>
        <w:spacing w:line="231" w:lineRule="auto"/>
        <w:rPr>
          <w:rFonts w:ascii="仿宋" w:hAnsi="仿宋" w:eastAsia="仿宋" w:cs="仿宋"/>
          <w:sz w:val="24"/>
          <w:szCs w:val="24"/>
          <w:highlight w:val="none"/>
        </w:rPr>
        <w:sectPr>
          <w:footerReference r:id="rId14" w:type="default"/>
          <w:pgSz w:w="11906" w:h="16839"/>
          <w:pgMar w:top="1440" w:right="1080" w:bottom="1440" w:left="1080" w:header="0" w:footer="1054" w:gutter="0"/>
          <w:pgNumType w:fmt="decimal"/>
          <w:cols w:space="720" w:num="1"/>
        </w:sectPr>
      </w:pPr>
    </w:p>
    <w:p w14:paraId="58E2AB98">
      <w:pPr>
        <w:keepLines w:val="0"/>
        <w:pageBreakBefore w:val="0"/>
        <w:kinsoku/>
        <w:wordWrap/>
        <w:overflowPunct/>
        <w:topLinePunct w:val="0"/>
        <w:bidi w:val="0"/>
        <w:spacing w:before="42" w:line="610" w:lineRule="exact"/>
        <w:ind w:left="2562"/>
        <w:rPr>
          <w:rFonts w:ascii="仿宋" w:hAnsi="仿宋" w:eastAsia="仿宋" w:cs="仿宋"/>
          <w:sz w:val="20"/>
          <w:szCs w:val="20"/>
          <w:highlight w:val="none"/>
        </w:rPr>
      </w:pPr>
      <w:r>
        <w:rPr>
          <w:rFonts w:hint="eastAsia" w:ascii="仿宋" w:hAnsi="仿宋" w:eastAsia="仿宋" w:cs="仿宋"/>
          <w:b/>
          <w:bCs/>
          <w:spacing w:val="8"/>
          <w:position w:val="31"/>
          <w:sz w:val="24"/>
          <w:szCs w:val="24"/>
          <w:highlight w:val="none"/>
          <w:lang w:val="en-US" w:eastAsia="zh-CN"/>
        </w:rPr>
        <w:t>9</w:t>
      </w:r>
      <w:r>
        <w:rPr>
          <w:rFonts w:ascii="仿宋" w:hAnsi="仿宋" w:eastAsia="仿宋" w:cs="仿宋"/>
          <w:b/>
          <w:bCs/>
          <w:spacing w:val="8"/>
          <w:position w:val="31"/>
          <w:sz w:val="24"/>
          <w:szCs w:val="24"/>
          <w:highlight w:val="none"/>
        </w:rPr>
        <w:t>.具有履行合同所</w:t>
      </w:r>
      <w:r>
        <w:rPr>
          <w:rFonts w:hint="eastAsia" w:ascii="仿宋" w:hAnsi="仿宋" w:eastAsia="仿宋" w:cs="仿宋"/>
          <w:b/>
          <w:bCs/>
          <w:spacing w:val="8"/>
          <w:position w:val="31"/>
          <w:sz w:val="24"/>
          <w:szCs w:val="24"/>
          <w:highlight w:val="none"/>
          <w:lang w:eastAsia="zh-CN"/>
        </w:rPr>
        <w:t>必需</w:t>
      </w:r>
      <w:r>
        <w:rPr>
          <w:rFonts w:ascii="仿宋" w:hAnsi="仿宋" w:eastAsia="仿宋" w:cs="仿宋"/>
          <w:b/>
          <w:bCs/>
          <w:spacing w:val="8"/>
          <w:position w:val="31"/>
          <w:sz w:val="24"/>
          <w:szCs w:val="24"/>
          <w:highlight w:val="none"/>
        </w:rPr>
        <w:t>的设备和专业技术能力的</w:t>
      </w:r>
      <w:r>
        <w:rPr>
          <w:rFonts w:ascii="仿宋" w:hAnsi="仿宋" w:eastAsia="仿宋" w:cs="仿宋"/>
          <w:b/>
          <w:bCs/>
          <w:spacing w:val="7"/>
          <w:position w:val="31"/>
          <w:sz w:val="24"/>
          <w:szCs w:val="24"/>
          <w:highlight w:val="none"/>
        </w:rPr>
        <w:t>承诺函</w:t>
      </w:r>
    </w:p>
    <w:p w14:paraId="0DF3C01A">
      <w:pPr>
        <w:keepLines w:val="0"/>
        <w:pageBreakBefore w:val="0"/>
        <w:kinsoku/>
        <w:wordWrap/>
        <w:overflowPunct/>
        <w:topLinePunct w:val="0"/>
        <w:bidi w:val="0"/>
        <w:spacing w:line="222" w:lineRule="auto"/>
        <w:ind w:left="19"/>
        <w:rPr>
          <w:rFonts w:ascii="仿宋" w:hAnsi="仿宋" w:eastAsia="仿宋" w:cs="仿宋"/>
          <w:sz w:val="24"/>
          <w:szCs w:val="24"/>
          <w:highlight w:val="none"/>
        </w:rPr>
      </w:pPr>
      <w:r>
        <w:rPr>
          <w:rFonts w:ascii="仿宋" w:hAnsi="仿宋" w:eastAsia="仿宋" w:cs="仿宋"/>
          <w:b/>
          <w:bCs/>
          <w:spacing w:val="-4"/>
          <w:sz w:val="24"/>
          <w:szCs w:val="24"/>
          <w:highlight w:val="none"/>
        </w:rPr>
        <w:t>致采购人、采购代理机构：</w:t>
      </w:r>
    </w:p>
    <w:p w14:paraId="2B6E5B59">
      <w:pPr>
        <w:pStyle w:val="9"/>
        <w:keepLines w:val="0"/>
        <w:pageBreakBefore w:val="0"/>
        <w:kinsoku/>
        <w:wordWrap/>
        <w:overflowPunct/>
        <w:topLinePunct w:val="0"/>
        <w:bidi w:val="0"/>
        <w:spacing w:line="257" w:lineRule="auto"/>
        <w:rPr>
          <w:highlight w:val="none"/>
        </w:rPr>
      </w:pPr>
    </w:p>
    <w:p w14:paraId="3CCFCE28">
      <w:pPr>
        <w:pStyle w:val="9"/>
        <w:keepLines w:val="0"/>
        <w:pageBreakBefore w:val="0"/>
        <w:kinsoku/>
        <w:wordWrap/>
        <w:overflowPunct/>
        <w:topLinePunct w:val="0"/>
        <w:bidi w:val="0"/>
        <w:spacing w:line="257" w:lineRule="auto"/>
        <w:rPr>
          <w:highlight w:val="none"/>
        </w:rPr>
      </w:pPr>
    </w:p>
    <w:p w14:paraId="154D4768">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我公司仔细阅读了贵方关于</w:t>
      </w:r>
      <w:r>
        <w:rPr>
          <w:rFonts w:ascii="仿宋" w:hAnsi="仿宋" w:eastAsia="仿宋" w:cs="仿宋"/>
          <w:spacing w:val="7"/>
          <w:sz w:val="24"/>
          <w:szCs w:val="24"/>
          <w:highlight w:val="none"/>
          <w:u w:val="single"/>
        </w:rPr>
        <w:t xml:space="preserve">                项目(项目编号：    )</w:t>
      </w:r>
      <w:r>
        <w:rPr>
          <w:rFonts w:ascii="仿宋" w:hAnsi="仿宋" w:eastAsia="仿宋" w:cs="仿宋"/>
          <w:spacing w:val="7"/>
          <w:sz w:val="24"/>
          <w:szCs w:val="24"/>
          <w:highlight w:val="none"/>
        </w:rPr>
        <w:t>的招标文件，在完全理解本项目 招标的技术要求、商务条款及其他内容后，决定参与该项目的投标活动。并承诺，我公司具有履行合同所必须的设备和专业技术能力。如我方中标，我公司将提供足够的设备和专业技术能力保证本合同履行。</w:t>
      </w:r>
    </w:p>
    <w:p w14:paraId="6600D87B">
      <w:pPr>
        <w:keepNext w:val="0"/>
        <w:keepLines w:val="0"/>
        <w:pageBreakBefore w:val="0"/>
        <w:widowControl/>
        <w:kinsoku/>
        <w:wordWrap/>
        <w:overflowPunct/>
        <w:topLinePunct w:val="0"/>
        <w:autoSpaceDE w:val="0"/>
        <w:autoSpaceDN w:val="0"/>
        <w:bidi w:val="0"/>
        <w:adjustRightInd w:val="0"/>
        <w:snapToGrid w:val="0"/>
        <w:spacing w:before="230" w:line="444" w:lineRule="auto"/>
        <w:ind w:left="238" w:right="17" w:firstLine="0"/>
        <w:textAlignment w:val="baseline"/>
        <w:rPr>
          <w:rFonts w:ascii="仿宋" w:hAnsi="仿宋" w:eastAsia="仿宋" w:cs="仿宋"/>
          <w:spacing w:val="7"/>
          <w:sz w:val="24"/>
          <w:szCs w:val="24"/>
          <w:highlight w:val="none"/>
        </w:rPr>
      </w:pPr>
      <w:r>
        <w:rPr>
          <w:rFonts w:ascii="仿宋" w:hAnsi="仿宋" w:eastAsia="仿宋" w:cs="仿宋"/>
          <w:spacing w:val="7"/>
          <w:sz w:val="24"/>
          <w:szCs w:val="24"/>
          <w:highlight w:val="none"/>
        </w:rPr>
        <w:t>本公司对上述承诺的真实性负责。如有虚假，我公司同意按我方合同违约处理，并依法承担相应法律责任。</w:t>
      </w:r>
    </w:p>
    <w:p w14:paraId="2F37CBED">
      <w:pPr>
        <w:pStyle w:val="9"/>
        <w:keepLines w:val="0"/>
        <w:pageBreakBefore w:val="0"/>
        <w:kinsoku/>
        <w:wordWrap/>
        <w:overflowPunct/>
        <w:topLinePunct w:val="0"/>
        <w:bidi w:val="0"/>
        <w:spacing w:line="259" w:lineRule="auto"/>
        <w:rPr>
          <w:sz w:val="24"/>
          <w:szCs w:val="24"/>
          <w:highlight w:val="none"/>
        </w:rPr>
      </w:pPr>
    </w:p>
    <w:p w14:paraId="3552FD77">
      <w:pPr>
        <w:pStyle w:val="9"/>
        <w:keepLines w:val="0"/>
        <w:pageBreakBefore w:val="0"/>
        <w:kinsoku/>
        <w:wordWrap/>
        <w:overflowPunct/>
        <w:topLinePunct w:val="0"/>
        <w:bidi w:val="0"/>
        <w:spacing w:line="260" w:lineRule="auto"/>
        <w:rPr>
          <w:sz w:val="24"/>
          <w:szCs w:val="24"/>
          <w:highlight w:val="none"/>
        </w:rPr>
      </w:pPr>
    </w:p>
    <w:p w14:paraId="38D679D4">
      <w:pPr>
        <w:keepLines w:val="0"/>
        <w:pageBreakBefore w:val="0"/>
        <w:kinsoku/>
        <w:wordWrap/>
        <w:overflowPunct/>
        <w:topLinePunct w:val="0"/>
        <w:bidi w:val="0"/>
        <w:spacing w:before="65" w:line="503" w:lineRule="auto"/>
        <w:ind w:left="4153"/>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w:t>
      </w:r>
      <w:r>
        <w:rPr>
          <w:rFonts w:ascii="仿宋" w:hAnsi="仿宋" w:eastAsia="仿宋" w:cs="仿宋"/>
          <w:spacing w:val="7"/>
          <w:sz w:val="24"/>
          <w:szCs w:val="24"/>
          <w:highlight w:val="none"/>
        </w:rPr>
        <w:t>名称(公章)：</w:t>
      </w:r>
      <w:r>
        <w:rPr>
          <w:rFonts w:ascii="仿宋" w:hAnsi="仿宋" w:eastAsia="仿宋" w:cs="仿宋"/>
          <w:sz w:val="24"/>
          <w:szCs w:val="24"/>
          <w:highlight w:val="none"/>
          <w:u w:val="single" w:color="auto"/>
        </w:rPr>
        <w:t xml:space="preserve">                     </w:t>
      </w:r>
    </w:p>
    <w:p w14:paraId="43FA50D7">
      <w:pPr>
        <w:keepLines w:val="0"/>
        <w:pageBreakBefore w:val="0"/>
        <w:kinsoku/>
        <w:wordWrap/>
        <w:overflowPunct/>
        <w:topLinePunct w:val="0"/>
        <w:bidi w:val="0"/>
        <w:spacing w:before="1" w:line="230" w:lineRule="auto"/>
        <w:ind w:left="4206"/>
        <w:rPr>
          <w:rFonts w:ascii="仿宋" w:hAnsi="仿宋" w:eastAsia="仿宋" w:cs="仿宋"/>
          <w:sz w:val="24"/>
          <w:szCs w:val="24"/>
          <w:highlight w:val="none"/>
        </w:rPr>
      </w:pPr>
      <w:r>
        <w:rPr>
          <w:rFonts w:hint="eastAsia" w:ascii="仿宋" w:hAnsi="仿宋" w:eastAsia="仿宋" w:cs="仿宋"/>
          <w:spacing w:val="8"/>
          <w:sz w:val="24"/>
          <w:szCs w:val="24"/>
          <w:highlight w:val="none"/>
          <w:lang w:eastAsia="zh-CN"/>
        </w:rPr>
        <w:t>投标人</w:t>
      </w:r>
      <w:r>
        <w:rPr>
          <w:rFonts w:ascii="仿宋" w:hAnsi="仿宋" w:eastAsia="仿宋" w:cs="仿宋"/>
          <w:spacing w:val="8"/>
          <w:sz w:val="24"/>
          <w:szCs w:val="24"/>
          <w:highlight w:val="none"/>
        </w:rPr>
        <w:t>法人或授权代表（签字</w:t>
      </w:r>
      <w:r>
        <w:rPr>
          <w:rFonts w:hint="eastAsia" w:ascii="仿宋" w:hAnsi="仿宋" w:eastAsia="仿宋" w:cs="仿宋"/>
          <w:spacing w:val="8"/>
          <w:sz w:val="24"/>
          <w:szCs w:val="24"/>
          <w:highlight w:val="none"/>
          <w:lang w:val="en-US" w:eastAsia="zh-Hans"/>
        </w:rPr>
        <w:t>或盖章</w:t>
      </w:r>
      <w:r>
        <w:rPr>
          <w:rFonts w:ascii="仿宋" w:hAnsi="仿宋" w:eastAsia="仿宋" w:cs="仿宋"/>
          <w:spacing w:val="8"/>
          <w:sz w:val="24"/>
          <w:szCs w:val="24"/>
          <w:highlight w:val="none"/>
        </w:rPr>
        <w:t>）：</w:t>
      </w:r>
      <w:r>
        <w:rPr>
          <w:rFonts w:ascii="仿宋" w:hAnsi="仿宋" w:eastAsia="仿宋" w:cs="仿宋"/>
          <w:sz w:val="24"/>
          <w:szCs w:val="24"/>
          <w:highlight w:val="none"/>
          <w:u w:val="single" w:color="auto"/>
        </w:rPr>
        <w:t xml:space="preserve">             </w:t>
      </w:r>
    </w:p>
    <w:p w14:paraId="3E458D43">
      <w:pPr>
        <w:pStyle w:val="9"/>
        <w:keepLines w:val="0"/>
        <w:pageBreakBefore w:val="0"/>
        <w:kinsoku/>
        <w:wordWrap/>
        <w:overflowPunct/>
        <w:topLinePunct w:val="0"/>
        <w:bidi w:val="0"/>
        <w:spacing w:line="464" w:lineRule="auto"/>
        <w:rPr>
          <w:sz w:val="24"/>
          <w:szCs w:val="24"/>
          <w:highlight w:val="none"/>
        </w:rPr>
      </w:pPr>
    </w:p>
    <w:p w14:paraId="2C7B1234">
      <w:pPr>
        <w:keepLines w:val="0"/>
        <w:pageBreakBefore w:val="0"/>
        <w:kinsoku/>
        <w:wordWrap/>
        <w:overflowPunct/>
        <w:topLinePunct w:val="0"/>
        <w:bidi w:val="0"/>
        <w:spacing w:before="66" w:line="231" w:lineRule="auto"/>
        <w:ind w:left="4304"/>
        <w:rPr>
          <w:rFonts w:ascii="仿宋" w:hAnsi="仿宋" w:eastAsia="仿宋" w:cs="仿宋"/>
          <w:sz w:val="24"/>
          <w:szCs w:val="24"/>
          <w:highlight w:val="none"/>
        </w:rPr>
      </w:pPr>
      <w:r>
        <w:rPr>
          <w:rFonts w:ascii="仿宋" w:hAnsi="仿宋" w:eastAsia="仿宋" w:cs="仿宋"/>
          <w:spacing w:val="-13"/>
          <w:sz w:val="24"/>
          <w:szCs w:val="24"/>
          <w:highlight w:val="none"/>
        </w:rPr>
        <w:t>日</w:t>
      </w:r>
      <w:r>
        <w:rPr>
          <w:rFonts w:ascii="仿宋" w:hAnsi="仿宋" w:eastAsia="仿宋" w:cs="仿宋"/>
          <w:spacing w:val="10"/>
          <w:sz w:val="24"/>
          <w:szCs w:val="24"/>
          <w:highlight w:val="none"/>
        </w:rPr>
        <w:t xml:space="preserve">   </w:t>
      </w:r>
      <w:r>
        <w:rPr>
          <w:rFonts w:ascii="仿宋" w:hAnsi="仿宋" w:eastAsia="仿宋" w:cs="仿宋"/>
          <w:spacing w:val="-13"/>
          <w:sz w:val="24"/>
          <w:szCs w:val="24"/>
          <w:highlight w:val="none"/>
        </w:rPr>
        <w:t>期：</w:t>
      </w:r>
      <w:r>
        <w:rPr>
          <w:rFonts w:ascii="仿宋" w:hAnsi="仿宋" w:eastAsia="仿宋" w:cs="仿宋"/>
          <w:spacing w:val="14"/>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82"/>
          <w:sz w:val="24"/>
          <w:szCs w:val="24"/>
          <w:highlight w:val="none"/>
        </w:rPr>
        <w:t xml:space="preserve"> </w:t>
      </w:r>
      <w:r>
        <w:rPr>
          <w:rFonts w:ascii="仿宋" w:hAnsi="仿宋" w:eastAsia="仿宋" w:cs="仿宋"/>
          <w:spacing w:val="-13"/>
          <w:sz w:val="24"/>
          <w:szCs w:val="24"/>
          <w:highlight w:val="none"/>
        </w:rPr>
        <w:t>年</w:t>
      </w:r>
      <w:r>
        <w:rPr>
          <w:rFonts w:ascii="仿宋" w:hAnsi="仿宋" w:eastAsia="仿宋" w:cs="仿宋"/>
          <w:spacing w:val="-9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74"/>
          <w:sz w:val="24"/>
          <w:szCs w:val="24"/>
          <w:highlight w:val="none"/>
        </w:rPr>
        <w:t xml:space="preserve"> </w:t>
      </w:r>
      <w:r>
        <w:rPr>
          <w:rFonts w:ascii="仿宋" w:hAnsi="仿宋" w:eastAsia="仿宋" w:cs="仿宋"/>
          <w:spacing w:val="-13"/>
          <w:sz w:val="24"/>
          <w:szCs w:val="24"/>
          <w:highlight w:val="none"/>
        </w:rPr>
        <w:t>月</w:t>
      </w:r>
      <w:r>
        <w:rPr>
          <w:rFonts w:ascii="仿宋" w:hAnsi="仿宋" w:eastAsia="仿宋" w:cs="仿宋"/>
          <w:spacing w:val="-99"/>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41"/>
          <w:sz w:val="24"/>
          <w:szCs w:val="24"/>
          <w:highlight w:val="none"/>
        </w:rPr>
        <w:t xml:space="preserve"> </w:t>
      </w:r>
      <w:r>
        <w:rPr>
          <w:rFonts w:ascii="仿宋" w:hAnsi="仿宋" w:eastAsia="仿宋" w:cs="仿宋"/>
          <w:spacing w:val="-13"/>
          <w:sz w:val="24"/>
          <w:szCs w:val="24"/>
          <w:highlight w:val="none"/>
        </w:rPr>
        <w:t>日</w:t>
      </w:r>
    </w:p>
    <w:p w14:paraId="7177573E">
      <w:pPr>
        <w:keepLines w:val="0"/>
        <w:pageBreakBefore w:val="0"/>
        <w:kinsoku/>
        <w:wordWrap/>
        <w:overflowPunct/>
        <w:topLinePunct w:val="0"/>
        <w:bidi w:val="0"/>
        <w:spacing w:line="231" w:lineRule="auto"/>
        <w:rPr>
          <w:rFonts w:ascii="仿宋" w:hAnsi="仿宋" w:eastAsia="仿宋" w:cs="仿宋"/>
          <w:sz w:val="20"/>
          <w:szCs w:val="20"/>
          <w:highlight w:val="none"/>
        </w:rPr>
        <w:sectPr>
          <w:footerReference r:id="rId15" w:type="default"/>
          <w:pgSz w:w="11906" w:h="16839"/>
          <w:pgMar w:top="1440" w:right="1080" w:bottom="1440" w:left="1080" w:header="0" w:footer="1054" w:gutter="0"/>
          <w:pgNumType w:fmt="decimal"/>
          <w:cols w:space="720" w:num="1"/>
        </w:sectPr>
      </w:pPr>
    </w:p>
    <w:p w14:paraId="3E9CBD92">
      <w:pPr>
        <w:pStyle w:val="9"/>
        <w:keepLines w:val="0"/>
        <w:pageBreakBefore w:val="0"/>
        <w:kinsoku/>
        <w:wordWrap/>
        <w:overflowPunct/>
        <w:topLinePunct w:val="0"/>
        <w:bidi w:val="0"/>
        <w:spacing w:line="346" w:lineRule="auto"/>
        <w:rPr>
          <w:highlight w:val="none"/>
        </w:rPr>
      </w:pPr>
    </w:p>
    <w:p w14:paraId="2676D8AE">
      <w:pPr>
        <w:keepLines w:val="0"/>
        <w:pageBreakBefore w:val="0"/>
        <w:kinsoku/>
        <w:wordWrap/>
        <w:overflowPunct/>
        <w:topLinePunct w:val="0"/>
        <w:bidi w:val="0"/>
        <w:spacing w:before="42" w:line="230" w:lineRule="auto"/>
        <w:jc w:val="center"/>
        <w:outlineLvl w:val="2"/>
        <w:rPr>
          <w:rFonts w:hint="eastAsia" w:ascii="仿宋" w:hAnsi="仿宋" w:eastAsia="仿宋" w:cs="仿宋"/>
          <w:b/>
          <w:bCs/>
          <w:spacing w:val="7"/>
          <w:sz w:val="24"/>
          <w:szCs w:val="24"/>
          <w:highlight w:val="none"/>
          <w:lang w:val="en-US" w:eastAsia="zh-CN"/>
        </w:rPr>
      </w:pPr>
      <w:r>
        <w:rPr>
          <w:rFonts w:hint="eastAsia" w:ascii="仿宋" w:hAnsi="仿宋" w:eastAsia="仿宋" w:cs="仿宋"/>
          <w:b/>
          <w:bCs/>
          <w:spacing w:val="7"/>
          <w:sz w:val="24"/>
          <w:szCs w:val="24"/>
          <w:highlight w:val="none"/>
          <w:lang w:val="en-US" w:eastAsia="zh-CN"/>
        </w:rPr>
        <w:t>10</w:t>
      </w:r>
      <w:r>
        <w:rPr>
          <w:rFonts w:ascii="仿宋" w:hAnsi="仿宋" w:eastAsia="仿宋" w:cs="仿宋"/>
          <w:b/>
          <w:bCs/>
          <w:spacing w:val="7"/>
          <w:sz w:val="24"/>
          <w:szCs w:val="24"/>
          <w:highlight w:val="none"/>
        </w:rPr>
        <w:t>.</w:t>
      </w:r>
      <w:r>
        <w:rPr>
          <w:rFonts w:hint="eastAsia" w:ascii="仿宋" w:hAnsi="仿宋" w:eastAsia="仿宋" w:cs="仿宋"/>
          <w:b/>
          <w:bCs/>
          <w:spacing w:val="7"/>
          <w:sz w:val="24"/>
          <w:szCs w:val="24"/>
          <w:highlight w:val="none"/>
          <w:lang w:val="en-US" w:eastAsia="zh-CN"/>
        </w:rPr>
        <w:t>提供单位负责人为同一人或者存在直接控股、管理关系的不同</w:t>
      </w:r>
      <w:r>
        <w:rPr>
          <w:rFonts w:hint="eastAsia" w:ascii="仿宋" w:hAnsi="仿宋" w:eastAsia="仿宋" w:cs="仿宋"/>
          <w:b/>
          <w:bCs/>
          <w:spacing w:val="7"/>
          <w:sz w:val="24"/>
          <w:szCs w:val="24"/>
          <w:highlight w:val="none"/>
          <w:lang w:eastAsia="zh-CN"/>
        </w:rPr>
        <w:t>投标人</w:t>
      </w:r>
      <w:r>
        <w:rPr>
          <w:rFonts w:hint="eastAsia" w:ascii="仿宋" w:hAnsi="仿宋" w:eastAsia="仿宋" w:cs="仿宋"/>
          <w:b/>
          <w:bCs/>
          <w:spacing w:val="7"/>
          <w:sz w:val="24"/>
          <w:szCs w:val="24"/>
          <w:highlight w:val="none"/>
          <w:lang w:val="en-US" w:eastAsia="zh-CN"/>
        </w:rPr>
        <w:t>，不得参加同一合同项下的政府采购活动的书面声明（格式自拟）</w:t>
      </w:r>
    </w:p>
    <w:p w14:paraId="08D287D5">
      <w:pPr>
        <w:keepLines w:val="0"/>
        <w:pageBreakBefore w:val="0"/>
        <w:kinsoku/>
        <w:wordWrap/>
        <w:overflowPunct/>
        <w:topLinePunct w:val="0"/>
        <w:bidi w:val="0"/>
        <w:rPr>
          <w:rFonts w:hint="eastAsia" w:ascii="仿宋" w:hAnsi="仿宋" w:eastAsia="仿宋" w:cs="仿宋"/>
          <w:b/>
          <w:bCs/>
          <w:spacing w:val="7"/>
          <w:sz w:val="24"/>
          <w:szCs w:val="24"/>
          <w:highlight w:val="none"/>
          <w:lang w:val="en-US" w:eastAsia="zh-CN"/>
        </w:rPr>
      </w:pPr>
      <w:r>
        <w:rPr>
          <w:rFonts w:hint="eastAsia" w:ascii="仿宋" w:hAnsi="仿宋" w:eastAsia="仿宋" w:cs="仿宋"/>
          <w:b/>
          <w:bCs/>
          <w:spacing w:val="7"/>
          <w:sz w:val="24"/>
          <w:szCs w:val="24"/>
          <w:highlight w:val="none"/>
          <w:lang w:val="en-US" w:eastAsia="zh-CN"/>
        </w:rPr>
        <w:br w:type="page"/>
      </w:r>
    </w:p>
    <w:p w14:paraId="3A9EE2B7">
      <w:pPr>
        <w:keepLines w:val="0"/>
        <w:pageBreakBefore w:val="0"/>
        <w:kinsoku/>
        <w:wordWrap/>
        <w:overflowPunct/>
        <w:topLinePunct w:val="0"/>
        <w:bidi w:val="0"/>
        <w:spacing w:before="42" w:line="230" w:lineRule="auto"/>
        <w:ind w:left="2684"/>
        <w:outlineLvl w:val="2"/>
        <w:rPr>
          <w:rFonts w:ascii="仿宋" w:hAnsi="仿宋" w:eastAsia="仿宋" w:cs="仿宋"/>
          <w:sz w:val="24"/>
          <w:szCs w:val="24"/>
          <w:highlight w:val="none"/>
        </w:rPr>
      </w:pPr>
      <w:r>
        <w:rPr>
          <w:rFonts w:ascii="仿宋" w:hAnsi="仿宋" w:eastAsia="仿宋" w:cs="仿宋"/>
          <w:b/>
          <w:bCs/>
          <w:spacing w:val="7"/>
          <w:sz w:val="24"/>
          <w:szCs w:val="24"/>
          <w:highlight w:val="none"/>
        </w:rPr>
        <w:t>11、拟投入本项目管理、服务、其他人员情况表</w:t>
      </w:r>
    </w:p>
    <w:p w14:paraId="48050D34">
      <w:pPr>
        <w:keepLines w:val="0"/>
        <w:pageBreakBefore w:val="0"/>
        <w:kinsoku/>
        <w:wordWrap/>
        <w:overflowPunct/>
        <w:topLinePunct w:val="0"/>
        <w:bidi w:val="0"/>
        <w:spacing w:line="90" w:lineRule="exact"/>
        <w:rPr>
          <w:sz w:val="24"/>
          <w:szCs w:val="24"/>
          <w:highlight w:val="none"/>
        </w:rPr>
      </w:pPr>
    </w:p>
    <w:tbl>
      <w:tblPr>
        <w:tblStyle w:val="26"/>
        <w:tblW w:w="9579"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1023"/>
        <w:gridCol w:w="1024"/>
        <w:gridCol w:w="1024"/>
        <w:gridCol w:w="1025"/>
        <w:gridCol w:w="1334"/>
        <w:gridCol w:w="939"/>
        <w:gridCol w:w="1068"/>
        <w:gridCol w:w="950"/>
      </w:tblGrid>
      <w:tr w14:paraId="65AB7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192" w:type="dxa"/>
            <w:vMerge w:val="restart"/>
            <w:tcBorders>
              <w:bottom w:val="nil"/>
            </w:tcBorders>
            <w:vAlign w:val="top"/>
          </w:tcPr>
          <w:p w14:paraId="0D07DC87">
            <w:pPr>
              <w:keepLines w:val="0"/>
              <w:pageBreakBefore w:val="0"/>
              <w:kinsoku/>
              <w:wordWrap/>
              <w:overflowPunct/>
              <w:topLinePunct w:val="0"/>
              <w:bidi w:val="0"/>
              <w:spacing w:line="477" w:lineRule="auto"/>
              <w:rPr>
                <w:rFonts w:ascii="Arial"/>
                <w:sz w:val="24"/>
                <w:szCs w:val="24"/>
                <w:highlight w:val="none"/>
              </w:rPr>
            </w:pPr>
          </w:p>
          <w:p w14:paraId="54836178">
            <w:pPr>
              <w:pStyle w:val="27"/>
              <w:keepLines w:val="0"/>
              <w:pageBreakBefore w:val="0"/>
              <w:kinsoku/>
              <w:wordWrap/>
              <w:overflowPunct/>
              <w:topLinePunct w:val="0"/>
              <w:bidi w:val="0"/>
              <w:spacing w:before="65" w:line="232" w:lineRule="auto"/>
              <w:ind w:left="399"/>
              <w:rPr>
                <w:sz w:val="24"/>
                <w:szCs w:val="24"/>
                <w:highlight w:val="none"/>
              </w:rPr>
            </w:pPr>
            <w:r>
              <w:rPr>
                <w:sz w:val="24"/>
                <w:szCs w:val="24"/>
                <w:highlight w:val="none"/>
              </w:rPr>
              <w:t>类别</w:t>
            </w:r>
          </w:p>
        </w:tc>
        <w:tc>
          <w:tcPr>
            <w:tcW w:w="1023" w:type="dxa"/>
            <w:vMerge w:val="restart"/>
            <w:tcBorders>
              <w:bottom w:val="nil"/>
            </w:tcBorders>
            <w:vAlign w:val="top"/>
          </w:tcPr>
          <w:p w14:paraId="3FF5B476">
            <w:pPr>
              <w:keepLines w:val="0"/>
              <w:pageBreakBefore w:val="0"/>
              <w:kinsoku/>
              <w:wordWrap/>
              <w:overflowPunct/>
              <w:topLinePunct w:val="0"/>
              <w:bidi w:val="0"/>
              <w:spacing w:line="478" w:lineRule="auto"/>
              <w:rPr>
                <w:rFonts w:ascii="Arial"/>
                <w:sz w:val="24"/>
                <w:szCs w:val="24"/>
                <w:highlight w:val="none"/>
              </w:rPr>
            </w:pPr>
          </w:p>
          <w:p w14:paraId="0C38CDA2">
            <w:pPr>
              <w:pStyle w:val="27"/>
              <w:keepLines w:val="0"/>
              <w:pageBreakBefore w:val="0"/>
              <w:kinsoku/>
              <w:wordWrap/>
              <w:overflowPunct/>
              <w:topLinePunct w:val="0"/>
              <w:bidi w:val="0"/>
              <w:spacing w:before="65" w:line="233" w:lineRule="auto"/>
              <w:ind w:left="310"/>
              <w:rPr>
                <w:sz w:val="24"/>
                <w:szCs w:val="24"/>
                <w:highlight w:val="none"/>
              </w:rPr>
            </w:pPr>
            <w:r>
              <w:rPr>
                <w:spacing w:val="2"/>
                <w:sz w:val="24"/>
                <w:szCs w:val="24"/>
                <w:highlight w:val="none"/>
              </w:rPr>
              <w:t>姓名</w:t>
            </w:r>
          </w:p>
        </w:tc>
        <w:tc>
          <w:tcPr>
            <w:tcW w:w="1024" w:type="dxa"/>
            <w:vMerge w:val="restart"/>
            <w:tcBorders>
              <w:bottom w:val="nil"/>
            </w:tcBorders>
            <w:vAlign w:val="top"/>
          </w:tcPr>
          <w:p w14:paraId="4BF4B733">
            <w:pPr>
              <w:keepLines w:val="0"/>
              <w:pageBreakBefore w:val="0"/>
              <w:kinsoku/>
              <w:wordWrap/>
              <w:overflowPunct/>
              <w:topLinePunct w:val="0"/>
              <w:bidi w:val="0"/>
              <w:spacing w:line="277" w:lineRule="auto"/>
              <w:rPr>
                <w:rFonts w:ascii="Arial"/>
                <w:sz w:val="24"/>
                <w:szCs w:val="24"/>
                <w:highlight w:val="none"/>
              </w:rPr>
            </w:pPr>
          </w:p>
          <w:p w14:paraId="06DA6665">
            <w:pPr>
              <w:pStyle w:val="27"/>
              <w:keepLines w:val="0"/>
              <w:pageBreakBefore w:val="0"/>
              <w:kinsoku/>
              <w:wordWrap/>
              <w:overflowPunct/>
              <w:topLinePunct w:val="0"/>
              <w:bidi w:val="0"/>
              <w:spacing w:before="65" w:line="401" w:lineRule="exact"/>
              <w:ind w:left="204"/>
              <w:rPr>
                <w:sz w:val="24"/>
                <w:szCs w:val="24"/>
                <w:highlight w:val="none"/>
              </w:rPr>
            </w:pPr>
            <w:r>
              <w:rPr>
                <w:spacing w:val="5"/>
                <w:position w:val="14"/>
                <w:sz w:val="24"/>
                <w:szCs w:val="24"/>
                <w:highlight w:val="none"/>
              </w:rPr>
              <w:t>联系方</w:t>
            </w:r>
          </w:p>
          <w:p w14:paraId="2CC76B89">
            <w:pPr>
              <w:pStyle w:val="27"/>
              <w:keepLines w:val="0"/>
              <w:pageBreakBefore w:val="0"/>
              <w:kinsoku/>
              <w:wordWrap/>
              <w:overflowPunct/>
              <w:topLinePunct w:val="0"/>
              <w:bidi w:val="0"/>
              <w:spacing w:line="231" w:lineRule="auto"/>
              <w:ind w:left="421"/>
              <w:rPr>
                <w:sz w:val="24"/>
                <w:szCs w:val="24"/>
                <w:highlight w:val="none"/>
              </w:rPr>
            </w:pPr>
            <w:r>
              <w:rPr>
                <w:sz w:val="24"/>
                <w:szCs w:val="24"/>
                <w:highlight w:val="none"/>
              </w:rPr>
              <w:t>式</w:t>
            </w:r>
          </w:p>
        </w:tc>
        <w:tc>
          <w:tcPr>
            <w:tcW w:w="1024" w:type="dxa"/>
            <w:vMerge w:val="restart"/>
            <w:tcBorders>
              <w:bottom w:val="nil"/>
            </w:tcBorders>
            <w:vAlign w:val="top"/>
          </w:tcPr>
          <w:p w14:paraId="6AD37B14">
            <w:pPr>
              <w:keepLines w:val="0"/>
              <w:pageBreakBefore w:val="0"/>
              <w:kinsoku/>
              <w:wordWrap/>
              <w:overflowPunct/>
              <w:topLinePunct w:val="0"/>
              <w:bidi w:val="0"/>
              <w:spacing w:line="277" w:lineRule="auto"/>
              <w:rPr>
                <w:rFonts w:ascii="Arial"/>
                <w:sz w:val="24"/>
                <w:szCs w:val="24"/>
                <w:highlight w:val="none"/>
              </w:rPr>
            </w:pPr>
          </w:p>
          <w:p w14:paraId="7D17CF9A">
            <w:pPr>
              <w:pStyle w:val="27"/>
              <w:keepLines w:val="0"/>
              <w:pageBreakBefore w:val="0"/>
              <w:kinsoku/>
              <w:wordWrap/>
              <w:overflowPunct/>
              <w:topLinePunct w:val="0"/>
              <w:bidi w:val="0"/>
              <w:spacing w:before="65" w:line="401" w:lineRule="exact"/>
              <w:ind w:left="207"/>
              <w:rPr>
                <w:sz w:val="24"/>
                <w:szCs w:val="24"/>
                <w:highlight w:val="none"/>
              </w:rPr>
            </w:pPr>
            <w:r>
              <w:rPr>
                <w:spacing w:val="5"/>
                <w:position w:val="14"/>
                <w:sz w:val="24"/>
                <w:szCs w:val="24"/>
                <w:highlight w:val="none"/>
              </w:rPr>
              <w:t>职称或</w:t>
            </w:r>
          </w:p>
          <w:p w14:paraId="46864BF1">
            <w:pPr>
              <w:pStyle w:val="27"/>
              <w:keepLines w:val="0"/>
              <w:pageBreakBefore w:val="0"/>
              <w:kinsoku/>
              <w:wordWrap/>
              <w:overflowPunct/>
              <w:topLinePunct w:val="0"/>
              <w:bidi w:val="0"/>
              <w:spacing w:line="231" w:lineRule="auto"/>
              <w:ind w:left="312"/>
              <w:rPr>
                <w:sz w:val="24"/>
                <w:szCs w:val="24"/>
                <w:highlight w:val="none"/>
              </w:rPr>
            </w:pPr>
            <w:r>
              <w:rPr>
                <w:spacing w:val="2"/>
                <w:sz w:val="24"/>
                <w:szCs w:val="24"/>
                <w:highlight w:val="none"/>
              </w:rPr>
              <w:t>职务</w:t>
            </w:r>
          </w:p>
        </w:tc>
        <w:tc>
          <w:tcPr>
            <w:tcW w:w="1025" w:type="dxa"/>
            <w:vMerge w:val="restart"/>
            <w:tcBorders>
              <w:bottom w:val="nil"/>
            </w:tcBorders>
            <w:vAlign w:val="top"/>
          </w:tcPr>
          <w:p w14:paraId="25DF7137">
            <w:pPr>
              <w:keepLines w:val="0"/>
              <w:pageBreakBefore w:val="0"/>
              <w:kinsoku/>
              <w:wordWrap/>
              <w:overflowPunct/>
              <w:topLinePunct w:val="0"/>
              <w:bidi w:val="0"/>
              <w:spacing w:line="478" w:lineRule="auto"/>
              <w:rPr>
                <w:rFonts w:ascii="Arial"/>
                <w:sz w:val="24"/>
                <w:szCs w:val="24"/>
                <w:highlight w:val="none"/>
              </w:rPr>
            </w:pPr>
          </w:p>
          <w:p w14:paraId="1F0F50B3">
            <w:pPr>
              <w:pStyle w:val="27"/>
              <w:keepLines w:val="0"/>
              <w:pageBreakBefore w:val="0"/>
              <w:kinsoku/>
              <w:wordWrap/>
              <w:overflowPunct/>
              <w:topLinePunct w:val="0"/>
              <w:bidi w:val="0"/>
              <w:spacing w:before="65" w:line="230" w:lineRule="auto"/>
              <w:ind w:left="220"/>
              <w:rPr>
                <w:sz w:val="24"/>
                <w:szCs w:val="24"/>
                <w:highlight w:val="none"/>
              </w:rPr>
            </w:pPr>
            <w:r>
              <w:rPr>
                <w:spacing w:val="1"/>
                <w:sz w:val="24"/>
                <w:szCs w:val="24"/>
                <w:highlight w:val="none"/>
              </w:rPr>
              <w:t>常住地</w:t>
            </w:r>
          </w:p>
        </w:tc>
        <w:tc>
          <w:tcPr>
            <w:tcW w:w="4291" w:type="dxa"/>
            <w:gridSpan w:val="4"/>
            <w:vAlign w:val="top"/>
          </w:tcPr>
          <w:p w14:paraId="2AD564CE">
            <w:pPr>
              <w:pStyle w:val="27"/>
              <w:keepLines w:val="0"/>
              <w:pageBreakBefore w:val="0"/>
              <w:kinsoku/>
              <w:wordWrap/>
              <w:overflowPunct/>
              <w:topLinePunct w:val="0"/>
              <w:bidi w:val="0"/>
              <w:spacing w:before="241" w:line="231" w:lineRule="auto"/>
              <w:ind w:left="1745"/>
              <w:rPr>
                <w:sz w:val="24"/>
                <w:szCs w:val="24"/>
                <w:highlight w:val="none"/>
              </w:rPr>
            </w:pPr>
            <w:r>
              <w:rPr>
                <w:spacing w:val="3"/>
                <w:sz w:val="24"/>
                <w:szCs w:val="24"/>
                <w:highlight w:val="none"/>
              </w:rPr>
              <w:t>资格证明</w:t>
            </w:r>
          </w:p>
        </w:tc>
      </w:tr>
      <w:tr w14:paraId="33872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tcBorders>
            <w:vAlign w:val="top"/>
          </w:tcPr>
          <w:p w14:paraId="1067978C">
            <w:pPr>
              <w:keepLines w:val="0"/>
              <w:pageBreakBefore w:val="0"/>
              <w:kinsoku/>
              <w:wordWrap/>
              <w:overflowPunct/>
              <w:topLinePunct w:val="0"/>
              <w:bidi w:val="0"/>
              <w:rPr>
                <w:rFonts w:ascii="Arial"/>
                <w:sz w:val="24"/>
                <w:szCs w:val="24"/>
                <w:highlight w:val="none"/>
              </w:rPr>
            </w:pPr>
          </w:p>
        </w:tc>
        <w:tc>
          <w:tcPr>
            <w:tcW w:w="1023" w:type="dxa"/>
            <w:vMerge w:val="continue"/>
            <w:tcBorders>
              <w:top w:val="nil"/>
            </w:tcBorders>
            <w:vAlign w:val="top"/>
          </w:tcPr>
          <w:p w14:paraId="70724FAA">
            <w:pPr>
              <w:keepLines w:val="0"/>
              <w:pageBreakBefore w:val="0"/>
              <w:kinsoku/>
              <w:wordWrap/>
              <w:overflowPunct/>
              <w:topLinePunct w:val="0"/>
              <w:bidi w:val="0"/>
              <w:rPr>
                <w:rFonts w:ascii="Arial"/>
                <w:sz w:val="24"/>
                <w:szCs w:val="24"/>
                <w:highlight w:val="none"/>
              </w:rPr>
            </w:pPr>
          </w:p>
        </w:tc>
        <w:tc>
          <w:tcPr>
            <w:tcW w:w="1024" w:type="dxa"/>
            <w:vMerge w:val="continue"/>
            <w:tcBorders>
              <w:top w:val="nil"/>
            </w:tcBorders>
            <w:vAlign w:val="top"/>
          </w:tcPr>
          <w:p w14:paraId="3478E26C">
            <w:pPr>
              <w:keepLines w:val="0"/>
              <w:pageBreakBefore w:val="0"/>
              <w:kinsoku/>
              <w:wordWrap/>
              <w:overflowPunct/>
              <w:topLinePunct w:val="0"/>
              <w:bidi w:val="0"/>
              <w:rPr>
                <w:rFonts w:ascii="Arial"/>
                <w:sz w:val="24"/>
                <w:szCs w:val="24"/>
                <w:highlight w:val="none"/>
              </w:rPr>
            </w:pPr>
          </w:p>
        </w:tc>
        <w:tc>
          <w:tcPr>
            <w:tcW w:w="1024" w:type="dxa"/>
            <w:vMerge w:val="continue"/>
            <w:tcBorders>
              <w:top w:val="nil"/>
            </w:tcBorders>
            <w:vAlign w:val="top"/>
          </w:tcPr>
          <w:p w14:paraId="26A63EA1">
            <w:pPr>
              <w:keepLines w:val="0"/>
              <w:pageBreakBefore w:val="0"/>
              <w:kinsoku/>
              <w:wordWrap/>
              <w:overflowPunct/>
              <w:topLinePunct w:val="0"/>
              <w:bidi w:val="0"/>
              <w:rPr>
                <w:rFonts w:ascii="Arial"/>
                <w:sz w:val="24"/>
                <w:szCs w:val="24"/>
                <w:highlight w:val="none"/>
              </w:rPr>
            </w:pPr>
          </w:p>
        </w:tc>
        <w:tc>
          <w:tcPr>
            <w:tcW w:w="1025" w:type="dxa"/>
            <w:vMerge w:val="continue"/>
            <w:tcBorders>
              <w:top w:val="nil"/>
            </w:tcBorders>
            <w:vAlign w:val="top"/>
          </w:tcPr>
          <w:p w14:paraId="6F730611">
            <w:pPr>
              <w:keepLines w:val="0"/>
              <w:pageBreakBefore w:val="0"/>
              <w:kinsoku/>
              <w:wordWrap/>
              <w:overflowPunct/>
              <w:topLinePunct w:val="0"/>
              <w:bidi w:val="0"/>
              <w:rPr>
                <w:rFonts w:ascii="Arial"/>
                <w:sz w:val="24"/>
                <w:szCs w:val="24"/>
                <w:highlight w:val="none"/>
              </w:rPr>
            </w:pPr>
          </w:p>
        </w:tc>
        <w:tc>
          <w:tcPr>
            <w:tcW w:w="1334" w:type="dxa"/>
            <w:vAlign w:val="top"/>
          </w:tcPr>
          <w:p w14:paraId="4AC6B1CF">
            <w:pPr>
              <w:pStyle w:val="27"/>
              <w:keepLines w:val="0"/>
              <w:pageBreakBefore w:val="0"/>
              <w:kinsoku/>
              <w:wordWrap/>
              <w:overflowPunct/>
              <w:topLinePunct w:val="0"/>
              <w:bidi w:val="0"/>
              <w:spacing w:before="239" w:line="229" w:lineRule="auto"/>
              <w:ind w:left="258"/>
              <w:rPr>
                <w:sz w:val="24"/>
                <w:szCs w:val="24"/>
                <w:highlight w:val="none"/>
              </w:rPr>
            </w:pPr>
            <w:r>
              <w:rPr>
                <w:spacing w:val="6"/>
                <w:sz w:val="24"/>
                <w:szCs w:val="24"/>
                <w:highlight w:val="none"/>
              </w:rPr>
              <w:t>证书名称</w:t>
            </w:r>
          </w:p>
        </w:tc>
        <w:tc>
          <w:tcPr>
            <w:tcW w:w="939" w:type="dxa"/>
            <w:vAlign w:val="top"/>
          </w:tcPr>
          <w:p w14:paraId="73013E39">
            <w:pPr>
              <w:pStyle w:val="27"/>
              <w:keepLines w:val="0"/>
              <w:pageBreakBefore w:val="0"/>
              <w:kinsoku/>
              <w:wordWrap/>
              <w:overflowPunct/>
              <w:topLinePunct w:val="0"/>
              <w:bidi w:val="0"/>
              <w:spacing w:before="238" w:line="232" w:lineRule="auto"/>
              <w:ind w:left="273"/>
              <w:rPr>
                <w:sz w:val="24"/>
                <w:szCs w:val="24"/>
                <w:highlight w:val="none"/>
              </w:rPr>
            </w:pPr>
            <w:r>
              <w:rPr>
                <w:sz w:val="24"/>
                <w:szCs w:val="24"/>
                <w:highlight w:val="none"/>
              </w:rPr>
              <w:t>级别</w:t>
            </w:r>
          </w:p>
        </w:tc>
        <w:tc>
          <w:tcPr>
            <w:tcW w:w="1068" w:type="dxa"/>
            <w:vAlign w:val="top"/>
          </w:tcPr>
          <w:p w14:paraId="4C904E1D">
            <w:pPr>
              <w:pStyle w:val="27"/>
              <w:keepLines w:val="0"/>
              <w:pageBreakBefore w:val="0"/>
              <w:kinsoku/>
              <w:wordWrap/>
              <w:overflowPunct/>
              <w:topLinePunct w:val="0"/>
              <w:bidi w:val="0"/>
              <w:spacing w:before="239" w:line="232" w:lineRule="auto"/>
              <w:ind w:left="334"/>
              <w:rPr>
                <w:sz w:val="24"/>
                <w:szCs w:val="24"/>
                <w:highlight w:val="none"/>
              </w:rPr>
            </w:pPr>
            <w:r>
              <w:rPr>
                <w:spacing w:val="2"/>
                <w:sz w:val="24"/>
                <w:szCs w:val="24"/>
                <w:highlight w:val="none"/>
              </w:rPr>
              <w:t>证号</w:t>
            </w:r>
          </w:p>
        </w:tc>
        <w:tc>
          <w:tcPr>
            <w:tcW w:w="950" w:type="dxa"/>
            <w:vAlign w:val="top"/>
          </w:tcPr>
          <w:p w14:paraId="6CC1858A">
            <w:pPr>
              <w:pStyle w:val="27"/>
              <w:keepLines w:val="0"/>
              <w:pageBreakBefore w:val="0"/>
              <w:kinsoku/>
              <w:wordWrap/>
              <w:overflowPunct/>
              <w:topLinePunct w:val="0"/>
              <w:bidi w:val="0"/>
              <w:spacing w:before="239" w:line="232" w:lineRule="auto"/>
              <w:ind w:left="278"/>
              <w:rPr>
                <w:sz w:val="24"/>
                <w:szCs w:val="24"/>
                <w:highlight w:val="none"/>
              </w:rPr>
            </w:pPr>
            <w:r>
              <w:rPr>
                <w:sz w:val="24"/>
                <w:szCs w:val="24"/>
                <w:highlight w:val="none"/>
              </w:rPr>
              <w:t>专业</w:t>
            </w:r>
          </w:p>
        </w:tc>
      </w:tr>
      <w:tr w14:paraId="2E7A9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restart"/>
            <w:tcBorders>
              <w:bottom w:val="nil"/>
            </w:tcBorders>
            <w:textDirection w:val="tbRlV"/>
            <w:vAlign w:val="top"/>
          </w:tcPr>
          <w:p w14:paraId="3FE533D4">
            <w:pPr>
              <w:keepLines w:val="0"/>
              <w:pageBreakBefore w:val="0"/>
              <w:kinsoku/>
              <w:wordWrap/>
              <w:overflowPunct/>
              <w:topLinePunct w:val="0"/>
              <w:bidi w:val="0"/>
              <w:spacing w:line="410" w:lineRule="auto"/>
              <w:rPr>
                <w:rFonts w:ascii="Arial"/>
                <w:sz w:val="24"/>
                <w:szCs w:val="24"/>
                <w:highlight w:val="none"/>
              </w:rPr>
            </w:pPr>
          </w:p>
          <w:p w14:paraId="13DCFE6A">
            <w:pPr>
              <w:pStyle w:val="27"/>
              <w:keepLines w:val="0"/>
              <w:pageBreakBefore w:val="0"/>
              <w:kinsoku/>
              <w:wordWrap/>
              <w:overflowPunct/>
              <w:topLinePunct w:val="0"/>
              <w:bidi w:val="0"/>
              <w:spacing w:before="66" w:line="209" w:lineRule="auto"/>
              <w:ind w:left="141"/>
              <w:rPr>
                <w:sz w:val="24"/>
                <w:szCs w:val="24"/>
                <w:highlight w:val="none"/>
              </w:rPr>
            </w:pPr>
            <w:r>
              <w:rPr>
                <w:spacing w:val="13"/>
                <w:sz w:val="24"/>
                <w:szCs w:val="24"/>
                <w:highlight w:val="none"/>
              </w:rPr>
              <w:t>管</w:t>
            </w:r>
            <w:r>
              <w:rPr>
                <w:spacing w:val="89"/>
                <w:sz w:val="24"/>
                <w:szCs w:val="24"/>
                <w:highlight w:val="none"/>
              </w:rPr>
              <w:t xml:space="preserve"> </w:t>
            </w:r>
            <w:r>
              <w:rPr>
                <w:spacing w:val="13"/>
                <w:sz w:val="24"/>
                <w:szCs w:val="24"/>
                <w:highlight w:val="none"/>
              </w:rPr>
              <w:t>理</w:t>
            </w:r>
            <w:r>
              <w:rPr>
                <w:spacing w:val="87"/>
                <w:sz w:val="24"/>
                <w:szCs w:val="24"/>
                <w:highlight w:val="none"/>
              </w:rPr>
              <w:t xml:space="preserve"> </w:t>
            </w:r>
            <w:r>
              <w:rPr>
                <w:spacing w:val="13"/>
                <w:sz w:val="24"/>
                <w:szCs w:val="24"/>
                <w:highlight w:val="none"/>
              </w:rPr>
              <w:t>人</w:t>
            </w:r>
            <w:r>
              <w:rPr>
                <w:spacing w:val="84"/>
                <w:sz w:val="24"/>
                <w:szCs w:val="24"/>
                <w:highlight w:val="none"/>
              </w:rPr>
              <w:t xml:space="preserve"> </w:t>
            </w:r>
            <w:r>
              <w:rPr>
                <w:spacing w:val="13"/>
                <w:sz w:val="24"/>
                <w:szCs w:val="24"/>
                <w:highlight w:val="none"/>
              </w:rPr>
              <w:t>员</w:t>
            </w:r>
          </w:p>
        </w:tc>
        <w:tc>
          <w:tcPr>
            <w:tcW w:w="1023" w:type="dxa"/>
            <w:vAlign w:val="top"/>
          </w:tcPr>
          <w:p w14:paraId="4460040E">
            <w:pPr>
              <w:keepLines w:val="0"/>
              <w:pageBreakBefore w:val="0"/>
              <w:kinsoku/>
              <w:wordWrap/>
              <w:overflowPunct/>
              <w:topLinePunct w:val="0"/>
              <w:bidi w:val="0"/>
              <w:rPr>
                <w:rFonts w:ascii="Arial"/>
                <w:sz w:val="24"/>
                <w:szCs w:val="24"/>
                <w:highlight w:val="none"/>
              </w:rPr>
            </w:pPr>
          </w:p>
        </w:tc>
        <w:tc>
          <w:tcPr>
            <w:tcW w:w="1024" w:type="dxa"/>
            <w:vAlign w:val="top"/>
          </w:tcPr>
          <w:p w14:paraId="5C09D09C">
            <w:pPr>
              <w:keepLines w:val="0"/>
              <w:pageBreakBefore w:val="0"/>
              <w:kinsoku/>
              <w:wordWrap/>
              <w:overflowPunct/>
              <w:topLinePunct w:val="0"/>
              <w:bidi w:val="0"/>
              <w:rPr>
                <w:rFonts w:ascii="Arial"/>
                <w:sz w:val="24"/>
                <w:szCs w:val="24"/>
                <w:highlight w:val="none"/>
              </w:rPr>
            </w:pPr>
          </w:p>
        </w:tc>
        <w:tc>
          <w:tcPr>
            <w:tcW w:w="1024" w:type="dxa"/>
            <w:vAlign w:val="top"/>
          </w:tcPr>
          <w:p w14:paraId="290E5E53">
            <w:pPr>
              <w:keepLines w:val="0"/>
              <w:pageBreakBefore w:val="0"/>
              <w:kinsoku/>
              <w:wordWrap/>
              <w:overflowPunct/>
              <w:topLinePunct w:val="0"/>
              <w:bidi w:val="0"/>
              <w:rPr>
                <w:rFonts w:ascii="Arial"/>
                <w:sz w:val="24"/>
                <w:szCs w:val="24"/>
                <w:highlight w:val="none"/>
              </w:rPr>
            </w:pPr>
          </w:p>
        </w:tc>
        <w:tc>
          <w:tcPr>
            <w:tcW w:w="1025" w:type="dxa"/>
            <w:vAlign w:val="top"/>
          </w:tcPr>
          <w:p w14:paraId="3C3BCE93">
            <w:pPr>
              <w:keepLines w:val="0"/>
              <w:pageBreakBefore w:val="0"/>
              <w:kinsoku/>
              <w:wordWrap/>
              <w:overflowPunct/>
              <w:topLinePunct w:val="0"/>
              <w:bidi w:val="0"/>
              <w:rPr>
                <w:rFonts w:ascii="Arial"/>
                <w:sz w:val="24"/>
                <w:szCs w:val="24"/>
                <w:highlight w:val="none"/>
              </w:rPr>
            </w:pPr>
          </w:p>
        </w:tc>
        <w:tc>
          <w:tcPr>
            <w:tcW w:w="1334" w:type="dxa"/>
            <w:vAlign w:val="top"/>
          </w:tcPr>
          <w:p w14:paraId="457B441B">
            <w:pPr>
              <w:keepLines w:val="0"/>
              <w:pageBreakBefore w:val="0"/>
              <w:kinsoku/>
              <w:wordWrap/>
              <w:overflowPunct/>
              <w:topLinePunct w:val="0"/>
              <w:bidi w:val="0"/>
              <w:rPr>
                <w:rFonts w:ascii="Arial"/>
                <w:sz w:val="24"/>
                <w:szCs w:val="24"/>
                <w:highlight w:val="none"/>
              </w:rPr>
            </w:pPr>
          </w:p>
        </w:tc>
        <w:tc>
          <w:tcPr>
            <w:tcW w:w="939" w:type="dxa"/>
            <w:vAlign w:val="top"/>
          </w:tcPr>
          <w:p w14:paraId="1AB9DA1B">
            <w:pPr>
              <w:keepLines w:val="0"/>
              <w:pageBreakBefore w:val="0"/>
              <w:kinsoku/>
              <w:wordWrap/>
              <w:overflowPunct/>
              <w:topLinePunct w:val="0"/>
              <w:bidi w:val="0"/>
              <w:rPr>
                <w:rFonts w:ascii="Arial"/>
                <w:sz w:val="24"/>
                <w:szCs w:val="24"/>
                <w:highlight w:val="none"/>
              </w:rPr>
            </w:pPr>
          </w:p>
        </w:tc>
        <w:tc>
          <w:tcPr>
            <w:tcW w:w="1068" w:type="dxa"/>
            <w:vAlign w:val="top"/>
          </w:tcPr>
          <w:p w14:paraId="38C25E6C">
            <w:pPr>
              <w:keepLines w:val="0"/>
              <w:pageBreakBefore w:val="0"/>
              <w:kinsoku/>
              <w:wordWrap/>
              <w:overflowPunct/>
              <w:topLinePunct w:val="0"/>
              <w:bidi w:val="0"/>
              <w:rPr>
                <w:rFonts w:ascii="Arial"/>
                <w:sz w:val="24"/>
                <w:szCs w:val="24"/>
                <w:highlight w:val="none"/>
              </w:rPr>
            </w:pPr>
          </w:p>
        </w:tc>
        <w:tc>
          <w:tcPr>
            <w:tcW w:w="950" w:type="dxa"/>
            <w:vAlign w:val="top"/>
          </w:tcPr>
          <w:p w14:paraId="465B48F8">
            <w:pPr>
              <w:keepLines w:val="0"/>
              <w:pageBreakBefore w:val="0"/>
              <w:kinsoku/>
              <w:wordWrap/>
              <w:overflowPunct/>
              <w:topLinePunct w:val="0"/>
              <w:bidi w:val="0"/>
              <w:rPr>
                <w:rFonts w:ascii="Arial"/>
                <w:sz w:val="24"/>
                <w:szCs w:val="24"/>
                <w:highlight w:val="none"/>
              </w:rPr>
            </w:pPr>
          </w:p>
        </w:tc>
      </w:tr>
      <w:tr w14:paraId="0CA4D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bottom w:val="nil"/>
            </w:tcBorders>
            <w:textDirection w:val="tbRlV"/>
            <w:vAlign w:val="top"/>
          </w:tcPr>
          <w:p w14:paraId="05547430">
            <w:pPr>
              <w:keepLines w:val="0"/>
              <w:pageBreakBefore w:val="0"/>
              <w:kinsoku/>
              <w:wordWrap/>
              <w:overflowPunct/>
              <w:topLinePunct w:val="0"/>
              <w:bidi w:val="0"/>
              <w:rPr>
                <w:rFonts w:ascii="Arial"/>
                <w:sz w:val="24"/>
                <w:szCs w:val="24"/>
                <w:highlight w:val="none"/>
              </w:rPr>
            </w:pPr>
          </w:p>
        </w:tc>
        <w:tc>
          <w:tcPr>
            <w:tcW w:w="1023" w:type="dxa"/>
            <w:vAlign w:val="top"/>
          </w:tcPr>
          <w:p w14:paraId="731DD1DB">
            <w:pPr>
              <w:keepLines w:val="0"/>
              <w:pageBreakBefore w:val="0"/>
              <w:kinsoku/>
              <w:wordWrap/>
              <w:overflowPunct/>
              <w:topLinePunct w:val="0"/>
              <w:bidi w:val="0"/>
              <w:rPr>
                <w:rFonts w:ascii="Arial"/>
                <w:sz w:val="24"/>
                <w:szCs w:val="24"/>
                <w:highlight w:val="none"/>
              </w:rPr>
            </w:pPr>
          </w:p>
        </w:tc>
        <w:tc>
          <w:tcPr>
            <w:tcW w:w="1024" w:type="dxa"/>
            <w:vAlign w:val="top"/>
          </w:tcPr>
          <w:p w14:paraId="257149D2">
            <w:pPr>
              <w:keepLines w:val="0"/>
              <w:pageBreakBefore w:val="0"/>
              <w:kinsoku/>
              <w:wordWrap/>
              <w:overflowPunct/>
              <w:topLinePunct w:val="0"/>
              <w:bidi w:val="0"/>
              <w:rPr>
                <w:rFonts w:ascii="Arial"/>
                <w:sz w:val="24"/>
                <w:szCs w:val="24"/>
                <w:highlight w:val="none"/>
              </w:rPr>
            </w:pPr>
          </w:p>
        </w:tc>
        <w:tc>
          <w:tcPr>
            <w:tcW w:w="1024" w:type="dxa"/>
            <w:vAlign w:val="top"/>
          </w:tcPr>
          <w:p w14:paraId="52421122">
            <w:pPr>
              <w:keepLines w:val="0"/>
              <w:pageBreakBefore w:val="0"/>
              <w:kinsoku/>
              <w:wordWrap/>
              <w:overflowPunct/>
              <w:topLinePunct w:val="0"/>
              <w:bidi w:val="0"/>
              <w:rPr>
                <w:rFonts w:ascii="Arial"/>
                <w:sz w:val="24"/>
                <w:szCs w:val="24"/>
                <w:highlight w:val="none"/>
              </w:rPr>
            </w:pPr>
          </w:p>
        </w:tc>
        <w:tc>
          <w:tcPr>
            <w:tcW w:w="1025" w:type="dxa"/>
            <w:vAlign w:val="top"/>
          </w:tcPr>
          <w:p w14:paraId="5BD527D1">
            <w:pPr>
              <w:keepLines w:val="0"/>
              <w:pageBreakBefore w:val="0"/>
              <w:kinsoku/>
              <w:wordWrap/>
              <w:overflowPunct/>
              <w:topLinePunct w:val="0"/>
              <w:bidi w:val="0"/>
              <w:rPr>
                <w:rFonts w:ascii="Arial"/>
                <w:sz w:val="24"/>
                <w:szCs w:val="24"/>
                <w:highlight w:val="none"/>
              </w:rPr>
            </w:pPr>
          </w:p>
        </w:tc>
        <w:tc>
          <w:tcPr>
            <w:tcW w:w="1334" w:type="dxa"/>
            <w:vAlign w:val="top"/>
          </w:tcPr>
          <w:p w14:paraId="6851B675">
            <w:pPr>
              <w:keepLines w:val="0"/>
              <w:pageBreakBefore w:val="0"/>
              <w:kinsoku/>
              <w:wordWrap/>
              <w:overflowPunct/>
              <w:topLinePunct w:val="0"/>
              <w:bidi w:val="0"/>
              <w:rPr>
                <w:rFonts w:ascii="Arial"/>
                <w:sz w:val="24"/>
                <w:szCs w:val="24"/>
                <w:highlight w:val="none"/>
              </w:rPr>
            </w:pPr>
          </w:p>
        </w:tc>
        <w:tc>
          <w:tcPr>
            <w:tcW w:w="939" w:type="dxa"/>
            <w:vAlign w:val="top"/>
          </w:tcPr>
          <w:p w14:paraId="573410BA">
            <w:pPr>
              <w:keepLines w:val="0"/>
              <w:pageBreakBefore w:val="0"/>
              <w:kinsoku/>
              <w:wordWrap/>
              <w:overflowPunct/>
              <w:topLinePunct w:val="0"/>
              <w:bidi w:val="0"/>
              <w:rPr>
                <w:rFonts w:ascii="Arial"/>
                <w:sz w:val="24"/>
                <w:szCs w:val="24"/>
                <w:highlight w:val="none"/>
              </w:rPr>
            </w:pPr>
          </w:p>
        </w:tc>
        <w:tc>
          <w:tcPr>
            <w:tcW w:w="1068" w:type="dxa"/>
            <w:vAlign w:val="top"/>
          </w:tcPr>
          <w:p w14:paraId="730FA773">
            <w:pPr>
              <w:keepLines w:val="0"/>
              <w:pageBreakBefore w:val="0"/>
              <w:kinsoku/>
              <w:wordWrap/>
              <w:overflowPunct/>
              <w:topLinePunct w:val="0"/>
              <w:bidi w:val="0"/>
              <w:rPr>
                <w:rFonts w:ascii="Arial"/>
                <w:sz w:val="24"/>
                <w:szCs w:val="24"/>
                <w:highlight w:val="none"/>
              </w:rPr>
            </w:pPr>
          </w:p>
        </w:tc>
        <w:tc>
          <w:tcPr>
            <w:tcW w:w="950" w:type="dxa"/>
            <w:vAlign w:val="top"/>
          </w:tcPr>
          <w:p w14:paraId="0AF626D9">
            <w:pPr>
              <w:keepLines w:val="0"/>
              <w:pageBreakBefore w:val="0"/>
              <w:kinsoku/>
              <w:wordWrap/>
              <w:overflowPunct/>
              <w:topLinePunct w:val="0"/>
              <w:bidi w:val="0"/>
              <w:rPr>
                <w:rFonts w:ascii="Arial"/>
                <w:sz w:val="24"/>
                <w:szCs w:val="24"/>
                <w:highlight w:val="none"/>
              </w:rPr>
            </w:pPr>
          </w:p>
        </w:tc>
      </w:tr>
      <w:tr w14:paraId="62E07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6C1A51F8">
            <w:pPr>
              <w:keepLines w:val="0"/>
              <w:pageBreakBefore w:val="0"/>
              <w:kinsoku/>
              <w:wordWrap/>
              <w:overflowPunct/>
              <w:topLinePunct w:val="0"/>
              <w:bidi w:val="0"/>
              <w:rPr>
                <w:rFonts w:ascii="Arial"/>
                <w:sz w:val="24"/>
                <w:szCs w:val="24"/>
                <w:highlight w:val="none"/>
              </w:rPr>
            </w:pPr>
          </w:p>
        </w:tc>
        <w:tc>
          <w:tcPr>
            <w:tcW w:w="1023" w:type="dxa"/>
            <w:vAlign w:val="top"/>
          </w:tcPr>
          <w:p w14:paraId="0F485D68">
            <w:pPr>
              <w:keepLines w:val="0"/>
              <w:pageBreakBefore w:val="0"/>
              <w:kinsoku/>
              <w:wordWrap/>
              <w:overflowPunct/>
              <w:topLinePunct w:val="0"/>
              <w:bidi w:val="0"/>
              <w:rPr>
                <w:rFonts w:ascii="Arial"/>
                <w:sz w:val="24"/>
                <w:szCs w:val="24"/>
                <w:highlight w:val="none"/>
              </w:rPr>
            </w:pPr>
          </w:p>
        </w:tc>
        <w:tc>
          <w:tcPr>
            <w:tcW w:w="1024" w:type="dxa"/>
            <w:vAlign w:val="top"/>
          </w:tcPr>
          <w:p w14:paraId="126FADDB">
            <w:pPr>
              <w:keepLines w:val="0"/>
              <w:pageBreakBefore w:val="0"/>
              <w:kinsoku/>
              <w:wordWrap/>
              <w:overflowPunct/>
              <w:topLinePunct w:val="0"/>
              <w:bidi w:val="0"/>
              <w:rPr>
                <w:rFonts w:ascii="Arial"/>
                <w:sz w:val="24"/>
                <w:szCs w:val="24"/>
                <w:highlight w:val="none"/>
              </w:rPr>
            </w:pPr>
          </w:p>
        </w:tc>
        <w:tc>
          <w:tcPr>
            <w:tcW w:w="1024" w:type="dxa"/>
            <w:vAlign w:val="top"/>
          </w:tcPr>
          <w:p w14:paraId="4AB6A70A">
            <w:pPr>
              <w:keepLines w:val="0"/>
              <w:pageBreakBefore w:val="0"/>
              <w:kinsoku/>
              <w:wordWrap/>
              <w:overflowPunct/>
              <w:topLinePunct w:val="0"/>
              <w:bidi w:val="0"/>
              <w:rPr>
                <w:rFonts w:ascii="Arial"/>
                <w:sz w:val="24"/>
                <w:szCs w:val="24"/>
                <w:highlight w:val="none"/>
              </w:rPr>
            </w:pPr>
          </w:p>
        </w:tc>
        <w:tc>
          <w:tcPr>
            <w:tcW w:w="1025" w:type="dxa"/>
            <w:vAlign w:val="top"/>
          </w:tcPr>
          <w:p w14:paraId="2C287347">
            <w:pPr>
              <w:keepLines w:val="0"/>
              <w:pageBreakBefore w:val="0"/>
              <w:kinsoku/>
              <w:wordWrap/>
              <w:overflowPunct/>
              <w:topLinePunct w:val="0"/>
              <w:bidi w:val="0"/>
              <w:rPr>
                <w:rFonts w:ascii="Arial"/>
                <w:sz w:val="24"/>
                <w:szCs w:val="24"/>
                <w:highlight w:val="none"/>
              </w:rPr>
            </w:pPr>
          </w:p>
        </w:tc>
        <w:tc>
          <w:tcPr>
            <w:tcW w:w="1334" w:type="dxa"/>
            <w:vAlign w:val="top"/>
          </w:tcPr>
          <w:p w14:paraId="3B8CE7CB">
            <w:pPr>
              <w:keepLines w:val="0"/>
              <w:pageBreakBefore w:val="0"/>
              <w:kinsoku/>
              <w:wordWrap/>
              <w:overflowPunct/>
              <w:topLinePunct w:val="0"/>
              <w:bidi w:val="0"/>
              <w:rPr>
                <w:rFonts w:ascii="Arial"/>
                <w:sz w:val="24"/>
                <w:szCs w:val="24"/>
                <w:highlight w:val="none"/>
              </w:rPr>
            </w:pPr>
          </w:p>
        </w:tc>
        <w:tc>
          <w:tcPr>
            <w:tcW w:w="939" w:type="dxa"/>
            <w:vAlign w:val="top"/>
          </w:tcPr>
          <w:p w14:paraId="0E278EE4">
            <w:pPr>
              <w:keepLines w:val="0"/>
              <w:pageBreakBefore w:val="0"/>
              <w:kinsoku/>
              <w:wordWrap/>
              <w:overflowPunct/>
              <w:topLinePunct w:val="0"/>
              <w:bidi w:val="0"/>
              <w:rPr>
                <w:rFonts w:ascii="Arial"/>
                <w:sz w:val="24"/>
                <w:szCs w:val="24"/>
                <w:highlight w:val="none"/>
              </w:rPr>
            </w:pPr>
          </w:p>
        </w:tc>
        <w:tc>
          <w:tcPr>
            <w:tcW w:w="1068" w:type="dxa"/>
            <w:vAlign w:val="top"/>
          </w:tcPr>
          <w:p w14:paraId="4F8A36CB">
            <w:pPr>
              <w:keepLines w:val="0"/>
              <w:pageBreakBefore w:val="0"/>
              <w:kinsoku/>
              <w:wordWrap/>
              <w:overflowPunct/>
              <w:topLinePunct w:val="0"/>
              <w:bidi w:val="0"/>
              <w:rPr>
                <w:rFonts w:ascii="Arial"/>
                <w:sz w:val="24"/>
                <w:szCs w:val="24"/>
                <w:highlight w:val="none"/>
              </w:rPr>
            </w:pPr>
          </w:p>
        </w:tc>
        <w:tc>
          <w:tcPr>
            <w:tcW w:w="950" w:type="dxa"/>
            <w:vAlign w:val="top"/>
          </w:tcPr>
          <w:p w14:paraId="3D2EC908">
            <w:pPr>
              <w:keepLines w:val="0"/>
              <w:pageBreakBefore w:val="0"/>
              <w:kinsoku/>
              <w:wordWrap/>
              <w:overflowPunct/>
              <w:topLinePunct w:val="0"/>
              <w:bidi w:val="0"/>
              <w:rPr>
                <w:rFonts w:ascii="Arial"/>
                <w:sz w:val="24"/>
                <w:szCs w:val="24"/>
                <w:highlight w:val="none"/>
              </w:rPr>
            </w:pPr>
          </w:p>
        </w:tc>
      </w:tr>
      <w:tr w14:paraId="5FE0F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660D1E60">
            <w:pPr>
              <w:keepLines w:val="0"/>
              <w:pageBreakBefore w:val="0"/>
              <w:kinsoku/>
              <w:wordWrap/>
              <w:overflowPunct/>
              <w:topLinePunct w:val="0"/>
              <w:bidi w:val="0"/>
              <w:spacing w:line="409" w:lineRule="auto"/>
              <w:rPr>
                <w:rFonts w:ascii="Arial"/>
                <w:sz w:val="24"/>
                <w:szCs w:val="24"/>
                <w:highlight w:val="none"/>
              </w:rPr>
            </w:pPr>
          </w:p>
          <w:p w14:paraId="2580763D">
            <w:pPr>
              <w:pStyle w:val="27"/>
              <w:keepLines w:val="0"/>
              <w:pageBreakBefore w:val="0"/>
              <w:kinsoku/>
              <w:wordWrap/>
              <w:overflowPunct/>
              <w:topLinePunct w:val="0"/>
              <w:bidi w:val="0"/>
              <w:spacing w:before="67" w:line="210" w:lineRule="auto"/>
              <w:ind w:left="143"/>
              <w:rPr>
                <w:sz w:val="24"/>
                <w:szCs w:val="24"/>
                <w:highlight w:val="none"/>
              </w:rPr>
            </w:pPr>
            <w:r>
              <w:rPr>
                <w:spacing w:val="13"/>
                <w:sz w:val="24"/>
                <w:szCs w:val="24"/>
                <w:highlight w:val="none"/>
              </w:rPr>
              <w:t>服</w:t>
            </w:r>
            <w:r>
              <w:rPr>
                <w:spacing w:val="89"/>
                <w:sz w:val="24"/>
                <w:szCs w:val="24"/>
                <w:highlight w:val="none"/>
              </w:rPr>
              <w:t xml:space="preserve"> </w:t>
            </w:r>
            <w:r>
              <w:rPr>
                <w:spacing w:val="13"/>
                <w:sz w:val="24"/>
                <w:szCs w:val="24"/>
                <w:highlight w:val="none"/>
              </w:rPr>
              <w:t>务</w:t>
            </w:r>
            <w:r>
              <w:rPr>
                <w:spacing w:val="87"/>
                <w:sz w:val="24"/>
                <w:szCs w:val="24"/>
                <w:highlight w:val="none"/>
              </w:rPr>
              <w:t xml:space="preserve"> </w:t>
            </w:r>
            <w:r>
              <w:rPr>
                <w:spacing w:val="13"/>
                <w:sz w:val="24"/>
                <w:szCs w:val="24"/>
                <w:highlight w:val="none"/>
              </w:rPr>
              <w:t>人</w:t>
            </w:r>
            <w:r>
              <w:rPr>
                <w:spacing w:val="84"/>
                <w:sz w:val="24"/>
                <w:szCs w:val="24"/>
                <w:highlight w:val="none"/>
              </w:rPr>
              <w:t xml:space="preserve"> </w:t>
            </w:r>
            <w:r>
              <w:rPr>
                <w:spacing w:val="13"/>
                <w:sz w:val="24"/>
                <w:szCs w:val="24"/>
                <w:highlight w:val="none"/>
              </w:rPr>
              <w:t>员</w:t>
            </w:r>
          </w:p>
        </w:tc>
        <w:tc>
          <w:tcPr>
            <w:tcW w:w="1023" w:type="dxa"/>
            <w:vAlign w:val="top"/>
          </w:tcPr>
          <w:p w14:paraId="0DEA6B55">
            <w:pPr>
              <w:keepLines w:val="0"/>
              <w:pageBreakBefore w:val="0"/>
              <w:kinsoku/>
              <w:wordWrap/>
              <w:overflowPunct/>
              <w:topLinePunct w:val="0"/>
              <w:bidi w:val="0"/>
              <w:rPr>
                <w:rFonts w:ascii="Arial"/>
                <w:sz w:val="24"/>
                <w:szCs w:val="24"/>
                <w:highlight w:val="none"/>
              </w:rPr>
            </w:pPr>
          </w:p>
        </w:tc>
        <w:tc>
          <w:tcPr>
            <w:tcW w:w="1024" w:type="dxa"/>
            <w:vAlign w:val="top"/>
          </w:tcPr>
          <w:p w14:paraId="545C2529">
            <w:pPr>
              <w:keepLines w:val="0"/>
              <w:pageBreakBefore w:val="0"/>
              <w:kinsoku/>
              <w:wordWrap/>
              <w:overflowPunct/>
              <w:topLinePunct w:val="0"/>
              <w:bidi w:val="0"/>
              <w:rPr>
                <w:rFonts w:ascii="Arial"/>
                <w:sz w:val="24"/>
                <w:szCs w:val="24"/>
                <w:highlight w:val="none"/>
              </w:rPr>
            </w:pPr>
          </w:p>
        </w:tc>
        <w:tc>
          <w:tcPr>
            <w:tcW w:w="1024" w:type="dxa"/>
            <w:vAlign w:val="top"/>
          </w:tcPr>
          <w:p w14:paraId="0D32F29E">
            <w:pPr>
              <w:keepLines w:val="0"/>
              <w:pageBreakBefore w:val="0"/>
              <w:kinsoku/>
              <w:wordWrap/>
              <w:overflowPunct/>
              <w:topLinePunct w:val="0"/>
              <w:bidi w:val="0"/>
              <w:rPr>
                <w:rFonts w:ascii="Arial"/>
                <w:sz w:val="24"/>
                <w:szCs w:val="24"/>
                <w:highlight w:val="none"/>
              </w:rPr>
            </w:pPr>
          </w:p>
        </w:tc>
        <w:tc>
          <w:tcPr>
            <w:tcW w:w="1025" w:type="dxa"/>
            <w:vAlign w:val="top"/>
          </w:tcPr>
          <w:p w14:paraId="671B0850">
            <w:pPr>
              <w:keepLines w:val="0"/>
              <w:pageBreakBefore w:val="0"/>
              <w:kinsoku/>
              <w:wordWrap/>
              <w:overflowPunct/>
              <w:topLinePunct w:val="0"/>
              <w:bidi w:val="0"/>
              <w:rPr>
                <w:rFonts w:ascii="Arial"/>
                <w:sz w:val="24"/>
                <w:szCs w:val="24"/>
                <w:highlight w:val="none"/>
              </w:rPr>
            </w:pPr>
          </w:p>
        </w:tc>
        <w:tc>
          <w:tcPr>
            <w:tcW w:w="1334" w:type="dxa"/>
            <w:vAlign w:val="top"/>
          </w:tcPr>
          <w:p w14:paraId="009200A1">
            <w:pPr>
              <w:keepLines w:val="0"/>
              <w:pageBreakBefore w:val="0"/>
              <w:kinsoku/>
              <w:wordWrap/>
              <w:overflowPunct/>
              <w:topLinePunct w:val="0"/>
              <w:bidi w:val="0"/>
              <w:rPr>
                <w:rFonts w:ascii="Arial"/>
                <w:sz w:val="24"/>
                <w:szCs w:val="24"/>
                <w:highlight w:val="none"/>
              </w:rPr>
            </w:pPr>
          </w:p>
        </w:tc>
        <w:tc>
          <w:tcPr>
            <w:tcW w:w="939" w:type="dxa"/>
            <w:vAlign w:val="top"/>
          </w:tcPr>
          <w:p w14:paraId="5D244430">
            <w:pPr>
              <w:keepLines w:val="0"/>
              <w:pageBreakBefore w:val="0"/>
              <w:kinsoku/>
              <w:wordWrap/>
              <w:overflowPunct/>
              <w:topLinePunct w:val="0"/>
              <w:bidi w:val="0"/>
              <w:rPr>
                <w:rFonts w:ascii="Arial"/>
                <w:sz w:val="24"/>
                <w:szCs w:val="24"/>
                <w:highlight w:val="none"/>
              </w:rPr>
            </w:pPr>
          </w:p>
        </w:tc>
        <w:tc>
          <w:tcPr>
            <w:tcW w:w="1068" w:type="dxa"/>
            <w:vAlign w:val="top"/>
          </w:tcPr>
          <w:p w14:paraId="4B6003FB">
            <w:pPr>
              <w:keepLines w:val="0"/>
              <w:pageBreakBefore w:val="0"/>
              <w:kinsoku/>
              <w:wordWrap/>
              <w:overflowPunct/>
              <w:topLinePunct w:val="0"/>
              <w:bidi w:val="0"/>
              <w:rPr>
                <w:rFonts w:ascii="Arial"/>
                <w:sz w:val="24"/>
                <w:szCs w:val="24"/>
                <w:highlight w:val="none"/>
              </w:rPr>
            </w:pPr>
          </w:p>
        </w:tc>
        <w:tc>
          <w:tcPr>
            <w:tcW w:w="950" w:type="dxa"/>
            <w:vAlign w:val="top"/>
          </w:tcPr>
          <w:p w14:paraId="5E236158">
            <w:pPr>
              <w:keepLines w:val="0"/>
              <w:pageBreakBefore w:val="0"/>
              <w:kinsoku/>
              <w:wordWrap/>
              <w:overflowPunct/>
              <w:topLinePunct w:val="0"/>
              <w:bidi w:val="0"/>
              <w:rPr>
                <w:rFonts w:ascii="Arial"/>
                <w:sz w:val="24"/>
                <w:szCs w:val="24"/>
                <w:highlight w:val="none"/>
              </w:rPr>
            </w:pPr>
          </w:p>
        </w:tc>
      </w:tr>
      <w:tr w14:paraId="317EE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continue"/>
            <w:tcBorders>
              <w:top w:val="nil"/>
              <w:bottom w:val="nil"/>
            </w:tcBorders>
            <w:textDirection w:val="tbRlV"/>
            <w:vAlign w:val="top"/>
          </w:tcPr>
          <w:p w14:paraId="08711C3B">
            <w:pPr>
              <w:keepLines w:val="0"/>
              <w:pageBreakBefore w:val="0"/>
              <w:kinsoku/>
              <w:wordWrap/>
              <w:overflowPunct/>
              <w:topLinePunct w:val="0"/>
              <w:bidi w:val="0"/>
              <w:rPr>
                <w:rFonts w:ascii="Arial"/>
                <w:sz w:val="24"/>
                <w:szCs w:val="24"/>
                <w:highlight w:val="none"/>
              </w:rPr>
            </w:pPr>
          </w:p>
        </w:tc>
        <w:tc>
          <w:tcPr>
            <w:tcW w:w="1023" w:type="dxa"/>
            <w:vAlign w:val="top"/>
          </w:tcPr>
          <w:p w14:paraId="2793B813">
            <w:pPr>
              <w:keepLines w:val="0"/>
              <w:pageBreakBefore w:val="0"/>
              <w:kinsoku/>
              <w:wordWrap/>
              <w:overflowPunct/>
              <w:topLinePunct w:val="0"/>
              <w:bidi w:val="0"/>
              <w:rPr>
                <w:rFonts w:ascii="Arial"/>
                <w:sz w:val="24"/>
                <w:szCs w:val="24"/>
                <w:highlight w:val="none"/>
              </w:rPr>
            </w:pPr>
          </w:p>
        </w:tc>
        <w:tc>
          <w:tcPr>
            <w:tcW w:w="1024" w:type="dxa"/>
            <w:vAlign w:val="top"/>
          </w:tcPr>
          <w:p w14:paraId="4B779EA1">
            <w:pPr>
              <w:keepLines w:val="0"/>
              <w:pageBreakBefore w:val="0"/>
              <w:kinsoku/>
              <w:wordWrap/>
              <w:overflowPunct/>
              <w:topLinePunct w:val="0"/>
              <w:bidi w:val="0"/>
              <w:rPr>
                <w:rFonts w:ascii="Arial"/>
                <w:sz w:val="24"/>
                <w:szCs w:val="24"/>
                <w:highlight w:val="none"/>
              </w:rPr>
            </w:pPr>
          </w:p>
        </w:tc>
        <w:tc>
          <w:tcPr>
            <w:tcW w:w="1024" w:type="dxa"/>
            <w:vAlign w:val="top"/>
          </w:tcPr>
          <w:p w14:paraId="24980754">
            <w:pPr>
              <w:keepLines w:val="0"/>
              <w:pageBreakBefore w:val="0"/>
              <w:kinsoku/>
              <w:wordWrap/>
              <w:overflowPunct/>
              <w:topLinePunct w:val="0"/>
              <w:bidi w:val="0"/>
              <w:rPr>
                <w:rFonts w:ascii="Arial"/>
                <w:sz w:val="24"/>
                <w:szCs w:val="24"/>
                <w:highlight w:val="none"/>
              </w:rPr>
            </w:pPr>
          </w:p>
        </w:tc>
        <w:tc>
          <w:tcPr>
            <w:tcW w:w="1025" w:type="dxa"/>
            <w:vAlign w:val="top"/>
          </w:tcPr>
          <w:p w14:paraId="0D8C5967">
            <w:pPr>
              <w:keepLines w:val="0"/>
              <w:pageBreakBefore w:val="0"/>
              <w:kinsoku/>
              <w:wordWrap/>
              <w:overflowPunct/>
              <w:topLinePunct w:val="0"/>
              <w:bidi w:val="0"/>
              <w:rPr>
                <w:rFonts w:ascii="Arial"/>
                <w:sz w:val="24"/>
                <w:szCs w:val="24"/>
                <w:highlight w:val="none"/>
              </w:rPr>
            </w:pPr>
          </w:p>
        </w:tc>
        <w:tc>
          <w:tcPr>
            <w:tcW w:w="1334" w:type="dxa"/>
            <w:vAlign w:val="top"/>
          </w:tcPr>
          <w:p w14:paraId="3AFC2751">
            <w:pPr>
              <w:keepLines w:val="0"/>
              <w:pageBreakBefore w:val="0"/>
              <w:kinsoku/>
              <w:wordWrap/>
              <w:overflowPunct/>
              <w:topLinePunct w:val="0"/>
              <w:bidi w:val="0"/>
              <w:rPr>
                <w:rFonts w:ascii="Arial"/>
                <w:sz w:val="24"/>
                <w:szCs w:val="24"/>
                <w:highlight w:val="none"/>
              </w:rPr>
            </w:pPr>
          </w:p>
        </w:tc>
        <w:tc>
          <w:tcPr>
            <w:tcW w:w="939" w:type="dxa"/>
            <w:vAlign w:val="top"/>
          </w:tcPr>
          <w:p w14:paraId="5D04C2E0">
            <w:pPr>
              <w:keepLines w:val="0"/>
              <w:pageBreakBefore w:val="0"/>
              <w:kinsoku/>
              <w:wordWrap/>
              <w:overflowPunct/>
              <w:topLinePunct w:val="0"/>
              <w:bidi w:val="0"/>
              <w:rPr>
                <w:rFonts w:ascii="Arial"/>
                <w:sz w:val="24"/>
                <w:szCs w:val="24"/>
                <w:highlight w:val="none"/>
              </w:rPr>
            </w:pPr>
          </w:p>
        </w:tc>
        <w:tc>
          <w:tcPr>
            <w:tcW w:w="1068" w:type="dxa"/>
            <w:vAlign w:val="top"/>
          </w:tcPr>
          <w:p w14:paraId="5AD4851B">
            <w:pPr>
              <w:keepLines w:val="0"/>
              <w:pageBreakBefore w:val="0"/>
              <w:kinsoku/>
              <w:wordWrap/>
              <w:overflowPunct/>
              <w:topLinePunct w:val="0"/>
              <w:bidi w:val="0"/>
              <w:rPr>
                <w:rFonts w:ascii="Arial"/>
                <w:sz w:val="24"/>
                <w:szCs w:val="24"/>
                <w:highlight w:val="none"/>
              </w:rPr>
            </w:pPr>
          </w:p>
        </w:tc>
        <w:tc>
          <w:tcPr>
            <w:tcW w:w="950" w:type="dxa"/>
            <w:vAlign w:val="top"/>
          </w:tcPr>
          <w:p w14:paraId="786AB985">
            <w:pPr>
              <w:keepLines w:val="0"/>
              <w:pageBreakBefore w:val="0"/>
              <w:kinsoku/>
              <w:wordWrap/>
              <w:overflowPunct/>
              <w:topLinePunct w:val="0"/>
              <w:bidi w:val="0"/>
              <w:rPr>
                <w:rFonts w:ascii="Arial"/>
                <w:sz w:val="24"/>
                <w:szCs w:val="24"/>
                <w:highlight w:val="none"/>
              </w:rPr>
            </w:pPr>
          </w:p>
        </w:tc>
      </w:tr>
      <w:tr w14:paraId="5B0ED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6F6F0B2B">
            <w:pPr>
              <w:keepLines w:val="0"/>
              <w:pageBreakBefore w:val="0"/>
              <w:kinsoku/>
              <w:wordWrap/>
              <w:overflowPunct/>
              <w:topLinePunct w:val="0"/>
              <w:bidi w:val="0"/>
              <w:rPr>
                <w:rFonts w:ascii="Arial"/>
                <w:sz w:val="24"/>
                <w:szCs w:val="24"/>
                <w:highlight w:val="none"/>
              </w:rPr>
            </w:pPr>
          </w:p>
        </w:tc>
        <w:tc>
          <w:tcPr>
            <w:tcW w:w="1023" w:type="dxa"/>
            <w:vAlign w:val="top"/>
          </w:tcPr>
          <w:p w14:paraId="12D6202F">
            <w:pPr>
              <w:keepLines w:val="0"/>
              <w:pageBreakBefore w:val="0"/>
              <w:kinsoku/>
              <w:wordWrap/>
              <w:overflowPunct/>
              <w:topLinePunct w:val="0"/>
              <w:bidi w:val="0"/>
              <w:rPr>
                <w:rFonts w:ascii="Arial"/>
                <w:sz w:val="24"/>
                <w:szCs w:val="24"/>
                <w:highlight w:val="none"/>
              </w:rPr>
            </w:pPr>
          </w:p>
        </w:tc>
        <w:tc>
          <w:tcPr>
            <w:tcW w:w="1024" w:type="dxa"/>
            <w:vAlign w:val="top"/>
          </w:tcPr>
          <w:p w14:paraId="373D2F91">
            <w:pPr>
              <w:keepLines w:val="0"/>
              <w:pageBreakBefore w:val="0"/>
              <w:kinsoku/>
              <w:wordWrap/>
              <w:overflowPunct/>
              <w:topLinePunct w:val="0"/>
              <w:bidi w:val="0"/>
              <w:rPr>
                <w:rFonts w:ascii="Arial"/>
                <w:sz w:val="24"/>
                <w:szCs w:val="24"/>
                <w:highlight w:val="none"/>
              </w:rPr>
            </w:pPr>
          </w:p>
        </w:tc>
        <w:tc>
          <w:tcPr>
            <w:tcW w:w="1024" w:type="dxa"/>
            <w:vAlign w:val="top"/>
          </w:tcPr>
          <w:p w14:paraId="41EB4209">
            <w:pPr>
              <w:keepLines w:val="0"/>
              <w:pageBreakBefore w:val="0"/>
              <w:kinsoku/>
              <w:wordWrap/>
              <w:overflowPunct/>
              <w:topLinePunct w:val="0"/>
              <w:bidi w:val="0"/>
              <w:rPr>
                <w:rFonts w:ascii="Arial"/>
                <w:sz w:val="24"/>
                <w:szCs w:val="24"/>
                <w:highlight w:val="none"/>
              </w:rPr>
            </w:pPr>
          </w:p>
        </w:tc>
        <w:tc>
          <w:tcPr>
            <w:tcW w:w="1025" w:type="dxa"/>
            <w:vAlign w:val="top"/>
          </w:tcPr>
          <w:p w14:paraId="30873EDE">
            <w:pPr>
              <w:keepLines w:val="0"/>
              <w:pageBreakBefore w:val="0"/>
              <w:kinsoku/>
              <w:wordWrap/>
              <w:overflowPunct/>
              <w:topLinePunct w:val="0"/>
              <w:bidi w:val="0"/>
              <w:rPr>
                <w:rFonts w:ascii="Arial"/>
                <w:sz w:val="24"/>
                <w:szCs w:val="24"/>
                <w:highlight w:val="none"/>
              </w:rPr>
            </w:pPr>
          </w:p>
        </w:tc>
        <w:tc>
          <w:tcPr>
            <w:tcW w:w="1334" w:type="dxa"/>
            <w:vAlign w:val="top"/>
          </w:tcPr>
          <w:p w14:paraId="7D25FA0C">
            <w:pPr>
              <w:keepLines w:val="0"/>
              <w:pageBreakBefore w:val="0"/>
              <w:kinsoku/>
              <w:wordWrap/>
              <w:overflowPunct/>
              <w:topLinePunct w:val="0"/>
              <w:bidi w:val="0"/>
              <w:rPr>
                <w:rFonts w:ascii="Arial"/>
                <w:sz w:val="24"/>
                <w:szCs w:val="24"/>
                <w:highlight w:val="none"/>
              </w:rPr>
            </w:pPr>
          </w:p>
        </w:tc>
        <w:tc>
          <w:tcPr>
            <w:tcW w:w="939" w:type="dxa"/>
            <w:vAlign w:val="top"/>
          </w:tcPr>
          <w:p w14:paraId="6FAE26FC">
            <w:pPr>
              <w:keepLines w:val="0"/>
              <w:pageBreakBefore w:val="0"/>
              <w:kinsoku/>
              <w:wordWrap/>
              <w:overflowPunct/>
              <w:topLinePunct w:val="0"/>
              <w:bidi w:val="0"/>
              <w:rPr>
                <w:rFonts w:ascii="Arial"/>
                <w:sz w:val="24"/>
                <w:szCs w:val="24"/>
                <w:highlight w:val="none"/>
              </w:rPr>
            </w:pPr>
          </w:p>
        </w:tc>
        <w:tc>
          <w:tcPr>
            <w:tcW w:w="1068" w:type="dxa"/>
            <w:vAlign w:val="top"/>
          </w:tcPr>
          <w:p w14:paraId="3241982B">
            <w:pPr>
              <w:keepLines w:val="0"/>
              <w:pageBreakBefore w:val="0"/>
              <w:kinsoku/>
              <w:wordWrap/>
              <w:overflowPunct/>
              <w:topLinePunct w:val="0"/>
              <w:bidi w:val="0"/>
              <w:rPr>
                <w:rFonts w:ascii="Arial"/>
                <w:sz w:val="24"/>
                <w:szCs w:val="24"/>
                <w:highlight w:val="none"/>
              </w:rPr>
            </w:pPr>
          </w:p>
        </w:tc>
        <w:tc>
          <w:tcPr>
            <w:tcW w:w="950" w:type="dxa"/>
            <w:vAlign w:val="top"/>
          </w:tcPr>
          <w:p w14:paraId="235C03EA">
            <w:pPr>
              <w:keepLines w:val="0"/>
              <w:pageBreakBefore w:val="0"/>
              <w:kinsoku/>
              <w:wordWrap/>
              <w:overflowPunct/>
              <w:topLinePunct w:val="0"/>
              <w:bidi w:val="0"/>
              <w:rPr>
                <w:rFonts w:ascii="Arial"/>
                <w:sz w:val="24"/>
                <w:szCs w:val="24"/>
                <w:highlight w:val="none"/>
              </w:rPr>
            </w:pPr>
          </w:p>
        </w:tc>
      </w:tr>
      <w:tr w14:paraId="5C32C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73140D12">
            <w:pPr>
              <w:keepLines w:val="0"/>
              <w:pageBreakBefore w:val="0"/>
              <w:kinsoku/>
              <w:wordWrap/>
              <w:overflowPunct/>
              <w:topLinePunct w:val="0"/>
              <w:bidi w:val="0"/>
              <w:spacing w:line="409" w:lineRule="auto"/>
              <w:rPr>
                <w:rFonts w:ascii="Arial"/>
                <w:sz w:val="24"/>
                <w:szCs w:val="24"/>
                <w:highlight w:val="none"/>
              </w:rPr>
            </w:pPr>
          </w:p>
          <w:p w14:paraId="4B14C7B8">
            <w:pPr>
              <w:pStyle w:val="27"/>
              <w:keepLines w:val="0"/>
              <w:pageBreakBefore w:val="0"/>
              <w:kinsoku/>
              <w:wordWrap/>
              <w:overflowPunct/>
              <w:topLinePunct w:val="0"/>
              <w:bidi w:val="0"/>
              <w:spacing w:before="67" w:line="208" w:lineRule="auto"/>
              <w:ind w:left="144"/>
              <w:rPr>
                <w:sz w:val="24"/>
                <w:szCs w:val="24"/>
                <w:highlight w:val="none"/>
              </w:rPr>
            </w:pPr>
            <w:r>
              <w:rPr>
                <w:spacing w:val="13"/>
                <w:sz w:val="24"/>
                <w:szCs w:val="24"/>
                <w:highlight w:val="none"/>
              </w:rPr>
              <w:t>其</w:t>
            </w:r>
            <w:r>
              <w:rPr>
                <w:spacing w:val="89"/>
                <w:sz w:val="24"/>
                <w:szCs w:val="24"/>
                <w:highlight w:val="none"/>
              </w:rPr>
              <w:t xml:space="preserve"> </w:t>
            </w:r>
            <w:r>
              <w:rPr>
                <w:spacing w:val="13"/>
                <w:sz w:val="24"/>
                <w:szCs w:val="24"/>
                <w:highlight w:val="none"/>
              </w:rPr>
              <w:t>他</w:t>
            </w:r>
            <w:r>
              <w:rPr>
                <w:spacing w:val="84"/>
                <w:sz w:val="24"/>
                <w:szCs w:val="24"/>
                <w:highlight w:val="none"/>
              </w:rPr>
              <w:t xml:space="preserve"> </w:t>
            </w:r>
            <w:r>
              <w:rPr>
                <w:spacing w:val="13"/>
                <w:sz w:val="24"/>
                <w:szCs w:val="24"/>
                <w:highlight w:val="none"/>
              </w:rPr>
              <w:t>人</w:t>
            </w:r>
            <w:r>
              <w:rPr>
                <w:spacing w:val="87"/>
                <w:sz w:val="24"/>
                <w:szCs w:val="24"/>
                <w:highlight w:val="none"/>
              </w:rPr>
              <w:t xml:space="preserve"> </w:t>
            </w:r>
            <w:r>
              <w:rPr>
                <w:spacing w:val="13"/>
                <w:sz w:val="24"/>
                <w:szCs w:val="24"/>
                <w:highlight w:val="none"/>
              </w:rPr>
              <w:t>员</w:t>
            </w:r>
          </w:p>
        </w:tc>
        <w:tc>
          <w:tcPr>
            <w:tcW w:w="1023" w:type="dxa"/>
            <w:vAlign w:val="top"/>
          </w:tcPr>
          <w:p w14:paraId="3EC2B4C2">
            <w:pPr>
              <w:keepLines w:val="0"/>
              <w:pageBreakBefore w:val="0"/>
              <w:kinsoku/>
              <w:wordWrap/>
              <w:overflowPunct/>
              <w:topLinePunct w:val="0"/>
              <w:bidi w:val="0"/>
              <w:rPr>
                <w:rFonts w:ascii="Arial"/>
                <w:sz w:val="24"/>
                <w:szCs w:val="24"/>
                <w:highlight w:val="none"/>
              </w:rPr>
            </w:pPr>
          </w:p>
        </w:tc>
        <w:tc>
          <w:tcPr>
            <w:tcW w:w="1024" w:type="dxa"/>
            <w:vAlign w:val="top"/>
          </w:tcPr>
          <w:p w14:paraId="2452E7FB">
            <w:pPr>
              <w:keepLines w:val="0"/>
              <w:pageBreakBefore w:val="0"/>
              <w:kinsoku/>
              <w:wordWrap/>
              <w:overflowPunct/>
              <w:topLinePunct w:val="0"/>
              <w:bidi w:val="0"/>
              <w:rPr>
                <w:rFonts w:ascii="Arial"/>
                <w:sz w:val="24"/>
                <w:szCs w:val="24"/>
                <w:highlight w:val="none"/>
              </w:rPr>
            </w:pPr>
          </w:p>
        </w:tc>
        <w:tc>
          <w:tcPr>
            <w:tcW w:w="1024" w:type="dxa"/>
            <w:vAlign w:val="top"/>
          </w:tcPr>
          <w:p w14:paraId="55989B70">
            <w:pPr>
              <w:keepLines w:val="0"/>
              <w:pageBreakBefore w:val="0"/>
              <w:kinsoku/>
              <w:wordWrap/>
              <w:overflowPunct/>
              <w:topLinePunct w:val="0"/>
              <w:bidi w:val="0"/>
              <w:rPr>
                <w:rFonts w:ascii="Arial"/>
                <w:sz w:val="24"/>
                <w:szCs w:val="24"/>
                <w:highlight w:val="none"/>
              </w:rPr>
            </w:pPr>
          </w:p>
        </w:tc>
        <w:tc>
          <w:tcPr>
            <w:tcW w:w="1025" w:type="dxa"/>
            <w:vAlign w:val="top"/>
          </w:tcPr>
          <w:p w14:paraId="48EDA78E">
            <w:pPr>
              <w:keepLines w:val="0"/>
              <w:pageBreakBefore w:val="0"/>
              <w:kinsoku/>
              <w:wordWrap/>
              <w:overflowPunct/>
              <w:topLinePunct w:val="0"/>
              <w:bidi w:val="0"/>
              <w:rPr>
                <w:rFonts w:ascii="Arial"/>
                <w:sz w:val="24"/>
                <w:szCs w:val="24"/>
                <w:highlight w:val="none"/>
              </w:rPr>
            </w:pPr>
          </w:p>
        </w:tc>
        <w:tc>
          <w:tcPr>
            <w:tcW w:w="1334" w:type="dxa"/>
            <w:vAlign w:val="top"/>
          </w:tcPr>
          <w:p w14:paraId="79543E7A">
            <w:pPr>
              <w:keepLines w:val="0"/>
              <w:pageBreakBefore w:val="0"/>
              <w:kinsoku/>
              <w:wordWrap/>
              <w:overflowPunct/>
              <w:topLinePunct w:val="0"/>
              <w:bidi w:val="0"/>
              <w:rPr>
                <w:rFonts w:ascii="Arial"/>
                <w:sz w:val="24"/>
                <w:szCs w:val="24"/>
                <w:highlight w:val="none"/>
              </w:rPr>
            </w:pPr>
          </w:p>
        </w:tc>
        <w:tc>
          <w:tcPr>
            <w:tcW w:w="939" w:type="dxa"/>
            <w:vAlign w:val="top"/>
          </w:tcPr>
          <w:p w14:paraId="500CB27E">
            <w:pPr>
              <w:keepLines w:val="0"/>
              <w:pageBreakBefore w:val="0"/>
              <w:kinsoku/>
              <w:wordWrap/>
              <w:overflowPunct/>
              <w:topLinePunct w:val="0"/>
              <w:bidi w:val="0"/>
              <w:rPr>
                <w:rFonts w:ascii="Arial"/>
                <w:sz w:val="24"/>
                <w:szCs w:val="24"/>
                <w:highlight w:val="none"/>
              </w:rPr>
            </w:pPr>
          </w:p>
        </w:tc>
        <w:tc>
          <w:tcPr>
            <w:tcW w:w="1068" w:type="dxa"/>
            <w:vAlign w:val="top"/>
          </w:tcPr>
          <w:p w14:paraId="39392CC3">
            <w:pPr>
              <w:keepLines w:val="0"/>
              <w:pageBreakBefore w:val="0"/>
              <w:kinsoku/>
              <w:wordWrap/>
              <w:overflowPunct/>
              <w:topLinePunct w:val="0"/>
              <w:bidi w:val="0"/>
              <w:rPr>
                <w:rFonts w:ascii="Arial"/>
                <w:sz w:val="24"/>
                <w:szCs w:val="24"/>
                <w:highlight w:val="none"/>
              </w:rPr>
            </w:pPr>
          </w:p>
        </w:tc>
        <w:tc>
          <w:tcPr>
            <w:tcW w:w="950" w:type="dxa"/>
            <w:vAlign w:val="top"/>
          </w:tcPr>
          <w:p w14:paraId="7502CC2B">
            <w:pPr>
              <w:keepLines w:val="0"/>
              <w:pageBreakBefore w:val="0"/>
              <w:kinsoku/>
              <w:wordWrap/>
              <w:overflowPunct/>
              <w:topLinePunct w:val="0"/>
              <w:bidi w:val="0"/>
              <w:rPr>
                <w:rFonts w:ascii="Arial"/>
                <w:sz w:val="24"/>
                <w:szCs w:val="24"/>
                <w:highlight w:val="none"/>
              </w:rPr>
            </w:pPr>
          </w:p>
        </w:tc>
      </w:tr>
      <w:tr w14:paraId="264A5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bottom w:val="nil"/>
            </w:tcBorders>
            <w:textDirection w:val="tbRlV"/>
            <w:vAlign w:val="top"/>
          </w:tcPr>
          <w:p w14:paraId="3A5332FA">
            <w:pPr>
              <w:keepLines w:val="0"/>
              <w:pageBreakBefore w:val="0"/>
              <w:kinsoku/>
              <w:wordWrap/>
              <w:overflowPunct/>
              <w:topLinePunct w:val="0"/>
              <w:bidi w:val="0"/>
              <w:rPr>
                <w:rFonts w:ascii="Arial"/>
                <w:sz w:val="24"/>
                <w:szCs w:val="24"/>
                <w:highlight w:val="none"/>
              </w:rPr>
            </w:pPr>
          </w:p>
        </w:tc>
        <w:tc>
          <w:tcPr>
            <w:tcW w:w="1023" w:type="dxa"/>
            <w:vAlign w:val="top"/>
          </w:tcPr>
          <w:p w14:paraId="38ECFCC2">
            <w:pPr>
              <w:keepLines w:val="0"/>
              <w:pageBreakBefore w:val="0"/>
              <w:kinsoku/>
              <w:wordWrap/>
              <w:overflowPunct/>
              <w:topLinePunct w:val="0"/>
              <w:bidi w:val="0"/>
              <w:rPr>
                <w:rFonts w:ascii="Arial"/>
                <w:sz w:val="24"/>
                <w:szCs w:val="24"/>
                <w:highlight w:val="none"/>
              </w:rPr>
            </w:pPr>
          </w:p>
        </w:tc>
        <w:tc>
          <w:tcPr>
            <w:tcW w:w="1024" w:type="dxa"/>
            <w:vAlign w:val="top"/>
          </w:tcPr>
          <w:p w14:paraId="2F476820">
            <w:pPr>
              <w:keepLines w:val="0"/>
              <w:pageBreakBefore w:val="0"/>
              <w:kinsoku/>
              <w:wordWrap/>
              <w:overflowPunct/>
              <w:topLinePunct w:val="0"/>
              <w:bidi w:val="0"/>
              <w:rPr>
                <w:rFonts w:ascii="Arial"/>
                <w:sz w:val="24"/>
                <w:szCs w:val="24"/>
                <w:highlight w:val="none"/>
              </w:rPr>
            </w:pPr>
          </w:p>
        </w:tc>
        <w:tc>
          <w:tcPr>
            <w:tcW w:w="1024" w:type="dxa"/>
            <w:vAlign w:val="top"/>
          </w:tcPr>
          <w:p w14:paraId="7CD8285D">
            <w:pPr>
              <w:keepLines w:val="0"/>
              <w:pageBreakBefore w:val="0"/>
              <w:kinsoku/>
              <w:wordWrap/>
              <w:overflowPunct/>
              <w:topLinePunct w:val="0"/>
              <w:bidi w:val="0"/>
              <w:rPr>
                <w:rFonts w:ascii="Arial"/>
                <w:sz w:val="24"/>
                <w:szCs w:val="24"/>
                <w:highlight w:val="none"/>
              </w:rPr>
            </w:pPr>
          </w:p>
        </w:tc>
        <w:tc>
          <w:tcPr>
            <w:tcW w:w="1025" w:type="dxa"/>
            <w:vAlign w:val="top"/>
          </w:tcPr>
          <w:p w14:paraId="650983DA">
            <w:pPr>
              <w:keepLines w:val="0"/>
              <w:pageBreakBefore w:val="0"/>
              <w:kinsoku/>
              <w:wordWrap/>
              <w:overflowPunct/>
              <w:topLinePunct w:val="0"/>
              <w:bidi w:val="0"/>
              <w:rPr>
                <w:rFonts w:ascii="Arial"/>
                <w:sz w:val="24"/>
                <w:szCs w:val="24"/>
                <w:highlight w:val="none"/>
              </w:rPr>
            </w:pPr>
          </w:p>
        </w:tc>
        <w:tc>
          <w:tcPr>
            <w:tcW w:w="1334" w:type="dxa"/>
            <w:vAlign w:val="top"/>
          </w:tcPr>
          <w:p w14:paraId="14C2A53A">
            <w:pPr>
              <w:keepLines w:val="0"/>
              <w:pageBreakBefore w:val="0"/>
              <w:kinsoku/>
              <w:wordWrap/>
              <w:overflowPunct/>
              <w:topLinePunct w:val="0"/>
              <w:bidi w:val="0"/>
              <w:rPr>
                <w:rFonts w:ascii="Arial"/>
                <w:sz w:val="24"/>
                <w:szCs w:val="24"/>
                <w:highlight w:val="none"/>
              </w:rPr>
            </w:pPr>
          </w:p>
        </w:tc>
        <w:tc>
          <w:tcPr>
            <w:tcW w:w="939" w:type="dxa"/>
            <w:vAlign w:val="top"/>
          </w:tcPr>
          <w:p w14:paraId="5A6F172B">
            <w:pPr>
              <w:keepLines w:val="0"/>
              <w:pageBreakBefore w:val="0"/>
              <w:kinsoku/>
              <w:wordWrap/>
              <w:overflowPunct/>
              <w:topLinePunct w:val="0"/>
              <w:bidi w:val="0"/>
              <w:rPr>
                <w:rFonts w:ascii="Arial"/>
                <w:sz w:val="24"/>
                <w:szCs w:val="24"/>
                <w:highlight w:val="none"/>
              </w:rPr>
            </w:pPr>
          </w:p>
        </w:tc>
        <w:tc>
          <w:tcPr>
            <w:tcW w:w="1068" w:type="dxa"/>
            <w:vAlign w:val="top"/>
          </w:tcPr>
          <w:p w14:paraId="39E675F0">
            <w:pPr>
              <w:keepLines w:val="0"/>
              <w:pageBreakBefore w:val="0"/>
              <w:kinsoku/>
              <w:wordWrap/>
              <w:overflowPunct/>
              <w:topLinePunct w:val="0"/>
              <w:bidi w:val="0"/>
              <w:rPr>
                <w:rFonts w:ascii="Arial"/>
                <w:sz w:val="24"/>
                <w:szCs w:val="24"/>
                <w:highlight w:val="none"/>
              </w:rPr>
            </w:pPr>
          </w:p>
        </w:tc>
        <w:tc>
          <w:tcPr>
            <w:tcW w:w="950" w:type="dxa"/>
            <w:vAlign w:val="top"/>
          </w:tcPr>
          <w:p w14:paraId="4F494CFA">
            <w:pPr>
              <w:keepLines w:val="0"/>
              <w:pageBreakBefore w:val="0"/>
              <w:kinsoku/>
              <w:wordWrap/>
              <w:overflowPunct/>
              <w:topLinePunct w:val="0"/>
              <w:bidi w:val="0"/>
              <w:rPr>
                <w:rFonts w:ascii="Arial"/>
                <w:sz w:val="24"/>
                <w:szCs w:val="24"/>
                <w:highlight w:val="none"/>
              </w:rPr>
            </w:pPr>
          </w:p>
        </w:tc>
      </w:tr>
      <w:tr w14:paraId="79C5D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192" w:type="dxa"/>
            <w:vMerge w:val="continue"/>
            <w:tcBorders>
              <w:top w:val="nil"/>
            </w:tcBorders>
            <w:textDirection w:val="tbRlV"/>
            <w:vAlign w:val="top"/>
          </w:tcPr>
          <w:p w14:paraId="3B3E3839">
            <w:pPr>
              <w:keepLines w:val="0"/>
              <w:pageBreakBefore w:val="0"/>
              <w:kinsoku/>
              <w:wordWrap/>
              <w:overflowPunct/>
              <w:topLinePunct w:val="0"/>
              <w:bidi w:val="0"/>
              <w:rPr>
                <w:rFonts w:ascii="Arial"/>
                <w:sz w:val="24"/>
                <w:szCs w:val="24"/>
                <w:highlight w:val="none"/>
              </w:rPr>
            </w:pPr>
          </w:p>
        </w:tc>
        <w:tc>
          <w:tcPr>
            <w:tcW w:w="1023" w:type="dxa"/>
            <w:vAlign w:val="top"/>
          </w:tcPr>
          <w:p w14:paraId="33B022E1">
            <w:pPr>
              <w:keepLines w:val="0"/>
              <w:pageBreakBefore w:val="0"/>
              <w:kinsoku/>
              <w:wordWrap/>
              <w:overflowPunct/>
              <w:topLinePunct w:val="0"/>
              <w:bidi w:val="0"/>
              <w:rPr>
                <w:rFonts w:ascii="Arial"/>
                <w:sz w:val="24"/>
                <w:szCs w:val="24"/>
                <w:highlight w:val="none"/>
              </w:rPr>
            </w:pPr>
          </w:p>
        </w:tc>
        <w:tc>
          <w:tcPr>
            <w:tcW w:w="1024" w:type="dxa"/>
            <w:vAlign w:val="top"/>
          </w:tcPr>
          <w:p w14:paraId="514DA4DB">
            <w:pPr>
              <w:keepLines w:val="0"/>
              <w:pageBreakBefore w:val="0"/>
              <w:kinsoku/>
              <w:wordWrap/>
              <w:overflowPunct/>
              <w:topLinePunct w:val="0"/>
              <w:bidi w:val="0"/>
              <w:rPr>
                <w:rFonts w:ascii="Arial"/>
                <w:sz w:val="24"/>
                <w:szCs w:val="24"/>
                <w:highlight w:val="none"/>
              </w:rPr>
            </w:pPr>
          </w:p>
        </w:tc>
        <w:tc>
          <w:tcPr>
            <w:tcW w:w="1024" w:type="dxa"/>
            <w:vAlign w:val="top"/>
          </w:tcPr>
          <w:p w14:paraId="2AEBE708">
            <w:pPr>
              <w:keepLines w:val="0"/>
              <w:pageBreakBefore w:val="0"/>
              <w:kinsoku/>
              <w:wordWrap/>
              <w:overflowPunct/>
              <w:topLinePunct w:val="0"/>
              <w:bidi w:val="0"/>
              <w:rPr>
                <w:rFonts w:ascii="Arial"/>
                <w:sz w:val="24"/>
                <w:szCs w:val="24"/>
                <w:highlight w:val="none"/>
              </w:rPr>
            </w:pPr>
          </w:p>
        </w:tc>
        <w:tc>
          <w:tcPr>
            <w:tcW w:w="1025" w:type="dxa"/>
            <w:vAlign w:val="top"/>
          </w:tcPr>
          <w:p w14:paraId="5FB2131D">
            <w:pPr>
              <w:keepLines w:val="0"/>
              <w:pageBreakBefore w:val="0"/>
              <w:kinsoku/>
              <w:wordWrap/>
              <w:overflowPunct/>
              <w:topLinePunct w:val="0"/>
              <w:bidi w:val="0"/>
              <w:rPr>
                <w:rFonts w:ascii="Arial"/>
                <w:sz w:val="24"/>
                <w:szCs w:val="24"/>
                <w:highlight w:val="none"/>
              </w:rPr>
            </w:pPr>
          </w:p>
        </w:tc>
        <w:tc>
          <w:tcPr>
            <w:tcW w:w="1334" w:type="dxa"/>
            <w:vAlign w:val="top"/>
          </w:tcPr>
          <w:p w14:paraId="20CFA226">
            <w:pPr>
              <w:keepLines w:val="0"/>
              <w:pageBreakBefore w:val="0"/>
              <w:kinsoku/>
              <w:wordWrap/>
              <w:overflowPunct/>
              <w:topLinePunct w:val="0"/>
              <w:bidi w:val="0"/>
              <w:rPr>
                <w:rFonts w:ascii="Arial"/>
                <w:sz w:val="24"/>
                <w:szCs w:val="24"/>
                <w:highlight w:val="none"/>
              </w:rPr>
            </w:pPr>
          </w:p>
        </w:tc>
        <w:tc>
          <w:tcPr>
            <w:tcW w:w="939" w:type="dxa"/>
            <w:vAlign w:val="top"/>
          </w:tcPr>
          <w:p w14:paraId="54652448">
            <w:pPr>
              <w:keepLines w:val="0"/>
              <w:pageBreakBefore w:val="0"/>
              <w:kinsoku/>
              <w:wordWrap/>
              <w:overflowPunct/>
              <w:topLinePunct w:val="0"/>
              <w:bidi w:val="0"/>
              <w:rPr>
                <w:rFonts w:ascii="Arial"/>
                <w:sz w:val="24"/>
                <w:szCs w:val="24"/>
                <w:highlight w:val="none"/>
              </w:rPr>
            </w:pPr>
          </w:p>
        </w:tc>
        <w:tc>
          <w:tcPr>
            <w:tcW w:w="1068" w:type="dxa"/>
            <w:vAlign w:val="top"/>
          </w:tcPr>
          <w:p w14:paraId="6EEC6840">
            <w:pPr>
              <w:keepLines w:val="0"/>
              <w:pageBreakBefore w:val="0"/>
              <w:kinsoku/>
              <w:wordWrap/>
              <w:overflowPunct/>
              <w:topLinePunct w:val="0"/>
              <w:bidi w:val="0"/>
              <w:rPr>
                <w:rFonts w:ascii="Arial"/>
                <w:sz w:val="24"/>
                <w:szCs w:val="24"/>
                <w:highlight w:val="none"/>
              </w:rPr>
            </w:pPr>
          </w:p>
        </w:tc>
        <w:tc>
          <w:tcPr>
            <w:tcW w:w="950" w:type="dxa"/>
            <w:vAlign w:val="top"/>
          </w:tcPr>
          <w:p w14:paraId="0242B22F">
            <w:pPr>
              <w:keepLines w:val="0"/>
              <w:pageBreakBefore w:val="0"/>
              <w:kinsoku/>
              <w:wordWrap/>
              <w:overflowPunct/>
              <w:topLinePunct w:val="0"/>
              <w:bidi w:val="0"/>
              <w:rPr>
                <w:rFonts w:ascii="Arial"/>
                <w:sz w:val="24"/>
                <w:szCs w:val="24"/>
                <w:highlight w:val="none"/>
              </w:rPr>
            </w:pPr>
          </w:p>
        </w:tc>
      </w:tr>
    </w:tbl>
    <w:p w14:paraId="33D16AF5">
      <w:pPr>
        <w:keepLines w:val="0"/>
        <w:pageBreakBefore w:val="0"/>
        <w:kinsoku/>
        <w:wordWrap/>
        <w:overflowPunct/>
        <w:topLinePunct w:val="0"/>
        <w:bidi w:val="0"/>
        <w:spacing w:before="114" w:line="222" w:lineRule="auto"/>
        <w:ind w:left="498"/>
        <w:rPr>
          <w:rFonts w:ascii="仿宋" w:hAnsi="仿宋" w:eastAsia="仿宋" w:cs="仿宋"/>
          <w:sz w:val="24"/>
          <w:szCs w:val="24"/>
          <w:highlight w:val="none"/>
        </w:rPr>
      </w:pPr>
      <w:r>
        <w:rPr>
          <w:rFonts w:ascii="仿宋" w:hAnsi="仿宋" w:eastAsia="仿宋" w:cs="仿宋"/>
          <w:spacing w:val="-2"/>
          <w:sz w:val="24"/>
          <w:szCs w:val="24"/>
          <w:highlight w:val="none"/>
        </w:rPr>
        <w:t>后附相关证书扫描件</w:t>
      </w:r>
    </w:p>
    <w:p w14:paraId="230BA4E6">
      <w:pPr>
        <w:pStyle w:val="9"/>
        <w:keepLines w:val="0"/>
        <w:pageBreakBefore w:val="0"/>
        <w:kinsoku/>
        <w:wordWrap/>
        <w:overflowPunct/>
        <w:topLinePunct w:val="0"/>
        <w:bidi w:val="0"/>
        <w:spacing w:line="270" w:lineRule="auto"/>
        <w:rPr>
          <w:sz w:val="24"/>
          <w:szCs w:val="24"/>
          <w:highlight w:val="none"/>
        </w:rPr>
      </w:pPr>
    </w:p>
    <w:p w14:paraId="32581D79">
      <w:pPr>
        <w:pStyle w:val="9"/>
        <w:keepLines w:val="0"/>
        <w:pageBreakBefore w:val="0"/>
        <w:kinsoku/>
        <w:wordWrap/>
        <w:overflowPunct/>
        <w:topLinePunct w:val="0"/>
        <w:bidi w:val="0"/>
        <w:spacing w:line="270" w:lineRule="auto"/>
        <w:rPr>
          <w:sz w:val="24"/>
          <w:szCs w:val="24"/>
          <w:highlight w:val="none"/>
        </w:rPr>
      </w:pPr>
    </w:p>
    <w:p w14:paraId="42D0CDBA">
      <w:pPr>
        <w:pStyle w:val="9"/>
        <w:keepLines w:val="0"/>
        <w:pageBreakBefore w:val="0"/>
        <w:kinsoku/>
        <w:wordWrap/>
        <w:overflowPunct/>
        <w:topLinePunct w:val="0"/>
        <w:bidi w:val="0"/>
        <w:spacing w:line="270" w:lineRule="auto"/>
        <w:rPr>
          <w:sz w:val="24"/>
          <w:szCs w:val="24"/>
          <w:highlight w:val="none"/>
        </w:rPr>
      </w:pPr>
    </w:p>
    <w:p w14:paraId="3C4F0408">
      <w:pPr>
        <w:pStyle w:val="9"/>
        <w:keepLines w:val="0"/>
        <w:pageBreakBefore w:val="0"/>
        <w:kinsoku/>
        <w:wordWrap/>
        <w:overflowPunct/>
        <w:topLinePunct w:val="0"/>
        <w:bidi w:val="0"/>
        <w:spacing w:line="270" w:lineRule="auto"/>
        <w:rPr>
          <w:sz w:val="24"/>
          <w:szCs w:val="24"/>
          <w:highlight w:val="none"/>
        </w:rPr>
      </w:pPr>
    </w:p>
    <w:p w14:paraId="3C1A7CA0">
      <w:pPr>
        <w:pStyle w:val="9"/>
        <w:keepLines w:val="0"/>
        <w:pageBreakBefore w:val="0"/>
        <w:kinsoku/>
        <w:wordWrap/>
        <w:overflowPunct/>
        <w:topLinePunct w:val="0"/>
        <w:bidi w:val="0"/>
        <w:spacing w:line="270" w:lineRule="auto"/>
        <w:rPr>
          <w:sz w:val="24"/>
          <w:szCs w:val="24"/>
          <w:highlight w:val="none"/>
        </w:rPr>
      </w:pPr>
    </w:p>
    <w:p w14:paraId="02BFB712">
      <w:pPr>
        <w:pStyle w:val="9"/>
        <w:keepLines w:val="0"/>
        <w:pageBreakBefore w:val="0"/>
        <w:kinsoku/>
        <w:wordWrap/>
        <w:overflowPunct/>
        <w:topLinePunct w:val="0"/>
        <w:bidi w:val="0"/>
        <w:spacing w:line="270" w:lineRule="auto"/>
        <w:rPr>
          <w:sz w:val="24"/>
          <w:szCs w:val="24"/>
          <w:highlight w:val="none"/>
        </w:rPr>
      </w:pPr>
    </w:p>
    <w:p w14:paraId="2EFA7E7E">
      <w:pPr>
        <w:pStyle w:val="9"/>
        <w:keepLines w:val="0"/>
        <w:pageBreakBefore w:val="0"/>
        <w:kinsoku/>
        <w:wordWrap/>
        <w:overflowPunct/>
        <w:topLinePunct w:val="0"/>
        <w:bidi w:val="0"/>
        <w:spacing w:line="271" w:lineRule="auto"/>
        <w:rPr>
          <w:sz w:val="24"/>
          <w:szCs w:val="24"/>
          <w:highlight w:val="none"/>
        </w:rPr>
      </w:pPr>
    </w:p>
    <w:p w14:paraId="337796C7">
      <w:pPr>
        <w:keepLines w:val="0"/>
        <w:pageBreakBefore w:val="0"/>
        <w:kinsoku/>
        <w:wordWrap/>
        <w:overflowPunct/>
        <w:topLinePunct w:val="0"/>
        <w:bidi w:val="0"/>
        <w:spacing w:before="65" w:line="503" w:lineRule="auto"/>
        <w:ind w:left="2044"/>
        <w:rPr>
          <w:rFonts w:ascii="仿宋" w:hAnsi="仿宋" w:eastAsia="仿宋" w:cs="仿宋"/>
          <w:sz w:val="24"/>
          <w:szCs w:val="24"/>
          <w:highlight w:val="none"/>
        </w:rPr>
      </w:pPr>
      <w:r>
        <w:rPr>
          <w:rFonts w:hint="eastAsia" w:ascii="仿宋" w:hAnsi="仿宋" w:eastAsia="仿宋" w:cs="仿宋"/>
          <w:spacing w:val="8"/>
          <w:sz w:val="24"/>
          <w:szCs w:val="24"/>
          <w:highlight w:val="none"/>
          <w:lang w:eastAsia="zh-CN"/>
        </w:rPr>
        <w:t>投标人</w:t>
      </w:r>
      <w:r>
        <w:rPr>
          <w:rFonts w:ascii="仿宋" w:hAnsi="仿宋" w:eastAsia="仿宋" w:cs="仿宋"/>
          <w:spacing w:val="8"/>
          <w:sz w:val="24"/>
          <w:szCs w:val="24"/>
          <w:highlight w:val="none"/>
        </w:rPr>
        <w:t>名称（盖公章</w:t>
      </w:r>
      <w:r>
        <w:rPr>
          <w:rFonts w:ascii="仿宋" w:hAnsi="仿宋" w:eastAsia="仿宋" w:cs="仿宋"/>
          <w:spacing w:val="-11"/>
          <w:sz w:val="24"/>
          <w:szCs w:val="24"/>
          <w:highlight w:val="none"/>
        </w:rPr>
        <w:t>）</w:t>
      </w:r>
      <w:r>
        <w:rPr>
          <w:rFonts w:ascii="仿宋" w:hAnsi="仿宋" w:eastAsia="仿宋" w:cs="仿宋"/>
          <w:spacing w:val="-60"/>
          <w:sz w:val="24"/>
          <w:szCs w:val="24"/>
          <w:highlight w:val="none"/>
        </w:rPr>
        <w:t xml:space="preserve"> </w:t>
      </w:r>
      <w:r>
        <w:rPr>
          <w:rFonts w:ascii="仿宋" w:hAnsi="仿宋" w:eastAsia="仿宋" w:cs="仿宋"/>
          <w:spacing w:val="-11"/>
          <w:sz w:val="24"/>
          <w:szCs w:val="24"/>
          <w:highlight w:val="none"/>
        </w:rPr>
        <w:t>：</w:t>
      </w:r>
      <w:r>
        <w:rPr>
          <w:rFonts w:ascii="仿宋" w:hAnsi="仿宋" w:eastAsia="仿宋" w:cs="仿宋"/>
          <w:spacing w:val="1"/>
          <w:sz w:val="24"/>
          <w:szCs w:val="24"/>
          <w:highlight w:val="none"/>
          <w:u w:val="single" w:color="auto"/>
        </w:rPr>
        <w:t xml:space="preserve">                             </w:t>
      </w:r>
      <w:r>
        <w:rPr>
          <w:rFonts w:ascii="仿宋" w:hAnsi="仿宋" w:eastAsia="仿宋" w:cs="仿宋"/>
          <w:spacing w:val="-88"/>
          <w:sz w:val="24"/>
          <w:szCs w:val="24"/>
          <w:highlight w:val="none"/>
        </w:rPr>
        <w:t xml:space="preserve"> </w:t>
      </w:r>
      <w:r>
        <w:rPr>
          <w:rFonts w:ascii="仿宋" w:hAnsi="仿宋" w:eastAsia="仿宋" w:cs="仿宋"/>
          <w:spacing w:val="8"/>
          <w:sz w:val="24"/>
          <w:szCs w:val="24"/>
          <w:highlight w:val="none"/>
        </w:rPr>
        <w:t>_</w:t>
      </w:r>
    </w:p>
    <w:p w14:paraId="40942356">
      <w:pPr>
        <w:keepLines w:val="0"/>
        <w:pageBreakBefore w:val="0"/>
        <w:kinsoku/>
        <w:wordWrap/>
        <w:overflowPunct/>
        <w:topLinePunct w:val="0"/>
        <w:bidi w:val="0"/>
        <w:spacing w:line="226" w:lineRule="auto"/>
        <w:ind w:left="2051"/>
        <w:rPr>
          <w:rFonts w:ascii="仿宋" w:hAnsi="仿宋" w:eastAsia="仿宋" w:cs="仿宋"/>
          <w:sz w:val="24"/>
          <w:szCs w:val="24"/>
          <w:highlight w:val="none"/>
        </w:rPr>
      </w:pPr>
      <w:r>
        <w:rPr>
          <w:rFonts w:ascii="仿宋" w:hAnsi="仿宋" w:eastAsia="仿宋" w:cs="仿宋"/>
          <w:spacing w:val="7"/>
          <w:sz w:val="24"/>
          <w:szCs w:val="24"/>
          <w:highlight w:val="none"/>
        </w:rPr>
        <w:t>法定代表人或其授权委托人(签字</w:t>
      </w:r>
      <w:r>
        <w:rPr>
          <w:rFonts w:hint="eastAsia" w:ascii="仿宋" w:hAnsi="仿宋" w:eastAsia="仿宋" w:cs="仿宋"/>
          <w:spacing w:val="7"/>
          <w:sz w:val="24"/>
          <w:szCs w:val="24"/>
          <w:highlight w:val="none"/>
          <w:lang w:val="en-US" w:eastAsia="zh-Hans"/>
        </w:rPr>
        <w:t>或盖章</w:t>
      </w:r>
      <w:r>
        <w:rPr>
          <w:rFonts w:ascii="仿宋" w:hAnsi="仿宋" w:eastAsia="仿宋" w:cs="仿宋"/>
          <w:spacing w:val="7"/>
          <w:sz w:val="24"/>
          <w:szCs w:val="24"/>
          <w:highlight w:val="none"/>
        </w:rPr>
        <w:t>)：</w:t>
      </w:r>
      <w:r>
        <w:rPr>
          <w:rFonts w:ascii="仿宋" w:hAnsi="仿宋" w:eastAsia="仿宋" w:cs="仿宋"/>
          <w:spacing w:val="7"/>
          <w:sz w:val="24"/>
          <w:szCs w:val="24"/>
          <w:highlight w:val="none"/>
          <w:u w:val="single" w:color="auto"/>
        </w:rPr>
        <w:t xml:space="preserve">        </w:t>
      </w:r>
      <w:r>
        <w:rPr>
          <w:rFonts w:ascii="仿宋" w:hAnsi="仿宋" w:eastAsia="仿宋" w:cs="仿宋"/>
          <w:spacing w:val="7"/>
          <w:sz w:val="24"/>
          <w:szCs w:val="24"/>
          <w:highlight w:val="none"/>
        </w:rPr>
        <w:t>_</w:t>
      </w:r>
    </w:p>
    <w:p w14:paraId="4793034B">
      <w:pPr>
        <w:keepLines w:val="0"/>
        <w:pageBreakBefore w:val="0"/>
        <w:kinsoku/>
        <w:wordWrap/>
        <w:overflowPunct/>
        <w:topLinePunct w:val="0"/>
        <w:bidi w:val="0"/>
        <w:spacing w:before="299" w:line="231" w:lineRule="auto"/>
        <w:ind w:left="2088"/>
        <w:rPr>
          <w:rFonts w:ascii="仿宋" w:hAnsi="仿宋" w:eastAsia="仿宋" w:cs="仿宋"/>
          <w:sz w:val="24"/>
          <w:szCs w:val="24"/>
          <w:highlight w:val="none"/>
        </w:rPr>
      </w:pPr>
      <w:r>
        <w:rPr>
          <w:rFonts w:ascii="仿宋" w:hAnsi="仿宋" w:eastAsia="仿宋" w:cs="仿宋"/>
          <w:spacing w:val="-6"/>
          <w:sz w:val="24"/>
          <w:szCs w:val="24"/>
          <w:highlight w:val="none"/>
        </w:rPr>
        <w:t>日期：</w:t>
      </w:r>
      <w:r>
        <w:rPr>
          <w:rFonts w:ascii="仿宋" w:hAnsi="仿宋" w:eastAsia="仿宋" w:cs="仿宋"/>
          <w:spacing w:val="-6"/>
          <w:sz w:val="24"/>
          <w:szCs w:val="24"/>
          <w:highlight w:val="none"/>
          <w:u w:val="single" w:color="auto"/>
        </w:rPr>
        <w:t xml:space="preserve">           </w:t>
      </w:r>
      <w:r>
        <w:rPr>
          <w:rFonts w:ascii="仿宋" w:hAnsi="仿宋" w:eastAsia="仿宋" w:cs="仿宋"/>
          <w:spacing w:val="-83"/>
          <w:sz w:val="24"/>
          <w:szCs w:val="24"/>
          <w:highlight w:val="none"/>
        </w:rPr>
        <w:t xml:space="preserve"> </w:t>
      </w:r>
      <w:r>
        <w:rPr>
          <w:rFonts w:ascii="仿宋" w:hAnsi="仿宋" w:eastAsia="仿宋" w:cs="仿宋"/>
          <w:spacing w:val="-6"/>
          <w:sz w:val="24"/>
          <w:szCs w:val="24"/>
          <w:highlight w:val="none"/>
        </w:rPr>
        <w:t>年</w:t>
      </w:r>
      <w:r>
        <w:rPr>
          <w:rFonts w:ascii="仿宋" w:hAnsi="仿宋" w:eastAsia="仿宋" w:cs="仿宋"/>
          <w:spacing w:val="5"/>
          <w:sz w:val="24"/>
          <w:szCs w:val="24"/>
          <w:highlight w:val="none"/>
          <w:u w:val="single" w:color="auto"/>
        </w:rPr>
        <w:t xml:space="preserve">      </w:t>
      </w:r>
      <w:r>
        <w:rPr>
          <w:rFonts w:ascii="仿宋" w:hAnsi="仿宋" w:eastAsia="仿宋" w:cs="仿宋"/>
          <w:spacing w:val="-75"/>
          <w:sz w:val="24"/>
          <w:szCs w:val="24"/>
          <w:highlight w:val="none"/>
        </w:rPr>
        <w:t xml:space="preserve"> </w:t>
      </w:r>
      <w:r>
        <w:rPr>
          <w:rFonts w:ascii="仿宋" w:hAnsi="仿宋" w:eastAsia="仿宋" w:cs="仿宋"/>
          <w:spacing w:val="-6"/>
          <w:sz w:val="24"/>
          <w:szCs w:val="24"/>
          <w:highlight w:val="none"/>
        </w:rPr>
        <w:t>月</w:t>
      </w:r>
      <w:r>
        <w:rPr>
          <w:rFonts w:ascii="仿宋" w:hAnsi="仿宋" w:eastAsia="仿宋" w:cs="仿宋"/>
          <w:spacing w:val="5"/>
          <w:sz w:val="24"/>
          <w:szCs w:val="24"/>
          <w:highlight w:val="none"/>
          <w:u w:val="single" w:color="auto"/>
        </w:rPr>
        <w:t xml:space="preserve">     </w:t>
      </w:r>
      <w:r>
        <w:rPr>
          <w:rFonts w:ascii="仿宋" w:hAnsi="仿宋" w:eastAsia="仿宋" w:cs="仿宋"/>
          <w:spacing w:val="-42"/>
          <w:sz w:val="24"/>
          <w:szCs w:val="24"/>
          <w:highlight w:val="none"/>
        </w:rPr>
        <w:t xml:space="preserve"> </w:t>
      </w:r>
      <w:r>
        <w:rPr>
          <w:rFonts w:ascii="仿宋" w:hAnsi="仿宋" w:eastAsia="仿宋" w:cs="仿宋"/>
          <w:spacing w:val="-6"/>
          <w:sz w:val="24"/>
          <w:szCs w:val="24"/>
          <w:highlight w:val="none"/>
        </w:rPr>
        <w:t>日</w:t>
      </w:r>
    </w:p>
    <w:p w14:paraId="131CA993">
      <w:pPr>
        <w:pStyle w:val="9"/>
        <w:keepLines w:val="0"/>
        <w:pageBreakBefore w:val="0"/>
        <w:kinsoku/>
        <w:wordWrap/>
        <w:overflowPunct/>
        <w:topLinePunct w:val="0"/>
        <w:bidi w:val="0"/>
        <w:spacing w:line="245" w:lineRule="auto"/>
        <w:rPr>
          <w:sz w:val="24"/>
          <w:szCs w:val="24"/>
          <w:highlight w:val="none"/>
        </w:rPr>
      </w:pPr>
    </w:p>
    <w:p w14:paraId="6DF058A6">
      <w:pPr>
        <w:pStyle w:val="9"/>
        <w:keepLines w:val="0"/>
        <w:pageBreakBefore w:val="0"/>
        <w:kinsoku/>
        <w:wordWrap/>
        <w:overflowPunct/>
        <w:topLinePunct w:val="0"/>
        <w:bidi w:val="0"/>
        <w:spacing w:line="245" w:lineRule="auto"/>
        <w:rPr>
          <w:highlight w:val="none"/>
        </w:rPr>
      </w:pPr>
    </w:p>
    <w:p w14:paraId="6CEE397A">
      <w:pPr>
        <w:pStyle w:val="9"/>
        <w:keepLines w:val="0"/>
        <w:pageBreakBefore w:val="0"/>
        <w:kinsoku/>
        <w:wordWrap/>
        <w:overflowPunct/>
        <w:topLinePunct w:val="0"/>
        <w:bidi w:val="0"/>
        <w:spacing w:line="245" w:lineRule="auto"/>
        <w:rPr>
          <w:highlight w:val="none"/>
        </w:rPr>
      </w:pPr>
    </w:p>
    <w:p w14:paraId="49B0DC6F">
      <w:pPr>
        <w:pStyle w:val="9"/>
        <w:keepLines w:val="0"/>
        <w:pageBreakBefore w:val="0"/>
        <w:kinsoku/>
        <w:wordWrap/>
        <w:overflowPunct/>
        <w:topLinePunct w:val="0"/>
        <w:bidi w:val="0"/>
        <w:spacing w:line="245" w:lineRule="auto"/>
        <w:rPr>
          <w:highlight w:val="none"/>
        </w:rPr>
      </w:pPr>
    </w:p>
    <w:p w14:paraId="1DB5A919">
      <w:pPr>
        <w:pStyle w:val="9"/>
        <w:keepLines w:val="0"/>
        <w:pageBreakBefore w:val="0"/>
        <w:kinsoku/>
        <w:wordWrap/>
        <w:overflowPunct/>
        <w:topLinePunct w:val="0"/>
        <w:bidi w:val="0"/>
        <w:spacing w:line="245" w:lineRule="auto"/>
        <w:rPr>
          <w:highlight w:val="none"/>
        </w:rPr>
      </w:pPr>
    </w:p>
    <w:p w14:paraId="5A92ABCF">
      <w:pPr>
        <w:pStyle w:val="9"/>
        <w:keepLines w:val="0"/>
        <w:pageBreakBefore w:val="0"/>
        <w:kinsoku/>
        <w:wordWrap/>
        <w:overflowPunct/>
        <w:topLinePunct w:val="0"/>
        <w:bidi w:val="0"/>
        <w:spacing w:line="245" w:lineRule="auto"/>
        <w:rPr>
          <w:highlight w:val="none"/>
        </w:rPr>
      </w:pPr>
    </w:p>
    <w:p w14:paraId="30C030D5">
      <w:pPr>
        <w:pStyle w:val="9"/>
        <w:keepLines w:val="0"/>
        <w:pageBreakBefore w:val="0"/>
        <w:kinsoku/>
        <w:wordWrap/>
        <w:overflowPunct/>
        <w:topLinePunct w:val="0"/>
        <w:bidi w:val="0"/>
        <w:spacing w:line="245" w:lineRule="auto"/>
        <w:rPr>
          <w:highlight w:val="none"/>
        </w:rPr>
      </w:pPr>
    </w:p>
    <w:p w14:paraId="1392F22E">
      <w:pPr>
        <w:pStyle w:val="9"/>
        <w:keepLines w:val="0"/>
        <w:pageBreakBefore w:val="0"/>
        <w:kinsoku/>
        <w:wordWrap/>
        <w:overflowPunct/>
        <w:topLinePunct w:val="0"/>
        <w:bidi w:val="0"/>
        <w:spacing w:line="246" w:lineRule="auto"/>
        <w:rPr>
          <w:highlight w:val="none"/>
        </w:rPr>
      </w:pPr>
    </w:p>
    <w:p w14:paraId="5ED81666">
      <w:pPr>
        <w:pStyle w:val="9"/>
        <w:keepLines w:val="0"/>
        <w:pageBreakBefore w:val="0"/>
        <w:kinsoku/>
        <w:wordWrap/>
        <w:overflowPunct/>
        <w:topLinePunct w:val="0"/>
        <w:bidi w:val="0"/>
        <w:spacing w:line="246" w:lineRule="auto"/>
        <w:rPr>
          <w:highlight w:val="none"/>
        </w:rPr>
      </w:pPr>
    </w:p>
    <w:p w14:paraId="47256DCD">
      <w:pPr>
        <w:pStyle w:val="9"/>
        <w:keepLines w:val="0"/>
        <w:pageBreakBefore w:val="0"/>
        <w:kinsoku/>
        <w:wordWrap/>
        <w:overflowPunct/>
        <w:topLinePunct w:val="0"/>
        <w:bidi w:val="0"/>
        <w:spacing w:line="246" w:lineRule="auto"/>
        <w:rPr>
          <w:highlight w:val="none"/>
        </w:rPr>
      </w:pPr>
    </w:p>
    <w:p w14:paraId="5CD03123">
      <w:pPr>
        <w:pStyle w:val="9"/>
        <w:keepLines w:val="0"/>
        <w:pageBreakBefore w:val="0"/>
        <w:kinsoku/>
        <w:wordWrap/>
        <w:overflowPunct/>
        <w:topLinePunct w:val="0"/>
        <w:bidi w:val="0"/>
        <w:spacing w:line="253" w:lineRule="auto"/>
        <w:rPr>
          <w:highlight w:val="none"/>
        </w:rPr>
      </w:pPr>
    </w:p>
    <w:p w14:paraId="38F4C44C">
      <w:pPr>
        <w:keepLines w:val="0"/>
        <w:pageBreakBefore w:val="0"/>
        <w:kinsoku/>
        <w:wordWrap/>
        <w:overflowPunct/>
        <w:topLinePunct w:val="0"/>
        <w:bidi w:val="0"/>
        <w:spacing w:before="65" w:line="231" w:lineRule="auto"/>
        <w:jc w:val="center"/>
        <w:outlineLvl w:val="3"/>
        <w:rPr>
          <w:rFonts w:ascii="仿宋" w:hAnsi="仿宋" w:eastAsia="仿宋" w:cs="仿宋"/>
          <w:b/>
          <w:bCs/>
          <w:spacing w:val="3"/>
          <w:sz w:val="24"/>
          <w:szCs w:val="24"/>
          <w:highlight w:val="none"/>
        </w:rPr>
      </w:pPr>
      <w:r>
        <w:rPr>
          <w:rFonts w:ascii="仿宋" w:hAnsi="仿宋" w:eastAsia="仿宋" w:cs="仿宋"/>
          <w:b/>
          <w:bCs/>
          <w:spacing w:val="3"/>
          <w:sz w:val="24"/>
          <w:szCs w:val="24"/>
          <w:highlight w:val="none"/>
        </w:rPr>
        <w:t>12.</w:t>
      </w:r>
      <w:r>
        <w:rPr>
          <w:rFonts w:hint="eastAsia" w:ascii="仿宋" w:hAnsi="仿宋" w:eastAsia="仿宋" w:cs="仿宋"/>
          <w:b/>
          <w:bCs/>
          <w:spacing w:val="3"/>
          <w:sz w:val="24"/>
          <w:szCs w:val="24"/>
          <w:highlight w:val="none"/>
          <w:lang w:val="en-US" w:eastAsia="zh-CN"/>
        </w:rPr>
        <w:t>保证金缴存证明（符合招标文件要求）</w:t>
      </w:r>
    </w:p>
    <w:p w14:paraId="72DE1219">
      <w:pPr>
        <w:keepLines w:val="0"/>
        <w:pageBreakBefore w:val="0"/>
        <w:kinsoku/>
        <w:wordWrap/>
        <w:overflowPunct/>
        <w:topLinePunct w:val="0"/>
        <w:bidi w:val="0"/>
        <w:rPr>
          <w:rFonts w:hint="eastAsia" w:ascii="仿宋" w:hAnsi="仿宋" w:eastAsia="仿宋" w:cs="仿宋"/>
          <w:b/>
          <w:bCs/>
          <w:spacing w:val="3"/>
          <w:sz w:val="20"/>
          <w:szCs w:val="20"/>
          <w:highlight w:val="none"/>
          <w:lang w:val="en-US" w:eastAsia="zh-CN"/>
        </w:rPr>
      </w:pPr>
      <w:r>
        <w:rPr>
          <w:rFonts w:hint="eastAsia" w:ascii="仿宋" w:hAnsi="仿宋" w:eastAsia="仿宋" w:cs="仿宋"/>
          <w:b/>
          <w:bCs/>
          <w:spacing w:val="3"/>
          <w:sz w:val="20"/>
          <w:szCs w:val="20"/>
          <w:highlight w:val="none"/>
          <w:lang w:val="en-US" w:eastAsia="zh-CN"/>
        </w:rPr>
        <w:br w:type="page"/>
      </w:r>
    </w:p>
    <w:p w14:paraId="6EE21759">
      <w:pPr>
        <w:keepLines w:val="0"/>
        <w:pageBreakBefore w:val="0"/>
        <w:kinsoku/>
        <w:wordWrap/>
        <w:overflowPunct/>
        <w:topLinePunct w:val="0"/>
        <w:bidi w:val="0"/>
        <w:spacing w:before="65" w:line="231" w:lineRule="auto"/>
        <w:ind w:left="4316"/>
        <w:outlineLvl w:val="3"/>
        <w:rPr>
          <w:rFonts w:hint="default" w:ascii="仿宋" w:hAnsi="仿宋" w:eastAsia="仿宋" w:cs="仿宋"/>
          <w:sz w:val="24"/>
          <w:szCs w:val="24"/>
          <w:highlight w:val="none"/>
          <w:lang w:val="en-US" w:eastAsia="zh-CN"/>
        </w:rPr>
      </w:pPr>
      <w:r>
        <w:rPr>
          <w:rFonts w:hint="eastAsia" w:ascii="仿宋" w:hAnsi="仿宋" w:eastAsia="仿宋" w:cs="仿宋"/>
          <w:b/>
          <w:bCs/>
          <w:spacing w:val="3"/>
          <w:sz w:val="24"/>
          <w:szCs w:val="24"/>
          <w:highlight w:val="none"/>
          <w:lang w:val="en-US" w:eastAsia="zh-CN"/>
        </w:rPr>
        <w:t>13.</w:t>
      </w:r>
      <w:r>
        <w:rPr>
          <w:rFonts w:ascii="仿宋" w:hAnsi="仿宋" w:eastAsia="仿宋" w:cs="仿宋"/>
          <w:b/>
          <w:bCs/>
          <w:spacing w:val="3"/>
          <w:sz w:val="24"/>
          <w:szCs w:val="24"/>
          <w:highlight w:val="none"/>
        </w:rPr>
        <w:t>方案</w:t>
      </w:r>
      <w:r>
        <w:rPr>
          <w:rFonts w:hint="eastAsia" w:ascii="仿宋" w:hAnsi="仿宋" w:eastAsia="仿宋" w:cs="仿宋"/>
          <w:b/>
          <w:bCs/>
          <w:spacing w:val="3"/>
          <w:sz w:val="24"/>
          <w:szCs w:val="24"/>
          <w:highlight w:val="none"/>
          <w:lang w:val="en-US" w:eastAsia="zh-CN"/>
        </w:rPr>
        <w:t>及承诺书</w:t>
      </w:r>
    </w:p>
    <w:p w14:paraId="62FED695">
      <w:pPr>
        <w:keepLines w:val="0"/>
        <w:pageBreakBefore w:val="0"/>
        <w:kinsoku/>
        <w:wordWrap/>
        <w:overflowPunct/>
        <w:topLinePunct w:val="0"/>
        <w:bidi w:val="0"/>
        <w:spacing w:before="139" w:line="229" w:lineRule="auto"/>
        <w:jc w:val="center"/>
        <w:rPr>
          <w:rFonts w:ascii="仿宋" w:hAnsi="仿宋" w:eastAsia="仿宋" w:cs="仿宋"/>
          <w:sz w:val="24"/>
          <w:szCs w:val="24"/>
          <w:highlight w:val="none"/>
        </w:rPr>
      </w:pPr>
      <w:r>
        <w:rPr>
          <w:rFonts w:hint="eastAsia" w:ascii="仿宋" w:hAnsi="仿宋" w:eastAsia="仿宋" w:cs="仿宋"/>
          <w:spacing w:val="7"/>
          <w:sz w:val="24"/>
          <w:szCs w:val="24"/>
          <w:highlight w:val="none"/>
          <w:lang w:eastAsia="zh-CN"/>
        </w:rPr>
        <w:t>投标人结合详细评分标准表自附（格式自拟）</w:t>
      </w:r>
    </w:p>
    <w:p w14:paraId="225965F3">
      <w:pPr>
        <w:pStyle w:val="9"/>
        <w:keepLines w:val="0"/>
        <w:pageBreakBefore w:val="0"/>
        <w:kinsoku/>
        <w:wordWrap/>
        <w:overflowPunct/>
        <w:topLinePunct w:val="0"/>
        <w:bidi w:val="0"/>
        <w:spacing w:line="245" w:lineRule="auto"/>
        <w:rPr>
          <w:sz w:val="24"/>
          <w:szCs w:val="24"/>
          <w:highlight w:val="none"/>
        </w:rPr>
      </w:pPr>
    </w:p>
    <w:p w14:paraId="058B007A">
      <w:pPr>
        <w:pStyle w:val="9"/>
        <w:keepLines w:val="0"/>
        <w:pageBreakBefore w:val="0"/>
        <w:kinsoku/>
        <w:wordWrap/>
        <w:overflowPunct/>
        <w:topLinePunct w:val="0"/>
        <w:bidi w:val="0"/>
        <w:spacing w:line="245" w:lineRule="auto"/>
        <w:rPr>
          <w:highlight w:val="none"/>
        </w:rPr>
      </w:pPr>
    </w:p>
    <w:p w14:paraId="47F8751A">
      <w:pPr>
        <w:pStyle w:val="9"/>
        <w:keepLines w:val="0"/>
        <w:pageBreakBefore w:val="0"/>
        <w:kinsoku/>
        <w:wordWrap/>
        <w:overflowPunct/>
        <w:topLinePunct w:val="0"/>
        <w:bidi w:val="0"/>
        <w:spacing w:line="245" w:lineRule="auto"/>
        <w:rPr>
          <w:highlight w:val="none"/>
        </w:rPr>
      </w:pPr>
    </w:p>
    <w:p w14:paraId="173CBB84">
      <w:pPr>
        <w:pStyle w:val="9"/>
        <w:keepLines w:val="0"/>
        <w:pageBreakBefore w:val="0"/>
        <w:kinsoku/>
        <w:wordWrap/>
        <w:overflowPunct/>
        <w:topLinePunct w:val="0"/>
        <w:bidi w:val="0"/>
        <w:spacing w:line="245" w:lineRule="auto"/>
        <w:rPr>
          <w:highlight w:val="none"/>
        </w:rPr>
      </w:pPr>
    </w:p>
    <w:p w14:paraId="297AA5C5">
      <w:pPr>
        <w:pStyle w:val="9"/>
        <w:keepLines w:val="0"/>
        <w:pageBreakBefore w:val="0"/>
        <w:kinsoku/>
        <w:wordWrap/>
        <w:overflowPunct/>
        <w:topLinePunct w:val="0"/>
        <w:bidi w:val="0"/>
        <w:spacing w:line="245" w:lineRule="auto"/>
        <w:rPr>
          <w:highlight w:val="none"/>
        </w:rPr>
      </w:pPr>
    </w:p>
    <w:p w14:paraId="5C3F6EA2">
      <w:pPr>
        <w:pStyle w:val="9"/>
        <w:keepLines w:val="0"/>
        <w:pageBreakBefore w:val="0"/>
        <w:kinsoku/>
        <w:wordWrap/>
        <w:overflowPunct/>
        <w:topLinePunct w:val="0"/>
        <w:bidi w:val="0"/>
        <w:spacing w:line="245" w:lineRule="auto"/>
        <w:rPr>
          <w:highlight w:val="none"/>
        </w:rPr>
      </w:pPr>
    </w:p>
    <w:p w14:paraId="1F858203">
      <w:pPr>
        <w:pStyle w:val="9"/>
        <w:keepLines w:val="0"/>
        <w:pageBreakBefore w:val="0"/>
        <w:kinsoku/>
        <w:wordWrap/>
        <w:overflowPunct/>
        <w:topLinePunct w:val="0"/>
        <w:bidi w:val="0"/>
        <w:spacing w:line="245" w:lineRule="auto"/>
        <w:rPr>
          <w:highlight w:val="none"/>
        </w:rPr>
      </w:pPr>
    </w:p>
    <w:p w14:paraId="58195D82">
      <w:pPr>
        <w:pStyle w:val="9"/>
        <w:keepLines w:val="0"/>
        <w:pageBreakBefore w:val="0"/>
        <w:kinsoku/>
        <w:wordWrap/>
        <w:overflowPunct/>
        <w:topLinePunct w:val="0"/>
        <w:bidi w:val="0"/>
        <w:spacing w:line="245" w:lineRule="auto"/>
        <w:rPr>
          <w:highlight w:val="none"/>
        </w:rPr>
      </w:pPr>
    </w:p>
    <w:p w14:paraId="5AE2CCF7">
      <w:pPr>
        <w:pStyle w:val="9"/>
        <w:keepLines w:val="0"/>
        <w:pageBreakBefore w:val="0"/>
        <w:kinsoku/>
        <w:wordWrap/>
        <w:overflowPunct/>
        <w:topLinePunct w:val="0"/>
        <w:bidi w:val="0"/>
        <w:spacing w:line="245" w:lineRule="auto"/>
        <w:rPr>
          <w:highlight w:val="none"/>
        </w:rPr>
      </w:pPr>
    </w:p>
    <w:p w14:paraId="660B7B8A">
      <w:pPr>
        <w:pStyle w:val="9"/>
        <w:keepLines w:val="0"/>
        <w:pageBreakBefore w:val="0"/>
        <w:kinsoku/>
        <w:wordWrap/>
        <w:overflowPunct/>
        <w:topLinePunct w:val="0"/>
        <w:bidi w:val="0"/>
        <w:spacing w:line="245" w:lineRule="auto"/>
        <w:rPr>
          <w:highlight w:val="none"/>
        </w:rPr>
      </w:pPr>
    </w:p>
    <w:p w14:paraId="1AEBC7F2">
      <w:pPr>
        <w:pStyle w:val="9"/>
        <w:keepLines w:val="0"/>
        <w:pageBreakBefore w:val="0"/>
        <w:kinsoku/>
        <w:wordWrap/>
        <w:overflowPunct/>
        <w:topLinePunct w:val="0"/>
        <w:bidi w:val="0"/>
        <w:spacing w:line="245" w:lineRule="auto"/>
        <w:rPr>
          <w:highlight w:val="none"/>
        </w:rPr>
      </w:pPr>
    </w:p>
    <w:p w14:paraId="40EB53D8">
      <w:pPr>
        <w:pStyle w:val="9"/>
        <w:keepLines w:val="0"/>
        <w:pageBreakBefore w:val="0"/>
        <w:kinsoku/>
        <w:wordWrap/>
        <w:overflowPunct/>
        <w:topLinePunct w:val="0"/>
        <w:bidi w:val="0"/>
        <w:spacing w:line="245" w:lineRule="auto"/>
        <w:rPr>
          <w:highlight w:val="none"/>
        </w:rPr>
      </w:pPr>
    </w:p>
    <w:p w14:paraId="0B76F22D">
      <w:pPr>
        <w:pStyle w:val="9"/>
        <w:keepLines w:val="0"/>
        <w:pageBreakBefore w:val="0"/>
        <w:kinsoku/>
        <w:wordWrap/>
        <w:overflowPunct/>
        <w:topLinePunct w:val="0"/>
        <w:bidi w:val="0"/>
        <w:spacing w:line="245" w:lineRule="auto"/>
        <w:rPr>
          <w:highlight w:val="none"/>
        </w:rPr>
      </w:pPr>
    </w:p>
    <w:p w14:paraId="4A3702B4">
      <w:pPr>
        <w:pStyle w:val="9"/>
        <w:keepLines w:val="0"/>
        <w:pageBreakBefore w:val="0"/>
        <w:kinsoku/>
        <w:wordWrap/>
        <w:overflowPunct/>
        <w:topLinePunct w:val="0"/>
        <w:bidi w:val="0"/>
        <w:spacing w:line="245" w:lineRule="auto"/>
        <w:rPr>
          <w:highlight w:val="none"/>
        </w:rPr>
      </w:pPr>
    </w:p>
    <w:p w14:paraId="633E9371">
      <w:pPr>
        <w:pStyle w:val="9"/>
        <w:keepLines w:val="0"/>
        <w:pageBreakBefore w:val="0"/>
        <w:kinsoku/>
        <w:wordWrap/>
        <w:overflowPunct/>
        <w:topLinePunct w:val="0"/>
        <w:bidi w:val="0"/>
        <w:spacing w:line="245" w:lineRule="auto"/>
        <w:rPr>
          <w:highlight w:val="none"/>
        </w:rPr>
      </w:pPr>
    </w:p>
    <w:p w14:paraId="665D2954">
      <w:pPr>
        <w:pStyle w:val="9"/>
        <w:keepLines w:val="0"/>
        <w:pageBreakBefore w:val="0"/>
        <w:kinsoku/>
        <w:wordWrap/>
        <w:overflowPunct/>
        <w:topLinePunct w:val="0"/>
        <w:bidi w:val="0"/>
        <w:spacing w:line="245" w:lineRule="auto"/>
        <w:rPr>
          <w:highlight w:val="none"/>
        </w:rPr>
      </w:pPr>
    </w:p>
    <w:p w14:paraId="646EF643">
      <w:pPr>
        <w:pStyle w:val="9"/>
        <w:keepLines w:val="0"/>
        <w:pageBreakBefore w:val="0"/>
        <w:kinsoku/>
        <w:wordWrap/>
        <w:overflowPunct/>
        <w:topLinePunct w:val="0"/>
        <w:bidi w:val="0"/>
        <w:spacing w:line="245" w:lineRule="auto"/>
        <w:rPr>
          <w:highlight w:val="none"/>
        </w:rPr>
      </w:pPr>
    </w:p>
    <w:p w14:paraId="531F07D3">
      <w:pPr>
        <w:pStyle w:val="9"/>
        <w:keepLines w:val="0"/>
        <w:pageBreakBefore w:val="0"/>
        <w:kinsoku/>
        <w:wordWrap/>
        <w:overflowPunct/>
        <w:topLinePunct w:val="0"/>
        <w:bidi w:val="0"/>
        <w:spacing w:line="246" w:lineRule="auto"/>
        <w:rPr>
          <w:highlight w:val="none"/>
        </w:rPr>
      </w:pPr>
    </w:p>
    <w:p w14:paraId="5A4CDFFA">
      <w:pPr>
        <w:pStyle w:val="9"/>
        <w:keepLines w:val="0"/>
        <w:pageBreakBefore w:val="0"/>
        <w:kinsoku/>
        <w:wordWrap/>
        <w:overflowPunct/>
        <w:topLinePunct w:val="0"/>
        <w:bidi w:val="0"/>
        <w:spacing w:line="246" w:lineRule="auto"/>
        <w:rPr>
          <w:highlight w:val="none"/>
        </w:rPr>
      </w:pPr>
    </w:p>
    <w:p w14:paraId="20B14181">
      <w:pPr>
        <w:pStyle w:val="9"/>
        <w:keepLines w:val="0"/>
        <w:pageBreakBefore w:val="0"/>
        <w:kinsoku/>
        <w:wordWrap/>
        <w:overflowPunct/>
        <w:topLinePunct w:val="0"/>
        <w:bidi w:val="0"/>
        <w:spacing w:line="246" w:lineRule="auto"/>
        <w:rPr>
          <w:highlight w:val="none"/>
        </w:rPr>
      </w:pPr>
    </w:p>
    <w:p w14:paraId="0BF938B7">
      <w:pPr>
        <w:pStyle w:val="9"/>
        <w:keepLines w:val="0"/>
        <w:pageBreakBefore w:val="0"/>
        <w:kinsoku/>
        <w:wordWrap/>
        <w:overflowPunct/>
        <w:topLinePunct w:val="0"/>
        <w:bidi w:val="0"/>
        <w:spacing w:line="246" w:lineRule="auto"/>
        <w:rPr>
          <w:highlight w:val="none"/>
        </w:rPr>
      </w:pPr>
    </w:p>
    <w:p w14:paraId="5B8E47DD">
      <w:pPr>
        <w:keepLines w:val="0"/>
        <w:pageBreakBefore w:val="0"/>
        <w:kinsoku/>
        <w:wordWrap/>
        <w:overflowPunct/>
        <w:topLinePunct w:val="0"/>
        <w:bidi w:val="0"/>
        <w:rPr>
          <w:highlight w:val="none"/>
        </w:rPr>
      </w:pPr>
      <w:r>
        <w:rPr>
          <w:highlight w:val="none"/>
        </w:rPr>
        <w:br w:type="page"/>
      </w:r>
    </w:p>
    <w:p w14:paraId="1BDECF0D">
      <w:pPr>
        <w:pStyle w:val="9"/>
        <w:keepLines w:val="0"/>
        <w:pageBreakBefore w:val="0"/>
        <w:kinsoku/>
        <w:wordWrap/>
        <w:overflowPunct/>
        <w:topLinePunct w:val="0"/>
        <w:bidi w:val="0"/>
        <w:spacing w:line="246" w:lineRule="auto"/>
        <w:rPr>
          <w:highlight w:val="none"/>
        </w:rPr>
      </w:pPr>
    </w:p>
    <w:p w14:paraId="52E6E23D">
      <w:pPr>
        <w:keepLines w:val="0"/>
        <w:pageBreakBefore w:val="0"/>
        <w:kinsoku/>
        <w:wordWrap/>
        <w:overflowPunct/>
        <w:topLinePunct w:val="0"/>
        <w:bidi w:val="0"/>
        <w:spacing w:before="65" w:line="229" w:lineRule="auto"/>
        <w:ind w:left="4108"/>
        <w:outlineLvl w:val="3"/>
        <w:rPr>
          <w:rFonts w:ascii="仿宋" w:hAnsi="仿宋" w:eastAsia="仿宋" w:cs="仿宋"/>
          <w:sz w:val="24"/>
          <w:szCs w:val="24"/>
          <w:highlight w:val="none"/>
        </w:rPr>
      </w:pPr>
      <w:r>
        <w:rPr>
          <w:rFonts w:ascii="仿宋" w:hAnsi="仿宋" w:eastAsia="仿宋" w:cs="仿宋"/>
          <w:b/>
          <w:bCs/>
          <w:spacing w:val="4"/>
          <w:sz w:val="24"/>
          <w:szCs w:val="24"/>
          <w:highlight w:val="none"/>
        </w:rPr>
        <w:t>1</w:t>
      </w:r>
      <w:r>
        <w:rPr>
          <w:rFonts w:hint="eastAsia" w:ascii="仿宋" w:hAnsi="仿宋" w:eastAsia="仿宋" w:cs="仿宋"/>
          <w:b/>
          <w:bCs/>
          <w:spacing w:val="4"/>
          <w:sz w:val="24"/>
          <w:szCs w:val="24"/>
          <w:highlight w:val="none"/>
          <w:lang w:val="en-US" w:eastAsia="zh-CN"/>
        </w:rPr>
        <w:t>4</w:t>
      </w:r>
      <w:r>
        <w:rPr>
          <w:rFonts w:ascii="仿宋" w:hAnsi="仿宋" w:eastAsia="仿宋" w:cs="仿宋"/>
          <w:b/>
          <w:bCs/>
          <w:spacing w:val="4"/>
          <w:sz w:val="24"/>
          <w:szCs w:val="24"/>
          <w:highlight w:val="none"/>
        </w:rPr>
        <w:t>.</w:t>
      </w:r>
      <w:r>
        <w:rPr>
          <w:rFonts w:hint="eastAsia" w:ascii="仿宋" w:hAnsi="仿宋" w:eastAsia="仿宋" w:cs="仿宋"/>
          <w:b/>
          <w:bCs/>
          <w:spacing w:val="4"/>
          <w:sz w:val="24"/>
          <w:szCs w:val="24"/>
          <w:highlight w:val="none"/>
          <w:lang w:eastAsia="zh-CN"/>
        </w:rPr>
        <w:t>其他证明</w:t>
      </w:r>
      <w:r>
        <w:rPr>
          <w:rFonts w:ascii="仿宋" w:hAnsi="仿宋" w:eastAsia="仿宋" w:cs="仿宋"/>
          <w:b/>
          <w:bCs/>
          <w:spacing w:val="4"/>
          <w:sz w:val="24"/>
          <w:szCs w:val="24"/>
          <w:highlight w:val="none"/>
        </w:rPr>
        <w:t>材料</w:t>
      </w:r>
    </w:p>
    <w:p w14:paraId="1426638E">
      <w:pPr>
        <w:keepLines w:val="0"/>
        <w:pageBreakBefore w:val="0"/>
        <w:kinsoku/>
        <w:wordWrap/>
        <w:overflowPunct/>
        <w:topLinePunct w:val="0"/>
        <w:bidi w:val="0"/>
        <w:spacing w:before="143" w:line="229" w:lineRule="auto"/>
        <w:ind w:left="642"/>
        <w:jc w:val="center"/>
        <w:rPr>
          <w:rFonts w:ascii="仿宋" w:hAnsi="仿宋" w:eastAsia="仿宋" w:cs="仿宋"/>
          <w:sz w:val="24"/>
          <w:szCs w:val="24"/>
          <w:highlight w:val="none"/>
        </w:rPr>
        <w:sectPr>
          <w:footerReference r:id="rId16" w:type="default"/>
          <w:pgSz w:w="11906" w:h="16839"/>
          <w:pgMar w:top="1440" w:right="1080" w:bottom="1440" w:left="1080" w:header="0" w:footer="1054" w:gutter="0"/>
          <w:pgNumType w:fmt="decimal"/>
          <w:cols w:space="720" w:num="1"/>
        </w:sectPr>
      </w:pPr>
      <w:r>
        <w:rPr>
          <w:rFonts w:hint="eastAsia" w:ascii="仿宋" w:hAnsi="仿宋" w:eastAsia="仿宋" w:cs="仿宋"/>
          <w:spacing w:val="9"/>
          <w:sz w:val="24"/>
          <w:szCs w:val="24"/>
          <w:highlight w:val="none"/>
          <w:lang w:eastAsia="zh-CN"/>
        </w:rPr>
        <w:t>投标人</w:t>
      </w:r>
      <w:r>
        <w:rPr>
          <w:rFonts w:ascii="仿宋" w:hAnsi="仿宋" w:eastAsia="仿宋" w:cs="仿宋"/>
          <w:spacing w:val="9"/>
          <w:sz w:val="24"/>
          <w:szCs w:val="24"/>
          <w:highlight w:val="none"/>
        </w:rPr>
        <w:t>根据评标办法认为对其参与评审有利的</w:t>
      </w:r>
      <w:r>
        <w:rPr>
          <w:rFonts w:hint="eastAsia" w:ascii="仿宋" w:hAnsi="仿宋" w:eastAsia="仿宋" w:cs="仿宋"/>
          <w:spacing w:val="9"/>
          <w:sz w:val="24"/>
          <w:szCs w:val="24"/>
          <w:highlight w:val="none"/>
          <w:lang w:eastAsia="zh-CN"/>
        </w:rPr>
        <w:t>其他证明</w:t>
      </w:r>
      <w:r>
        <w:rPr>
          <w:rFonts w:ascii="仿宋" w:hAnsi="仿宋" w:eastAsia="仿宋" w:cs="仿宋"/>
          <w:spacing w:val="9"/>
          <w:sz w:val="24"/>
          <w:szCs w:val="24"/>
          <w:highlight w:val="none"/>
        </w:rPr>
        <w:t>材料（格式自</w:t>
      </w:r>
      <w:r>
        <w:rPr>
          <w:rFonts w:ascii="仿宋" w:hAnsi="仿宋" w:eastAsia="仿宋" w:cs="仿宋"/>
          <w:spacing w:val="8"/>
          <w:sz w:val="24"/>
          <w:szCs w:val="24"/>
          <w:highlight w:val="none"/>
        </w:rPr>
        <w:t>拟）。</w:t>
      </w:r>
    </w:p>
    <w:p w14:paraId="7D40DAA2">
      <w:pPr>
        <w:keepLines w:val="0"/>
        <w:pageBreakBefore w:val="0"/>
        <w:kinsoku/>
        <w:wordWrap/>
        <w:overflowPunct/>
        <w:topLinePunct w:val="0"/>
        <w:bidi w:val="0"/>
        <w:spacing w:before="42" w:line="232" w:lineRule="auto"/>
        <w:jc w:val="center"/>
        <w:outlineLvl w:val="3"/>
        <w:rPr>
          <w:rFonts w:ascii="仿宋" w:hAnsi="仿宋" w:eastAsia="仿宋" w:cs="仿宋"/>
          <w:sz w:val="24"/>
          <w:szCs w:val="24"/>
          <w:highlight w:val="none"/>
        </w:rPr>
      </w:pPr>
      <w:r>
        <w:rPr>
          <w:rFonts w:ascii="仿宋" w:hAnsi="仿宋" w:eastAsia="仿宋" w:cs="仿宋"/>
          <w:b/>
          <w:bCs/>
          <w:spacing w:val="2"/>
          <w:sz w:val="24"/>
          <w:szCs w:val="24"/>
          <w:highlight w:val="none"/>
        </w:rPr>
        <w:t>1</w:t>
      </w:r>
      <w:r>
        <w:rPr>
          <w:rFonts w:hint="eastAsia" w:ascii="仿宋" w:hAnsi="仿宋" w:eastAsia="仿宋" w:cs="仿宋"/>
          <w:b/>
          <w:bCs/>
          <w:spacing w:val="2"/>
          <w:sz w:val="24"/>
          <w:szCs w:val="24"/>
          <w:highlight w:val="none"/>
          <w:lang w:val="en-US" w:eastAsia="zh-CN"/>
        </w:rPr>
        <w:t>5</w:t>
      </w:r>
      <w:r>
        <w:rPr>
          <w:rFonts w:ascii="仿宋" w:hAnsi="仿宋" w:eastAsia="仿宋" w:cs="仿宋"/>
          <w:b/>
          <w:bCs/>
          <w:spacing w:val="2"/>
          <w:sz w:val="24"/>
          <w:szCs w:val="24"/>
          <w:highlight w:val="none"/>
        </w:rPr>
        <w:t>.声明函</w:t>
      </w:r>
    </w:p>
    <w:p w14:paraId="4AF6C468">
      <w:pPr>
        <w:pStyle w:val="9"/>
        <w:keepLines w:val="0"/>
        <w:pageBreakBefore w:val="0"/>
        <w:kinsoku/>
        <w:wordWrap/>
        <w:overflowPunct/>
        <w:topLinePunct w:val="0"/>
        <w:bidi w:val="0"/>
        <w:spacing w:line="388" w:lineRule="auto"/>
        <w:rPr>
          <w:highlight w:val="none"/>
        </w:rPr>
      </w:pPr>
    </w:p>
    <w:p w14:paraId="6F3EF5BC">
      <w:pPr>
        <w:keepNext w:val="0"/>
        <w:keepLines w:val="0"/>
        <w:pageBreakBefore w:val="0"/>
        <w:widowControl/>
        <w:suppressLineNumbers w:val="0"/>
        <w:kinsoku/>
        <w:wordWrap/>
        <w:overflowPunct/>
        <w:topLinePunct w:val="0"/>
        <w:bidi w:val="0"/>
        <w:snapToGrid/>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b/>
          <w:color w:val="auto"/>
          <w:kern w:val="0"/>
          <w:sz w:val="32"/>
          <w:szCs w:val="32"/>
          <w:highlight w:val="none"/>
          <w:lang w:val="en-US" w:eastAsia="zh-CN" w:bidi="ar"/>
        </w:rPr>
        <w:t>中小企业声明函（货物）</w:t>
      </w:r>
    </w:p>
    <w:p w14:paraId="24B0DDDB">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color w:val="000000"/>
          <w:kern w:val="0"/>
          <w:sz w:val="24"/>
          <w:szCs w:val="24"/>
          <w:highlight w:val="none"/>
          <w:u w:val="single"/>
          <w:lang w:val="en-US" w:eastAsia="zh-CN" w:bidi="ar"/>
        </w:rPr>
        <w:t>（</w:t>
      </w:r>
      <w:r>
        <w:rPr>
          <w:rFonts w:hint="eastAsia" w:ascii="宋体" w:hAnsi="宋体" w:eastAsia="宋体" w:cs="宋体"/>
          <w:i w:val="0"/>
          <w:iCs/>
          <w:color w:val="000000"/>
          <w:kern w:val="0"/>
          <w:sz w:val="24"/>
          <w:szCs w:val="24"/>
          <w:highlight w:val="none"/>
          <w:u w:val="single"/>
          <w:lang w:val="en-US" w:eastAsia="zh-CN" w:bidi="ar"/>
        </w:rPr>
        <w:t>单位名称</w:t>
      </w:r>
      <w:r>
        <w:rPr>
          <w:rFonts w:hint="eastAsia" w:ascii="宋体" w:hAnsi="宋体" w:eastAsia="宋体" w:cs="宋体"/>
          <w:i/>
          <w:color w:val="000000"/>
          <w:kern w:val="0"/>
          <w:sz w:val="24"/>
          <w:szCs w:val="24"/>
          <w:highlight w:val="none"/>
          <w:u w:val="single"/>
          <w:lang w:val="en-US" w:eastAsia="zh-CN" w:bidi="ar"/>
        </w:rPr>
        <w:t>）</w:t>
      </w:r>
      <w:r>
        <w:rPr>
          <w:rFonts w:hint="eastAsia" w:ascii="宋体" w:hAnsi="宋体" w:eastAsia="宋体" w:cs="宋体"/>
          <w:color w:val="000000"/>
          <w:kern w:val="0"/>
          <w:sz w:val="24"/>
          <w:szCs w:val="24"/>
          <w:highlight w:val="none"/>
          <w:lang w:val="en-US" w:eastAsia="zh-CN" w:bidi="ar"/>
        </w:rPr>
        <w:t>的</w:t>
      </w:r>
      <w:r>
        <w:rPr>
          <w:rFonts w:hint="eastAsia" w:ascii="宋体" w:hAnsi="宋体" w:eastAsia="宋体" w:cs="宋体"/>
          <w:i/>
          <w:color w:val="000000"/>
          <w:kern w:val="0"/>
          <w:sz w:val="24"/>
          <w:szCs w:val="24"/>
          <w:highlight w:val="none"/>
          <w:u w:val="single"/>
          <w:lang w:val="en-US" w:eastAsia="zh-CN" w:bidi="ar"/>
        </w:rPr>
        <w:t>（</w:t>
      </w:r>
      <w:r>
        <w:rPr>
          <w:rFonts w:hint="eastAsia" w:ascii="宋体" w:hAnsi="宋体" w:eastAsia="宋体" w:cs="宋体"/>
          <w:i w:val="0"/>
          <w:iCs/>
          <w:color w:val="000000"/>
          <w:kern w:val="0"/>
          <w:sz w:val="24"/>
          <w:szCs w:val="24"/>
          <w:highlight w:val="none"/>
          <w:u w:val="single"/>
          <w:lang w:val="en-US" w:eastAsia="zh-CN" w:bidi="ar"/>
        </w:rPr>
        <w:t>项目名称</w:t>
      </w:r>
      <w:r>
        <w:rPr>
          <w:rFonts w:hint="eastAsia" w:ascii="宋体" w:hAnsi="宋体" w:eastAsia="宋体" w:cs="宋体"/>
          <w:i/>
          <w:color w:val="000000"/>
          <w:kern w:val="0"/>
          <w:sz w:val="24"/>
          <w:szCs w:val="24"/>
          <w:highlight w:val="none"/>
          <w:u w:val="single"/>
          <w:lang w:val="en-US" w:eastAsia="zh-CN" w:bidi="ar"/>
        </w:rPr>
        <w:t>）</w:t>
      </w:r>
      <w:r>
        <w:rPr>
          <w:rFonts w:hint="eastAsia" w:ascii="宋体" w:hAnsi="宋体" w:eastAsia="宋体" w:cs="宋体"/>
          <w:color w:val="000000"/>
          <w:kern w:val="0"/>
          <w:sz w:val="24"/>
          <w:szCs w:val="24"/>
          <w:highlight w:val="none"/>
          <w:lang w:val="en-US" w:eastAsia="zh-CN" w:bidi="ar"/>
        </w:rPr>
        <w:t xml:space="preserve">采购活动，提供的货物全部由符合政策要求的中小企业制造。相关企业（含联合体中的中小企业、签订分包意向协议的中小企业）的具体情况如下： </w:t>
      </w:r>
    </w:p>
    <w:p w14:paraId="7AC7FE5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w:t>
      </w:r>
      <w:r>
        <w:rPr>
          <w:rFonts w:hint="eastAsia" w:ascii="宋体" w:hAnsi="宋体" w:eastAsia="宋体" w:cs="宋体"/>
          <w:color w:val="000000"/>
          <w:kern w:val="0"/>
          <w:sz w:val="24"/>
          <w:szCs w:val="24"/>
          <w:highlight w:val="none"/>
          <w:u w:val="single"/>
          <w:lang w:val="en-US" w:eastAsia="zh-CN" w:bidi="ar"/>
        </w:rPr>
        <w:t>（标的名称）</w:t>
      </w:r>
      <w:r>
        <w:rPr>
          <w:rFonts w:hint="eastAsia" w:ascii="宋体" w:hAnsi="宋体" w:eastAsia="宋体" w:cs="宋体"/>
          <w:color w:val="000000"/>
          <w:kern w:val="0"/>
          <w:sz w:val="24"/>
          <w:szCs w:val="24"/>
          <w:highlight w:val="none"/>
          <w:lang w:val="en-US" w:eastAsia="zh-CN" w:bidi="ar"/>
        </w:rPr>
        <w:t xml:space="preserve"> ，属于</w:t>
      </w:r>
      <w:r>
        <w:rPr>
          <w:rFonts w:hint="eastAsia" w:ascii="宋体" w:hAnsi="宋体" w:eastAsia="宋体" w:cs="宋体"/>
          <w:color w:val="000000"/>
          <w:kern w:val="0"/>
          <w:sz w:val="24"/>
          <w:szCs w:val="24"/>
          <w:highlight w:val="none"/>
          <w:u w:val="single"/>
          <w:lang w:val="en-US" w:eastAsia="zh-CN" w:bidi="ar"/>
        </w:rPr>
        <w:t>（     ）行业</w:t>
      </w:r>
      <w:r>
        <w:rPr>
          <w:rFonts w:hint="eastAsia" w:ascii="宋体" w:hAnsi="宋体" w:eastAsia="宋体" w:cs="宋体"/>
          <w:color w:val="000000"/>
          <w:kern w:val="0"/>
          <w:sz w:val="24"/>
          <w:szCs w:val="24"/>
          <w:highlight w:val="none"/>
          <w:lang w:val="en-US" w:eastAsia="zh-CN" w:bidi="ar"/>
        </w:rPr>
        <w:t xml:space="preserve"> ；制造商为</w:t>
      </w:r>
      <w:r>
        <w:rPr>
          <w:rFonts w:hint="eastAsia" w:ascii="宋体" w:hAnsi="宋体" w:eastAsia="宋体" w:cs="宋体"/>
          <w:color w:val="000000"/>
          <w:kern w:val="0"/>
          <w:sz w:val="24"/>
          <w:szCs w:val="24"/>
          <w:highlight w:val="none"/>
          <w:u w:val="single"/>
          <w:lang w:val="en-US" w:eastAsia="zh-CN" w:bidi="ar"/>
        </w:rPr>
        <w:t>（企业名称</w:t>
      </w:r>
      <w:r>
        <w:rPr>
          <w:rFonts w:hint="eastAsia" w:ascii="宋体" w:hAnsi="宋体" w:eastAsia="宋体" w:cs="宋体"/>
          <w:color w:val="000000"/>
          <w:kern w:val="0"/>
          <w:sz w:val="24"/>
          <w:szCs w:val="24"/>
          <w:highlight w:val="none"/>
          <w:lang w:val="en-US" w:eastAsia="zh-CN" w:bidi="ar"/>
        </w:rPr>
        <w:t xml:space="preserve">），从业人员 </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人，营业收入为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万元，资产总额为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万元，属于</w:t>
      </w:r>
      <w:r>
        <w:rPr>
          <w:rFonts w:hint="eastAsia" w:ascii="宋体" w:hAnsi="宋体" w:eastAsia="宋体" w:cs="宋体"/>
          <w:color w:val="000000"/>
          <w:kern w:val="0"/>
          <w:sz w:val="24"/>
          <w:szCs w:val="24"/>
          <w:highlight w:val="none"/>
          <w:u w:val="single"/>
          <w:lang w:val="en-US" w:eastAsia="zh-CN" w:bidi="ar"/>
        </w:rPr>
        <w:t>（中型企业、小型企业、微型企业）</w:t>
      </w:r>
      <w:r>
        <w:rPr>
          <w:rFonts w:hint="eastAsia" w:ascii="宋体" w:hAnsi="宋体" w:eastAsia="宋体" w:cs="宋体"/>
          <w:color w:val="000000"/>
          <w:kern w:val="0"/>
          <w:sz w:val="24"/>
          <w:szCs w:val="24"/>
          <w:highlight w:val="none"/>
          <w:lang w:val="en-US" w:eastAsia="zh-CN" w:bidi="ar"/>
        </w:rPr>
        <w:t xml:space="preserve">； </w:t>
      </w:r>
    </w:p>
    <w:p w14:paraId="65A6915A">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w:t>
      </w:r>
      <w:r>
        <w:rPr>
          <w:rFonts w:hint="eastAsia" w:ascii="宋体" w:hAnsi="宋体" w:eastAsia="宋体" w:cs="宋体"/>
          <w:color w:val="000000"/>
          <w:kern w:val="0"/>
          <w:sz w:val="24"/>
          <w:szCs w:val="24"/>
          <w:highlight w:val="none"/>
          <w:u w:val="single"/>
          <w:lang w:val="en-US" w:eastAsia="zh-CN" w:bidi="ar"/>
        </w:rPr>
        <w:t>（标的名称）</w:t>
      </w:r>
      <w:r>
        <w:rPr>
          <w:rFonts w:hint="eastAsia" w:ascii="宋体" w:hAnsi="宋体" w:eastAsia="宋体" w:cs="宋体"/>
          <w:color w:val="000000"/>
          <w:kern w:val="0"/>
          <w:sz w:val="24"/>
          <w:szCs w:val="24"/>
          <w:highlight w:val="none"/>
          <w:lang w:val="en-US" w:eastAsia="zh-CN" w:bidi="ar"/>
        </w:rPr>
        <w:t xml:space="preserve"> ，属于</w:t>
      </w:r>
      <w:r>
        <w:rPr>
          <w:rFonts w:hint="eastAsia" w:ascii="宋体" w:hAnsi="宋体" w:eastAsia="宋体" w:cs="宋体"/>
          <w:color w:val="000000"/>
          <w:kern w:val="0"/>
          <w:sz w:val="24"/>
          <w:szCs w:val="24"/>
          <w:highlight w:val="none"/>
          <w:u w:val="single"/>
          <w:lang w:val="en-US" w:eastAsia="zh-CN" w:bidi="ar"/>
        </w:rPr>
        <w:t>（    ） 行业</w:t>
      </w:r>
      <w:r>
        <w:rPr>
          <w:rFonts w:hint="eastAsia" w:ascii="宋体" w:hAnsi="宋体" w:eastAsia="宋体" w:cs="宋体"/>
          <w:color w:val="000000"/>
          <w:kern w:val="0"/>
          <w:sz w:val="24"/>
          <w:szCs w:val="24"/>
          <w:highlight w:val="none"/>
          <w:lang w:val="en-US" w:eastAsia="zh-CN" w:bidi="ar"/>
        </w:rPr>
        <w:t>；制造商为</w:t>
      </w:r>
      <w:r>
        <w:rPr>
          <w:rFonts w:hint="eastAsia" w:ascii="宋体" w:hAnsi="宋体" w:eastAsia="宋体" w:cs="宋体"/>
          <w:color w:val="000000"/>
          <w:kern w:val="0"/>
          <w:sz w:val="24"/>
          <w:szCs w:val="24"/>
          <w:highlight w:val="none"/>
          <w:u w:val="single"/>
          <w:lang w:val="en-US" w:eastAsia="zh-CN" w:bidi="ar"/>
        </w:rPr>
        <w:t>（企业名称</w:t>
      </w:r>
      <w:r>
        <w:rPr>
          <w:rFonts w:hint="eastAsia" w:ascii="宋体" w:hAnsi="宋体" w:eastAsia="宋体" w:cs="宋体"/>
          <w:color w:val="000000"/>
          <w:kern w:val="0"/>
          <w:sz w:val="24"/>
          <w:szCs w:val="24"/>
          <w:highlight w:val="none"/>
          <w:lang w:val="en-US" w:eastAsia="zh-CN" w:bidi="ar"/>
        </w:rPr>
        <w:t>），从业人员</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人，营业收入 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万元，资产总额为</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万元，属于</w:t>
      </w:r>
      <w:r>
        <w:rPr>
          <w:rFonts w:hint="eastAsia" w:ascii="宋体" w:hAnsi="宋体" w:eastAsia="宋体" w:cs="宋体"/>
          <w:color w:val="000000"/>
          <w:kern w:val="0"/>
          <w:sz w:val="24"/>
          <w:szCs w:val="24"/>
          <w:highlight w:val="none"/>
          <w:u w:val="single"/>
          <w:lang w:val="en-US" w:eastAsia="zh-CN" w:bidi="ar"/>
        </w:rPr>
        <w:t>（中型企业、小型 企业、微型企业）</w:t>
      </w:r>
      <w:r>
        <w:rPr>
          <w:rFonts w:hint="eastAsia" w:ascii="宋体" w:hAnsi="宋体" w:eastAsia="宋体" w:cs="宋体"/>
          <w:color w:val="000000"/>
          <w:kern w:val="0"/>
          <w:sz w:val="24"/>
          <w:szCs w:val="24"/>
          <w:highlight w:val="none"/>
          <w:lang w:val="en-US" w:eastAsia="zh-CN" w:bidi="ar"/>
        </w:rPr>
        <w:t xml:space="preserve">； </w:t>
      </w:r>
    </w:p>
    <w:p w14:paraId="44F1330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w:t>
      </w:r>
    </w:p>
    <w:p w14:paraId="1774ADD0">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以上企业，不属于大企业的分支机构，不存在控股股东为大企业的情形，也不存在与大企业的负责人为同一人的情形。</w:t>
      </w:r>
    </w:p>
    <w:p w14:paraId="6A603427">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本企业对上述声明内容的真实性负责。如有虚假，将依法承担相应责任。    </w:t>
      </w:r>
    </w:p>
    <w:p w14:paraId="74E2AC0F">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         企业名称（盖章）： </w:t>
      </w:r>
    </w:p>
    <w:p w14:paraId="5CAD6D7D">
      <w:pPr>
        <w:keepNext w:val="0"/>
        <w:keepLines w:val="0"/>
        <w:pageBreakBefore w:val="0"/>
        <w:widowControl/>
        <w:suppressLineNumbers w:val="0"/>
        <w:kinsoku/>
        <w:wordWrap/>
        <w:overflowPunct/>
        <w:topLinePunct w:val="0"/>
        <w:autoSpaceDE/>
        <w:autoSpaceDN/>
        <w:bidi w:val="0"/>
        <w:adjustRightInd/>
        <w:snapToGrid/>
        <w:spacing w:line="520" w:lineRule="exact"/>
        <w:ind w:left="0" w:leftChars="0" w:firstLine="3660" w:firstLineChars="1525"/>
        <w:jc w:val="both"/>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日 期： </w:t>
      </w:r>
    </w:p>
    <w:p w14:paraId="328864A0">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1.从业人员、营业收入、资产总额填报上一年度数据，无上一年度数据的新成立企业可不填报。</w:t>
      </w:r>
    </w:p>
    <w:p w14:paraId="489F4A4E">
      <w:pPr>
        <w:pStyle w:val="9"/>
        <w:keepLines w:val="0"/>
        <w:pageBreakBefore w:val="0"/>
        <w:kinsoku/>
        <w:wordWrap/>
        <w:overflowPunct/>
        <w:topLinePunct w:val="0"/>
        <w:bidi w:val="0"/>
        <w:spacing w:line="257" w:lineRule="auto"/>
        <w:rPr>
          <w:highlight w:val="none"/>
        </w:rPr>
      </w:pPr>
    </w:p>
    <w:p w14:paraId="741FE22A">
      <w:pPr>
        <w:pStyle w:val="9"/>
        <w:keepLines w:val="0"/>
        <w:pageBreakBefore w:val="0"/>
        <w:kinsoku/>
        <w:wordWrap/>
        <w:overflowPunct/>
        <w:topLinePunct w:val="0"/>
        <w:bidi w:val="0"/>
        <w:spacing w:line="257" w:lineRule="auto"/>
        <w:rPr>
          <w:highlight w:val="none"/>
        </w:rPr>
      </w:pPr>
    </w:p>
    <w:p w14:paraId="31DA4718">
      <w:pPr>
        <w:pStyle w:val="9"/>
        <w:keepLines w:val="0"/>
        <w:pageBreakBefore w:val="0"/>
        <w:kinsoku/>
        <w:wordWrap/>
        <w:overflowPunct/>
        <w:topLinePunct w:val="0"/>
        <w:bidi w:val="0"/>
        <w:spacing w:line="257" w:lineRule="auto"/>
        <w:rPr>
          <w:highlight w:val="none"/>
        </w:rPr>
      </w:pPr>
    </w:p>
    <w:p w14:paraId="782F866F">
      <w:pPr>
        <w:pStyle w:val="9"/>
        <w:keepLines w:val="0"/>
        <w:pageBreakBefore w:val="0"/>
        <w:kinsoku/>
        <w:wordWrap/>
        <w:overflowPunct/>
        <w:topLinePunct w:val="0"/>
        <w:bidi w:val="0"/>
        <w:spacing w:line="257" w:lineRule="auto"/>
        <w:rPr>
          <w:highlight w:val="none"/>
        </w:rPr>
      </w:pPr>
    </w:p>
    <w:p w14:paraId="59BEA114">
      <w:pPr>
        <w:pStyle w:val="23"/>
        <w:keepLines w:val="0"/>
        <w:pageBreakBefore w:val="0"/>
        <w:kinsoku/>
        <w:wordWrap/>
        <w:overflowPunct/>
        <w:topLinePunct w:val="0"/>
        <w:bidi w:val="0"/>
        <w:rPr>
          <w:highlight w:val="none"/>
        </w:rPr>
      </w:pPr>
    </w:p>
    <w:p w14:paraId="03E38319">
      <w:pPr>
        <w:keepLines w:val="0"/>
        <w:pageBreakBefore w:val="0"/>
        <w:kinsoku/>
        <w:wordWrap/>
        <w:overflowPunct/>
        <w:topLinePunct w:val="0"/>
        <w:bidi w:val="0"/>
        <w:rPr>
          <w:highlight w:val="none"/>
        </w:rPr>
      </w:pPr>
    </w:p>
    <w:p w14:paraId="7A693F64">
      <w:pPr>
        <w:keepLines w:val="0"/>
        <w:pageBreakBefore w:val="0"/>
        <w:kinsoku/>
        <w:wordWrap/>
        <w:overflowPunct/>
        <w:topLinePunct w:val="0"/>
        <w:bidi w:val="0"/>
        <w:rPr>
          <w:highlight w:val="none"/>
        </w:rPr>
      </w:pPr>
    </w:p>
    <w:p w14:paraId="741F2CB6">
      <w:pPr>
        <w:pStyle w:val="9"/>
        <w:keepLines w:val="0"/>
        <w:pageBreakBefore w:val="0"/>
        <w:kinsoku/>
        <w:wordWrap/>
        <w:overflowPunct/>
        <w:topLinePunct w:val="0"/>
        <w:bidi w:val="0"/>
        <w:spacing w:line="257" w:lineRule="auto"/>
        <w:rPr>
          <w:highlight w:val="none"/>
        </w:rPr>
      </w:pPr>
    </w:p>
    <w:p w14:paraId="490DA212">
      <w:pPr>
        <w:pStyle w:val="9"/>
        <w:keepLines w:val="0"/>
        <w:pageBreakBefore w:val="0"/>
        <w:kinsoku/>
        <w:wordWrap/>
        <w:overflowPunct/>
        <w:topLinePunct w:val="0"/>
        <w:bidi w:val="0"/>
        <w:spacing w:line="257" w:lineRule="auto"/>
        <w:rPr>
          <w:highlight w:val="none"/>
        </w:rPr>
      </w:pPr>
    </w:p>
    <w:p w14:paraId="3E4427C8">
      <w:pPr>
        <w:pStyle w:val="9"/>
        <w:keepLines w:val="0"/>
        <w:pageBreakBefore w:val="0"/>
        <w:kinsoku/>
        <w:wordWrap/>
        <w:overflowPunct/>
        <w:topLinePunct w:val="0"/>
        <w:bidi w:val="0"/>
        <w:spacing w:line="257" w:lineRule="auto"/>
        <w:rPr>
          <w:rFonts w:hint="eastAsia" w:ascii="仿宋" w:hAnsi="仿宋" w:eastAsia="仿宋" w:cs="仿宋"/>
          <w:highlight w:val="none"/>
        </w:rPr>
      </w:pPr>
    </w:p>
    <w:p w14:paraId="214F266C">
      <w:pPr>
        <w:pStyle w:val="23"/>
        <w:keepLines w:val="0"/>
        <w:pageBreakBefore w:val="0"/>
        <w:kinsoku/>
        <w:wordWrap/>
        <w:overflowPunct/>
        <w:topLinePunct w:val="0"/>
        <w:bidi w:val="0"/>
        <w:rPr>
          <w:rFonts w:hint="eastAsia"/>
          <w:highlight w:val="none"/>
        </w:rPr>
      </w:pPr>
    </w:p>
    <w:p w14:paraId="67D4E6DD">
      <w:pPr>
        <w:keepLines w:val="0"/>
        <w:pageBreakBefore w:val="0"/>
        <w:kinsoku/>
        <w:wordWrap/>
        <w:overflowPunct/>
        <w:topLinePunct w:val="0"/>
        <w:bidi w:val="0"/>
        <w:rPr>
          <w:rFonts w:hint="eastAsia"/>
          <w:highlight w:val="none"/>
        </w:rPr>
      </w:pPr>
    </w:p>
    <w:p w14:paraId="7B016CB2">
      <w:pPr>
        <w:keepLines w:val="0"/>
        <w:pageBreakBefore w:val="0"/>
        <w:kinsoku/>
        <w:wordWrap/>
        <w:overflowPunct/>
        <w:topLinePunct w:val="0"/>
        <w:bidi w:val="0"/>
        <w:rPr>
          <w:rFonts w:hint="eastAsia"/>
          <w:highlight w:val="none"/>
        </w:rPr>
      </w:pPr>
    </w:p>
    <w:p w14:paraId="44B3668A">
      <w:pPr>
        <w:keepLines w:val="0"/>
        <w:pageBreakBefore w:val="0"/>
        <w:kinsoku/>
        <w:wordWrap/>
        <w:overflowPunct/>
        <w:topLinePunct w:val="0"/>
        <w:bidi w:val="0"/>
        <w:spacing w:before="136" w:line="219" w:lineRule="auto"/>
        <w:ind w:left="2763"/>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（二）残疾人福利性单位声明函</w:t>
      </w:r>
    </w:p>
    <w:p w14:paraId="1021C0BF">
      <w:pPr>
        <w:pStyle w:val="9"/>
        <w:keepLines w:val="0"/>
        <w:pageBreakBefore w:val="0"/>
        <w:kinsoku/>
        <w:wordWrap/>
        <w:overflowPunct/>
        <w:topLinePunct w:val="0"/>
        <w:bidi w:val="0"/>
        <w:spacing w:line="245" w:lineRule="auto"/>
        <w:rPr>
          <w:rFonts w:hint="eastAsia" w:ascii="仿宋" w:hAnsi="仿宋" w:eastAsia="仿宋" w:cs="仿宋"/>
          <w:sz w:val="24"/>
          <w:szCs w:val="24"/>
          <w:highlight w:val="none"/>
        </w:rPr>
      </w:pPr>
    </w:p>
    <w:p w14:paraId="399F4692">
      <w:pPr>
        <w:pStyle w:val="9"/>
        <w:keepLines w:val="0"/>
        <w:pageBreakBefore w:val="0"/>
        <w:kinsoku/>
        <w:wordWrap/>
        <w:overflowPunct/>
        <w:topLinePunct w:val="0"/>
        <w:bidi w:val="0"/>
        <w:spacing w:line="245" w:lineRule="auto"/>
        <w:rPr>
          <w:rFonts w:hint="eastAsia" w:ascii="仿宋" w:hAnsi="仿宋" w:eastAsia="仿宋" w:cs="仿宋"/>
          <w:sz w:val="24"/>
          <w:szCs w:val="24"/>
          <w:highlight w:val="none"/>
        </w:rPr>
      </w:pPr>
    </w:p>
    <w:p w14:paraId="6A1F2159">
      <w:pPr>
        <w:keepLines w:val="0"/>
        <w:pageBreakBefore w:val="0"/>
        <w:kinsoku/>
        <w:wordWrap/>
        <w:overflowPunct/>
        <w:topLinePunct w:val="0"/>
        <w:bidi w:val="0"/>
        <w:spacing w:before="65" w:line="543" w:lineRule="auto"/>
        <w:ind w:left="6" w:right="8" w:firstLine="445"/>
        <w:jc w:val="both"/>
        <w:rPr>
          <w:rFonts w:hint="eastAsia" w:ascii="仿宋" w:hAnsi="仿宋" w:eastAsia="仿宋" w:cs="仿宋"/>
          <w:sz w:val="24"/>
          <w:szCs w:val="24"/>
          <w:highlight w:val="none"/>
        </w:rPr>
      </w:pPr>
      <w:r>
        <w:rPr>
          <w:rFonts w:hint="eastAsia" w:ascii="仿宋" w:hAnsi="仿宋" w:eastAsia="仿宋" w:cs="仿宋"/>
          <w:spacing w:val="20"/>
          <w:sz w:val="24"/>
          <w:szCs w:val="24"/>
          <w:highlight w:val="none"/>
        </w:rPr>
        <w:t>本单位郑重声明，根据《财政部民政部中国残疾人联合会关于促进残疾人就业政府采购</w:t>
      </w:r>
      <w:r>
        <w:rPr>
          <w:rFonts w:hint="eastAsia" w:ascii="仿宋" w:hAnsi="仿宋" w:eastAsia="仿宋" w:cs="仿宋"/>
          <w:spacing w:val="18"/>
          <w:sz w:val="24"/>
          <w:szCs w:val="24"/>
          <w:highlight w:val="none"/>
        </w:rPr>
        <w:t xml:space="preserve"> </w:t>
      </w:r>
      <w:r>
        <w:rPr>
          <w:rFonts w:hint="eastAsia" w:ascii="仿宋" w:hAnsi="仿宋" w:eastAsia="仿宋" w:cs="仿宋"/>
          <w:spacing w:val="15"/>
          <w:sz w:val="24"/>
          <w:szCs w:val="24"/>
          <w:highlight w:val="none"/>
        </w:rPr>
        <w:t>政策的通知》</w:t>
      </w:r>
      <w:r>
        <w:rPr>
          <w:rFonts w:hint="eastAsia" w:ascii="仿宋" w:hAnsi="仿宋" w:eastAsia="仿宋" w:cs="仿宋"/>
          <w:spacing w:val="-65"/>
          <w:sz w:val="24"/>
          <w:szCs w:val="24"/>
          <w:highlight w:val="none"/>
        </w:rPr>
        <w:t xml:space="preserve"> </w:t>
      </w:r>
      <w:r>
        <w:rPr>
          <w:rFonts w:hint="eastAsia" w:ascii="仿宋" w:hAnsi="仿宋" w:eastAsia="仿宋" w:cs="仿宋"/>
          <w:spacing w:val="15"/>
          <w:sz w:val="24"/>
          <w:szCs w:val="24"/>
          <w:highlight w:val="none"/>
        </w:rPr>
        <w:t>（财库〔2017〕141号）的规定，本单位</w:t>
      </w:r>
      <w:r>
        <w:rPr>
          <w:rFonts w:hint="eastAsia" w:ascii="仿宋" w:hAnsi="仿宋" w:eastAsia="仿宋" w:cs="仿宋"/>
          <w:spacing w:val="14"/>
          <w:sz w:val="24"/>
          <w:szCs w:val="24"/>
          <w:highlight w:val="none"/>
        </w:rPr>
        <w:t>为符合条件的残疾人福利性单位，且</w:t>
      </w:r>
      <w:r>
        <w:rPr>
          <w:rFonts w:hint="eastAsia" w:ascii="仿宋" w:hAnsi="仿宋" w:eastAsia="仿宋" w:cs="仿宋"/>
          <w:spacing w:val="22"/>
          <w:sz w:val="24"/>
          <w:szCs w:val="24"/>
          <w:highlight w:val="none"/>
        </w:rPr>
        <w:t>本单位参加</w:t>
      </w:r>
      <w:r>
        <w:rPr>
          <w:rFonts w:hint="eastAsia" w:ascii="仿宋" w:hAnsi="仿宋" w:eastAsia="仿宋" w:cs="仿宋"/>
          <w:spacing w:val="-86"/>
          <w:sz w:val="24"/>
          <w:szCs w:val="24"/>
          <w:highlight w:val="none"/>
        </w:rPr>
        <w:t xml:space="preserve"> </w:t>
      </w:r>
      <w:r>
        <w:rPr>
          <w:rFonts w:hint="eastAsia" w:ascii="仿宋" w:hAnsi="仿宋" w:eastAsia="仿宋" w:cs="仿宋"/>
          <w:spacing w:val="4"/>
          <w:sz w:val="24"/>
          <w:szCs w:val="24"/>
          <w:highlight w:val="none"/>
          <w:u w:val="single" w:color="auto"/>
        </w:rPr>
        <w:t xml:space="preserve"> </w:t>
      </w:r>
      <w:r>
        <w:rPr>
          <w:rFonts w:hint="eastAsia" w:ascii="仿宋" w:hAnsi="仿宋" w:eastAsia="仿宋" w:cs="仿宋"/>
          <w:spacing w:val="-96"/>
          <w:sz w:val="24"/>
          <w:szCs w:val="24"/>
          <w:highlight w:val="none"/>
        </w:rPr>
        <w:t xml:space="preserve"> </w:t>
      </w:r>
      <w:r>
        <w:rPr>
          <w:rFonts w:hint="eastAsia" w:ascii="仿宋" w:hAnsi="仿宋" w:eastAsia="仿宋" w:cs="仿宋"/>
          <w:spacing w:val="4"/>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4"/>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22"/>
          <w:sz w:val="24"/>
          <w:szCs w:val="24"/>
          <w:highlight w:val="none"/>
          <w:u w:val="single" w:color="auto"/>
        </w:rPr>
        <w:t xml:space="preserve">  </w:t>
      </w:r>
      <w:r>
        <w:rPr>
          <w:rFonts w:hint="eastAsia" w:ascii="仿宋" w:hAnsi="仿宋" w:eastAsia="仿宋" w:cs="仿宋"/>
          <w:spacing w:val="22"/>
          <w:sz w:val="24"/>
          <w:szCs w:val="24"/>
          <w:highlight w:val="none"/>
        </w:rPr>
        <w:t>单位的</w:t>
      </w:r>
      <w:r>
        <w:rPr>
          <w:rFonts w:hint="eastAsia" w:ascii="仿宋" w:hAnsi="仿宋" w:eastAsia="仿宋" w:cs="仿宋"/>
          <w:spacing w:val="-86"/>
          <w:sz w:val="24"/>
          <w:szCs w:val="24"/>
          <w:highlight w:val="none"/>
        </w:rPr>
        <w:t xml:space="preserve"> </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97"/>
          <w:sz w:val="24"/>
          <w:szCs w:val="24"/>
          <w:highlight w:val="none"/>
        </w:rPr>
        <w:t xml:space="preserve"> </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4"/>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4"/>
          <w:sz w:val="24"/>
          <w:szCs w:val="24"/>
          <w:highlight w:val="none"/>
          <w:u w:val="single" w:color="auto"/>
        </w:rPr>
        <w:t xml:space="preserve"> </w:t>
      </w:r>
      <w:r>
        <w:rPr>
          <w:rFonts w:hint="eastAsia" w:ascii="仿宋" w:hAnsi="仿宋" w:eastAsia="仿宋" w:cs="仿宋"/>
          <w:spacing w:val="-94"/>
          <w:sz w:val="24"/>
          <w:szCs w:val="24"/>
          <w:highlight w:val="none"/>
        </w:rPr>
        <w:t xml:space="preserve"> </w:t>
      </w:r>
      <w:r>
        <w:rPr>
          <w:rFonts w:hint="eastAsia" w:ascii="仿宋" w:hAnsi="仿宋" w:eastAsia="仿宋" w:cs="仿宋"/>
          <w:spacing w:val="22"/>
          <w:sz w:val="24"/>
          <w:szCs w:val="24"/>
          <w:highlight w:val="none"/>
          <w:u w:val="single" w:color="auto"/>
        </w:rPr>
        <w:t xml:space="preserve">  </w:t>
      </w:r>
      <w:r>
        <w:rPr>
          <w:rFonts w:hint="eastAsia" w:ascii="仿宋" w:hAnsi="仿宋" w:eastAsia="仿宋" w:cs="仿宋"/>
          <w:spacing w:val="22"/>
          <w:sz w:val="24"/>
          <w:szCs w:val="24"/>
          <w:highlight w:val="none"/>
        </w:rPr>
        <w:t>项目采购活动提供本单位制造</w:t>
      </w:r>
      <w:r>
        <w:rPr>
          <w:rFonts w:hint="eastAsia" w:ascii="仿宋" w:hAnsi="仿宋" w:eastAsia="仿宋" w:cs="仿宋"/>
          <w:spacing w:val="21"/>
          <w:sz w:val="24"/>
          <w:szCs w:val="24"/>
          <w:highlight w:val="none"/>
        </w:rPr>
        <w:t>的货物（由本单位承担工程/</w:t>
      </w:r>
      <w:r>
        <w:rPr>
          <w:rFonts w:hint="eastAsia" w:ascii="仿宋" w:hAnsi="仿宋" w:eastAsia="仿宋" w:cs="仿宋"/>
          <w:sz w:val="24"/>
          <w:szCs w:val="24"/>
          <w:highlight w:val="none"/>
        </w:rPr>
        <w:t xml:space="preserve"> </w:t>
      </w:r>
      <w:r>
        <w:rPr>
          <w:rFonts w:hint="eastAsia" w:ascii="仿宋" w:hAnsi="仿宋" w:eastAsia="仿宋" w:cs="仿宋"/>
          <w:spacing w:val="20"/>
          <w:sz w:val="24"/>
          <w:szCs w:val="24"/>
          <w:highlight w:val="none"/>
        </w:rPr>
        <w:t>提供服务</w:t>
      </w:r>
      <w:r>
        <w:rPr>
          <w:rFonts w:hint="eastAsia" w:ascii="仿宋" w:hAnsi="仿宋" w:eastAsia="仿宋" w:cs="仿宋"/>
          <w:spacing w:val="6"/>
          <w:sz w:val="24"/>
          <w:szCs w:val="24"/>
          <w:highlight w:val="none"/>
        </w:rPr>
        <w:t>），</w:t>
      </w:r>
      <w:r>
        <w:rPr>
          <w:rFonts w:hint="eastAsia" w:ascii="仿宋" w:hAnsi="仿宋" w:eastAsia="仿宋" w:cs="仿宋"/>
          <w:spacing w:val="20"/>
          <w:sz w:val="24"/>
          <w:szCs w:val="24"/>
          <w:highlight w:val="none"/>
        </w:rPr>
        <w:t>或者提供其他残疾人福利性单位制造的货物（不包括使用非残疾人福利性单位</w:t>
      </w:r>
      <w:r>
        <w:rPr>
          <w:rFonts w:hint="eastAsia" w:ascii="仿宋" w:hAnsi="仿宋" w:eastAsia="仿宋" w:cs="仿宋"/>
          <w:spacing w:val="18"/>
          <w:sz w:val="24"/>
          <w:szCs w:val="24"/>
          <w:highlight w:val="none"/>
        </w:rPr>
        <w:t>注册商标的货物）。</w:t>
      </w:r>
    </w:p>
    <w:p w14:paraId="5C1F4451">
      <w:pPr>
        <w:pStyle w:val="9"/>
        <w:keepLines w:val="0"/>
        <w:pageBreakBefore w:val="0"/>
        <w:kinsoku/>
        <w:wordWrap/>
        <w:overflowPunct/>
        <w:topLinePunct w:val="0"/>
        <w:bidi w:val="0"/>
        <w:spacing w:line="275" w:lineRule="auto"/>
        <w:rPr>
          <w:rFonts w:hint="eastAsia" w:ascii="仿宋" w:hAnsi="仿宋" w:eastAsia="仿宋" w:cs="仿宋"/>
          <w:sz w:val="24"/>
          <w:szCs w:val="24"/>
          <w:highlight w:val="none"/>
        </w:rPr>
      </w:pPr>
    </w:p>
    <w:p w14:paraId="46A52D00">
      <w:pPr>
        <w:keepLines w:val="0"/>
        <w:pageBreakBefore w:val="0"/>
        <w:kinsoku/>
        <w:wordWrap/>
        <w:overflowPunct/>
        <w:topLinePunct w:val="0"/>
        <w:bidi w:val="0"/>
        <w:spacing w:before="66" w:line="227" w:lineRule="auto"/>
        <w:ind w:left="452"/>
        <w:rPr>
          <w:rFonts w:hint="eastAsia" w:ascii="仿宋" w:hAnsi="仿宋" w:eastAsia="仿宋" w:cs="仿宋"/>
          <w:sz w:val="24"/>
          <w:szCs w:val="24"/>
          <w:highlight w:val="none"/>
        </w:rPr>
      </w:pPr>
      <w:r>
        <w:rPr>
          <w:rFonts w:hint="eastAsia" w:ascii="仿宋" w:hAnsi="仿宋" w:eastAsia="仿宋" w:cs="仿宋"/>
          <w:spacing w:val="19"/>
          <w:sz w:val="24"/>
          <w:szCs w:val="24"/>
          <w:highlight w:val="none"/>
        </w:rPr>
        <w:t>本单位对上述声明的真实性负责</w:t>
      </w:r>
      <w:r>
        <w:rPr>
          <w:rFonts w:hint="eastAsia" w:ascii="仿宋" w:hAnsi="仿宋" w:eastAsia="仿宋" w:cs="仿宋"/>
          <w:spacing w:val="-56"/>
          <w:sz w:val="24"/>
          <w:szCs w:val="24"/>
          <w:highlight w:val="none"/>
        </w:rPr>
        <w:t xml:space="preserve"> </w:t>
      </w:r>
      <w:r>
        <w:rPr>
          <w:rFonts w:hint="eastAsia" w:ascii="仿宋" w:hAnsi="仿宋" w:eastAsia="仿宋" w:cs="仿宋"/>
          <w:spacing w:val="19"/>
          <w:sz w:val="24"/>
          <w:szCs w:val="24"/>
          <w:highlight w:val="none"/>
        </w:rPr>
        <w:t>。如有虚假，将依法承担相应责任。</w:t>
      </w:r>
    </w:p>
    <w:p w14:paraId="27D0C29A">
      <w:pPr>
        <w:pStyle w:val="9"/>
        <w:keepLines w:val="0"/>
        <w:pageBreakBefore w:val="0"/>
        <w:kinsoku/>
        <w:wordWrap/>
        <w:overflowPunct/>
        <w:topLinePunct w:val="0"/>
        <w:bidi w:val="0"/>
        <w:spacing w:line="296" w:lineRule="auto"/>
        <w:rPr>
          <w:rFonts w:hint="eastAsia" w:ascii="仿宋" w:hAnsi="仿宋" w:eastAsia="仿宋" w:cs="仿宋"/>
          <w:sz w:val="24"/>
          <w:szCs w:val="24"/>
          <w:highlight w:val="none"/>
        </w:rPr>
      </w:pPr>
    </w:p>
    <w:p w14:paraId="249CC016">
      <w:pPr>
        <w:pStyle w:val="9"/>
        <w:keepLines w:val="0"/>
        <w:pageBreakBefore w:val="0"/>
        <w:kinsoku/>
        <w:wordWrap/>
        <w:overflowPunct/>
        <w:topLinePunct w:val="0"/>
        <w:bidi w:val="0"/>
        <w:spacing w:line="296" w:lineRule="auto"/>
        <w:rPr>
          <w:rFonts w:hint="eastAsia" w:ascii="仿宋" w:hAnsi="仿宋" w:eastAsia="仿宋" w:cs="仿宋"/>
          <w:sz w:val="24"/>
          <w:szCs w:val="24"/>
          <w:highlight w:val="none"/>
        </w:rPr>
      </w:pPr>
    </w:p>
    <w:p w14:paraId="361F805C">
      <w:pPr>
        <w:pStyle w:val="9"/>
        <w:keepLines w:val="0"/>
        <w:pageBreakBefore w:val="0"/>
        <w:kinsoku/>
        <w:wordWrap/>
        <w:overflowPunct/>
        <w:topLinePunct w:val="0"/>
        <w:bidi w:val="0"/>
        <w:spacing w:line="297" w:lineRule="auto"/>
        <w:rPr>
          <w:rFonts w:hint="eastAsia" w:ascii="仿宋" w:hAnsi="仿宋" w:eastAsia="仿宋" w:cs="仿宋"/>
          <w:sz w:val="24"/>
          <w:szCs w:val="24"/>
          <w:highlight w:val="none"/>
        </w:rPr>
      </w:pPr>
    </w:p>
    <w:p w14:paraId="0D46FA58">
      <w:pPr>
        <w:pStyle w:val="9"/>
        <w:keepLines w:val="0"/>
        <w:pageBreakBefore w:val="0"/>
        <w:kinsoku/>
        <w:wordWrap/>
        <w:overflowPunct/>
        <w:topLinePunct w:val="0"/>
        <w:bidi w:val="0"/>
        <w:spacing w:line="297" w:lineRule="auto"/>
        <w:rPr>
          <w:rFonts w:hint="eastAsia" w:ascii="仿宋" w:hAnsi="仿宋" w:eastAsia="仿宋" w:cs="仿宋"/>
          <w:sz w:val="24"/>
          <w:szCs w:val="24"/>
          <w:highlight w:val="none"/>
        </w:rPr>
      </w:pPr>
    </w:p>
    <w:p w14:paraId="4A805AF5">
      <w:pPr>
        <w:keepLines w:val="0"/>
        <w:pageBreakBefore w:val="0"/>
        <w:kinsoku/>
        <w:wordWrap/>
        <w:overflowPunct/>
        <w:topLinePunct w:val="0"/>
        <w:bidi w:val="0"/>
        <w:spacing w:before="65" w:line="221" w:lineRule="auto"/>
        <w:ind w:left="2611"/>
        <w:rPr>
          <w:rFonts w:hint="eastAsia" w:ascii="仿宋" w:hAnsi="仿宋" w:eastAsia="仿宋" w:cs="仿宋"/>
          <w:sz w:val="24"/>
          <w:szCs w:val="24"/>
          <w:highlight w:val="none"/>
        </w:rPr>
      </w:pPr>
      <w:r>
        <w:rPr>
          <w:rFonts w:hint="eastAsia" w:ascii="仿宋" w:hAnsi="仿宋" w:eastAsia="仿宋" w:cs="仿宋"/>
          <w:spacing w:val="19"/>
          <w:sz w:val="24"/>
          <w:szCs w:val="24"/>
          <w:highlight w:val="none"/>
          <w:lang w:eastAsia="zh-CN"/>
        </w:rPr>
        <w:t>投标人</w:t>
      </w:r>
      <w:r>
        <w:rPr>
          <w:rFonts w:hint="eastAsia" w:ascii="仿宋" w:hAnsi="仿宋" w:eastAsia="仿宋" w:cs="仿宋"/>
          <w:spacing w:val="19"/>
          <w:sz w:val="24"/>
          <w:szCs w:val="24"/>
          <w:highlight w:val="none"/>
        </w:rPr>
        <w:t>名称（盖公章）：</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87"/>
          <w:sz w:val="24"/>
          <w:szCs w:val="24"/>
          <w:highlight w:val="none"/>
        </w:rPr>
        <w:t xml:space="preserve"> </w:t>
      </w:r>
    </w:p>
    <w:p w14:paraId="3620FA69">
      <w:pPr>
        <w:keepLines w:val="0"/>
        <w:pageBreakBefore w:val="0"/>
        <w:kinsoku/>
        <w:wordWrap/>
        <w:overflowPunct/>
        <w:topLinePunct w:val="0"/>
        <w:bidi w:val="0"/>
        <w:spacing w:before="35" w:line="250" w:lineRule="auto"/>
        <w:ind w:left="2612"/>
        <w:rPr>
          <w:rFonts w:hint="eastAsia" w:ascii="仿宋" w:hAnsi="仿宋" w:eastAsia="仿宋" w:cs="仿宋"/>
          <w:sz w:val="24"/>
          <w:szCs w:val="24"/>
          <w:highlight w:val="none"/>
        </w:rPr>
      </w:pPr>
      <w:r>
        <w:rPr>
          <w:rFonts w:hint="eastAsia" w:ascii="仿宋" w:hAnsi="仿宋" w:eastAsia="仿宋" w:cs="仿宋"/>
          <w:spacing w:val="19"/>
          <w:sz w:val="24"/>
          <w:szCs w:val="24"/>
          <w:highlight w:val="none"/>
        </w:rPr>
        <w:t>法定代表人或其授权委托人(签字)：</w:t>
      </w:r>
      <w:r>
        <w:rPr>
          <w:rFonts w:hint="eastAsia" w:ascii="仿宋" w:hAnsi="仿宋" w:eastAsia="仿宋" w:cs="仿宋"/>
          <w:spacing w:val="7"/>
          <w:sz w:val="24"/>
          <w:szCs w:val="24"/>
          <w:highlight w:val="none"/>
          <w:u w:val="single" w:color="auto"/>
        </w:rPr>
        <w:t xml:space="preserve">  </w:t>
      </w:r>
      <w:r>
        <w:rPr>
          <w:rFonts w:hint="eastAsia" w:ascii="仿宋" w:hAnsi="仿宋" w:eastAsia="仿宋" w:cs="仿宋"/>
          <w:spacing w:val="7"/>
          <w:sz w:val="24"/>
          <w:szCs w:val="24"/>
          <w:highlight w:val="none"/>
          <w:u w:val="single" w:color="auto"/>
          <w:lang w:val="en-US" w:eastAsia="zh-CN"/>
        </w:rPr>
        <w:t xml:space="preserve">            </w:t>
      </w:r>
      <w:r>
        <w:rPr>
          <w:rFonts w:hint="eastAsia" w:ascii="仿宋" w:hAnsi="仿宋" w:eastAsia="仿宋" w:cs="仿宋"/>
          <w:spacing w:val="7"/>
          <w:sz w:val="24"/>
          <w:szCs w:val="24"/>
          <w:highlight w:val="none"/>
          <w:u w:val="single" w:color="auto"/>
        </w:rPr>
        <w:t xml:space="preserve">    </w:t>
      </w:r>
    </w:p>
    <w:p w14:paraId="40672B23">
      <w:pPr>
        <w:keepLines w:val="0"/>
        <w:pageBreakBefore w:val="0"/>
        <w:tabs>
          <w:tab w:val="left" w:pos="4665"/>
        </w:tabs>
        <w:kinsoku/>
        <w:wordWrap/>
        <w:overflowPunct/>
        <w:topLinePunct w:val="0"/>
        <w:bidi w:val="0"/>
        <w:spacing w:before="1" w:line="227" w:lineRule="auto"/>
        <w:ind w:left="3720" w:firstLine="232" w:firstLineChars="400"/>
        <w:rPr>
          <w:rFonts w:hint="eastAsia" w:ascii="仿宋" w:hAnsi="仿宋" w:eastAsia="仿宋" w:cs="仿宋"/>
          <w:sz w:val="24"/>
          <w:szCs w:val="24"/>
          <w:highlight w:val="none"/>
        </w:rPr>
      </w:pPr>
      <w:r>
        <w:rPr>
          <w:rFonts w:hint="eastAsia" w:ascii="仿宋" w:hAnsi="仿宋" w:eastAsia="仿宋" w:cs="仿宋"/>
          <w:spacing w:val="-91"/>
          <w:sz w:val="24"/>
          <w:szCs w:val="24"/>
          <w:highlight w:val="none"/>
        </w:rPr>
        <w:t xml:space="preserve"> </w:t>
      </w:r>
      <w:r>
        <w:rPr>
          <w:rFonts w:hint="eastAsia" w:ascii="仿宋" w:hAnsi="仿宋" w:eastAsia="仿宋" w:cs="仿宋"/>
          <w:spacing w:val="19"/>
          <w:sz w:val="24"/>
          <w:szCs w:val="24"/>
          <w:highlight w:val="none"/>
        </w:rPr>
        <w:t>年</w:t>
      </w:r>
      <w:r>
        <w:rPr>
          <w:rFonts w:hint="eastAsia" w:ascii="仿宋" w:hAnsi="仿宋" w:eastAsia="仿宋" w:cs="仿宋"/>
          <w:spacing w:val="-98"/>
          <w:sz w:val="24"/>
          <w:szCs w:val="24"/>
          <w:highlight w:val="none"/>
        </w:rPr>
        <w:t xml:space="preserve"> </w:t>
      </w:r>
      <w:r>
        <w:rPr>
          <w:rFonts w:hint="eastAsia" w:ascii="仿宋" w:hAnsi="仿宋" w:eastAsia="仿宋" w:cs="仿宋"/>
          <w:spacing w:val="4"/>
          <w:sz w:val="24"/>
          <w:szCs w:val="24"/>
          <w:highlight w:val="none"/>
          <w:u w:val="none" w:color="auto"/>
          <w:lang w:val="en-US" w:eastAsia="zh-CN"/>
        </w:rPr>
        <w:t xml:space="preserve">  </w:t>
      </w:r>
      <w:r>
        <w:rPr>
          <w:rFonts w:hint="eastAsia" w:ascii="仿宋" w:hAnsi="仿宋" w:eastAsia="仿宋" w:cs="仿宋"/>
          <w:spacing w:val="-84"/>
          <w:sz w:val="24"/>
          <w:szCs w:val="24"/>
          <w:highlight w:val="none"/>
          <w:u w:val="none" w:color="auto"/>
        </w:rPr>
        <w:t xml:space="preserve"> </w:t>
      </w:r>
      <w:r>
        <w:rPr>
          <w:rFonts w:hint="eastAsia" w:ascii="仿宋" w:hAnsi="仿宋" w:eastAsia="仿宋" w:cs="仿宋"/>
          <w:spacing w:val="19"/>
          <w:sz w:val="24"/>
          <w:szCs w:val="24"/>
          <w:highlight w:val="none"/>
        </w:rPr>
        <w:t>月</w:t>
      </w:r>
      <w:r>
        <w:rPr>
          <w:rFonts w:hint="eastAsia" w:ascii="仿宋" w:hAnsi="仿宋" w:eastAsia="仿宋" w:cs="仿宋"/>
          <w:spacing w:val="-99"/>
          <w:sz w:val="24"/>
          <w:szCs w:val="24"/>
          <w:highlight w:val="none"/>
        </w:rPr>
        <w:t xml:space="preserve"> </w:t>
      </w:r>
      <w:r>
        <w:rPr>
          <w:rFonts w:hint="eastAsia" w:ascii="仿宋" w:hAnsi="仿宋" w:eastAsia="仿宋" w:cs="仿宋"/>
          <w:spacing w:val="5"/>
          <w:sz w:val="24"/>
          <w:szCs w:val="24"/>
          <w:highlight w:val="none"/>
          <w:u w:val="none" w:color="auto"/>
        </w:rPr>
        <w:t xml:space="preserve">  </w:t>
      </w:r>
      <w:r>
        <w:rPr>
          <w:rFonts w:hint="eastAsia" w:ascii="仿宋" w:hAnsi="仿宋" w:eastAsia="仿宋" w:cs="仿宋"/>
          <w:spacing w:val="-55"/>
          <w:sz w:val="24"/>
          <w:szCs w:val="24"/>
          <w:highlight w:val="none"/>
        </w:rPr>
        <w:t xml:space="preserve"> </w:t>
      </w:r>
      <w:r>
        <w:rPr>
          <w:rFonts w:hint="eastAsia" w:ascii="仿宋" w:hAnsi="仿宋" w:eastAsia="仿宋" w:cs="仿宋"/>
          <w:spacing w:val="19"/>
          <w:sz w:val="24"/>
          <w:szCs w:val="24"/>
          <w:highlight w:val="none"/>
        </w:rPr>
        <w:t>日</w:t>
      </w:r>
    </w:p>
    <w:p w14:paraId="0D0961BB">
      <w:pPr>
        <w:pStyle w:val="9"/>
        <w:keepLines w:val="0"/>
        <w:pageBreakBefore w:val="0"/>
        <w:kinsoku/>
        <w:wordWrap/>
        <w:overflowPunct/>
        <w:topLinePunct w:val="0"/>
        <w:bidi w:val="0"/>
        <w:spacing w:line="262" w:lineRule="auto"/>
        <w:rPr>
          <w:rFonts w:hint="eastAsia" w:ascii="仿宋" w:hAnsi="仿宋" w:eastAsia="仿宋" w:cs="仿宋"/>
          <w:sz w:val="24"/>
          <w:szCs w:val="24"/>
          <w:highlight w:val="none"/>
        </w:rPr>
      </w:pPr>
    </w:p>
    <w:p w14:paraId="7281A026">
      <w:pPr>
        <w:pStyle w:val="9"/>
        <w:keepLines w:val="0"/>
        <w:pageBreakBefore w:val="0"/>
        <w:kinsoku/>
        <w:wordWrap/>
        <w:overflowPunct/>
        <w:topLinePunct w:val="0"/>
        <w:bidi w:val="0"/>
        <w:spacing w:line="262" w:lineRule="auto"/>
        <w:rPr>
          <w:rFonts w:hint="eastAsia" w:ascii="仿宋" w:hAnsi="仿宋" w:eastAsia="仿宋" w:cs="仿宋"/>
          <w:sz w:val="24"/>
          <w:szCs w:val="24"/>
          <w:highlight w:val="none"/>
        </w:rPr>
      </w:pPr>
    </w:p>
    <w:p w14:paraId="3DCAB42F">
      <w:pPr>
        <w:pStyle w:val="9"/>
        <w:keepLines w:val="0"/>
        <w:pageBreakBefore w:val="0"/>
        <w:kinsoku/>
        <w:wordWrap/>
        <w:overflowPunct/>
        <w:topLinePunct w:val="0"/>
        <w:bidi w:val="0"/>
        <w:spacing w:line="263" w:lineRule="auto"/>
        <w:rPr>
          <w:rFonts w:hint="eastAsia" w:ascii="仿宋" w:hAnsi="仿宋" w:eastAsia="仿宋" w:cs="仿宋"/>
          <w:sz w:val="24"/>
          <w:szCs w:val="24"/>
          <w:highlight w:val="none"/>
        </w:rPr>
      </w:pPr>
    </w:p>
    <w:p w14:paraId="7A6AAD80">
      <w:pPr>
        <w:keepLines w:val="0"/>
        <w:pageBreakBefore w:val="0"/>
        <w:kinsoku/>
        <w:wordWrap/>
        <w:overflowPunct/>
        <w:topLinePunct w:val="0"/>
        <w:bidi w:val="0"/>
        <w:spacing w:before="58" w:line="233" w:lineRule="auto"/>
        <w:ind w:left="6" w:firstLine="362"/>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14:textOutline w14:w="3268" w14:cap="sq" w14:cmpd="sng">
            <w14:solidFill>
              <w14:srgbClr w14:val="000000"/>
            </w14:solidFill>
            <w14:prstDash w14:val="solid"/>
            <w14:bevel/>
          </w14:textOutline>
        </w:rPr>
        <w:t>说明</w:t>
      </w:r>
      <w:r>
        <w:rPr>
          <w:rFonts w:hint="eastAsia" w:ascii="仿宋" w:hAnsi="仿宋" w:eastAsia="仿宋" w:cs="仿宋"/>
          <w:spacing w:val="-1"/>
          <w:sz w:val="24"/>
          <w:szCs w:val="24"/>
          <w:highlight w:val="none"/>
        </w:rPr>
        <w:t>：填写本声明函时应详细阅读《财政部</w:t>
      </w:r>
      <w:r>
        <w:rPr>
          <w:rFonts w:hint="eastAsia" w:ascii="仿宋" w:hAnsi="仿宋" w:eastAsia="仿宋" w:cs="仿宋"/>
          <w:spacing w:val="34"/>
          <w:sz w:val="24"/>
          <w:szCs w:val="24"/>
          <w:highlight w:val="none"/>
        </w:rPr>
        <w:t xml:space="preserve"> </w:t>
      </w:r>
      <w:r>
        <w:rPr>
          <w:rFonts w:hint="eastAsia" w:ascii="仿宋" w:hAnsi="仿宋" w:eastAsia="仿宋" w:cs="仿宋"/>
          <w:spacing w:val="-1"/>
          <w:sz w:val="24"/>
          <w:szCs w:val="24"/>
          <w:highlight w:val="none"/>
        </w:rPr>
        <w:t>民政部</w:t>
      </w:r>
      <w:r>
        <w:rPr>
          <w:rFonts w:hint="eastAsia" w:ascii="仿宋" w:hAnsi="仿宋" w:eastAsia="仿宋" w:cs="仿宋"/>
          <w:spacing w:val="28"/>
          <w:sz w:val="24"/>
          <w:szCs w:val="24"/>
          <w:highlight w:val="none"/>
        </w:rPr>
        <w:t xml:space="preserve"> </w:t>
      </w:r>
      <w:r>
        <w:rPr>
          <w:rFonts w:hint="eastAsia" w:ascii="仿宋" w:hAnsi="仿宋" w:eastAsia="仿宋" w:cs="仿宋"/>
          <w:spacing w:val="-1"/>
          <w:sz w:val="24"/>
          <w:szCs w:val="24"/>
          <w:highlight w:val="none"/>
        </w:rPr>
        <w:t>中国残疾人联合会关于促进残疾人就业政府采购政策的</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通知》（财库〔2017〕 141</w:t>
      </w:r>
      <w:r>
        <w:rPr>
          <w:rFonts w:hint="eastAsia" w:ascii="仿宋" w:hAnsi="仿宋" w:eastAsia="仿宋" w:cs="仿宋"/>
          <w:spacing w:val="-33"/>
          <w:sz w:val="24"/>
          <w:szCs w:val="24"/>
          <w:highlight w:val="none"/>
        </w:rPr>
        <w:t xml:space="preserve"> </w:t>
      </w:r>
      <w:r>
        <w:rPr>
          <w:rFonts w:hint="eastAsia" w:ascii="仿宋" w:hAnsi="仿宋" w:eastAsia="仿宋" w:cs="仿宋"/>
          <w:spacing w:val="-1"/>
          <w:sz w:val="24"/>
          <w:szCs w:val="24"/>
          <w:highlight w:val="none"/>
        </w:rPr>
        <w:t>号</w:t>
      </w:r>
      <w:r>
        <w:rPr>
          <w:rFonts w:hint="eastAsia" w:ascii="仿宋" w:hAnsi="仿宋" w:eastAsia="仿宋" w:cs="仿宋"/>
          <w:spacing w:val="6"/>
          <w:sz w:val="24"/>
          <w:szCs w:val="24"/>
          <w:highlight w:val="none"/>
        </w:rPr>
        <w:t>），</w:t>
      </w:r>
      <w:r>
        <w:rPr>
          <w:rFonts w:hint="eastAsia" w:ascii="仿宋" w:hAnsi="仿宋" w:eastAsia="仿宋" w:cs="仿宋"/>
          <w:spacing w:val="-1"/>
          <w:sz w:val="24"/>
          <w:szCs w:val="24"/>
          <w:highlight w:val="none"/>
          <w:lang w:eastAsia="zh-CN"/>
        </w:rPr>
        <w:t>投标人</w:t>
      </w:r>
      <w:r>
        <w:rPr>
          <w:rFonts w:hint="eastAsia" w:ascii="仿宋" w:hAnsi="仿宋" w:eastAsia="仿宋" w:cs="仿宋"/>
          <w:spacing w:val="-1"/>
          <w:sz w:val="24"/>
          <w:szCs w:val="24"/>
          <w:highlight w:val="none"/>
        </w:rPr>
        <w:t>不满足此要求则无须提供，一旦提供将视为满足其要求，如有虚假，将</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依法承担相应责任。</w:t>
      </w:r>
    </w:p>
    <w:p w14:paraId="08438D0B">
      <w:pPr>
        <w:keepLines w:val="0"/>
        <w:pageBreakBefore w:val="0"/>
        <w:kinsoku/>
        <w:wordWrap/>
        <w:overflowPunct/>
        <w:topLinePunct w:val="0"/>
        <w:bidi w:val="0"/>
        <w:spacing w:line="233" w:lineRule="auto"/>
        <w:rPr>
          <w:rFonts w:ascii="宋体" w:hAnsi="宋体" w:eastAsia="宋体" w:cs="宋体"/>
          <w:sz w:val="24"/>
          <w:szCs w:val="24"/>
          <w:highlight w:val="none"/>
        </w:rPr>
        <w:sectPr>
          <w:footerReference r:id="rId17" w:type="default"/>
          <w:pgSz w:w="11905" w:h="16838"/>
          <w:pgMar w:top="1440" w:right="1786" w:bottom="1440" w:left="1786" w:header="850" w:footer="850" w:gutter="0"/>
          <w:pgNumType w:fmt="decimal"/>
          <w:cols w:space="0" w:num="1"/>
          <w:rtlGutter w:val="0"/>
          <w:docGrid w:linePitch="0" w:charSpace="0"/>
        </w:sectPr>
      </w:pPr>
    </w:p>
    <w:p w14:paraId="7FA61931">
      <w:pPr>
        <w:keepLines w:val="0"/>
        <w:pageBreakBefore w:val="0"/>
        <w:kinsoku/>
        <w:wordWrap/>
        <w:overflowPunct/>
        <w:topLinePunct w:val="0"/>
        <w:bidi w:val="0"/>
        <w:spacing w:before="49" w:line="223" w:lineRule="auto"/>
        <w:ind w:left="3695"/>
        <w:rPr>
          <w:rFonts w:ascii="仿宋" w:hAnsi="仿宋" w:eastAsia="仿宋" w:cs="仿宋"/>
          <w:sz w:val="24"/>
          <w:szCs w:val="24"/>
          <w:highlight w:val="none"/>
        </w:rPr>
      </w:pPr>
      <w:r>
        <w:rPr>
          <w:rFonts w:ascii="仿宋" w:hAnsi="仿宋" w:eastAsia="仿宋" w:cs="仿宋"/>
          <w:spacing w:val="-3"/>
          <w:sz w:val="24"/>
          <w:szCs w:val="24"/>
          <w:highlight w:val="none"/>
        </w:rPr>
        <w:t>（三）监狱企业声明函</w:t>
      </w:r>
    </w:p>
    <w:p w14:paraId="0D5D3598">
      <w:pPr>
        <w:pStyle w:val="9"/>
        <w:keepLines w:val="0"/>
        <w:pageBreakBefore w:val="0"/>
        <w:kinsoku/>
        <w:wordWrap/>
        <w:overflowPunct/>
        <w:topLinePunct w:val="0"/>
        <w:bidi w:val="0"/>
        <w:spacing w:line="296" w:lineRule="auto"/>
        <w:rPr>
          <w:sz w:val="24"/>
          <w:szCs w:val="24"/>
          <w:highlight w:val="none"/>
        </w:rPr>
      </w:pPr>
    </w:p>
    <w:p w14:paraId="4F403C29">
      <w:pPr>
        <w:pStyle w:val="9"/>
        <w:keepLines w:val="0"/>
        <w:pageBreakBefore w:val="0"/>
        <w:kinsoku/>
        <w:wordWrap/>
        <w:overflowPunct/>
        <w:topLinePunct w:val="0"/>
        <w:bidi w:val="0"/>
        <w:spacing w:line="296" w:lineRule="auto"/>
        <w:rPr>
          <w:sz w:val="24"/>
          <w:szCs w:val="24"/>
          <w:highlight w:val="none"/>
        </w:rPr>
      </w:pPr>
    </w:p>
    <w:p w14:paraId="1A1F685E">
      <w:pPr>
        <w:keepLines w:val="0"/>
        <w:pageBreakBefore w:val="0"/>
        <w:kinsoku/>
        <w:wordWrap/>
        <w:overflowPunct/>
        <w:topLinePunct w:val="0"/>
        <w:bidi w:val="0"/>
        <w:spacing w:before="65" w:line="576" w:lineRule="auto"/>
        <w:ind w:left="26" w:firstLine="432"/>
        <w:jc w:val="both"/>
        <w:rPr>
          <w:rFonts w:ascii="仿宋" w:hAnsi="仿宋" w:eastAsia="仿宋" w:cs="仿宋"/>
          <w:sz w:val="24"/>
          <w:szCs w:val="24"/>
          <w:highlight w:val="none"/>
        </w:rPr>
      </w:pPr>
      <w:r>
        <w:rPr>
          <w:rFonts w:ascii="仿宋" w:hAnsi="仿宋" w:eastAsia="仿宋" w:cs="仿宋"/>
          <w:spacing w:val="11"/>
          <w:sz w:val="24"/>
          <w:szCs w:val="24"/>
          <w:highlight w:val="none"/>
        </w:rPr>
        <w:t>本单位郑重声明，根据《关于政府采购支持监狱企业发展有关问题的通知》（财</w:t>
      </w:r>
      <w:r>
        <w:rPr>
          <w:rFonts w:ascii="仿宋" w:hAnsi="仿宋" w:eastAsia="仿宋" w:cs="仿宋"/>
          <w:spacing w:val="10"/>
          <w:sz w:val="24"/>
          <w:szCs w:val="24"/>
          <w:highlight w:val="none"/>
        </w:rPr>
        <w:t>库〔2014〕68号</w:t>
      </w:r>
      <w:r>
        <w:rPr>
          <w:rFonts w:ascii="仿宋" w:hAnsi="仿宋" w:eastAsia="仿宋" w:cs="仿宋"/>
          <w:sz w:val="24"/>
          <w:szCs w:val="24"/>
          <w:highlight w:val="none"/>
        </w:rPr>
        <w:t xml:space="preserve"> </w:t>
      </w:r>
      <w:r>
        <w:rPr>
          <w:rFonts w:ascii="仿宋" w:hAnsi="仿宋" w:eastAsia="仿宋" w:cs="仿宋"/>
          <w:spacing w:val="17"/>
          <w:sz w:val="24"/>
          <w:szCs w:val="24"/>
          <w:highlight w:val="none"/>
        </w:rPr>
        <w:t>的规定，本单位为符合条件的监狱单位，且本单位参加</w:t>
      </w:r>
      <w:r>
        <w:rPr>
          <w:rFonts w:ascii="仿宋" w:hAnsi="仿宋" w:eastAsia="仿宋" w:cs="仿宋"/>
          <w:spacing w:val="-85"/>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6"/>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17"/>
          <w:sz w:val="24"/>
          <w:szCs w:val="24"/>
          <w:highlight w:val="none"/>
          <w:u w:val="single" w:color="auto"/>
        </w:rPr>
        <w:t xml:space="preserve">  </w:t>
      </w:r>
      <w:r>
        <w:rPr>
          <w:rFonts w:ascii="仿宋" w:hAnsi="仿宋" w:eastAsia="仿宋" w:cs="仿宋"/>
          <w:spacing w:val="17"/>
          <w:sz w:val="24"/>
          <w:szCs w:val="24"/>
          <w:highlight w:val="none"/>
        </w:rPr>
        <w:t>单位的</w:t>
      </w:r>
      <w:r>
        <w:rPr>
          <w:rFonts w:ascii="仿宋" w:hAnsi="仿宋" w:eastAsia="仿宋" w:cs="仿宋"/>
          <w:spacing w:val="-8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6"/>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94"/>
          <w:sz w:val="24"/>
          <w:szCs w:val="24"/>
          <w:highlight w:val="none"/>
        </w:rPr>
        <w:t xml:space="preserve"> </w:t>
      </w:r>
      <w:r>
        <w:rPr>
          <w:rFonts w:ascii="仿宋" w:hAnsi="仿宋" w:eastAsia="仿宋" w:cs="仿宋"/>
          <w:spacing w:val="17"/>
          <w:sz w:val="24"/>
          <w:szCs w:val="24"/>
          <w:highlight w:val="none"/>
          <w:u w:val="single" w:color="auto"/>
        </w:rPr>
        <w:t xml:space="preserve">  </w:t>
      </w:r>
      <w:r>
        <w:rPr>
          <w:rFonts w:ascii="仿宋" w:hAnsi="仿宋" w:eastAsia="仿宋" w:cs="仿宋"/>
          <w:spacing w:val="17"/>
          <w:sz w:val="24"/>
          <w:szCs w:val="24"/>
          <w:highlight w:val="none"/>
        </w:rPr>
        <w:t>项目采购活动提供本单位</w:t>
      </w:r>
      <w:r>
        <w:rPr>
          <w:rFonts w:ascii="仿宋" w:hAnsi="仿宋" w:eastAsia="仿宋" w:cs="仿宋"/>
          <w:spacing w:val="19"/>
          <w:sz w:val="24"/>
          <w:szCs w:val="24"/>
          <w:highlight w:val="none"/>
        </w:rPr>
        <w:t>制造的货物（由本单位承担工程/提供服务）。</w:t>
      </w:r>
    </w:p>
    <w:p w14:paraId="240B6DC7">
      <w:pPr>
        <w:pStyle w:val="9"/>
        <w:keepLines w:val="0"/>
        <w:pageBreakBefore w:val="0"/>
        <w:kinsoku/>
        <w:wordWrap/>
        <w:overflowPunct/>
        <w:topLinePunct w:val="0"/>
        <w:bidi w:val="0"/>
        <w:spacing w:line="308" w:lineRule="auto"/>
        <w:rPr>
          <w:sz w:val="24"/>
          <w:szCs w:val="24"/>
          <w:highlight w:val="none"/>
        </w:rPr>
      </w:pPr>
    </w:p>
    <w:p w14:paraId="6C5A6284">
      <w:pPr>
        <w:keepLines w:val="0"/>
        <w:pageBreakBefore w:val="0"/>
        <w:kinsoku/>
        <w:wordWrap/>
        <w:overflowPunct/>
        <w:topLinePunct w:val="0"/>
        <w:bidi w:val="0"/>
        <w:spacing w:before="65" w:line="229" w:lineRule="auto"/>
        <w:ind w:left="214"/>
        <w:rPr>
          <w:rFonts w:ascii="仿宋" w:hAnsi="仿宋" w:eastAsia="仿宋" w:cs="仿宋"/>
          <w:sz w:val="24"/>
          <w:szCs w:val="24"/>
          <w:highlight w:val="none"/>
        </w:rPr>
      </w:pPr>
      <w:r>
        <w:rPr>
          <w:rFonts w:ascii="仿宋" w:hAnsi="仿宋" w:eastAsia="仿宋" w:cs="仿宋"/>
          <w:spacing w:val="17"/>
          <w:sz w:val="24"/>
          <w:szCs w:val="24"/>
          <w:highlight w:val="none"/>
        </w:rPr>
        <w:t>本单位对上述声明的真实性负责。如有虚假，将依法承担相应责任。</w:t>
      </w:r>
    </w:p>
    <w:p w14:paraId="41599108">
      <w:pPr>
        <w:pStyle w:val="9"/>
        <w:keepLines w:val="0"/>
        <w:pageBreakBefore w:val="0"/>
        <w:kinsoku/>
        <w:wordWrap/>
        <w:overflowPunct/>
        <w:topLinePunct w:val="0"/>
        <w:bidi w:val="0"/>
        <w:spacing w:line="242" w:lineRule="auto"/>
        <w:rPr>
          <w:sz w:val="24"/>
          <w:szCs w:val="24"/>
          <w:highlight w:val="none"/>
        </w:rPr>
      </w:pPr>
    </w:p>
    <w:p w14:paraId="16C7A7DE">
      <w:pPr>
        <w:pStyle w:val="9"/>
        <w:keepLines w:val="0"/>
        <w:pageBreakBefore w:val="0"/>
        <w:kinsoku/>
        <w:wordWrap/>
        <w:overflowPunct/>
        <w:topLinePunct w:val="0"/>
        <w:bidi w:val="0"/>
        <w:spacing w:line="243" w:lineRule="auto"/>
        <w:rPr>
          <w:sz w:val="24"/>
          <w:szCs w:val="24"/>
          <w:highlight w:val="none"/>
        </w:rPr>
      </w:pPr>
    </w:p>
    <w:p w14:paraId="5FCA92A4">
      <w:pPr>
        <w:pStyle w:val="9"/>
        <w:keepLines w:val="0"/>
        <w:pageBreakBefore w:val="0"/>
        <w:kinsoku/>
        <w:wordWrap/>
        <w:overflowPunct/>
        <w:topLinePunct w:val="0"/>
        <w:bidi w:val="0"/>
        <w:spacing w:line="243" w:lineRule="auto"/>
        <w:rPr>
          <w:sz w:val="24"/>
          <w:szCs w:val="24"/>
          <w:highlight w:val="none"/>
        </w:rPr>
      </w:pPr>
    </w:p>
    <w:p w14:paraId="62C37E41">
      <w:pPr>
        <w:pStyle w:val="9"/>
        <w:keepLines w:val="0"/>
        <w:pageBreakBefore w:val="0"/>
        <w:kinsoku/>
        <w:wordWrap/>
        <w:overflowPunct/>
        <w:topLinePunct w:val="0"/>
        <w:bidi w:val="0"/>
        <w:spacing w:line="243" w:lineRule="auto"/>
        <w:rPr>
          <w:sz w:val="24"/>
          <w:szCs w:val="24"/>
          <w:highlight w:val="none"/>
        </w:rPr>
      </w:pPr>
    </w:p>
    <w:p w14:paraId="6D40A750">
      <w:pPr>
        <w:pStyle w:val="9"/>
        <w:keepLines w:val="0"/>
        <w:pageBreakBefore w:val="0"/>
        <w:kinsoku/>
        <w:wordWrap/>
        <w:overflowPunct/>
        <w:topLinePunct w:val="0"/>
        <w:bidi w:val="0"/>
        <w:spacing w:line="243" w:lineRule="auto"/>
        <w:rPr>
          <w:sz w:val="24"/>
          <w:szCs w:val="24"/>
          <w:highlight w:val="none"/>
        </w:rPr>
      </w:pPr>
    </w:p>
    <w:p w14:paraId="0CA7F4E0">
      <w:pPr>
        <w:pStyle w:val="9"/>
        <w:keepLines w:val="0"/>
        <w:pageBreakBefore w:val="0"/>
        <w:kinsoku/>
        <w:wordWrap/>
        <w:overflowPunct/>
        <w:topLinePunct w:val="0"/>
        <w:bidi w:val="0"/>
        <w:spacing w:line="243" w:lineRule="auto"/>
        <w:rPr>
          <w:sz w:val="24"/>
          <w:szCs w:val="24"/>
          <w:highlight w:val="none"/>
        </w:rPr>
      </w:pPr>
    </w:p>
    <w:p w14:paraId="02690060">
      <w:pPr>
        <w:pStyle w:val="9"/>
        <w:keepLines w:val="0"/>
        <w:pageBreakBefore w:val="0"/>
        <w:kinsoku/>
        <w:wordWrap/>
        <w:overflowPunct/>
        <w:topLinePunct w:val="0"/>
        <w:bidi w:val="0"/>
        <w:spacing w:line="243" w:lineRule="auto"/>
        <w:rPr>
          <w:sz w:val="24"/>
          <w:szCs w:val="24"/>
          <w:highlight w:val="none"/>
        </w:rPr>
      </w:pPr>
    </w:p>
    <w:p w14:paraId="1D347FC8">
      <w:pPr>
        <w:pStyle w:val="9"/>
        <w:keepLines w:val="0"/>
        <w:pageBreakBefore w:val="0"/>
        <w:kinsoku/>
        <w:wordWrap/>
        <w:overflowPunct/>
        <w:topLinePunct w:val="0"/>
        <w:bidi w:val="0"/>
        <w:spacing w:line="243" w:lineRule="auto"/>
        <w:rPr>
          <w:sz w:val="24"/>
          <w:szCs w:val="24"/>
          <w:highlight w:val="none"/>
        </w:rPr>
      </w:pPr>
    </w:p>
    <w:p w14:paraId="5301B1C8">
      <w:pPr>
        <w:keepLines w:val="0"/>
        <w:pageBreakBefore w:val="0"/>
        <w:kinsoku/>
        <w:wordWrap/>
        <w:overflowPunct/>
        <w:topLinePunct w:val="0"/>
        <w:bidi w:val="0"/>
        <w:spacing w:before="65" w:line="288" w:lineRule="auto"/>
        <w:ind w:left="2617"/>
        <w:rPr>
          <w:rFonts w:ascii="仿宋" w:hAnsi="仿宋" w:eastAsia="仿宋" w:cs="仿宋"/>
          <w:sz w:val="24"/>
          <w:szCs w:val="24"/>
          <w:highlight w:val="none"/>
        </w:rPr>
      </w:pPr>
      <w:r>
        <w:rPr>
          <w:rFonts w:hint="eastAsia" w:ascii="仿宋" w:hAnsi="仿宋" w:eastAsia="仿宋" w:cs="仿宋"/>
          <w:spacing w:val="11"/>
          <w:sz w:val="24"/>
          <w:szCs w:val="24"/>
          <w:highlight w:val="none"/>
          <w:lang w:eastAsia="zh-CN"/>
        </w:rPr>
        <w:t>投标人</w:t>
      </w:r>
      <w:r>
        <w:rPr>
          <w:rFonts w:ascii="仿宋" w:hAnsi="仿宋" w:eastAsia="仿宋" w:cs="仿宋"/>
          <w:spacing w:val="-4"/>
          <w:sz w:val="24"/>
          <w:szCs w:val="24"/>
          <w:highlight w:val="none"/>
        </w:rPr>
        <w:t>：（</w:t>
      </w:r>
      <w:r>
        <w:rPr>
          <w:rFonts w:ascii="仿宋" w:hAnsi="仿宋" w:eastAsia="仿宋" w:cs="仿宋"/>
          <w:spacing w:val="11"/>
          <w:sz w:val="24"/>
          <w:szCs w:val="24"/>
          <w:highlight w:val="none"/>
        </w:rPr>
        <w:t>盖章）</w:t>
      </w:r>
      <w:r>
        <w:rPr>
          <w:rFonts w:ascii="仿宋" w:hAnsi="仿宋" w:eastAsia="仿宋" w:cs="仿宋"/>
          <w:spacing w:val="1"/>
          <w:sz w:val="24"/>
          <w:szCs w:val="24"/>
          <w:highlight w:val="none"/>
          <w:u w:val="single" w:color="auto"/>
        </w:rPr>
        <w:t xml:space="preserve">                             </w:t>
      </w:r>
      <w:r>
        <w:rPr>
          <w:rFonts w:ascii="仿宋" w:hAnsi="仿宋" w:eastAsia="仿宋" w:cs="仿宋"/>
          <w:spacing w:val="-88"/>
          <w:sz w:val="24"/>
          <w:szCs w:val="24"/>
          <w:highlight w:val="none"/>
        </w:rPr>
        <w:t xml:space="preserve"> </w:t>
      </w:r>
      <w:r>
        <w:rPr>
          <w:rFonts w:ascii="仿宋" w:hAnsi="仿宋" w:eastAsia="仿宋" w:cs="仿宋"/>
          <w:spacing w:val="11"/>
          <w:sz w:val="24"/>
          <w:szCs w:val="24"/>
          <w:highlight w:val="none"/>
        </w:rPr>
        <w:t>_</w:t>
      </w:r>
    </w:p>
    <w:p w14:paraId="7B1FE41E">
      <w:pPr>
        <w:keepLines w:val="0"/>
        <w:pageBreakBefore w:val="0"/>
        <w:kinsoku/>
        <w:wordWrap/>
        <w:overflowPunct/>
        <w:topLinePunct w:val="0"/>
        <w:bidi w:val="0"/>
        <w:spacing w:line="226" w:lineRule="auto"/>
        <w:ind w:left="2625"/>
        <w:rPr>
          <w:rFonts w:ascii="仿宋" w:hAnsi="仿宋" w:eastAsia="仿宋" w:cs="仿宋"/>
          <w:sz w:val="24"/>
          <w:szCs w:val="24"/>
          <w:highlight w:val="none"/>
        </w:rPr>
      </w:pPr>
      <w:r>
        <w:rPr>
          <w:rFonts w:ascii="仿宋" w:hAnsi="仿宋" w:eastAsia="仿宋" w:cs="仿宋"/>
          <w:spacing w:val="7"/>
          <w:sz w:val="24"/>
          <w:szCs w:val="24"/>
          <w:highlight w:val="none"/>
        </w:rPr>
        <w:t>法定代表人或其授权委托人(签字</w:t>
      </w:r>
      <w:r>
        <w:rPr>
          <w:rFonts w:hint="eastAsia" w:ascii="仿宋" w:hAnsi="仿宋" w:eastAsia="仿宋" w:cs="仿宋"/>
          <w:spacing w:val="7"/>
          <w:sz w:val="24"/>
          <w:szCs w:val="24"/>
          <w:highlight w:val="none"/>
          <w:lang w:val="en-US" w:eastAsia="zh-Hans"/>
        </w:rPr>
        <w:t>或盖章</w:t>
      </w:r>
      <w:r>
        <w:rPr>
          <w:rFonts w:ascii="仿宋" w:hAnsi="仿宋" w:eastAsia="仿宋" w:cs="仿宋"/>
          <w:spacing w:val="7"/>
          <w:sz w:val="24"/>
          <w:szCs w:val="24"/>
          <w:highlight w:val="none"/>
        </w:rPr>
        <w:t>)：</w:t>
      </w:r>
      <w:r>
        <w:rPr>
          <w:rFonts w:ascii="仿宋" w:hAnsi="仿宋" w:eastAsia="仿宋" w:cs="仿宋"/>
          <w:spacing w:val="7"/>
          <w:sz w:val="24"/>
          <w:szCs w:val="24"/>
          <w:highlight w:val="none"/>
          <w:u w:val="single" w:color="auto"/>
        </w:rPr>
        <w:t xml:space="preserve">       </w:t>
      </w:r>
      <w:r>
        <w:rPr>
          <w:rFonts w:ascii="仿宋" w:hAnsi="仿宋" w:eastAsia="仿宋" w:cs="仿宋"/>
          <w:spacing w:val="7"/>
          <w:sz w:val="24"/>
          <w:szCs w:val="24"/>
          <w:highlight w:val="none"/>
        </w:rPr>
        <w:t>_</w:t>
      </w:r>
    </w:p>
    <w:p w14:paraId="67982CA4">
      <w:pPr>
        <w:keepLines w:val="0"/>
        <w:pageBreakBefore w:val="0"/>
        <w:tabs>
          <w:tab w:val="left" w:pos="4495"/>
        </w:tabs>
        <w:kinsoku/>
        <w:wordWrap/>
        <w:overflowPunct/>
        <w:topLinePunct w:val="0"/>
        <w:bidi w:val="0"/>
        <w:spacing w:before="222" w:line="231" w:lineRule="auto"/>
        <w:ind w:left="3550"/>
        <w:rPr>
          <w:rFonts w:ascii="仿宋" w:hAnsi="仿宋" w:eastAsia="仿宋" w:cs="仿宋"/>
          <w:sz w:val="24"/>
          <w:szCs w:val="24"/>
          <w:highlight w:val="none"/>
        </w:rPr>
      </w:pPr>
      <w:r>
        <w:rPr>
          <w:rFonts w:ascii="仿宋" w:hAnsi="仿宋" w:eastAsia="仿宋" w:cs="仿宋"/>
          <w:sz w:val="24"/>
          <w:szCs w:val="24"/>
          <w:highlight w:val="none"/>
          <w:u w:val="single" w:color="auto"/>
        </w:rPr>
        <w:tab/>
      </w:r>
      <w:r>
        <w:rPr>
          <w:rFonts w:ascii="仿宋" w:hAnsi="仿宋" w:eastAsia="仿宋" w:cs="仿宋"/>
          <w:spacing w:val="-82"/>
          <w:sz w:val="24"/>
          <w:szCs w:val="24"/>
          <w:highlight w:val="none"/>
        </w:rPr>
        <w:t xml:space="preserve"> </w:t>
      </w:r>
      <w:r>
        <w:rPr>
          <w:rFonts w:ascii="仿宋" w:hAnsi="仿宋" w:eastAsia="仿宋" w:cs="仿宋"/>
          <w:spacing w:val="-8"/>
          <w:sz w:val="24"/>
          <w:szCs w:val="24"/>
          <w:highlight w:val="none"/>
        </w:rPr>
        <w:t>年</w:t>
      </w:r>
      <w:r>
        <w:rPr>
          <w:rFonts w:ascii="仿宋" w:hAnsi="仿宋" w:eastAsia="仿宋" w:cs="仿宋"/>
          <w:spacing w:val="4"/>
          <w:sz w:val="24"/>
          <w:szCs w:val="24"/>
          <w:highlight w:val="none"/>
          <w:u w:val="single" w:color="auto"/>
        </w:rPr>
        <w:t xml:space="preserve">   </w:t>
      </w:r>
      <w:r>
        <w:rPr>
          <w:rFonts w:ascii="仿宋" w:hAnsi="仿宋" w:eastAsia="仿宋" w:cs="仿宋"/>
          <w:spacing w:val="-75"/>
          <w:sz w:val="24"/>
          <w:szCs w:val="24"/>
          <w:highlight w:val="none"/>
        </w:rPr>
        <w:t xml:space="preserve"> </w:t>
      </w:r>
      <w:r>
        <w:rPr>
          <w:rFonts w:ascii="仿宋" w:hAnsi="仿宋" w:eastAsia="仿宋" w:cs="仿宋"/>
          <w:spacing w:val="-8"/>
          <w:sz w:val="24"/>
          <w:szCs w:val="24"/>
          <w:highlight w:val="none"/>
        </w:rPr>
        <w:t>月</w:t>
      </w:r>
      <w:r>
        <w:rPr>
          <w:rFonts w:ascii="仿宋" w:hAnsi="仿宋" w:eastAsia="仿宋" w:cs="仿宋"/>
          <w:spacing w:val="-9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39"/>
          <w:sz w:val="24"/>
          <w:szCs w:val="24"/>
          <w:highlight w:val="none"/>
        </w:rPr>
        <w:t xml:space="preserve"> </w:t>
      </w:r>
      <w:r>
        <w:rPr>
          <w:rFonts w:ascii="仿宋" w:hAnsi="仿宋" w:eastAsia="仿宋" w:cs="仿宋"/>
          <w:spacing w:val="-8"/>
          <w:sz w:val="24"/>
          <w:szCs w:val="24"/>
          <w:highlight w:val="none"/>
        </w:rPr>
        <w:t>日</w:t>
      </w:r>
    </w:p>
    <w:p w14:paraId="12C90171">
      <w:pPr>
        <w:pStyle w:val="9"/>
        <w:keepLines w:val="0"/>
        <w:pageBreakBefore w:val="0"/>
        <w:kinsoku/>
        <w:wordWrap/>
        <w:overflowPunct/>
        <w:topLinePunct w:val="0"/>
        <w:bidi w:val="0"/>
        <w:spacing w:line="255" w:lineRule="auto"/>
        <w:rPr>
          <w:sz w:val="24"/>
          <w:szCs w:val="24"/>
          <w:highlight w:val="none"/>
        </w:rPr>
      </w:pPr>
    </w:p>
    <w:p w14:paraId="1D789B8F">
      <w:pPr>
        <w:pStyle w:val="9"/>
        <w:keepLines w:val="0"/>
        <w:pageBreakBefore w:val="0"/>
        <w:kinsoku/>
        <w:wordWrap/>
        <w:overflowPunct/>
        <w:topLinePunct w:val="0"/>
        <w:bidi w:val="0"/>
        <w:spacing w:line="255" w:lineRule="auto"/>
        <w:rPr>
          <w:sz w:val="24"/>
          <w:szCs w:val="24"/>
          <w:highlight w:val="none"/>
        </w:rPr>
      </w:pPr>
    </w:p>
    <w:p w14:paraId="431268A0">
      <w:pPr>
        <w:pStyle w:val="9"/>
        <w:keepLines w:val="0"/>
        <w:pageBreakBefore w:val="0"/>
        <w:kinsoku/>
        <w:wordWrap/>
        <w:overflowPunct/>
        <w:topLinePunct w:val="0"/>
        <w:bidi w:val="0"/>
        <w:spacing w:line="255" w:lineRule="auto"/>
        <w:rPr>
          <w:sz w:val="24"/>
          <w:szCs w:val="24"/>
          <w:highlight w:val="none"/>
        </w:rPr>
      </w:pPr>
    </w:p>
    <w:p w14:paraId="33C8B412">
      <w:pPr>
        <w:pStyle w:val="9"/>
        <w:keepLines w:val="0"/>
        <w:pageBreakBefore w:val="0"/>
        <w:kinsoku/>
        <w:wordWrap/>
        <w:overflowPunct/>
        <w:topLinePunct w:val="0"/>
        <w:bidi w:val="0"/>
        <w:spacing w:line="256" w:lineRule="auto"/>
        <w:rPr>
          <w:sz w:val="24"/>
          <w:szCs w:val="24"/>
          <w:highlight w:val="none"/>
        </w:rPr>
      </w:pPr>
    </w:p>
    <w:p w14:paraId="4F02D9B1">
      <w:pPr>
        <w:pStyle w:val="9"/>
        <w:keepLines w:val="0"/>
        <w:pageBreakBefore w:val="0"/>
        <w:kinsoku/>
        <w:wordWrap/>
        <w:overflowPunct/>
        <w:topLinePunct w:val="0"/>
        <w:bidi w:val="0"/>
        <w:spacing w:line="256" w:lineRule="auto"/>
        <w:rPr>
          <w:sz w:val="24"/>
          <w:szCs w:val="24"/>
          <w:highlight w:val="none"/>
        </w:rPr>
      </w:pPr>
    </w:p>
    <w:p w14:paraId="38BC2AC7">
      <w:pPr>
        <w:pStyle w:val="9"/>
        <w:keepLines w:val="0"/>
        <w:pageBreakBefore w:val="0"/>
        <w:kinsoku/>
        <w:wordWrap/>
        <w:overflowPunct/>
        <w:topLinePunct w:val="0"/>
        <w:bidi w:val="0"/>
        <w:spacing w:line="256" w:lineRule="auto"/>
        <w:rPr>
          <w:sz w:val="24"/>
          <w:szCs w:val="24"/>
          <w:highlight w:val="none"/>
        </w:rPr>
      </w:pPr>
    </w:p>
    <w:p w14:paraId="687F3C5C">
      <w:pPr>
        <w:keepLines w:val="0"/>
        <w:pageBreakBefore w:val="0"/>
        <w:kinsoku/>
        <w:wordWrap/>
        <w:overflowPunct/>
        <w:topLinePunct w:val="0"/>
        <w:bidi w:val="0"/>
        <w:spacing w:before="58" w:line="233" w:lineRule="auto"/>
        <w:ind w:left="6" w:firstLine="362"/>
        <w:jc w:val="both"/>
        <w:rPr>
          <w:rFonts w:hint="eastAsia" w:ascii="仿宋" w:hAnsi="仿宋" w:eastAsia="仿宋" w:cs="仿宋"/>
          <w:spacing w:val="-1"/>
          <w:sz w:val="24"/>
          <w:szCs w:val="24"/>
          <w:highlight w:val="none"/>
        </w:rPr>
      </w:pPr>
      <w:r>
        <w:rPr>
          <w:rFonts w:ascii="仿宋" w:hAnsi="仿宋" w:eastAsia="仿宋" w:cs="仿宋"/>
          <w:b/>
          <w:bCs/>
          <w:sz w:val="24"/>
          <w:szCs w:val="24"/>
          <w:highlight w:val="none"/>
        </w:rPr>
        <w:t>说明</w:t>
      </w:r>
      <w:r>
        <w:rPr>
          <w:rFonts w:ascii="仿宋" w:hAnsi="仿宋" w:eastAsia="仿宋" w:cs="仿宋"/>
          <w:sz w:val="24"/>
          <w:szCs w:val="24"/>
          <w:highlight w:val="none"/>
        </w:rPr>
        <w:t>：</w:t>
      </w:r>
      <w:r>
        <w:rPr>
          <w:rFonts w:hint="eastAsia" w:ascii="仿宋" w:hAnsi="仿宋" w:eastAsia="仿宋" w:cs="仿宋"/>
          <w:spacing w:val="-1"/>
          <w:sz w:val="24"/>
          <w:szCs w:val="24"/>
          <w:highlight w:val="none"/>
        </w:rPr>
        <w:t>填写本声明函时应详细阅读《关于政府采购支持监狱企业发展有关问题的通知》（财库〔2014〕 68 号），</w:t>
      </w:r>
      <w:r>
        <w:rPr>
          <w:rFonts w:hint="eastAsia" w:ascii="仿宋" w:hAnsi="仿宋" w:eastAsia="仿宋" w:cs="仿宋"/>
          <w:spacing w:val="-1"/>
          <w:sz w:val="24"/>
          <w:szCs w:val="24"/>
          <w:highlight w:val="none"/>
          <w:lang w:eastAsia="zh-CN"/>
        </w:rPr>
        <w:t>投标人</w:t>
      </w:r>
      <w:r>
        <w:rPr>
          <w:rFonts w:hint="eastAsia" w:ascii="仿宋" w:hAnsi="仿宋" w:eastAsia="仿宋" w:cs="仿宋"/>
          <w:spacing w:val="-1"/>
          <w:sz w:val="24"/>
          <w:szCs w:val="24"/>
          <w:highlight w:val="none"/>
        </w:rPr>
        <w:t>不满足此要求则无须提供，一旦提供将视为满足其要求，如有虚假，将依法承担相应责任。</w:t>
      </w:r>
    </w:p>
    <w:p w14:paraId="3BBFF901">
      <w:pPr>
        <w:keepLines w:val="0"/>
        <w:pageBreakBefore w:val="0"/>
        <w:kinsoku/>
        <w:wordWrap/>
        <w:overflowPunct/>
        <w:topLinePunct w:val="0"/>
        <w:bidi w:val="0"/>
        <w:spacing w:before="58" w:line="233" w:lineRule="auto"/>
        <w:ind w:left="6" w:firstLine="362"/>
        <w:jc w:val="both"/>
        <w:rPr>
          <w:rFonts w:hint="eastAsia" w:ascii="仿宋" w:hAnsi="仿宋" w:eastAsia="仿宋" w:cs="仿宋"/>
          <w:spacing w:val="-1"/>
          <w:sz w:val="24"/>
          <w:szCs w:val="24"/>
          <w:highlight w:val="none"/>
        </w:rPr>
      </w:pPr>
    </w:p>
    <w:p w14:paraId="58954978">
      <w:pPr>
        <w:pStyle w:val="9"/>
        <w:keepLines w:val="0"/>
        <w:pageBreakBefore w:val="0"/>
        <w:kinsoku/>
        <w:wordWrap/>
        <w:overflowPunct/>
        <w:topLinePunct w:val="0"/>
        <w:bidi w:val="0"/>
        <w:spacing w:line="242" w:lineRule="auto"/>
        <w:rPr>
          <w:highlight w:val="none"/>
        </w:rPr>
      </w:pPr>
    </w:p>
    <w:p w14:paraId="44EB58E6">
      <w:pPr>
        <w:pStyle w:val="9"/>
        <w:keepLines w:val="0"/>
        <w:pageBreakBefore w:val="0"/>
        <w:kinsoku/>
        <w:wordWrap/>
        <w:overflowPunct/>
        <w:topLinePunct w:val="0"/>
        <w:bidi w:val="0"/>
        <w:spacing w:line="243" w:lineRule="auto"/>
        <w:rPr>
          <w:highlight w:val="none"/>
        </w:rPr>
      </w:pPr>
    </w:p>
    <w:p w14:paraId="3AA3AEF2">
      <w:pPr>
        <w:pStyle w:val="9"/>
        <w:keepLines w:val="0"/>
        <w:pageBreakBefore w:val="0"/>
        <w:kinsoku/>
        <w:wordWrap/>
        <w:overflowPunct/>
        <w:topLinePunct w:val="0"/>
        <w:bidi w:val="0"/>
        <w:spacing w:line="243" w:lineRule="auto"/>
        <w:rPr>
          <w:highlight w:val="none"/>
        </w:rPr>
      </w:pPr>
    </w:p>
    <w:p w14:paraId="7121886A">
      <w:pPr>
        <w:pStyle w:val="9"/>
        <w:keepLines w:val="0"/>
        <w:pageBreakBefore w:val="0"/>
        <w:kinsoku/>
        <w:wordWrap/>
        <w:overflowPunct/>
        <w:topLinePunct w:val="0"/>
        <w:bidi w:val="0"/>
        <w:spacing w:line="243" w:lineRule="auto"/>
        <w:rPr>
          <w:highlight w:val="none"/>
        </w:rPr>
      </w:pPr>
    </w:p>
    <w:p w14:paraId="37E3C387">
      <w:pPr>
        <w:pStyle w:val="9"/>
        <w:keepLines w:val="0"/>
        <w:pageBreakBefore w:val="0"/>
        <w:kinsoku/>
        <w:wordWrap/>
        <w:overflowPunct/>
        <w:topLinePunct w:val="0"/>
        <w:bidi w:val="0"/>
        <w:spacing w:line="243" w:lineRule="auto"/>
        <w:rPr>
          <w:highlight w:val="none"/>
        </w:rPr>
      </w:pPr>
    </w:p>
    <w:p w14:paraId="3AEBE141">
      <w:pPr>
        <w:pStyle w:val="9"/>
        <w:keepLines w:val="0"/>
        <w:pageBreakBefore w:val="0"/>
        <w:kinsoku/>
        <w:wordWrap/>
        <w:overflowPunct/>
        <w:topLinePunct w:val="0"/>
        <w:bidi w:val="0"/>
        <w:spacing w:line="243" w:lineRule="auto"/>
        <w:rPr>
          <w:highlight w:val="none"/>
        </w:rPr>
      </w:pPr>
    </w:p>
    <w:p w14:paraId="761B82D6">
      <w:pPr>
        <w:pStyle w:val="9"/>
        <w:keepLines w:val="0"/>
        <w:pageBreakBefore w:val="0"/>
        <w:kinsoku/>
        <w:wordWrap/>
        <w:overflowPunct/>
        <w:topLinePunct w:val="0"/>
        <w:bidi w:val="0"/>
        <w:spacing w:line="243" w:lineRule="auto"/>
        <w:rPr>
          <w:highlight w:val="none"/>
        </w:rPr>
      </w:pPr>
    </w:p>
    <w:p w14:paraId="253D1334">
      <w:pPr>
        <w:pStyle w:val="9"/>
        <w:keepLines w:val="0"/>
        <w:pageBreakBefore w:val="0"/>
        <w:kinsoku/>
        <w:wordWrap/>
        <w:overflowPunct/>
        <w:topLinePunct w:val="0"/>
        <w:bidi w:val="0"/>
        <w:spacing w:line="243" w:lineRule="auto"/>
        <w:rPr>
          <w:highlight w:val="none"/>
        </w:rPr>
      </w:pPr>
    </w:p>
    <w:p w14:paraId="46A90C1A">
      <w:pPr>
        <w:pStyle w:val="9"/>
        <w:keepLines w:val="0"/>
        <w:pageBreakBefore w:val="0"/>
        <w:kinsoku/>
        <w:wordWrap/>
        <w:overflowPunct/>
        <w:topLinePunct w:val="0"/>
        <w:bidi w:val="0"/>
        <w:spacing w:line="243" w:lineRule="auto"/>
        <w:rPr>
          <w:highlight w:val="none"/>
        </w:rPr>
      </w:pPr>
    </w:p>
    <w:p w14:paraId="7D8B1F9D">
      <w:pPr>
        <w:pStyle w:val="9"/>
        <w:keepLines w:val="0"/>
        <w:pageBreakBefore w:val="0"/>
        <w:kinsoku/>
        <w:wordWrap/>
        <w:overflowPunct/>
        <w:topLinePunct w:val="0"/>
        <w:bidi w:val="0"/>
        <w:spacing w:line="243" w:lineRule="auto"/>
        <w:rPr>
          <w:highlight w:val="none"/>
        </w:rPr>
      </w:pPr>
    </w:p>
    <w:p w14:paraId="666E8EC8">
      <w:pPr>
        <w:pStyle w:val="9"/>
        <w:keepLines w:val="0"/>
        <w:pageBreakBefore w:val="0"/>
        <w:kinsoku/>
        <w:wordWrap/>
        <w:overflowPunct/>
        <w:topLinePunct w:val="0"/>
        <w:bidi w:val="0"/>
        <w:spacing w:line="243" w:lineRule="auto"/>
        <w:rPr>
          <w:highlight w:val="none"/>
        </w:rPr>
      </w:pPr>
    </w:p>
    <w:p w14:paraId="5873D0BB">
      <w:pPr>
        <w:pStyle w:val="9"/>
        <w:keepLines w:val="0"/>
        <w:pageBreakBefore w:val="0"/>
        <w:kinsoku/>
        <w:wordWrap/>
        <w:overflowPunct/>
        <w:topLinePunct w:val="0"/>
        <w:bidi w:val="0"/>
        <w:spacing w:line="243" w:lineRule="auto"/>
        <w:rPr>
          <w:highlight w:val="none"/>
        </w:rPr>
      </w:pPr>
    </w:p>
    <w:p w14:paraId="006B2FB4">
      <w:pPr>
        <w:pStyle w:val="9"/>
        <w:keepLines w:val="0"/>
        <w:pageBreakBefore w:val="0"/>
        <w:kinsoku/>
        <w:wordWrap/>
        <w:overflowPunct/>
        <w:topLinePunct w:val="0"/>
        <w:bidi w:val="0"/>
        <w:spacing w:line="243" w:lineRule="auto"/>
        <w:rPr>
          <w:highlight w:val="none"/>
        </w:rPr>
      </w:pPr>
    </w:p>
    <w:p w14:paraId="050242C6">
      <w:pPr>
        <w:keepLines w:val="0"/>
        <w:pageBreakBefore w:val="0"/>
        <w:kinsoku/>
        <w:wordWrap/>
        <w:overflowPunct/>
        <w:topLinePunct w:val="0"/>
        <w:bidi w:val="0"/>
        <w:spacing w:line="43" w:lineRule="exact"/>
        <w:rPr>
          <w:highlight w:val="none"/>
        </w:rPr>
      </w:pPr>
    </w:p>
    <w:p w14:paraId="1275C098">
      <w:pPr>
        <w:spacing w:before="91" w:line="222" w:lineRule="auto"/>
        <w:jc w:val="center"/>
        <w:rPr>
          <w:rFonts w:ascii="仿宋" w:hAnsi="仿宋" w:eastAsia="仿宋" w:cs="仿宋"/>
          <w:color w:val="auto"/>
          <w:sz w:val="28"/>
          <w:szCs w:val="28"/>
          <w:highlight w:val="none"/>
        </w:rPr>
      </w:pPr>
      <w:r>
        <w:rPr>
          <w:rFonts w:ascii="仿宋" w:hAnsi="仿宋" w:eastAsia="仿宋" w:cs="仿宋"/>
          <w:b/>
          <w:bCs/>
          <w:color w:val="auto"/>
          <w:spacing w:val="-5"/>
          <w:sz w:val="28"/>
          <w:szCs w:val="28"/>
          <w:highlight w:val="none"/>
        </w:rPr>
        <w:t>中小企业划型标准规定（工信部联企业[2011]300</w:t>
      </w:r>
      <w:r>
        <w:rPr>
          <w:rFonts w:ascii="仿宋" w:hAnsi="仿宋" w:eastAsia="仿宋" w:cs="仿宋"/>
          <w:color w:val="auto"/>
          <w:spacing w:val="-40"/>
          <w:sz w:val="28"/>
          <w:szCs w:val="28"/>
          <w:highlight w:val="none"/>
        </w:rPr>
        <w:t xml:space="preserve"> </w:t>
      </w:r>
      <w:r>
        <w:rPr>
          <w:rFonts w:ascii="仿宋" w:hAnsi="仿宋" w:eastAsia="仿宋" w:cs="仿宋"/>
          <w:b/>
          <w:bCs/>
          <w:color w:val="auto"/>
          <w:spacing w:val="-5"/>
          <w:sz w:val="28"/>
          <w:szCs w:val="28"/>
          <w:highlight w:val="none"/>
        </w:rPr>
        <w:t>号）</w:t>
      </w:r>
    </w:p>
    <w:p w14:paraId="62FD6818">
      <w:pPr>
        <w:spacing w:line="84" w:lineRule="auto"/>
        <w:rPr>
          <w:rFonts w:ascii="Arial"/>
          <w:color w:val="auto"/>
          <w:sz w:val="2"/>
          <w:highlight w:val="none"/>
        </w:rPr>
      </w:pPr>
    </w:p>
    <w:tbl>
      <w:tblPr>
        <w:tblStyle w:val="26"/>
        <w:tblW w:w="1065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1"/>
        <w:gridCol w:w="760"/>
        <w:gridCol w:w="861"/>
        <w:gridCol w:w="686"/>
        <w:gridCol w:w="709"/>
        <w:gridCol w:w="900"/>
        <w:gridCol w:w="764"/>
        <w:gridCol w:w="640"/>
        <w:gridCol w:w="831"/>
        <w:gridCol w:w="738"/>
        <w:gridCol w:w="641"/>
        <w:gridCol w:w="763"/>
        <w:gridCol w:w="696"/>
      </w:tblGrid>
      <w:tr w14:paraId="018A3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661" w:type="dxa"/>
            <w:vMerge w:val="restart"/>
            <w:tcBorders>
              <w:top w:val="single" w:color="000000" w:sz="10" w:space="0"/>
              <w:left w:val="single" w:color="000000" w:sz="10" w:space="0"/>
              <w:bottom w:val="nil"/>
            </w:tcBorders>
            <w:vAlign w:val="top"/>
          </w:tcPr>
          <w:p w14:paraId="74BC9E08">
            <w:pPr>
              <w:pStyle w:val="27"/>
              <w:spacing w:before="253" w:line="224" w:lineRule="auto"/>
              <w:ind w:left="15"/>
              <w:rPr>
                <w:color w:val="auto"/>
                <w:spacing w:val="-2"/>
                <w:sz w:val="16"/>
                <w:szCs w:val="16"/>
                <w:highlight w:val="none"/>
              </w:rPr>
            </w:pPr>
            <w:r>
              <w:rPr>
                <w:color w:val="auto"/>
                <w:spacing w:val="-2"/>
                <w:sz w:val="16"/>
                <w:szCs w:val="16"/>
                <w:highlight w:val="none"/>
              </w:rPr>
              <w:t>行业</w:t>
            </w:r>
          </w:p>
        </w:tc>
        <w:tc>
          <w:tcPr>
            <w:tcW w:w="2307" w:type="dxa"/>
            <w:gridSpan w:val="3"/>
            <w:tcBorders>
              <w:top w:val="single" w:color="000000" w:sz="10" w:space="0"/>
            </w:tcBorders>
            <w:vAlign w:val="top"/>
          </w:tcPr>
          <w:p w14:paraId="25BAF656">
            <w:pPr>
              <w:pStyle w:val="27"/>
              <w:spacing w:before="253" w:line="224" w:lineRule="auto"/>
              <w:ind w:left="15"/>
              <w:rPr>
                <w:color w:val="auto"/>
                <w:spacing w:val="-2"/>
                <w:sz w:val="16"/>
                <w:szCs w:val="16"/>
                <w:highlight w:val="none"/>
              </w:rPr>
            </w:pPr>
            <w:r>
              <w:rPr>
                <w:color w:val="auto"/>
                <w:spacing w:val="-2"/>
                <w:sz w:val="16"/>
                <w:szCs w:val="16"/>
                <w:highlight w:val="none"/>
              </w:rPr>
              <w:t>中小微型企业（或）</w:t>
            </w:r>
          </w:p>
        </w:tc>
        <w:tc>
          <w:tcPr>
            <w:tcW w:w="2373" w:type="dxa"/>
            <w:gridSpan w:val="3"/>
            <w:tcBorders>
              <w:top w:val="single" w:color="000000" w:sz="10" w:space="0"/>
            </w:tcBorders>
            <w:vAlign w:val="top"/>
          </w:tcPr>
          <w:p w14:paraId="26EA9CFC">
            <w:pPr>
              <w:pStyle w:val="27"/>
              <w:spacing w:before="253" w:line="224" w:lineRule="auto"/>
              <w:ind w:left="15"/>
              <w:rPr>
                <w:color w:val="auto"/>
                <w:spacing w:val="-2"/>
                <w:sz w:val="16"/>
                <w:szCs w:val="16"/>
                <w:highlight w:val="none"/>
              </w:rPr>
            </w:pPr>
            <w:r>
              <w:rPr>
                <w:color w:val="auto"/>
                <w:spacing w:val="-2"/>
                <w:sz w:val="16"/>
                <w:szCs w:val="16"/>
                <w:highlight w:val="none"/>
              </w:rPr>
              <w:t>中型企业（且）</w:t>
            </w:r>
          </w:p>
        </w:tc>
        <w:tc>
          <w:tcPr>
            <w:tcW w:w="2209" w:type="dxa"/>
            <w:gridSpan w:val="3"/>
            <w:tcBorders>
              <w:top w:val="single" w:color="000000" w:sz="10" w:space="0"/>
            </w:tcBorders>
            <w:vAlign w:val="top"/>
          </w:tcPr>
          <w:p w14:paraId="366D2A4A">
            <w:pPr>
              <w:pStyle w:val="27"/>
              <w:spacing w:before="253" w:line="224" w:lineRule="auto"/>
              <w:ind w:left="15"/>
              <w:rPr>
                <w:color w:val="auto"/>
                <w:spacing w:val="-2"/>
                <w:sz w:val="16"/>
                <w:szCs w:val="16"/>
                <w:highlight w:val="none"/>
              </w:rPr>
            </w:pPr>
            <w:r>
              <w:rPr>
                <w:color w:val="auto"/>
                <w:spacing w:val="-2"/>
                <w:sz w:val="16"/>
                <w:szCs w:val="16"/>
                <w:highlight w:val="none"/>
              </w:rPr>
              <w:t>小型企业（且）</w:t>
            </w:r>
          </w:p>
        </w:tc>
        <w:tc>
          <w:tcPr>
            <w:tcW w:w="2100" w:type="dxa"/>
            <w:gridSpan w:val="3"/>
            <w:tcBorders>
              <w:top w:val="single" w:color="000000" w:sz="10" w:space="0"/>
              <w:right w:val="single" w:color="000000" w:sz="10" w:space="0"/>
            </w:tcBorders>
            <w:vAlign w:val="top"/>
          </w:tcPr>
          <w:p w14:paraId="16EF63AE">
            <w:pPr>
              <w:pStyle w:val="27"/>
              <w:spacing w:before="253" w:line="224" w:lineRule="auto"/>
              <w:ind w:left="15"/>
              <w:rPr>
                <w:color w:val="auto"/>
                <w:spacing w:val="-2"/>
                <w:sz w:val="16"/>
                <w:szCs w:val="16"/>
                <w:highlight w:val="none"/>
              </w:rPr>
            </w:pPr>
            <w:r>
              <w:rPr>
                <w:color w:val="auto"/>
                <w:spacing w:val="-2"/>
                <w:sz w:val="16"/>
                <w:szCs w:val="16"/>
                <w:highlight w:val="none"/>
              </w:rPr>
              <w:t>微型企业（或）</w:t>
            </w:r>
          </w:p>
        </w:tc>
      </w:tr>
      <w:tr w14:paraId="418B0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1661" w:type="dxa"/>
            <w:vMerge w:val="continue"/>
            <w:tcBorders>
              <w:top w:val="nil"/>
              <w:left w:val="single" w:color="000000" w:sz="10" w:space="0"/>
            </w:tcBorders>
            <w:vAlign w:val="top"/>
          </w:tcPr>
          <w:p w14:paraId="354B49BB">
            <w:pPr>
              <w:pStyle w:val="27"/>
              <w:spacing w:before="253" w:line="224" w:lineRule="auto"/>
              <w:ind w:left="15"/>
              <w:rPr>
                <w:color w:val="auto"/>
                <w:spacing w:val="-2"/>
                <w:sz w:val="16"/>
                <w:szCs w:val="16"/>
                <w:highlight w:val="none"/>
              </w:rPr>
            </w:pPr>
          </w:p>
        </w:tc>
        <w:tc>
          <w:tcPr>
            <w:tcW w:w="760" w:type="dxa"/>
            <w:vAlign w:val="top"/>
          </w:tcPr>
          <w:p w14:paraId="44FBADBB">
            <w:pPr>
              <w:pStyle w:val="27"/>
              <w:spacing w:before="253" w:line="224" w:lineRule="auto"/>
              <w:ind w:left="15"/>
              <w:rPr>
                <w:color w:val="auto"/>
                <w:spacing w:val="-2"/>
                <w:sz w:val="16"/>
                <w:szCs w:val="16"/>
                <w:highlight w:val="none"/>
              </w:rPr>
            </w:pPr>
            <w:r>
              <w:rPr>
                <w:color w:val="auto"/>
                <w:spacing w:val="-2"/>
                <w:sz w:val="16"/>
                <w:szCs w:val="16"/>
                <w:highlight w:val="none"/>
              </w:rPr>
              <w:t>从业人员</w:t>
            </w:r>
          </w:p>
        </w:tc>
        <w:tc>
          <w:tcPr>
            <w:tcW w:w="861" w:type="dxa"/>
            <w:vAlign w:val="top"/>
          </w:tcPr>
          <w:p w14:paraId="608D16A3">
            <w:pPr>
              <w:pStyle w:val="27"/>
              <w:spacing w:before="253" w:line="224" w:lineRule="auto"/>
              <w:ind w:left="15"/>
              <w:rPr>
                <w:color w:val="auto"/>
                <w:spacing w:val="-2"/>
                <w:sz w:val="16"/>
                <w:szCs w:val="16"/>
                <w:highlight w:val="none"/>
              </w:rPr>
            </w:pPr>
            <w:r>
              <w:rPr>
                <w:color w:val="auto"/>
                <w:spacing w:val="-2"/>
                <w:sz w:val="16"/>
                <w:szCs w:val="16"/>
                <w:highlight w:val="none"/>
              </w:rPr>
              <w:t>营业收入</w:t>
            </w:r>
          </w:p>
        </w:tc>
        <w:tc>
          <w:tcPr>
            <w:tcW w:w="686" w:type="dxa"/>
            <w:vAlign w:val="top"/>
          </w:tcPr>
          <w:p w14:paraId="0936090E">
            <w:pPr>
              <w:pStyle w:val="27"/>
              <w:spacing w:before="253" w:line="224" w:lineRule="auto"/>
              <w:ind w:left="15"/>
              <w:rPr>
                <w:color w:val="auto"/>
                <w:spacing w:val="-2"/>
                <w:sz w:val="16"/>
                <w:szCs w:val="16"/>
                <w:highlight w:val="none"/>
              </w:rPr>
            </w:pPr>
            <w:r>
              <w:rPr>
                <w:color w:val="auto"/>
                <w:spacing w:val="-2"/>
                <w:sz w:val="16"/>
                <w:szCs w:val="16"/>
                <w:highlight w:val="none"/>
              </w:rPr>
              <w:t>资产总额</w:t>
            </w:r>
          </w:p>
        </w:tc>
        <w:tc>
          <w:tcPr>
            <w:tcW w:w="709" w:type="dxa"/>
            <w:vAlign w:val="top"/>
          </w:tcPr>
          <w:p w14:paraId="621ECA71">
            <w:pPr>
              <w:pStyle w:val="27"/>
              <w:spacing w:before="253" w:line="224" w:lineRule="auto"/>
              <w:ind w:left="15"/>
              <w:rPr>
                <w:color w:val="auto"/>
                <w:spacing w:val="-2"/>
                <w:sz w:val="16"/>
                <w:szCs w:val="16"/>
                <w:highlight w:val="none"/>
              </w:rPr>
            </w:pPr>
            <w:r>
              <w:rPr>
                <w:color w:val="auto"/>
                <w:spacing w:val="-2"/>
                <w:sz w:val="16"/>
                <w:szCs w:val="16"/>
                <w:highlight w:val="none"/>
              </w:rPr>
              <w:t>从业人员</w:t>
            </w:r>
          </w:p>
        </w:tc>
        <w:tc>
          <w:tcPr>
            <w:tcW w:w="900" w:type="dxa"/>
            <w:vAlign w:val="top"/>
          </w:tcPr>
          <w:p w14:paraId="0C5D03D6">
            <w:pPr>
              <w:pStyle w:val="27"/>
              <w:spacing w:before="253" w:line="224" w:lineRule="auto"/>
              <w:ind w:left="15"/>
              <w:rPr>
                <w:color w:val="auto"/>
                <w:spacing w:val="-2"/>
                <w:sz w:val="16"/>
                <w:szCs w:val="16"/>
                <w:highlight w:val="none"/>
              </w:rPr>
            </w:pPr>
            <w:r>
              <w:rPr>
                <w:color w:val="auto"/>
                <w:spacing w:val="-2"/>
                <w:sz w:val="16"/>
                <w:szCs w:val="16"/>
                <w:highlight w:val="none"/>
              </w:rPr>
              <w:t>营业收入</w:t>
            </w:r>
          </w:p>
        </w:tc>
        <w:tc>
          <w:tcPr>
            <w:tcW w:w="764" w:type="dxa"/>
            <w:vAlign w:val="top"/>
          </w:tcPr>
          <w:p w14:paraId="0FC78BA9">
            <w:pPr>
              <w:pStyle w:val="27"/>
              <w:spacing w:before="253" w:line="224" w:lineRule="auto"/>
              <w:ind w:left="15"/>
              <w:rPr>
                <w:color w:val="auto"/>
                <w:spacing w:val="-2"/>
                <w:sz w:val="16"/>
                <w:szCs w:val="16"/>
                <w:highlight w:val="none"/>
              </w:rPr>
            </w:pPr>
            <w:r>
              <w:rPr>
                <w:color w:val="auto"/>
                <w:spacing w:val="-2"/>
                <w:sz w:val="16"/>
                <w:szCs w:val="16"/>
                <w:highlight w:val="none"/>
              </w:rPr>
              <w:t>资产总额</w:t>
            </w:r>
          </w:p>
        </w:tc>
        <w:tc>
          <w:tcPr>
            <w:tcW w:w="640" w:type="dxa"/>
            <w:vAlign w:val="top"/>
          </w:tcPr>
          <w:p w14:paraId="572802A7">
            <w:pPr>
              <w:pStyle w:val="27"/>
              <w:spacing w:before="253" w:line="224" w:lineRule="auto"/>
              <w:ind w:left="15"/>
              <w:rPr>
                <w:color w:val="auto"/>
                <w:spacing w:val="-2"/>
                <w:sz w:val="16"/>
                <w:szCs w:val="16"/>
                <w:highlight w:val="none"/>
              </w:rPr>
            </w:pPr>
            <w:r>
              <w:rPr>
                <w:color w:val="auto"/>
                <w:spacing w:val="-2"/>
                <w:sz w:val="16"/>
                <w:szCs w:val="16"/>
                <w:highlight w:val="none"/>
              </w:rPr>
              <w:t>从业人员</w:t>
            </w:r>
          </w:p>
        </w:tc>
        <w:tc>
          <w:tcPr>
            <w:tcW w:w="831" w:type="dxa"/>
            <w:vAlign w:val="top"/>
          </w:tcPr>
          <w:p w14:paraId="42E1F190">
            <w:pPr>
              <w:pStyle w:val="27"/>
              <w:spacing w:before="253" w:line="224" w:lineRule="auto"/>
              <w:ind w:left="15"/>
              <w:rPr>
                <w:color w:val="auto"/>
                <w:spacing w:val="-2"/>
                <w:sz w:val="16"/>
                <w:szCs w:val="16"/>
                <w:highlight w:val="none"/>
              </w:rPr>
            </w:pPr>
            <w:r>
              <w:rPr>
                <w:color w:val="auto"/>
                <w:spacing w:val="-2"/>
                <w:sz w:val="16"/>
                <w:szCs w:val="16"/>
                <w:highlight w:val="none"/>
              </w:rPr>
              <w:t>营业收入</w:t>
            </w:r>
          </w:p>
        </w:tc>
        <w:tc>
          <w:tcPr>
            <w:tcW w:w="738" w:type="dxa"/>
            <w:vAlign w:val="top"/>
          </w:tcPr>
          <w:p w14:paraId="2335D086">
            <w:pPr>
              <w:pStyle w:val="27"/>
              <w:spacing w:before="253" w:line="224" w:lineRule="auto"/>
              <w:ind w:left="15"/>
              <w:rPr>
                <w:color w:val="auto"/>
                <w:spacing w:val="-2"/>
                <w:sz w:val="16"/>
                <w:szCs w:val="16"/>
                <w:highlight w:val="none"/>
              </w:rPr>
            </w:pPr>
            <w:r>
              <w:rPr>
                <w:color w:val="auto"/>
                <w:spacing w:val="-2"/>
                <w:sz w:val="16"/>
                <w:szCs w:val="16"/>
                <w:highlight w:val="none"/>
              </w:rPr>
              <w:t>资产总额</w:t>
            </w:r>
          </w:p>
        </w:tc>
        <w:tc>
          <w:tcPr>
            <w:tcW w:w="641" w:type="dxa"/>
            <w:vAlign w:val="top"/>
          </w:tcPr>
          <w:p w14:paraId="2245B787">
            <w:pPr>
              <w:pStyle w:val="27"/>
              <w:spacing w:before="253" w:line="224" w:lineRule="auto"/>
              <w:ind w:left="15"/>
              <w:rPr>
                <w:color w:val="auto"/>
                <w:spacing w:val="-2"/>
                <w:sz w:val="16"/>
                <w:szCs w:val="16"/>
                <w:highlight w:val="none"/>
              </w:rPr>
            </w:pPr>
            <w:r>
              <w:rPr>
                <w:color w:val="auto"/>
                <w:spacing w:val="-2"/>
                <w:sz w:val="16"/>
                <w:szCs w:val="16"/>
                <w:highlight w:val="none"/>
              </w:rPr>
              <w:t>从业人员</w:t>
            </w:r>
          </w:p>
        </w:tc>
        <w:tc>
          <w:tcPr>
            <w:tcW w:w="763" w:type="dxa"/>
            <w:vAlign w:val="top"/>
          </w:tcPr>
          <w:p w14:paraId="3B8E661D">
            <w:pPr>
              <w:pStyle w:val="27"/>
              <w:spacing w:before="253" w:line="224" w:lineRule="auto"/>
              <w:ind w:left="15"/>
              <w:rPr>
                <w:color w:val="auto"/>
                <w:spacing w:val="-2"/>
                <w:sz w:val="16"/>
                <w:szCs w:val="16"/>
                <w:highlight w:val="none"/>
              </w:rPr>
            </w:pPr>
            <w:r>
              <w:rPr>
                <w:color w:val="auto"/>
                <w:spacing w:val="-2"/>
                <w:sz w:val="16"/>
                <w:szCs w:val="16"/>
                <w:highlight w:val="none"/>
              </w:rPr>
              <w:t>营业收入</w:t>
            </w:r>
          </w:p>
        </w:tc>
        <w:tc>
          <w:tcPr>
            <w:tcW w:w="696" w:type="dxa"/>
            <w:tcBorders>
              <w:right w:val="single" w:color="000000" w:sz="10" w:space="0"/>
            </w:tcBorders>
            <w:vAlign w:val="top"/>
          </w:tcPr>
          <w:p w14:paraId="54CAE8F7">
            <w:pPr>
              <w:pStyle w:val="27"/>
              <w:spacing w:before="253" w:line="224" w:lineRule="auto"/>
              <w:ind w:left="15"/>
              <w:rPr>
                <w:color w:val="auto"/>
                <w:spacing w:val="-2"/>
                <w:sz w:val="16"/>
                <w:szCs w:val="16"/>
                <w:highlight w:val="none"/>
              </w:rPr>
            </w:pPr>
            <w:r>
              <w:rPr>
                <w:color w:val="auto"/>
                <w:spacing w:val="-2"/>
                <w:sz w:val="16"/>
                <w:szCs w:val="16"/>
                <w:highlight w:val="none"/>
              </w:rPr>
              <w:t>资产总额</w:t>
            </w:r>
          </w:p>
        </w:tc>
      </w:tr>
      <w:tr w14:paraId="0D99E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02B28FA7">
            <w:pPr>
              <w:pStyle w:val="27"/>
              <w:spacing w:before="253" w:line="224" w:lineRule="auto"/>
              <w:ind w:left="15"/>
              <w:rPr>
                <w:color w:val="auto"/>
                <w:spacing w:val="-2"/>
                <w:sz w:val="16"/>
                <w:szCs w:val="16"/>
                <w:highlight w:val="none"/>
              </w:rPr>
            </w:pPr>
            <w:r>
              <w:rPr>
                <w:color w:val="auto"/>
                <w:spacing w:val="-2"/>
                <w:sz w:val="16"/>
                <w:szCs w:val="16"/>
                <w:highlight w:val="none"/>
              </w:rPr>
              <w:t>农、林、牧、渔业</w:t>
            </w:r>
          </w:p>
        </w:tc>
        <w:tc>
          <w:tcPr>
            <w:tcW w:w="760" w:type="dxa"/>
            <w:vAlign w:val="top"/>
          </w:tcPr>
          <w:p w14:paraId="42F37033">
            <w:pPr>
              <w:pStyle w:val="27"/>
              <w:spacing w:before="253" w:line="224" w:lineRule="auto"/>
              <w:ind w:left="15"/>
              <w:rPr>
                <w:color w:val="auto"/>
                <w:spacing w:val="-2"/>
                <w:sz w:val="16"/>
                <w:szCs w:val="16"/>
                <w:highlight w:val="none"/>
              </w:rPr>
            </w:pPr>
          </w:p>
        </w:tc>
        <w:tc>
          <w:tcPr>
            <w:tcW w:w="861" w:type="dxa"/>
            <w:vAlign w:val="top"/>
          </w:tcPr>
          <w:p w14:paraId="640F8D1A">
            <w:pPr>
              <w:pStyle w:val="27"/>
              <w:spacing w:before="253" w:line="224" w:lineRule="auto"/>
              <w:ind w:left="15"/>
              <w:rPr>
                <w:color w:val="auto"/>
                <w:spacing w:val="-2"/>
                <w:sz w:val="16"/>
                <w:szCs w:val="16"/>
                <w:highlight w:val="none"/>
              </w:rPr>
            </w:pPr>
            <w:r>
              <w:rPr>
                <w:color w:val="auto"/>
                <w:spacing w:val="-2"/>
                <w:sz w:val="16"/>
                <w:szCs w:val="16"/>
                <w:highlight w:val="none"/>
              </w:rPr>
              <w:t>20000 万元 以下</w:t>
            </w:r>
          </w:p>
        </w:tc>
        <w:tc>
          <w:tcPr>
            <w:tcW w:w="686" w:type="dxa"/>
            <w:vAlign w:val="top"/>
          </w:tcPr>
          <w:p w14:paraId="19DBD57B">
            <w:pPr>
              <w:pStyle w:val="27"/>
              <w:spacing w:before="253" w:line="224" w:lineRule="auto"/>
              <w:ind w:left="15"/>
              <w:rPr>
                <w:color w:val="auto"/>
                <w:spacing w:val="-2"/>
                <w:sz w:val="16"/>
                <w:szCs w:val="16"/>
                <w:highlight w:val="none"/>
              </w:rPr>
            </w:pPr>
          </w:p>
        </w:tc>
        <w:tc>
          <w:tcPr>
            <w:tcW w:w="709" w:type="dxa"/>
            <w:vAlign w:val="top"/>
          </w:tcPr>
          <w:p w14:paraId="3B7979D9">
            <w:pPr>
              <w:pStyle w:val="27"/>
              <w:spacing w:before="253" w:line="224" w:lineRule="auto"/>
              <w:ind w:left="15"/>
              <w:rPr>
                <w:color w:val="auto"/>
                <w:spacing w:val="-2"/>
                <w:sz w:val="16"/>
                <w:szCs w:val="16"/>
                <w:highlight w:val="none"/>
              </w:rPr>
            </w:pPr>
          </w:p>
        </w:tc>
        <w:tc>
          <w:tcPr>
            <w:tcW w:w="900" w:type="dxa"/>
            <w:vAlign w:val="top"/>
          </w:tcPr>
          <w:p w14:paraId="2BF1F82F">
            <w:pPr>
              <w:pStyle w:val="27"/>
              <w:spacing w:before="253" w:line="224" w:lineRule="auto"/>
              <w:ind w:left="15"/>
              <w:rPr>
                <w:color w:val="auto"/>
                <w:spacing w:val="-2"/>
                <w:sz w:val="16"/>
                <w:szCs w:val="16"/>
                <w:highlight w:val="none"/>
              </w:rPr>
            </w:pPr>
            <w:r>
              <w:rPr>
                <w:color w:val="auto"/>
                <w:spacing w:val="-2"/>
                <w:sz w:val="16"/>
                <w:szCs w:val="16"/>
                <w:highlight w:val="none"/>
              </w:rPr>
              <w:t>500 万元及 以上</w:t>
            </w:r>
          </w:p>
        </w:tc>
        <w:tc>
          <w:tcPr>
            <w:tcW w:w="764" w:type="dxa"/>
            <w:vAlign w:val="top"/>
          </w:tcPr>
          <w:p w14:paraId="5B479D5A">
            <w:pPr>
              <w:pStyle w:val="27"/>
              <w:spacing w:before="253" w:line="224" w:lineRule="auto"/>
              <w:ind w:left="15"/>
              <w:rPr>
                <w:color w:val="auto"/>
                <w:spacing w:val="-2"/>
                <w:sz w:val="16"/>
                <w:szCs w:val="16"/>
                <w:highlight w:val="none"/>
              </w:rPr>
            </w:pPr>
          </w:p>
        </w:tc>
        <w:tc>
          <w:tcPr>
            <w:tcW w:w="640" w:type="dxa"/>
            <w:vAlign w:val="top"/>
          </w:tcPr>
          <w:p w14:paraId="6461D7B1">
            <w:pPr>
              <w:pStyle w:val="27"/>
              <w:spacing w:before="253" w:line="224" w:lineRule="auto"/>
              <w:ind w:left="15"/>
              <w:rPr>
                <w:color w:val="auto"/>
                <w:spacing w:val="-2"/>
                <w:sz w:val="16"/>
                <w:szCs w:val="16"/>
                <w:highlight w:val="none"/>
              </w:rPr>
            </w:pPr>
          </w:p>
        </w:tc>
        <w:tc>
          <w:tcPr>
            <w:tcW w:w="831" w:type="dxa"/>
            <w:vAlign w:val="top"/>
          </w:tcPr>
          <w:p w14:paraId="6195A627">
            <w:pPr>
              <w:pStyle w:val="27"/>
              <w:spacing w:before="253" w:line="224" w:lineRule="auto"/>
              <w:ind w:left="15"/>
              <w:rPr>
                <w:color w:val="auto"/>
                <w:spacing w:val="-2"/>
                <w:sz w:val="16"/>
                <w:szCs w:val="16"/>
                <w:highlight w:val="none"/>
              </w:rPr>
            </w:pPr>
            <w:r>
              <w:rPr>
                <w:color w:val="auto"/>
                <w:spacing w:val="-2"/>
                <w:sz w:val="16"/>
                <w:szCs w:val="16"/>
                <w:highlight w:val="none"/>
              </w:rPr>
              <w:t>50 万元及 以上</w:t>
            </w:r>
          </w:p>
        </w:tc>
        <w:tc>
          <w:tcPr>
            <w:tcW w:w="738" w:type="dxa"/>
            <w:vAlign w:val="top"/>
          </w:tcPr>
          <w:p w14:paraId="19565E7C">
            <w:pPr>
              <w:pStyle w:val="27"/>
              <w:spacing w:before="253" w:line="224" w:lineRule="auto"/>
              <w:ind w:left="15"/>
              <w:rPr>
                <w:color w:val="auto"/>
                <w:spacing w:val="-2"/>
                <w:sz w:val="16"/>
                <w:szCs w:val="16"/>
                <w:highlight w:val="none"/>
              </w:rPr>
            </w:pPr>
          </w:p>
        </w:tc>
        <w:tc>
          <w:tcPr>
            <w:tcW w:w="641" w:type="dxa"/>
            <w:vAlign w:val="top"/>
          </w:tcPr>
          <w:p w14:paraId="6FD715AE">
            <w:pPr>
              <w:pStyle w:val="27"/>
              <w:spacing w:before="253" w:line="224" w:lineRule="auto"/>
              <w:ind w:left="15"/>
              <w:rPr>
                <w:color w:val="auto"/>
                <w:spacing w:val="-2"/>
                <w:sz w:val="16"/>
                <w:szCs w:val="16"/>
                <w:highlight w:val="none"/>
              </w:rPr>
            </w:pPr>
          </w:p>
        </w:tc>
        <w:tc>
          <w:tcPr>
            <w:tcW w:w="763" w:type="dxa"/>
            <w:vAlign w:val="top"/>
          </w:tcPr>
          <w:p w14:paraId="407D3BE8">
            <w:pPr>
              <w:pStyle w:val="27"/>
              <w:spacing w:before="253" w:line="224" w:lineRule="auto"/>
              <w:ind w:left="15"/>
              <w:rPr>
                <w:color w:val="auto"/>
                <w:spacing w:val="-2"/>
                <w:sz w:val="16"/>
                <w:szCs w:val="16"/>
                <w:highlight w:val="none"/>
              </w:rPr>
            </w:pPr>
            <w:r>
              <w:rPr>
                <w:color w:val="auto"/>
                <w:spacing w:val="-2"/>
                <w:sz w:val="16"/>
                <w:szCs w:val="16"/>
                <w:highlight w:val="none"/>
              </w:rPr>
              <w:t>50 万元以 下</w:t>
            </w:r>
          </w:p>
        </w:tc>
        <w:tc>
          <w:tcPr>
            <w:tcW w:w="696" w:type="dxa"/>
            <w:tcBorders>
              <w:right w:val="single" w:color="000000" w:sz="10" w:space="0"/>
            </w:tcBorders>
            <w:vAlign w:val="top"/>
          </w:tcPr>
          <w:p w14:paraId="0D8C482B">
            <w:pPr>
              <w:pStyle w:val="27"/>
              <w:spacing w:before="253" w:line="224" w:lineRule="auto"/>
              <w:ind w:left="15"/>
              <w:rPr>
                <w:color w:val="auto"/>
                <w:spacing w:val="-2"/>
                <w:sz w:val="16"/>
                <w:szCs w:val="16"/>
                <w:highlight w:val="none"/>
              </w:rPr>
            </w:pPr>
          </w:p>
        </w:tc>
      </w:tr>
      <w:tr w14:paraId="6C67F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trPr>
        <w:tc>
          <w:tcPr>
            <w:tcW w:w="1661" w:type="dxa"/>
            <w:tcBorders>
              <w:left w:val="single" w:color="000000" w:sz="10" w:space="0"/>
            </w:tcBorders>
            <w:vAlign w:val="top"/>
          </w:tcPr>
          <w:p w14:paraId="66F09C94">
            <w:pPr>
              <w:pStyle w:val="27"/>
              <w:spacing w:before="253" w:line="224" w:lineRule="auto"/>
              <w:ind w:left="15"/>
              <w:rPr>
                <w:color w:val="auto"/>
                <w:spacing w:val="-2"/>
                <w:sz w:val="16"/>
                <w:szCs w:val="16"/>
                <w:highlight w:val="none"/>
              </w:rPr>
            </w:pPr>
            <w:r>
              <w:rPr>
                <w:color w:val="auto"/>
                <w:spacing w:val="-2"/>
                <w:sz w:val="16"/>
                <w:szCs w:val="16"/>
                <w:highlight w:val="none"/>
              </w:rPr>
              <w:t>工业（包括采矿业，制 造业，电力、热力、燃 气及水生产和供应业）</w:t>
            </w:r>
          </w:p>
        </w:tc>
        <w:tc>
          <w:tcPr>
            <w:tcW w:w="760" w:type="dxa"/>
            <w:vAlign w:val="top"/>
          </w:tcPr>
          <w:p w14:paraId="4D5FEDD0">
            <w:pPr>
              <w:pStyle w:val="27"/>
              <w:spacing w:before="253" w:line="224" w:lineRule="auto"/>
              <w:ind w:left="15"/>
              <w:rPr>
                <w:color w:val="auto"/>
                <w:spacing w:val="-2"/>
                <w:sz w:val="16"/>
                <w:szCs w:val="16"/>
                <w:highlight w:val="none"/>
              </w:rPr>
            </w:pPr>
            <w:r>
              <w:rPr>
                <w:color w:val="auto"/>
                <w:spacing w:val="-2"/>
                <w:sz w:val="16"/>
                <w:szCs w:val="16"/>
                <w:highlight w:val="none"/>
              </w:rPr>
              <w:t>1000 人以 下</w:t>
            </w:r>
          </w:p>
        </w:tc>
        <w:tc>
          <w:tcPr>
            <w:tcW w:w="861" w:type="dxa"/>
            <w:vAlign w:val="top"/>
          </w:tcPr>
          <w:p w14:paraId="5B6F6DF0">
            <w:pPr>
              <w:pStyle w:val="27"/>
              <w:spacing w:before="253" w:line="224" w:lineRule="auto"/>
              <w:ind w:left="15"/>
              <w:rPr>
                <w:color w:val="auto"/>
                <w:spacing w:val="-2"/>
                <w:sz w:val="16"/>
                <w:szCs w:val="16"/>
                <w:highlight w:val="none"/>
              </w:rPr>
            </w:pPr>
            <w:r>
              <w:rPr>
                <w:color w:val="auto"/>
                <w:spacing w:val="-2"/>
                <w:sz w:val="16"/>
                <w:szCs w:val="16"/>
                <w:highlight w:val="none"/>
              </w:rPr>
              <w:t>40000 万元 以下</w:t>
            </w:r>
          </w:p>
        </w:tc>
        <w:tc>
          <w:tcPr>
            <w:tcW w:w="686" w:type="dxa"/>
            <w:vAlign w:val="top"/>
          </w:tcPr>
          <w:p w14:paraId="48A55D4B">
            <w:pPr>
              <w:pStyle w:val="27"/>
              <w:spacing w:before="253" w:line="224" w:lineRule="auto"/>
              <w:ind w:left="15"/>
              <w:rPr>
                <w:color w:val="auto"/>
                <w:spacing w:val="-2"/>
                <w:sz w:val="16"/>
                <w:szCs w:val="16"/>
                <w:highlight w:val="none"/>
              </w:rPr>
            </w:pPr>
          </w:p>
        </w:tc>
        <w:tc>
          <w:tcPr>
            <w:tcW w:w="709" w:type="dxa"/>
            <w:vAlign w:val="top"/>
          </w:tcPr>
          <w:p w14:paraId="05FFAF1B">
            <w:pPr>
              <w:pStyle w:val="27"/>
              <w:spacing w:before="253" w:line="224" w:lineRule="auto"/>
              <w:ind w:left="15"/>
              <w:rPr>
                <w:color w:val="auto"/>
                <w:spacing w:val="-2"/>
                <w:sz w:val="16"/>
                <w:szCs w:val="16"/>
                <w:highlight w:val="none"/>
              </w:rPr>
            </w:pPr>
            <w:r>
              <w:rPr>
                <w:color w:val="auto"/>
                <w:spacing w:val="-2"/>
                <w:sz w:val="16"/>
                <w:szCs w:val="16"/>
                <w:highlight w:val="none"/>
              </w:rPr>
              <w:t>300 人及 以上</w:t>
            </w:r>
          </w:p>
        </w:tc>
        <w:tc>
          <w:tcPr>
            <w:tcW w:w="900" w:type="dxa"/>
            <w:vAlign w:val="top"/>
          </w:tcPr>
          <w:p w14:paraId="37E9771C">
            <w:pPr>
              <w:pStyle w:val="27"/>
              <w:spacing w:before="253" w:line="224" w:lineRule="auto"/>
              <w:ind w:left="15"/>
              <w:rPr>
                <w:color w:val="auto"/>
                <w:spacing w:val="-2"/>
                <w:sz w:val="16"/>
                <w:szCs w:val="16"/>
                <w:highlight w:val="none"/>
              </w:rPr>
            </w:pPr>
            <w:r>
              <w:rPr>
                <w:color w:val="auto"/>
                <w:spacing w:val="-2"/>
                <w:sz w:val="16"/>
                <w:szCs w:val="16"/>
                <w:highlight w:val="none"/>
              </w:rPr>
              <w:t>2000 万元及 以上</w:t>
            </w:r>
          </w:p>
        </w:tc>
        <w:tc>
          <w:tcPr>
            <w:tcW w:w="764" w:type="dxa"/>
            <w:vAlign w:val="top"/>
          </w:tcPr>
          <w:p w14:paraId="67E16438">
            <w:pPr>
              <w:pStyle w:val="27"/>
              <w:spacing w:before="253" w:line="224" w:lineRule="auto"/>
              <w:ind w:left="15"/>
              <w:rPr>
                <w:color w:val="auto"/>
                <w:spacing w:val="-2"/>
                <w:sz w:val="16"/>
                <w:szCs w:val="16"/>
                <w:highlight w:val="none"/>
              </w:rPr>
            </w:pPr>
          </w:p>
        </w:tc>
        <w:tc>
          <w:tcPr>
            <w:tcW w:w="640" w:type="dxa"/>
            <w:vAlign w:val="top"/>
          </w:tcPr>
          <w:p w14:paraId="1751AA5D">
            <w:pPr>
              <w:pStyle w:val="27"/>
              <w:spacing w:before="253" w:line="224" w:lineRule="auto"/>
              <w:ind w:left="15"/>
              <w:rPr>
                <w:color w:val="auto"/>
                <w:spacing w:val="-2"/>
                <w:sz w:val="16"/>
                <w:szCs w:val="16"/>
                <w:highlight w:val="none"/>
              </w:rPr>
            </w:pPr>
            <w:r>
              <w:rPr>
                <w:color w:val="auto"/>
                <w:spacing w:val="-2"/>
                <w:sz w:val="16"/>
                <w:szCs w:val="16"/>
                <w:highlight w:val="none"/>
              </w:rPr>
              <w:t>20 人及以 上</w:t>
            </w:r>
          </w:p>
        </w:tc>
        <w:tc>
          <w:tcPr>
            <w:tcW w:w="831" w:type="dxa"/>
            <w:vAlign w:val="top"/>
          </w:tcPr>
          <w:p w14:paraId="0CFE7414">
            <w:pPr>
              <w:pStyle w:val="27"/>
              <w:spacing w:before="253" w:line="224" w:lineRule="auto"/>
              <w:ind w:left="15"/>
              <w:rPr>
                <w:color w:val="auto"/>
                <w:spacing w:val="-2"/>
                <w:sz w:val="16"/>
                <w:szCs w:val="16"/>
                <w:highlight w:val="none"/>
              </w:rPr>
            </w:pPr>
            <w:r>
              <w:rPr>
                <w:color w:val="auto"/>
                <w:spacing w:val="-2"/>
                <w:sz w:val="16"/>
                <w:szCs w:val="16"/>
                <w:highlight w:val="none"/>
              </w:rPr>
              <w:t>300 万元 及以上</w:t>
            </w:r>
          </w:p>
        </w:tc>
        <w:tc>
          <w:tcPr>
            <w:tcW w:w="738" w:type="dxa"/>
            <w:vAlign w:val="top"/>
          </w:tcPr>
          <w:p w14:paraId="7A7682E0">
            <w:pPr>
              <w:pStyle w:val="27"/>
              <w:spacing w:before="253" w:line="224" w:lineRule="auto"/>
              <w:ind w:left="15"/>
              <w:rPr>
                <w:color w:val="auto"/>
                <w:spacing w:val="-2"/>
                <w:sz w:val="16"/>
                <w:szCs w:val="16"/>
                <w:highlight w:val="none"/>
              </w:rPr>
            </w:pPr>
          </w:p>
        </w:tc>
        <w:tc>
          <w:tcPr>
            <w:tcW w:w="641" w:type="dxa"/>
            <w:vAlign w:val="top"/>
          </w:tcPr>
          <w:p w14:paraId="39718D16">
            <w:pPr>
              <w:pStyle w:val="27"/>
              <w:spacing w:before="253" w:line="224" w:lineRule="auto"/>
              <w:ind w:left="15"/>
              <w:rPr>
                <w:color w:val="auto"/>
                <w:spacing w:val="-2"/>
                <w:sz w:val="16"/>
                <w:szCs w:val="16"/>
                <w:highlight w:val="none"/>
              </w:rPr>
            </w:pPr>
          </w:p>
          <w:p w14:paraId="71E35E20">
            <w:pPr>
              <w:pStyle w:val="27"/>
              <w:spacing w:before="253" w:line="224" w:lineRule="auto"/>
              <w:ind w:left="15"/>
              <w:rPr>
                <w:color w:val="auto"/>
                <w:spacing w:val="-2"/>
                <w:sz w:val="16"/>
                <w:szCs w:val="16"/>
                <w:highlight w:val="none"/>
              </w:rPr>
            </w:pPr>
            <w:r>
              <w:rPr>
                <w:color w:val="auto"/>
                <w:spacing w:val="-2"/>
                <w:sz w:val="16"/>
                <w:szCs w:val="16"/>
                <w:highlight w:val="none"/>
              </w:rPr>
              <w:t>20 人以下</w:t>
            </w:r>
          </w:p>
        </w:tc>
        <w:tc>
          <w:tcPr>
            <w:tcW w:w="763" w:type="dxa"/>
            <w:vAlign w:val="top"/>
          </w:tcPr>
          <w:p w14:paraId="013EC16E">
            <w:pPr>
              <w:pStyle w:val="27"/>
              <w:spacing w:before="253" w:line="224" w:lineRule="auto"/>
              <w:ind w:left="15"/>
              <w:rPr>
                <w:color w:val="auto"/>
                <w:spacing w:val="-2"/>
                <w:sz w:val="16"/>
                <w:szCs w:val="16"/>
                <w:highlight w:val="none"/>
              </w:rPr>
            </w:pPr>
            <w:r>
              <w:rPr>
                <w:color w:val="auto"/>
                <w:spacing w:val="-2"/>
                <w:sz w:val="16"/>
                <w:szCs w:val="16"/>
                <w:highlight w:val="none"/>
              </w:rPr>
              <w:t>300 万元 以下</w:t>
            </w:r>
          </w:p>
        </w:tc>
        <w:tc>
          <w:tcPr>
            <w:tcW w:w="696" w:type="dxa"/>
            <w:tcBorders>
              <w:right w:val="single" w:color="000000" w:sz="10" w:space="0"/>
            </w:tcBorders>
            <w:vAlign w:val="top"/>
          </w:tcPr>
          <w:p w14:paraId="27DF8309">
            <w:pPr>
              <w:pStyle w:val="27"/>
              <w:spacing w:before="253" w:line="224" w:lineRule="auto"/>
              <w:ind w:left="15"/>
              <w:rPr>
                <w:color w:val="auto"/>
                <w:spacing w:val="-2"/>
                <w:sz w:val="16"/>
                <w:szCs w:val="16"/>
                <w:highlight w:val="none"/>
              </w:rPr>
            </w:pPr>
          </w:p>
        </w:tc>
      </w:tr>
      <w:tr w14:paraId="556C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2BBE24D7">
            <w:pPr>
              <w:pStyle w:val="27"/>
              <w:spacing w:before="253" w:line="224" w:lineRule="auto"/>
              <w:ind w:left="15"/>
              <w:rPr>
                <w:color w:val="auto"/>
                <w:spacing w:val="-2"/>
                <w:sz w:val="16"/>
                <w:szCs w:val="16"/>
                <w:highlight w:val="none"/>
              </w:rPr>
            </w:pPr>
            <w:r>
              <w:rPr>
                <w:color w:val="auto"/>
                <w:spacing w:val="-2"/>
                <w:sz w:val="16"/>
                <w:szCs w:val="16"/>
                <w:highlight w:val="none"/>
              </w:rPr>
              <w:t>建筑业</w:t>
            </w:r>
          </w:p>
        </w:tc>
        <w:tc>
          <w:tcPr>
            <w:tcW w:w="760" w:type="dxa"/>
            <w:vAlign w:val="top"/>
          </w:tcPr>
          <w:p w14:paraId="246A8BA4">
            <w:pPr>
              <w:pStyle w:val="27"/>
              <w:spacing w:before="253" w:line="224" w:lineRule="auto"/>
              <w:ind w:left="15"/>
              <w:rPr>
                <w:color w:val="auto"/>
                <w:spacing w:val="-2"/>
                <w:sz w:val="16"/>
                <w:szCs w:val="16"/>
                <w:highlight w:val="none"/>
              </w:rPr>
            </w:pPr>
          </w:p>
        </w:tc>
        <w:tc>
          <w:tcPr>
            <w:tcW w:w="861" w:type="dxa"/>
            <w:vAlign w:val="top"/>
          </w:tcPr>
          <w:p w14:paraId="690CD7C7">
            <w:pPr>
              <w:pStyle w:val="27"/>
              <w:spacing w:before="253" w:line="224" w:lineRule="auto"/>
              <w:ind w:left="15"/>
              <w:rPr>
                <w:color w:val="auto"/>
                <w:spacing w:val="-2"/>
                <w:sz w:val="16"/>
                <w:szCs w:val="16"/>
                <w:highlight w:val="none"/>
              </w:rPr>
            </w:pPr>
            <w:r>
              <w:rPr>
                <w:color w:val="auto"/>
                <w:spacing w:val="-2"/>
                <w:sz w:val="16"/>
                <w:szCs w:val="16"/>
                <w:highlight w:val="none"/>
              </w:rPr>
              <w:t>80000 万元 以下</w:t>
            </w:r>
          </w:p>
        </w:tc>
        <w:tc>
          <w:tcPr>
            <w:tcW w:w="686" w:type="dxa"/>
            <w:vAlign w:val="top"/>
          </w:tcPr>
          <w:p w14:paraId="457E7BD7">
            <w:pPr>
              <w:pStyle w:val="27"/>
              <w:spacing w:before="253" w:line="224" w:lineRule="auto"/>
              <w:ind w:left="15"/>
              <w:rPr>
                <w:color w:val="auto"/>
                <w:spacing w:val="-2"/>
                <w:sz w:val="16"/>
                <w:szCs w:val="16"/>
                <w:highlight w:val="none"/>
              </w:rPr>
            </w:pPr>
            <w:r>
              <w:rPr>
                <w:color w:val="auto"/>
                <w:spacing w:val="-2"/>
                <w:sz w:val="16"/>
                <w:szCs w:val="16"/>
                <w:highlight w:val="none"/>
              </w:rPr>
              <w:t>80000 万元 以下</w:t>
            </w:r>
          </w:p>
        </w:tc>
        <w:tc>
          <w:tcPr>
            <w:tcW w:w="709" w:type="dxa"/>
            <w:vAlign w:val="top"/>
          </w:tcPr>
          <w:p w14:paraId="52A96896">
            <w:pPr>
              <w:pStyle w:val="27"/>
              <w:spacing w:before="253" w:line="224" w:lineRule="auto"/>
              <w:ind w:left="15"/>
              <w:rPr>
                <w:color w:val="auto"/>
                <w:spacing w:val="-2"/>
                <w:sz w:val="16"/>
                <w:szCs w:val="16"/>
                <w:highlight w:val="none"/>
              </w:rPr>
            </w:pPr>
          </w:p>
        </w:tc>
        <w:tc>
          <w:tcPr>
            <w:tcW w:w="900" w:type="dxa"/>
            <w:vAlign w:val="top"/>
          </w:tcPr>
          <w:p w14:paraId="1EF7EBC7">
            <w:pPr>
              <w:pStyle w:val="27"/>
              <w:spacing w:before="253" w:line="224" w:lineRule="auto"/>
              <w:ind w:left="15"/>
              <w:rPr>
                <w:color w:val="auto"/>
                <w:spacing w:val="-2"/>
                <w:sz w:val="16"/>
                <w:szCs w:val="16"/>
                <w:highlight w:val="none"/>
              </w:rPr>
            </w:pPr>
            <w:r>
              <w:rPr>
                <w:color w:val="auto"/>
                <w:spacing w:val="-2"/>
                <w:sz w:val="16"/>
                <w:szCs w:val="16"/>
                <w:highlight w:val="none"/>
              </w:rPr>
              <w:t>6000 万元及 以上</w:t>
            </w:r>
          </w:p>
        </w:tc>
        <w:tc>
          <w:tcPr>
            <w:tcW w:w="764" w:type="dxa"/>
            <w:vAlign w:val="top"/>
          </w:tcPr>
          <w:p w14:paraId="11E5E939">
            <w:pPr>
              <w:pStyle w:val="27"/>
              <w:spacing w:before="253" w:line="224" w:lineRule="auto"/>
              <w:ind w:left="15"/>
              <w:rPr>
                <w:color w:val="auto"/>
                <w:spacing w:val="-2"/>
                <w:sz w:val="16"/>
                <w:szCs w:val="16"/>
                <w:highlight w:val="none"/>
              </w:rPr>
            </w:pPr>
            <w:r>
              <w:rPr>
                <w:color w:val="auto"/>
                <w:spacing w:val="-2"/>
                <w:sz w:val="16"/>
                <w:szCs w:val="16"/>
                <w:highlight w:val="none"/>
              </w:rPr>
              <w:t>5000 万元 及以上</w:t>
            </w:r>
          </w:p>
        </w:tc>
        <w:tc>
          <w:tcPr>
            <w:tcW w:w="640" w:type="dxa"/>
            <w:vAlign w:val="top"/>
          </w:tcPr>
          <w:p w14:paraId="27AFDCE9">
            <w:pPr>
              <w:pStyle w:val="27"/>
              <w:spacing w:before="253" w:line="224" w:lineRule="auto"/>
              <w:ind w:left="15"/>
              <w:rPr>
                <w:color w:val="auto"/>
                <w:spacing w:val="-2"/>
                <w:sz w:val="16"/>
                <w:szCs w:val="16"/>
                <w:highlight w:val="none"/>
              </w:rPr>
            </w:pPr>
          </w:p>
        </w:tc>
        <w:tc>
          <w:tcPr>
            <w:tcW w:w="831" w:type="dxa"/>
            <w:vAlign w:val="top"/>
          </w:tcPr>
          <w:p w14:paraId="41710296">
            <w:pPr>
              <w:pStyle w:val="27"/>
              <w:spacing w:before="253" w:line="224" w:lineRule="auto"/>
              <w:ind w:left="15"/>
              <w:rPr>
                <w:color w:val="auto"/>
                <w:spacing w:val="-2"/>
                <w:sz w:val="16"/>
                <w:szCs w:val="16"/>
                <w:highlight w:val="none"/>
              </w:rPr>
            </w:pPr>
            <w:r>
              <w:rPr>
                <w:color w:val="auto"/>
                <w:spacing w:val="-2"/>
                <w:sz w:val="16"/>
                <w:szCs w:val="16"/>
                <w:highlight w:val="none"/>
              </w:rPr>
              <w:t>300 万元 及以上</w:t>
            </w:r>
          </w:p>
        </w:tc>
        <w:tc>
          <w:tcPr>
            <w:tcW w:w="738" w:type="dxa"/>
            <w:vAlign w:val="top"/>
          </w:tcPr>
          <w:p w14:paraId="6D466FDA">
            <w:pPr>
              <w:pStyle w:val="27"/>
              <w:spacing w:before="253" w:line="224" w:lineRule="auto"/>
              <w:ind w:left="15"/>
              <w:rPr>
                <w:color w:val="auto"/>
                <w:spacing w:val="-2"/>
                <w:sz w:val="16"/>
                <w:szCs w:val="16"/>
                <w:highlight w:val="none"/>
              </w:rPr>
            </w:pPr>
            <w:r>
              <w:rPr>
                <w:color w:val="auto"/>
                <w:spacing w:val="-2"/>
                <w:sz w:val="16"/>
                <w:szCs w:val="16"/>
                <w:highlight w:val="none"/>
              </w:rPr>
              <w:t>300 万元 及以上</w:t>
            </w:r>
          </w:p>
        </w:tc>
        <w:tc>
          <w:tcPr>
            <w:tcW w:w="641" w:type="dxa"/>
            <w:vAlign w:val="top"/>
          </w:tcPr>
          <w:p w14:paraId="1C66C180">
            <w:pPr>
              <w:pStyle w:val="27"/>
              <w:spacing w:before="253" w:line="224" w:lineRule="auto"/>
              <w:ind w:left="15"/>
              <w:rPr>
                <w:color w:val="auto"/>
                <w:spacing w:val="-2"/>
                <w:sz w:val="16"/>
                <w:szCs w:val="16"/>
                <w:highlight w:val="none"/>
              </w:rPr>
            </w:pPr>
          </w:p>
        </w:tc>
        <w:tc>
          <w:tcPr>
            <w:tcW w:w="763" w:type="dxa"/>
            <w:vAlign w:val="top"/>
          </w:tcPr>
          <w:p w14:paraId="20720288">
            <w:pPr>
              <w:pStyle w:val="27"/>
              <w:spacing w:before="253" w:line="224" w:lineRule="auto"/>
              <w:ind w:left="15"/>
              <w:rPr>
                <w:color w:val="auto"/>
                <w:spacing w:val="-2"/>
                <w:sz w:val="16"/>
                <w:szCs w:val="16"/>
                <w:highlight w:val="none"/>
              </w:rPr>
            </w:pPr>
            <w:r>
              <w:rPr>
                <w:color w:val="auto"/>
                <w:spacing w:val="-2"/>
                <w:sz w:val="16"/>
                <w:szCs w:val="16"/>
                <w:highlight w:val="none"/>
              </w:rPr>
              <w:t>300 万元 以下</w:t>
            </w:r>
          </w:p>
        </w:tc>
        <w:tc>
          <w:tcPr>
            <w:tcW w:w="696" w:type="dxa"/>
            <w:tcBorders>
              <w:right w:val="single" w:color="000000" w:sz="10" w:space="0"/>
            </w:tcBorders>
            <w:vAlign w:val="top"/>
          </w:tcPr>
          <w:p w14:paraId="68F43DDB">
            <w:pPr>
              <w:pStyle w:val="27"/>
              <w:spacing w:before="253" w:line="224" w:lineRule="auto"/>
              <w:ind w:left="15"/>
              <w:rPr>
                <w:color w:val="auto"/>
                <w:spacing w:val="-2"/>
                <w:sz w:val="16"/>
                <w:szCs w:val="16"/>
                <w:highlight w:val="none"/>
              </w:rPr>
            </w:pPr>
            <w:r>
              <w:rPr>
                <w:color w:val="auto"/>
                <w:spacing w:val="-2"/>
                <w:sz w:val="16"/>
                <w:szCs w:val="16"/>
                <w:highlight w:val="none"/>
              </w:rPr>
              <w:t>300 万元以 下</w:t>
            </w:r>
          </w:p>
        </w:tc>
      </w:tr>
      <w:tr w14:paraId="3BC28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4A7E435F">
            <w:pPr>
              <w:pStyle w:val="27"/>
              <w:spacing w:before="253" w:line="224" w:lineRule="auto"/>
              <w:ind w:left="15"/>
              <w:rPr>
                <w:color w:val="auto"/>
                <w:spacing w:val="-2"/>
                <w:sz w:val="16"/>
                <w:szCs w:val="16"/>
                <w:highlight w:val="none"/>
              </w:rPr>
            </w:pPr>
            <w:r>
              <w:rPr>
                <w:color w:val="auto"/>
                <w:spacing w:val="-2"/>
                <w:sz w:val="16"/>
                <w:szCs w:val="16"/>
                <w:highlight w:val="none"/>
              </w:rPr>
              <w:t>批发业</w:t>
            </w:r>
          </w:p>
        </w:tc>
        <w:tc>
          <w:tcPr>
            <w:tcW w:w="760" w:type="dxa"/>
            <w:vAlign w:val="top"/>
          </w:tcPr>
          <w:p w14:paraId="03AAA3C7">
            <w:pPr>
              <w:pStyle w:val="27"/>
              <w:spacing w:before="253" w:line="224" w:lineRule="auto"/>
              <w:ind w:left="15"/>
              <w:rPr>
                <w:color w:val="auto"/>
                <w:spacing w:val="-2"/>
                <w:sz w:val="16"/>
                <w:szCs w:val="16"/>
                <w:highlight w:val="none"/>
              </w:rPr>
            </w:pPr>
            <w:r>
              <w:rPr>
                <w:color w:val="auto"/>
                <w:spacing w:val="-2"/>
                <w:sz w:val="16"/>
                <w:szCs w:val="16"/>
                <w:highlight w:val="none"/>
              </w:rPr>
              <w:t>200 人以 下</w:t>
            </w:r>
          </w:p>
        </w:tc>
        <w:tc>
          <w:tcPr>
            <w:tcW w:w="861" w:type="dxa"/>
            <w:vAlign w:val="top"/>
          </w:tcPr>
          <w:p w14:paraId="072B66EF">
            <w:pPr>
              <w:pStyle w:val="27"/>
              <w:spacing w:before="253" w:line="224" w:lineRule="auto"/>
              <w:ind w:left="15"/>
              <w:rPr>
                <w:color w:val="auto"/>
                <w:spacing w:val="-2"/>
                <w:sz w:val="16"/>
                <w:szCs w:val="16"/>
                <w:highlight w:val="none"/>
              </w:rPr>
            </w:pPr>
            <w:r>
              <w:rPr>
                <w:color w:val="auto"/>
                <w:spacing w:val="-2"/>
                <w:sz w:val="16"/>
                <w:szCs w:val="16"/>
                <w:highlight w:val="none"/>
              </w:rPr>
              <w:t>40000 万元 以下</w:t>
            </w:r>
          </w:p>
        </w:tc>
        <w:tc>
          <w:tcPr>
            <w:tcW w:w="686" w:type="dxa"/>
            <w:vAlign w:val="top"/>
          </w:tcPr>
          <w:p w14:paraId="56AC67AC">
            <w:pPr>
              <w:pStyle w:val="27"/>
              <w:spacing w:before="253" w:line="224" w:lineRule="auto"/>
              <w:ind w:left="15"/>
              <w:rPr>
                <w:color w:val="auto"/>
                <w:spacing w:val="-2"/>
                <w:sz w:val="16"/>
                <w:szCs w:val="16"/>
                <w:highlight w:val="none"/>
              </w:rPr>
            </w:pPr>
          </w:p>
        </w:tc>
        <w:tc>
          <w:tcPr>
            <w:tcW w:w="709" w:type="dxa"/>
            <w:vAlign w:val="top"/>
          </w:tcPr>
          <w:p w14:paraId="4328683A">
            <w:pPr>
              <w:pStyle w:val="27"/>
              <w:spacing w:before="253" w:line="224" w:lineRule="auto"/>
              <w:ind w:left="15"/>
              <w:rPr>
                <w:color w:val="auto"/>
                <w:spacing w:val="-2"/>
                <w:sz w:val="16"/>
                <w:szCs w:val="16"/>
                <w:highlight w:val="none"/>
              </w:rPr>
            </w:pPr>
            <w:r>
              <w:rPr>
                <w:color w:val="auto"/>
                <w:spacing w:val="-2"/>
                <w:sz w:val="16"/>
                <w:szCs w:val="16"/>
                <w:highlight w:val="none"/>
              </w:rPr>
              <w:t>20 人及以 上</w:t>
            </w:r>
          </w:p>
        </w:tc>
        <w:tc>
          <w:tcPr>
            <w:tcW w:w="900" w:type="dxa"/>
            <w:vAlign w:val="top"/>
          </w:tcPr>
          <w:p w14:paraId="56AC7D32">
            <w:pPr>
              <w:pStyle w:val="27"/>
              <w:spacing w:before="253" w:line="224" w:lineRule="auto"/>
              <w:ind w:left="15"/>
              <w:rPr>
                <w:color w:val="auto"/>
                <w:spacing w:val="-2"/>
                <w:sz w:val="16"/>
                <w:szCs w:val="16"/>
                <w:highlight w:val="none"/>
              </w:rPr>
            </w:pPr>
            <w:r>
              <w:rPr>
                <w:color w:val="auto"/>
                <w:spacing w:val="-2"/>
                <w:sz w:val="16"/>
                <w:szCs w:val="16"/>
                <w:highlight w:val="none"/>
              </w:rPr>
              <w:t>5000 万元及 以上</w:t>
            </w:r>
          </w:p>
        </w:tc>
        <w:tc>
          <w:tcPr>
            <w:tcW w:w="764" w:type="dxa"/>
            <w:vAlign w:val="top"/>
          </w:tcPr>
          <w:p w14:paraId="1122DD33">
            <w:pPr>
              <w:pStyle w:val="27"/>
              <w:spacing w:before="253" w:line="224" w:lineRule="auto"/>
              <w:ind w:left="15"/>
              <w:rPr>
                <w:color w:val="auto"/>
                <w:spacing w:val="-2"/>
                <w:sz w:val="16"/>
                <w:szCs w:val="16"/>
                <w:highlight w:val="none"/>
              </w:rPr>
            </w:pPr>
          </w:p>
        </w:tc>
        <w:tc>
          <w:tcPr>
            <w:tcW w:w="640" w:type="dxa"/>
            <w:vAlign w:val="top"/>
          </w:tcPr>
          <w:p w14:paraId="51318A72">
            <w:pPr>
              <w:pStyle w:val="27"/>
              <w:spacing w:before="253" w:line="224" w:lineRule="auto"/>
              <w:ind w:left="15"/>
              <w:rPr>
                <w:color w:val="auto"/>
                <w:spacing w:val="-2"/>
                <w:sz w:val="16"/>
                <w:szCs w:val="16"/>
                <w:highlight w:val="none"/>
              </w:rPr>
            </w:pPr>
            <w:r>
              <w:rPr>
                <w:color w:val="auto"/>
                <w:spacing w:val="-2"/>
                <w:sz w:val="16"/>
                <w:szCs w:val="16"/>
                <w:highlight w:val="none"/>
              </w:rPr>
              <w:t>5 人及以 上</w:t>
            </w:r>
          </w:p>
        </w:tc>
        <w:tc>
          <w:tcPr>
            <w:tcW w:w="831" w:type="dxa"/>
            <w:vAlign w:val="top"/>
          </w:tcPr>
          <w:p w14:paraId="77AE4C31">
            <w:pPr>
              <w:pStyle w:val="27"/>
              <w:spacing w:before="253" w:line="224" w:lineRule="auto"/>
              <w:ind w:left="15"/>
              <w:rPr>
                <w:color w:val="auto"/>
                <w:spacing w:val="-2"/>
                <w:sz w:val="16"/>
                <w:szCs w:val="16"/>
                <w:highlight w:val="none"/>
              </w:rPr>
            </w:pPr>
            <w:r>
              <w:rPr>
                <w:color w:val="auto"/>
                <w:spacing w:val="-2"/>
                <w:sz w:val="16"/>
                <w:szCs w:val="16"/>
                <w:highlight w:val="none"/>
              </w:rPr>
              <w:t>1000 万元 及以上</w:t>
            </w:r>
          </w:p>
        </w:tc>
        <w:tc>
          <w:tcPr>
            <w:tcW w:w="738" w:type="dxa"/>
            <w:vAlign w:val="top"/>
          </w:tcPr>
          <w:p w14:paraId="6D9FB977">
            <w:pPr>
              <w:pStyle w:val="27"/>
              <w:spacing w:before="253" w:line="224" w:lineRule="auto"/>
              <w:ind w:left="15"/>
              <w:rPr>
                <w:color w:val="auto"/>
                <w:spacing w:val="-2"/>
                <w:sz w:val="16"/>
                <w:szCs w:val="16"/>
                <w:highlight w:val="none"/>
              </w:rPr>
            </w:pPr>
          </w:p>
        </w:tc>
        <w:tc>
          <w:tcPr>
            <w:tcW w:w="641" w:type="dxa"/>
            <w:vAlign w:val="top"/>
          </w:tcPr>
          <w:p w14:paraId="66E6C992">
            <w:pPr>
              <w:pStyle w:val="27"/>
              <w:spacing w:before="253" w:line="224" w:lineRule="auto"/>
              <w:ind w:left="15"/>
              <w:rPr>
                <w:color w:val="auto"/>
                <w:spacing w:val="-2"/>
                <w:sz w:val="16"/>
                <w:szCs w:val="16"/>
                <w:highlight w:val="none"/>
              </w:rPr>
            </w:pPr>
            <w:r>
              <w:rPr>
                <w:color w:val="auto"/>
                <w:spacing w:val="-2"/>
                <w:sz w:val="16"/>
                <w:szCs w:val="16"/>
                <w:highlight w:val="none"/>
              </w:rPr>
              <w:t>5 人以下</w:t>
            </w:r>
          </w:p>
        </w:tc>
        <w:tc>
          <w:tcPr>
            <w:tcW w:w="763" w:type="dxa"/>
            <w:vAlign w:val="top"/>
          </w:tcPr>
          <w:p w14:paraId="37B72B75">
            <w:pPr>
              <w:pStyle w:val="27"/>
              <w:spacing w:before="253" w:line="224" w:lineRule="auto"/>
              <w:ind w:left="15"/>
              <w:rPr>
                <w:color w:val="auto"/>
                <w:spacing w:val="-2"/>
                <w:sz w:val="16"/>
                <w:szCs w:val="16"/>
                <w:highlight w:val="none"/>
              </w:rPr>
            </w:pPr>
            <w:r>
              <w:rPr>
                <w:color w:val="auto"/>
                <w:spacing w:val="-2"/>
                <w:sz w:val="16"/>
                <w:szCs w:val="16"/>
                <w:highlight w:val="none"/>
              </w:rPr>
              <w:t>1000 万元 以下</w:t>
            </w:r>
          </w:p>
        </w:tc>
        <w:tc>
          <w:tcPr>
            <w:tcW w:w="696" w:type="dxa"/>
            <w:tcBorders>
              <w:right w:val="single" w:color="000000" w:sz="10" w:space="0"/>
            </w:tcBorders>
            <w:vAlign w:val="top"/>
          </w:tcPr>
          <w:p w14:paraId="0723699A">
            <w:pPr>
              <w:pStyle w:val="27"/>
              <w:spacing w:before="253" w:line="224" w:lineRule="auto"/>
              <w:ind w:left="15"/>
              <w:rPr>
                <w:color w:val="auto"/>
                <w:spacing w:val="-2"/>
                <w:sz w:val="16"/>
                <w:szCs w:val="16"/>
                <w:highlight w:val="none"/>
              </w:rPr>
            </w:pPr>
          </w:p>
        </w:tc>
      </w:tr>
      <w:tr w14:paraId="2B1F2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61" w:type="dxa"/>
            <w:tcBorders>
              <w:left w:val="single" w:color="000000" w:sz="10" w:space="0"/>
            </w:tcBorders>
            <w:vAlign w:val="top"/>
          </w:tcPr>
          <w:p w14:paraId="0D1E44EF">
            <w:pPr>
              <w:pStyle w:val="27"/>
              <w:spacing w:before="253" w:line="224" w:lineRule="auto"/>
              <w:ind w:left="15"/>
              <w:rPr>
                <w:color w:val="auto"/>
                <w:spacing w:val="-2"/>
                <w:sz w:val="16"/>
                <w:szCs w:val="16"/>
                <w:highlight w:val="none"/>
              </w:rPr>
            </w:pPr>
            <w:r>
              <w:rPr>
                <w:color w:val="auto"/>
                <w:spacing w:val="-2"/>
                <w:sz w:val="16"/>
                <w:szCs w:val="16"/>
                <w:highlight w:val="none"/>
              </w:rPr>
              <w:t>零售业</w:t>
            </w:r>
          </w:p>
        </w:tc>
        <w:tc>
          <w:tcPr>
            <w:tcW w:w="760" w:type="dxa"/>
            <w:vAlign w:val="top"/>
          </w:tcPr>
          <w:p w14:paraId="3BDE1BF5">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vAlign w:val="top"/>
          </w:tcPr>
          <w:p w14:paraId="2920A7BF">
            <w:pPr>
              <w:pStyle w:val="27"/>
              <w:spacing w:before="253" w:line="224" w:lineRule="auto"/>
              <w:ind w:left="15"/>
              <w:rPr>
                <w:color w:val="auto"/>
                <w:spacing w:val="-2"/>
                <w:sz w:val="16"/>
                <w:szCs w:val="16"/>
                <w:highlight w:val="none"/>
              </w:rPr>
            </w:pPr>
            <w:r>
              <w:rPr>
                <w:color w:val="auto"/>
                <w:spacing w:val="-2"/>
                <w:sz w:val="16"/>
                <w:szCs w:val="16"/>
                <w:highlight w:val="none"/>
              </w:rPr>
              <w:t>20000 万元 以下</w:t>
            </w:r>
          </w:p>
        </w:tc>
        <w:tc>
          <w:tcPr>
            <w:tcW w:w="686" w:type="dxa"/>
            <w:vAlign w:val="top"/>
          </w:tcPr>
          <w:p w14:paraId="7A2612F2">
            <w:pPr>
              <w:pStyle w:val="27"/>
              <w:spacing w:before="253" w:line="224" w:lineRule="auto"/>
              <w:ind w:left="15"/>
              <w:rPr>
                <w:color w:val="auto"/>
                <w:spacing w:val="-2"/>
                <w:sz w:val="16"/>
                <w:szCs w:val="16"/>
                <w:highlight w:val="none"/>
              </w:rPr>
            </w:pPr>
          </w:p>
        </w:tc>
        <w:tc>
          <w:tcPr>
            <w:tcW w:w="709" w:type="dxa"/>
            <w:vAlign w:val="top"/>
          </w:tcPr>
          <w:p w14:paraId="6F0B101F">
            <w:pPr>
              <w:pStyle w:val="27"/>
              <w:spacing w:before="253" w:line="224" w:lineRule="auto"/>
              <w:ind w:left="15"/>
              <w:rPr>
                <w:color w:val="auto"/>
                <w:spacing w:val="-2"/>
                <w:sz w:val="16"/>
                <w:szCs w:val="16"/>
                <w:highlight w:val="none"/>
              </w:rPr>
            </w:pPr>
            <w:r>
              <w:rPr>
                <w:color w:val="auto"/>
                <w:spacing w:val="-2"/>
                <w:sz w:val="16"/>
                <w:szCs w:val="16"/>
                <w:highlight w:val="none"/>
              </w:rPr>
              <w:t>50 人及以 上</w:t>
            </w:r>
          </w:p>
        </w:tc>
        <w:tc>
          <w:tcPr>
            <w:tcW w:w="900" w:type="dxa"/>
            <w:vAlign w:val="top"/>
          </w:tcPr>
          <w:p w14:paraId="56E8443F">
            <w:pPr>
              <w:pStyle w:val="27"/>
              <w:spacing w:before="253" w:line="224" w:lineRule="auto"/>
              <w:ind w:left="15"/>
              <w:rPr>
                <w:color w:val="auto"/>
                <w:spacing w:val="-2"/>
                <w:sz w:val="16"/>
                <w:szCs w:val="16"/>
                <w:highlight w:val="none"/>
              </w:rPr>
            </w:pPr>
            <w:r>
              <w:rPr>
                <w:color w:val="auto"/>
                <w:spacing w:val="-2"/>
                <w:sz w:val="16"/>
                <w:szCs w:val="16"/>
                <w:highlight w:val="none"/>
              </w:rPr>
              <w:t>500 万元及 以上</w:t>
            </w:r>
          </w:p>
        </w:tc>
        <w:tc>
          <w:tcPr>
            <w:tcW w:w="764" w:type="dxa"/>
            <w:vAlign w:val="top"/>
          </w:tcPr>
          <w:p w14:paraId="74FDEBB2">
            <w:pPr>
              <w:pStyle w:val="27"/>
              <w:spacing w:before="253" w:line="224" w:lineRule="auto"/>
              <w:ind w:left="15"/>
              <w:rPr>
                <w:color w:val="auto"/>
                <w:spacing w:val="-2"/>
                <w:sz w:val="16"/>
                <w:szCs w:val="16"/>
                <w:highlight w:val="none"/>
              </w:rPr>
            </w:pPr>
          </w:p>
        </w:tc>
        <w:tc>
          <w:tcPr>
            <w:tcW w:w="640" w:type="dxa"/>
            <w:vAlign w:val="top"/>
          </w:tcPr>
          <w:p w14:paraId="74E72A8B">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78070C15">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5423ACE6">
            <w:pPr>
              <w:pStyle w:val="27"/>
              <w:spacing w:before="253" w:line="224" w:lineRule="auto"/>
              <w:ind w:left="15"/>
              <w:rPr>
                <w:color w:val="auto"/>
                <w:spacing w:val="-2"/>
                <w:sz w:val="16"/>
                <w:szCs w:val="16"/>
                <w:highlight w:val="none"/>
              </w:rPr>
            </w:pPr>
          </w:p>
        </w:tc>
        <w:tc>
          <w:tcPr>
            <w:tcW w:w="641" w:type="dxa"/>
            <w:vAlign w:val="top"/>
          </w:tcPr>
          <w:p w14:paraId="6B08BC7C">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3BE59724">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13B4793A">
            <w:pPr>
              <w:pStyle w:val="27"/>
              <w:spacing w:before="253" w:line="224" w:lineRule="auto"/>
              <w:ind w:left="15"/>
              <w:rPr>
                <w:color w:val="auto"/>
                <w:spacing w:val="-2"/>
                <w:sz w:val="16"/>
                <w:szCs w:val="16"/>
                <w:highlight w:val="none"/>
              </w:rPr>
            </w:pPr>
          </w:p>
        </w:tc>
      </w:tr>
      <w:tr w14:paraId="2D237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661" w:type="dxa"/>
            <w:tcBorders>
              <w:left w:val="single" w:color="000000" w:sz="10" w:space="0"/>
            </w:tcBorders>
            <w:vAlign w:val="top"/>
          </w:tcPr>
          <w:p w14:paraId="662C4F89">
            <w:pPr>
              <w:pStyle w:val="27"/>
              <w:spacing w:before="253" w:line="224" w:lineRule="auto"/>
              <w:ind w:left="15"/>
              <w:rPr>
                <w:color w:val="auto"/>
                <w:spacing w:val="-2"/>
                <w:sz w:val="16"/>
                <w:szCs w:val="16"/>
                <w:highlight w:val="none"/>
              </w:rPr>
            </w:pPr>
            <w:r>
              <w:rPr>
                <w:color w:val="auto"/>
                <w:spacing w:val="-2"/>
                <w:sz w:val="16"/>
                <w:szCs w:val="16"/>
                <w:highlight w:val="none"/>
              </w:rPr>
              <w:t>交通运输业（不含铁路 运输业）</w:t>
            </w:r>
          </w:p>
        </w:tc>
        <w:tc>
          <w:tcPr>
            <w:tcW w:w="760" w:type="dxa"/>
            <w:vAlign w:val="top"/>
          </w:tcPr>
          <w:p w14:paraId="5015DE49">
            <w:pPr>
              <w:pStyle w:val="27"/>
              <w:spacing w:before="253" w:line="224" w:lineRule="auto"/>
              <w:ind w:left="15"/>
              <w:rPr>
                <w:color w:val="auto"/>
                <w:spacing w:val="-2"/>
                <w:sz w:val="16"/>
                <w:szCs w:val="16"/>
                <w:highlight w:val="none"/>
              </w:rPr>
            </w:pPr>
            <w:r>
              <w:rPr>
                <w:color w:val="auto"/>
                <w:spacing w:val="-2"/>
                <w:sz w:val="16"/>
                <w:szCs w:val="16"/>
                <w:highlight w:val="none"/>
              </w:rPr>
              <w:t>1000 人以 下</w:t>
            </w:r>
          </w:p>
        </w:tc>
        <w:tc>
          <w:tcPr>
            <w:tcW w:w="861" w:type="dxa"/>
            <w:vAlign w:val="top"/>
          </w:tcPr>
          <w:p w14:paraId="2D59DAD6">
            <w:pPr>
              <w:pStyle w:val="27"/>
              <w:spacing w:before="253" w:line="224" w:lineRule="auto"/>
              <w:ind w:left="15"/>
              <w:rPr>
                <w:color w:val="auto"/>
                <w:spacing w:val="-2"/>
                <w:sz w:val="16"/>
                <w:szCs w:val="16"/>
                <w:highlight w:val="none"/>
              </w:rPr>
            </w:pPr>
            <w:r>
              <w:rPr>
                <w:color w:val="auto"/>
                <w:spacing w:val="-2"/>
                <w:sz w:val="16"/>
                <w:szCs w:val="16"/>
                <w:highlight w:val="none"/>
              </w:rPr>
              <w:t>30000 万元 以下</w:t>
            </w:r>
          </w:p>
        </w:tc>
        <w:tc>
          <w:tcPr>
            <w:tcW w:w="686" w:type="dxa"/>
            <w:vAlign w:val="top"/>
          </w:tcPr>
          <w:p w14:paraId="6FF695DF">
            <w:pPr>
              <w:pStyle w:val="27"/>
              <w:spacing w:before="253" w:line="224" w:lineRule="auto"/>
              <w:ind w:left="15"/>
              <w:rPr>
                <w:color w:val="auto"/>
                <w:spacing w:val="-2"/>
                <w:sz w:val="16"/>
                <w:szCs w:val="16"/>
                <w:highlight w:val="none"/>
              </w:rPr>
            </w:pPr>
          </w:p>
        </w:tc>
        <w:tc>
          <w:tcPr>
            <w:tcW w:w="709" w:type="dxa"/>
            <w:vAlign w:val="top"/>
          </w:tcPr>
          <w:p w14:paraId="0EC6104B">
            <w:pPr>
              <w:pStyle w:val="27"/>
              <w:spacing w:before="253" w:line="224" w:lineRule="auto"/>
              <w:ind w:left="15"/>
              <w:rPr>
                <w:color w:val="auto"/>
                <w:spacing w:val="-2"/>
                <w:sz w:val="16"/>
                <w:szCs w:val="16"/>
                <w:highlight w:val="none"/>
              </w:rPr>
            </w:pPr>
            <w:r>
              <w:rPr>
                <w:color w:val="auto"/>
                <w:spacing w:val="-2"/>
                <w:sz w:val="16"/>
                <w:szCs w:val="16"/>
                <w:highlight w:val="none"/>
              </w:rPr>
              <w:t>300 人及 以上</w:t>
            </w:r>
          </w:p>
        </w:tc>
        <w:tc>
          <w:tcPr>
            <w:tcW w:w="900" w:type="dxa"/>
            <w:vAlign w:val="top"/>
          </w:tcPr>
          <w:p w14:paraId="146ABBA2">
            <w:pPr>
              <w:pStyle w:val="27"/>
              <w:spacing w:before="253" w:line="224" w:lineRule="auto"/>
              <w:ind w:left="15"/>
              <w:rPr>
                <w:color w:val="auto"/>
                <w:spacing w:val="-2"/>
                <w:sz w:val="16"/>
                <w:szCs w:val="16"/>
                <w:highlight w:val="none"/>
              </w:rPr>
            </w:pPr>
            <w:r>
              <w:rPr>
                <w:color w:val="auto"/>
                <w:spacing w:val="-2"/>
                <w:sz w:val="16"/>
                <w:szCs w:val="16"/>
                <w:highlight w:val="none"/>
              </w:rPr>
              <w:t>3000 万元及 以上</w:t>
            </w:r>
          </w:p>
        </w:tc>
        <w:tc>
          <w:tcPr>
            <w:tcW w:w="764" w:type="dxa"/>
            <w:vAlign w:val="top"/>
          </w:tcPr>
          <w:p w14:paraId="6E3517FC">
            <w:pPr>
              <w:pStyle w:val="27"/>
              <w:spacing w:before="253" w:line="224" w:lineRule="auto"/>
              <w:ind w:left="15"/>
              <w:rPr>
                <w:color w:val="auto"/>
                <w:spacing w:val="-2"/>
                <w:sz w:val="16"/>
                <w:szCs w:val="16"/>
                <w:highlight w:val="none"/>
              </w:rPr>
            </w:pPr>
          </w:p>
        </w:tc>
        <w:tc>
          <w:tcPr>
            <w:tcW w:w="640" w:type="dxa"/>
            <w:vAlign w:val="top"/>
          </w:tcPr>
          <w:p w14:paraId="429FBA5D">
            <w:pPr>
              <w:pStyle w:val="27"/>
              <w:spacing w:before="253" w:line="224" w:lineRule="auto"/>
              <w:ind w:left="15"/>
              <w:rPr>
                <w:color w:val="auto"/>
                <w:spacing w:val="-2"/>
                <w:sz w:val="16"/>
                <w:szCs w:val="16"/>
                <w:highlight w:val="none"/>
              </w:rPr>
            </w:pPr>
            <w:r>
              <w:rPr>
                <w:color w:val="auto"/>
                <w:spacing w:val="-2"/>
                <w:sz w:val="16"/>
                <w:szCs w:val="16"/>
                <w:highlight w:val="none"/>
              </w:rPr>
              <w:t>20 人及以 上</w:t>
            </w:r>
          </w:p>
        </w:tc>
        <w:tc>
          <w:tcPr>
            <w:tcW w:w="831" w:type="dxa"/>
            <w:vAlign w:val="top"/>
          </w:tcPr>
          <w:p w14:paraId="5FBDC48F">
            <w:pPr>
              <w:pStyle w:val="27"/>
              <w:spacing w:before="253" w:line="224" w:lineRule="auto"/>
              <w:ind w:left="15"/>
              <w:rPr>
                <w:color w:val="auto"/>
                <w:spacing w:val="-2"/>
                <w:sz w:val="16"/>
                <w:szCs w:val="16"/>
                <w:highlight w:val="none"/>
              </w:rPr>
            </w:pPr>
            <w:r>
              <w:rPr>
                <w:color w:val="auto"/>
                <w:spacing w:val="-2"/>
                <w:sz w:val="16"/>
                <w:szCs w:val="16"/>
                <w:highlight w:val="none"/>
              </w:rPr>
              <w:t>200 万元 及以上</w:t>
            </w:r>
          </w:p>
        </w:tc>
        <w:tc>
          <w:tcPr>
            <w:tcW w:w="738" w:type="dxa"/>
            <w:vAlign w:val="top"/>
          </w:tcPr>
          <w:p w14:paraId="73FEEFDD">
            <w:pPr>
              <w:pStyle w:val="27"/>
              <w:spacing w:before="253" w:line="224" w:lineRule="auto"/>
              <w:ind w:left="15"/>
              <w:rPr>
                <w:color w:val="auto"/>
                <w:spacing w:val="-2"/>
                <w:sz w:val="16"/>
                <w:szCs w:val="16"/>
                <w:highlight w:val="none"/>
              </w:rPr>
            </w:pPr>
          </w:p>
        </w:tc>
        <w:tc>
          <w:tcPr>
            <w:tcW w:w="641" w:type="dxa"/>
            <w:vAlign w:val="top"/>
          </w:tcPr>
          <w:p w14:paraId="65B94679">
            <w:pPr>
              <w:pStyle w:val="27"/>
              <w:spacing w:before="253" w:line="224" w:lineRule="auto"/>
              <w:ind w:left="15"/>
              <w:rPr>
                <w:color w:val="auto"/>
                <w:spacing w:val="-2"/>
                <w:sz w:val="16"/>
                <w:szCs w:val="16"/>
                <w:highlight w:val="none"/>
              </w:rPr>
            </w:pPr>
            <w:r>
              <w:rPr>
                <w:color w:val="auto"/>
                <w:spacing w:val="-2"/>
                <w:sz w:val="16"/>
                <w:szCs w:val="16"/>
                <w:highlight w:val="none"/>
              </w:rPr>
              <w:t>20 人以下</w:t>
            </w:r>
          </w:p>
        </w:tc>
        <w:tc>
          <w:tcPr>
            <w:tcW w:w="763" w:type="dxa"/>
            <w:vAlign w:val="top"/>
          </w:tcPr>
          <w:p w14:paraId="72ACE874">
            <w:pPr>
              <w:pStyle w:val="27"/>
              <w:spacing w:before="253" w:line="224" w:lineRule="auto"/>
              <w:ind w:left="15"/>
              <w:rPr>
                <w:color w:val="auto"/>
                <w:spacing w:val="-2"/>
                <w:sz w:val="16"/>
                <w:szCs w:val="16"/>
                <w:highlight w:val="none"/>
              </w:rPr>
            </w:pPr>
            <w:r>
              <w:rPr>
                <w:color w:val="auto"/>
                <w:spacing w:val="-2"/>
                <w:sz w:val="16"/>
                <w:szCs w:val="16"/>
                <w:highlight w:val="none"/>
              </w:rPr>
              <w:t>200 万元 以下</w:t>
            </w:r>
          </w:p>
        </w:tc>
        <w:tc>
          <w:tcPr>
            <w:tcW w:w="696" w:type="dxa"/>
            <w:tcBorders>
              <w:right w:val="single" w:color="000000" w:sz="10" w:space="0"/>
            </w:tcBorders>
            <w:vAlign w:val="top"/>
          </w:tcPr>
          <w:p w14:paraId="08E8D8AF">
            <w:pPr>
              <w:pStyle w:val="27"/>
              <w:spacing w:before="253" w:line="224" w:lineRule="auto"/>
              <w:ind w:left="15"/>
              <w:rPr>
                <w:color w:val="auto"/>
                <w:spacing w:val="-2"/>
                <w:sz w:val="16"/>
                <w:szCs w:val="16"/>
                <w:highlight w:val="none"/>
              </w:rPr>
            </w:pPr>
          </w:p>
        </w:tc>
      </w:tr>
      <w:tr w14:paraId="699F9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661" w:type="dxa"/>
            <w:tcBorders>
              <w:left w:val="single" w:color="000000" w:sz="10" w:space="0"/>
            </w:tcBorders>
            <w:vAlign w:val="top"/>
          </w:tcPr>
          <w:p w14:paraId="61ADB88C">
            <w:pPr>
              <w:pStyle w:val="27"/>
              <w:spacing w:before="253" w:line="224" w:lineRule="auto"/>
              <w:ind w:left="15"/>
              <w:rPr>
                <w:color w:val="auto"/>
                <w:spacing w:val="-2"/>
                <w:sz w:val="16"/>
                <w:szCs w:val="16"/>
                <w:highlight w:val="none"/>
              </w:rPr>
            </w:pPr>
            <w:r>
              <w:rPr>
                <w:color w:val="auto"/>
                <w:spacing w:val="-2"/>
                <w:sz w:val="16"/>
                <w:szCs w:val="16"/>
                <w:highlight w:val="none"/>
              </w:rPr>
              <w:t>仓储业</w:t>
            </w:r>
          </w:p>
        </w:tc>
        <w:tc>
          <w:tcPr>
            <w:tcW w:w="760" w:type="dxa"/>
            <w:vAlign w:val="top"/>
          </w:tcPr>
          <w:p w14:paraId="3026E0CD">
            <w:pPr>
              <w:pStyle w:val="27"/>
              <w:spacing w:before="253" w:line="224" w:lineRule="auto"/>
              <w:ind w:left="15"/>
              <w:rPr>
                <w:color w:val="auto"/>
                <w:spacing w:val="-2"/>
                <w:sz w:val="16"/>
                <w:szCs w:val="16"/>
                <w:highlight w:val="none"/>
              </w:rPr>
            </w:pPr>
            <w:r>
              <w:rPr>
                <w:color w:val="auto"/>
                <w:spacing w:val="-2"/>
                <w:sz w:val="16"/>
                <w:szCs w:val="16"/>
                <w:highlight w:val="none"/>
              </w:rPr>
              <w:t>200 人以 下</w:t>
            </w:r>
          </w:p>
        </w:tc>
        <w:tc>
          <w:tcPr>
            <w:tcW w:w="861" w:type="dxa"/>
            <w:vAlign w:val="top"/>
          </w:tcPr>
          <w:p w14:paraId="27EDD418">
            <w:pPr>
              <w:pStyle w:val="27"/>
              <w:spacing w:before="253" w:line="224" w:lineRule="auto"/>
              <w:ind w:left="15"/>
              <w:rPr>
                <w:color w:val="auto"/>
                <w:spacing w:val="-2"/>
                <w:sz w:val="16"/>
                <w:szCs w:val="16"/>
                <w:highlight w:val="none"/>
              </w:rPr>
            </w:pPr>
            <w:r>
              <w:rPr>
                <w:color w:val="auto"/>
                <w:spacing w:val="-2"/>
                <w:sz w:val="16"/>
                <w:szCs w:val="16"/>
                <w:highlight w:val="none"/>
              </w:rPr>
              <w:t>30000 万元 以下</w:t>
            </w:r>
          </w:p>
        </w:tc>
        <w:tc>
          <w:tcPr>
            <w:tcW w:w="686" w:type="dxa"/>
            <w:vAlign w:val="top"/>
          </w:tcPr>
          <w:p w14:paraId="100FAB9B">
            <w:pPr>
              <w:pStyle w:val="27"/>
              <w:spacing w:before="253" w:line="224" w:lineRule="auto"/>
              <w:ind w:left="15"/>
              <w:rPr>
                <w:color w:val="auto"/>
                <w:spacing w:val="-2"/>
                <w:sz w:val="16"/>
                <w:szCs w:val="16"/>
                <w:highlight w:val="none"/>
              </w:rPr>
            </w:pPr>
          </w:p>
        </w:tc>
        <w:tc>
          <w:tcPr>
            <w:tcW w:w="709" w:type="dxa"/>
            <w:vAlign w:val="top"/>
          </w:tcPr>
          <w:p w14:paraId="5FA37395">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3AC1104C">
            <w:pPr>
              <w:pStyle w:val="27"/>
              <w:spacing w:before="253" w:line="224" w:lineRule="auto"/>
              <w:ind w:left="15"/>
              <w:rPr>
                <w:color w:val="auto"/>
                <w:spacing w:val="-2"/>
                <w:sz w:val="16"/>
                <w:szCs w:val="16"/>
                <w:highlight w:val="none"/>
              </w:rPr>
            </w:pPr>
            <w:r>
              <w:rPr>
                <w:color w:val="auto"/>
                <w:spacing w:val="-2"/>
                <w:sz w:val="16"/>
                <w:szCs w:val="16"/>
                <w:highlight w:val="none"/>
              </w:rPr>
              <w:t>1000 万元及 以上</w:t>
            </w:r>
          </w:p>
        </w:tc>
        <w:tc>
          <w:tcPr>
            <w:tcW w:w="764" w:type="dxa"/>
            <w:vAlign w:val="top"/>
          </w:tcPr>
          <w:p w14:paraId="2D9FE80E">
            <w:pPr>
              <w:pStyle w:val="27"/>
              <w:spacing w:before="253" w:line="224" w:lineRule="auto"/>
              <w:ind w:left="15"/>
              <w:rPr>
                <w:color w:val="auto"/>
                <w:spacing w:val="-2"/>
                <w:sz w:val="16"/>
                <w:szCs w:val="16"/>
                <w:highlight w:val="none"/>
              </w:rPr>
            </w:pPr>
          </w:p>
        </w:tc>
        <w:tc>
          <w:tcPr>
            <w:tcW w:w="640" w:type="dxa"/>
            <w:vAlign w:val="top"/>
          </w:tcPr>
          <w:p w14:paraId="09C7420D">
            <w:pPr>
              <w:pStyle w:val="27"/>
              <w:spacing w:before="253" w:line="224" w:lineRule="auto"/>
              <w:ind w:left="15"/>
              <w:rPr>
                <w:color w:val="auto"/>
                <w:spacing w:val="-2"/>
                <w:sz w:val="16"/>
                <w:szCs w:val="16"/>
                <w:highlight w:val="none"/>
              </w:rPr>
            </w:pPr>
            <w:r>
              <w:rPr>
                <w:color w:val="auto"/>
                <w:spacing w:val="-2"/>
                <w:sz w:val="16"/>
                <w:szCs w:val="16"/>
                <w:highlight w:val="none"/>
              </w:rPr>
              <w:t>20 人及以 上</w:t>
            </w:r>
          </w:p>
        </w:tc>
        <w:tc>
          <w:tcPr>
            <w:tcW w:w="831" w:type="dxa"/>
            <w:vAlign w:val="top"/>
          </w:tcPr>
          <w:p w14:paraId="0FF47628">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702356DD">
            <w:pPr>
              <w:pStyle w:val="27"/>
              <w:spacing w:before="253" w:line="224" w:lineRule="auto"/>
              <w:ind w:left="15"/>
              <w:rPr>
                <w:color w:val="auto"/>
                <w:spacing w:val="-2"/>
                <w:sz w:val="16"/>
                <w:szCs w:val="16"/>
                <w:highlight w:val="none"/>
              </w:rPr>
            </w:pPr>
          </w:p>
        </w:tc>
        <w:tc>
          <w:tcPr>
            <w:tcW w:w="641" w:type="dxa"/>
            <w:vAlign w:val="top"/>
          </w:tcPr>
          <w:p w14:paraId="37AC9322">
            <w:pPr>
              <w:pStyle w:val="27"/>
              <w:spacing w:before="253" w:line="224" w:lineRule="auto"/>
              <w:ind w:left="15"/>
              <w:rPr>
                <w:color w:val="auto"/>
                <w:spacing w:val="-2"/>
                <w:sz w:val="16"/>
                <w:szCs w:val="16"/>
                <w:highlight w:val="none"/>
              </w:rPr>
            </w:pPr>
            <w:r>
              <w:rPr>
                <w:color w:val="auto"/>
                <w:spacing w:val="-2"/>
                <w:sz w:val="16"/>
                <w:szCs w:val="16"/>
                <w:highlight w:val="none"/>
              </w:rPr>
              <w:t>20 人以下</w:t>
            </w:r>
          </w:p>
        </w:tc>
        <w:tc>
          <w:tcPr>
            <w:tcW w:w="763" w:type="dxa"/>
            <w:vAlign w:val="top"/>
          </w:tcPr>
          <w:p w14:paraId="6F27BB6A">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27203E11">
            <w:pPr>
              <w:pStyle w:val="27"/>
              <w:spacing w:before="253" w:line="224" w:lineRule="auto"/>
              <w:ind w:left="15"/>
              <w:rPr>
                <w:color w:val="auto"/>
                <w:spacing w:val="-2"/>
                <w:sz w:val="16"/>
                <w:szCs w:val="16"/>
                <w:highlight w:val="none"/>
              </w:rPr>
            </w:pPr>
          </w:p>
        </w:tc>
      </w:tr>
      <w:tr w14:paraId="0D4AF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1DF2A49D">
            <w:pPr>
              <w:pStyle w:val="27"/>
              <w:spacing w:before="253" w:line="224" w:lineRule="auto"/>
              <w:ind w:left="15"/>
              <w:rPr>
                <w:color w:val="auto"/>
                <w:spacing w:val="-2"/>
                <w:sz w:val="16"/>
                <w:szCs w:val="16"/>
                <w:highlight w:val="none"/>
              </w:rPr>
            </w:pPr>
            <w:r>
              <w:rPr>
                <w:color w:val="auto"/>
                <w:spacing w:val="-2"/>
                <w:sz w:val="16"/>
                <w:szCs w:val="16"/>
                <w:highlight w:val="none"/>
              </w:rPr>
              <w:t>邮政业</w:t>
            </w:r>
          </w:p>
        </w:tc>
        <w:tc>
          <w:tcPr>
            <w:tcW w:w="760" w:type="dxa"/>
            <w:vAlign w:val="top"/>
          </w:tcPr>
          <w:p w14:paraId="16085E68">
            <w:pPr>
              <w:pStyle w:val="27"/>
              <w:spacing w:before="253" w:line="224" w:lineRule="auto"/>
              <w:ind w:left="15"/>
              <w:rPr>
                <w:color w:val="auto"/>
                <w:spacing w:val="-2"/>
                <w:sz w:val="16"/>
                <w:szCs w:val="16"/>
                <w:highlight w:val="none"/>
              </w:rPr>
            </w:pPr>
            <w:r>
              <w:rPr>
                <w:color w:val="auto"/>
                <w:spacing w:val="-2"/>
                <w:sz w:val="16"/>
                <w:szCs w:val="16"/>
                <w:highlight w:val="none"/>
              </w:rPr>
              <w:t>1000 人以 下</w:t>
            </w:r>
          </w:p>
        </w:tc>
        <w:tc>
          <w:tcPr>
            <w:tcW w:w="861" w:type="dxa"/>
            <w:vAlign w:val="top"/>
          </w:tcPr>
          <w:p w14:paraId="09BB5BE7">
            <w:pPr>
              <w:pStyle w:val="27"/>
              <w:spacing w:before="253" w:line="224" w:lineRule="auto"/>
              <w:ind w:left="15"/>
              <w:rPr>
                <w:color w:val="auto"/>
                <w:spacing w:val="-2"/>
                <w:sz w:val="16"/>
                <w:szCs w:val="16"/>
                <w:highlight w:val="none"/>
              </w:rPr>
            </w:pPr>
            <w:r>
              <w:rPr>
                <w:color w:val="auto"/>
                <w:spacing w:val="-2"/>
                <w:sz w:val="16"/>
                <w:szCs w:val="16"/>
                <w:highlight w:val="none"/>
              </w:rPr>
              <w:t>30000 万元 以下</w:t>
            </w:r>
          </w:p>
        </w:tc>
        <w:tc>
          <w:tcPr>
            <w:tcW w:w="686" w:type="dxa"/>
            <w:vAlign w:val="top"/>
          </w:tcPr>
          <w:p w14:paraId="204C2D1F">
            <w:pPr>
              <w:pStyle w:val="27"/>
              <w:spacing w:before="253" w:line="224" w:lineRule="auto"/>
              <w:ind w:left="15"/>
              <w:rPr>
                <w:color w:val="auto"/>
                <w:spacing w:val="-2"/>
                <w:sz w:val="16"/>
                <w:szCs w:val="16"/>
                <w:highlight w:val="none"/>
              </w:rPr>
            </w:pPr>
          </w:p>
        </w:tc>
        <w:tc>
          <w:tcPr>
            <w:tcW w:w="709" w:type="dxa"/>
            <w:vAlign w:val="top"/>
          </w:tcPr>
          <w:p w14:paraId="79D28D79">
            <w:pPr>
              <w:pStyle w:val="27"/>
              <w:spacing w:before="253" w:line="224" w:lineRule="auto"/>
              <w:ind w:left="15"/>
              <w:rPr>
                <w:color w:val="auto"/>
                <w:spacing w:val="-2"/>
                <w:sz w:val="16"/>
                <w:szCs w:val="16"/>
                <w:highlight w:val="none"/>
              </w:rPr>
            </w:pPr>
            <w:r>
              <w:rPr>
                <w:color w:val="auto"/>
                <w:spacing w:val="-2"/>
                <w:sz w:val="16"/>
                <w:szCs w:val="16"/>
                <w:highlight w:val="none"/>
              </w:rPr>
              <w:t>300 人及 以上</w:t>
            </w:r>
          </w:p>
        </w:tc>
        <w:tc>
          <w:tcPr>
            <w:tcW w:w="900" w:type="dxa"/>
            <w:vAlign w:val="top"/>
          </w:tcPr>
          <w:p w14:paraId="6A4A45A6">
            <w:pPr>
              <w:pStyle w:val="27"/>
              <w:spacing w:before="253" w:line="224" w:lineRule="auto"/>
              <w:ind w:left="15"/>
              <w:rPr>
                <w:color w:val="auto"/>
                <w:spacing w:val="-2"/>
                <w:sz w:val="16"/>
                <w:szCs w:val="16"/>
                <w:highlight w:val="none"/>
              </w:rPr>
            </w:pPr>
            <w:r>
              <w:rPr>
                <w:color w:val="auto"/>
                <w:spacing w:val="-2"/>
                <w:sz w:val="16"/>
                <w:szCs w:val="16"/>
                <w:highlight w:val="none"/>
              </w:rPr>
              <w:t>2000 万元及 以上</w:t>
            </w:r>
          </w:p>
        </w:tc>
        <w:tc>
          <w:tcPr>
            <w:tcW w:w="764" w:type="dxa"/>
            <w:vAlign w:val="top"/>
          </w:tcPr>
          <w:p w14:paraId="2FB94DC4">
            <w:pPr>
              <w:pStyle w:val="27"/>
              <w:spacing w:before="253" w:line="224" w:lineRule="auto"/>
              <w:ind w:left="15"/>
              <w:rPr>
                <w:color w:val="auto"/>
                <w:spacing w:val="-2"/>
                <w:sz w:val="16"/>
                <w:szCs w:val="16"/>
                <w:highlight w:val="none"/>
              </w:rPr>
            </w:pPr>
          </w:p>
        </w:tc>
        <w:tc>
          <w:tcPr>
            <w:tcW w:w="640" w:type="dxa"/>
            <w:vAlign w:val="top"/>
          </w:tcPr>
          <w:p w14:paraId="5C182409">
            <w:pPr>
              <w:pStyle w:val="27"/>
              <w:spacing w:before="253" w:line="224" w:lineRule="auto"/>
              <w:ind w:left="15"/>
              <w:rPr>
                <w:color w:val="auto"/>
                <w:spacing w:val="-2"/>
                <w:sz w:val="16"/>
                <w:szCs w:val="16"/>
                <w:highlight w:val="none"/>
              </w:rPr>
            </w:pPr>
            <w:r>
              <w:rPr>
                <w:color w:val="auto"/>
                <w:spacing w:val="-2"/>
                <w:sz w:val="16"/>
                <w:szCs w:val="16"/>
                <w:highlight w:val="none"/>
              </w:rPr>
              <w:t>20 人及以 上</w:t>
            </w:r>
          </w:p>
        </w:tc>
        <w:tc>
          <w:tcPr>
            <w:tcW w:w="831" w:type="dxa"/>
            <w:vAlign w:val="top"/>
          </w:tcPr>
          <w:p w14:paraId="1BCDAC83">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3C7A3186">
            <w:pPr>
              <w:pStyle w:val="27"/>
              <w:spacing w:before="253" w:line="224" w:lineRule="auto"/>
              <w:ind w:left="15"/>
              <w:rPr>
                <w:color w:val="auto"/>
                <w:spacing w:val="-2"/>
                <w:sz w:val="16"/>
                <w:szCs w:val="16"/>
                <w:highlight w:val="none"/>
              </w:rPr>
            </w:pPr>
          </w:p>
        </w:tc>
        <w:tc>
          <w:tcPr>
            <w:tcW w:w="641" w:type="dxa"/>
            <w:vAlign w:val="top"/>
          </w:tcPr>
          <w:p w14:paraId="6365DA80">
            <w:pPr>
              <w:pStyle w:val="27"/>
              <w:spacing w:before="253" w:line="224" w:lineRule="auto"/>
              <w:ind w:left="15"/>
              <w:rPr>
                <w:color w:val="auto"/>
                <w:spacing w:val="-2"/>
                <w:sz w:val="16"/>
                <w:szCs w:val="16"/>
                <w:highlight w:val="none"/>
              </w:rPr>
            </w:pPr>
            <w:r>
              <w:rPr>
                <w:color w:val="auto"/>
                <w:spacing w:val="-2"/>
                <w:sz w:val="16"/>
                <w:szCs w:val="16"/>
                <w:highlight w:val="none"/>
              </w:rPr>
              <w:t>20 人以下</w:t>
            </w:r>
          </w:p>
        </w:tc>
        <w:tc>
          <w:tcPr>
            <w:tcW w:w="763" w:type="dxa"/>
            <w:vAlign w:val="top"/>
          </w:tcPr>
          <w:p w14:paraId="4BD7A818">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4BEC9FF0">
            <w:pPr>
              <w:pStyle w:val="27"/>
              <w:spacing w:before="253" w:line="224" w:lineRule="auto"/>
              <w:ind w:left="15"/>
              <w:rPr>
                <w:color w:val="auto"/>
                <w:spacing w:val="-2"/>
                <w:sz w:val="16"/>
                <w:szCs w:val="16"/>
                <w:highlight w:val="none"/>
              </w:rPr>
            </w:pPr>
          </w:p>
        </w:tc>
      </w:tr>
      <w:tr w14:paraId="315B0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661" w:type="dxa"/>
            <w:tcBorders>
              <w:left w:val="single" w:color="000000" w:sz="10" w:space="0"/>
            </w:tcBorders>
            <w:vAlign w:val="top"/>
          </w:tcPr>
          <w:p w14:paraId="05009EB2">
            <w:pPr>
              <w:pStyle w:val="27"/>
              <w:spacing w:before="253" w:line="224" w:lineRule="auto"/>
              <w:ind w:left="15"/>
              <w:rPr>
                <w:color w:val="auto"/>
                <w:spacing w:val="-2"/>
                <w:sz w:val="16"/>
                <w:szCs w:val="16"/>
                <w:highlight w:val="none"/>
              </w:rPr>
            </w:pPr>
            <w:r>
              <w:rPr>
                <w:color w:val="auto"/>
                <w:spacing w:val="-2"/>
                <w:sz w:val="16"/>
                <w:szCs w:val="16"/>
                <w:highlight w:val="none"/>
              </w:rPr>
              <w:t>住宿业</w:t>
            </w:r>
          </w:p>
        </w:tc>
        <w:tc>
          <w:tcPr>
            <w:tcW w:w="760" w:type="dxa"/>
            <w:vAlign w:val="top"/>
          </w:tcPr>
          <w:p w14:paraId="3A06E067">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vAlign w:val="top"/>
          </w:tcPr>
          <w:p w14:paraId="65FECDFD">
            <w:pPr>
              <w:pStyle w:val="27"/>
              <w:spacing w:before="253" w:line="224" w:lineRule="auto"/>
              <w:ind w:left="15"/>
              <w:rPr>
                <w:color w:val="auto"/>
                <w:spacing w:val="-2"/>
                <w:sz w:val="16"/>
                <w:szCs w:val="16"/>
                <w:highlight w:val="none"/>
              </w:rPr>
            </w:pPr>
            <w:r>
              <w:rPr>
                <w:color w:val="auto"/>
                <w:spacing w:val="-2"/>
                <w:sz w:val="16"/>
                <w:szCs w:val="16"/>
                <w:highlight w:val="none"/>
              </w:rPr>
              <w:t>10000 万元 以下</w:t>
            </w:r>
          </w:p>
        </w:tc>
        <w:tc>
          <w:tcPr>
            <w:tcW w:w="686" w:type="dxa"/>
            <w:vAlign w:val="top"/>
          </w:tcPr>
          <w:p w14:paraId="1F59F8F4">
            <w:pPr>
              <w:pStyle w:val="27"/>
              <w:spacing w:before="253" w:line="224" w:lineRule="auto"/>
              <w:ind w:left="15"/>
              <w:rPr>
                <w:color w:val="auto"/>
                <w:spacing w:val="-2"/>
                <w:sz w:val="16"/>
                <w:szCs w:val="16"/>
                <w:highlight w:val="none"/>
              </w:rPr>
            </w:pPr>
          </w:p>
        </w:tc>
        <w:tc>
          <w:tcPr>
            <w:tcW w:w="709" w:type="dxa"/>
            <w:vAlign w:val="top"/>
          </w:tcPr>
          <w:p w14:paraId="3D968DEE">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0CFED574">
            <w:pPr>
              <w:pStyle w:val="27"/>
              <w:spacing w:before="253" w:line="224" w:lineRule="auto"/>
              <w:ind w:left="15"/>
              <w:rPr>
                <w:color w:val="auto"/>
                <w:spacing w:val="-2"/>
                <w:sz w:val="16"/>
                <w:szCs w:val="16"/>
                <w:highlight w:val="none"/>
              </w:rPr>
            </w:pPr>
            <w:r>
              <w:rPr>
                <w:color w:val="auto"/>
                <w:spacing w:val="-2"/>
                <w:sz w:val="16"/>
                <w:szCs w:val="16"/>
                <w:highlight w:val="none"/>
              </w:rPr>
              <w:t>2000 万元及 以上</w:t>
            </w:r>
          </w:p>
        </w:tc>
        <w:tc>
          <w:tcPr>
            <w:tcW w:w="764" w:type="dxa"/>
            <w:vAlign w:val="top"/>
          </w:tcPr>
          <w:p w14:paraId="6BD27314">
            <w:pPr>
              <w:pStyle w:val="27"/>
              <w:spacing w:before="253" w:line="224" w:lineRule="auto"/>
              <w:ind w:left="15"/>
              <w:rPr>
                <w:color w:val="auto"/>
                <w:spacing w:val="-2"/>
                <w:sz w:val="16"/>
                <w:szCs w:val="16"/>
                <w:highlight w:val="none"/>
              </w:rPr>
            </w:pPr>
          </w:p>
        </w:tc>
        <w:tc>
          <w:tcPr>
            <w:tcW w:w="640" w:type="dxa"/>
            <w:vAlign w:val="top"/>
          </w:tcPr>
          <w:p w14:paraId="7587560B">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056E546A">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3502FBB1">
            <w:pPr>
              <w:pStyle w:val="27"/>
              <w:spacing w:before="253" w:line="224" w:lineRule="auto"/>
              <w:ind w:left="15"/>
              <w:rPr>
                <w:color w:val="auto"/>
                <w:spacing w:val="-2"/>
                <w:sz w:val="16"/>
                <w:szCs w:val="16"/>
                <w:highlight w:val="none"/>
              </w:rPr>
            </w:pPr>
          </w:p>
        </w:tc>
        <w:tc>
          <w:tcPr>
            <w:tcW w:w="641" w:type="dxa"/>
            <w:vAlign w:val="top"/>
          </w:tcPr>
          <w:p w14:paraId="076D1C38">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0FF30EF1">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54147E81">
            <w:pPr>
              <w:pStyle w:val="27"/>
              <w:spacing w:before="253" w:line="224" w:lineRule="auto"/>
              <w:ind w:left="15"/>
              <w:rPr>
                <w:color w:val="auto"/>
                <w:spacing w:val="-2"/>
                <w:sz w:val="16"/>
                <w:szCs w:val="16"/>
                <w:highlight w:val="none"/>
              </w:rPr>
            </w:pPr>
          </w:p>
        </w:tc>
      </w:tr>
      <w:tr w14:paraId="30239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661" w:type="dxa"/>
            <w:tcBorders>
              <w:left w:val="single" w:color="000000" w:sz="10" w:space="0"/>
            </w:tcBorders>
            <w:vAlign w:val="top"/>
          </w:tcPr>
          <w:p w14:paraId="6BC63FD0">
            <w:pPr>
              <w:pStyle w:val="27"/>
              <w:spacing w:before="253" w:line="224" w:lineRule="auto"/>
              <w:ind w:left="15"/>
              <w:rPr>
                <w:color w:val="auto"/>
                <w:spacing w:val="-2"/>
                <w:sz w:val="16"/>
                <w:szCs w:val="16"/>
                <w:highlight w:val="none"/>
              </w:rPr>
            </w:pPr>
            <w:r>
              <w:rPr>
                <w:color w:val="auto"/>
                <w:spacing w:val="-2"/>
                <w:sz w:val="16"/>
                <w:szCs w:val="16"/>
                <w:highlight w:val="none"/>
              </w:rPr>
              <w:t>餐饮业</w:t>
            </w:r>
          </w:p>
        </w:tc>
        <w:tc>
          <w:tcPr>
            <w:tcW w:w="760" w:type="dxa"/>
            <w:vAlign w:val="top"/>
          </w:tcPr>
          <w:p w14:paraId="7E394C99">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vAlign w:val="top"/>
          </w:tcPr>
          <w:p w14:paraId="7D961F7D">
            <w:pPr>
              <w:pStyle w:val="27"/>
              <w:spacing w:before="253" w:line="224" w:lineRule="auto"/>
              <w:ind w:left="15"/>
              <w:rPr>
                <w:color w:val="auto"/>
                <w:spacing w:val="-2"/>
                <w:sz w:val="16"/>
                <w:szCs w:val="16"/>
                <w:highlight w:val="none"/>
              </w:rPr>
            </w:pPr>
            <w:r>
              <w:rPr>
                <w:color w:val="auto"/>
                <w:spacing w:val="-2"/>
                <w:sz w:val="16"/>
                <w:szCs w:val="16"/>
                <w:highlight w:val="none"/>
              </w:rPr>
              <w:t>10000 万元 以下</w:t>
            </w:r>
          </w:p>
        </w:tc>
        <w:tc>
          <w:tcPr>
            <w:tcW w:w="686" w:type="dxa"/>
            <w:vAlign w:val="top"/>
          </w:tcPr>
          <w:p w14:paraId="0055760F">
            <w:pPr>
              <w:pStyle w:val="27"/>
              <w:spacing w:before="253" w:line="224" w:lineRule="auto"/>
              <w:ind w:left="15"/>
              <w:rPr>
                <w:color w:val="auto"/>
                <w:spacing w:val="-2"/>
                <w:sz w:val="16"/>
                <w:szCs w:val="16"/>
                <w:highlight w:val="none"/>
              </w:rPr>
            </w:pPr>
          </w:p>
        </w:tc>
        <w:tc>
          <w:tcPr>
            <w:tcW w:w="709" w:type="dxa"/>
            <w:vAlign w:val="top"/>
          </w:tcPr>
          <w:p w14:paraId="29C88919">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2B6DFFF4">
            <w:pPr>
              <w:pStyle w:val="27"/>
              <w:spacing w:before="253" w:line="224" w:lineRule="auto"/>
              <w:ind w:left="15"/>
              <w:rPr>
                <w:color w:val="auto"/>
                <w:spacing w:val="-2"/>
                <w:sz w:val="16"/>
                <w:szCs w:val="16"/>
                <w:highlight w:val="none"/>
              </w:rPr>
            </w:pPr>
            <w:r>
              <w:rPr>
                <w:color w:val="auto"/>
                <w:spacing w:val="-2"/>
                <w:sz w:val="16"/>
                <w:szCs w:val="16"/>
                <w:highlight w:val="none"/>
              </w:rPr>
              <w:t>2000 万元及 以上</w:t>
            </w:r>
          </w:p>
        </w:tc>
        <w:tc>
          <w:tcPr>
            <w:tcW w:w="764" w:type="dxa"/>
            <w:vAlign w:val="top"/>
          </w:tcPr>
          <w:p w14:paraId="292AC47D">
            <w:pPr>
              <w:pStyle w:val="27"/>
              <w:spacing w:before="253" w:line="224" w:lineRule="auto"/>
              <w:ind w:left="15"/>
              <w:rPr>
                <w:color w:val="auto"/>
                <w:spacing w:val="-2"/>
                <w:sz w:val="16"/>
                <w:szCs w:val="16"/>
                <w:highlight w:val="none"/>
              </w:rPr>
            </w:pPr>
          </w:p>
        </w:tc>
        <w:tc>
          <w:tcPr>
            <w:tcW w:w="640" w:type="dxa"/>
            <w:vAlign w:val="top"/>
          </w:tcPr>
          <w:p w14:paraId="1D7532C5">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67BC7E17">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31BF324D">
            <w:pPr>
              <w:pStyle w:val="27"/>
              <w:spacing w:before="253" w:line="224" w:lineRule="auto"/>
              <w:ind w:left="15"/>
              <w:rPr>
                <w:color w:val="auto"/>
                <w:spacing w:val="-2"/>
                <w:sz w:val="16"/>
                <w:szCs w:val="16"/>
                <w:highlight w:val="none"/>
              </w:rPr>
            </w:pPr>
          </w:p>
        </w:tc>
        <w:tc>
          <w:tcPr>
            <w:tcW w:w="641" w:type="dxa"/>
            <w:vAlign w:val="top"/>
          </w:tcPr>
          <w:p w14:paraId="0E92E8F0">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3C9B6803">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53E13100">
            <w:pPr>
              <w:pStyle w:val="27"/>
              <w:spacing w:before="253" w:line="224" w:lineRule="auto"/>
              <w:ind w:left="15"/>
              <w:rPr>
                <w:color w:val="auto"/>
                <w:spacing w:val="-2"/>
                <w:sz w:val="16"/>
                <w:szCs w:val="16"/>
                <w:highlight w:val="none"/>
              </w:rPr>
            </w:pPr>
          </w:p>
        </w:tc>
      </w:tr>
      <w:tr w14:paraId="1FDF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07DBC701">
            <w:pPr>
              <w:pStyle w:val="27"/>
              <w:spacing w:before="253" w:line="224" w:lineRule="auto"/>
              <w:ind w:left="15"/>
              <w:rPr>
                <w:color w:val="auto"/>
                <w:spacing w:val="-2"/>
                <w:sz w:val="16"/>
                <w:szCs w:val="16"/>
                <w:highlight w:val="none"/>
              </w:rPr>
            </w:pPr>
            <w:r>
              <w:rPr>
                <w:color w:val="auto"/>
                <w:spacing w:val="-2"/>
                <w:sz w:val="16"/>
                <w:szCs w:val="16"/>
                <w:highlight w:val="none"/>
              </w:rPr>
              <w:t>信息传输业（包括电信、 互联网和相关服务）</w:t>
            </w:r>
          </w:p>
        </w:tc>
        <w:tc>
          <w:tcPr>
            <w:tcW w:w="760" w:type="dxa"/>
            <w:vAlign w:val="top"/>
          </w:tcPr>
          <w:p w14:paraId="45EFAA38">
            <w:pPr>
              <w:pStyle w:val="27"/>
              <w:spacing w:before="253" w:line="224" w:lineRule="auto"/>
              <w:ind w:left="15"/>
              <w:rPr>
                <w:color w:val="auto"/>
                <w:spacing w:val="-2"/>
                <w:sz w:val="16"/>
                <w:szCs w:val="16"/>
                <w:highlight w:val="none"/>
              </w:rPr>
            </w:pPr>
            <w:r>
              <w:rPr>
                <w:color w:val="auto"/>
                <w:spacing w:val="-2"/>
                <w:sz w:val="16"/>
                <w:szCs w:val="16"/>
                <w:highlight w:val="none"/>
              </w:rPr>
              <w:t>2000 人以 下</w:t>
            </w:r>
          </w:p>
        </w:tc>
        <w:tc>
          <w:tcPr>
            <w:tcW w:w="861" w:type="dxa"/>
            <w:vAlign w:val="top"/>
          </w:tcPr>
          <w:p w14:paraId="7347AFF9">
            <w:pPr>
              <w:pStyle w:val="27"/>
              <w:spacing w:before="253" w:line="224" w:lineRule="auto"/>
              <w:ind w:left="15"/>
              <w:rPr>
                <w:color w:val="auto"/>
                <w:spacing w:val="-2"/>
                <w:sz w:val="16"/>
                <w:szCs w:val="16"/>
                <w:highlight w:val="none"/>
              </w:rPr>
            </w:pPr>
            <w:r>
              <w:rPr>
                <w:color w:val="auto"/>
                <w:spacing w:val="-2"/>
                <w:sz w:val="16"/>
                <w:szCs w:val="16"/>
                <w:highlight w:val="none"/>
              </w:rPr>
              <w:t>100000 万元 以下</w:t>
            </w:r>
          </w:p>
        </w:tc>
        <w:tc>
          <w:tcPr>
            <w:tcW w:w="686" w:type="dxa"/>
            <w:vAlign w:val="top"/>
          </w:tcPr>
          <w:p w14:paraId="1645EFA8">
            <w:pPr>
              <w:pStyle w:val="27"/>
              <w:spacing w:before="253" w:line="224" w:lineRule="auto"/>
              <w:ind w:left="15"/>
              <w:rPr>
                <w:color w:val="auto"/>
                <w:spacing w:val="-2"/>
                <w:sz w:val="16"/>
                <w:szCs w:val="16"/>
                <w:highlight w:val="none"/>
              </w:rPr>
            </w:pPr>
          </w:p>
        </w:tc>
        <w:tc>
          <w:tcPr>
            <w:tcW w:w="709" w:type="dxa"/>
            <w:vAlign w:val="top"/>
          </w:tcPr>
          <w:p w14:paraId="5F494021">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0B2156F6">
            <w:pPr>
              <w:pStyle w:val="27"/>
              <w:spacing w:before="253" w:line="224" w:lineRule="auto"/>
              <w:ind w:left="15"/>
              <w:rPr>
                <w:color w:val="auto"/>
                <w:spacing w:val="-2"/>
                <w:sz w:val="16"/>
                <w:szCs w:val="16"/>
                <w:highlight w:val="none"/>
              </w:rPr>
            </w:pPr>
            <w:r>
              <w:rPr>
                <w:color w:val="auto"/>
                <w:spacing w:val="-2"/>
                <w:sz w:val="16"/>
                <w:szCs w:val="16"/>
                <w:highlight w:val="none"/>
              </w:rPr>
              <w:t>1000 万元及 以上</w:t>
            </w:r>
          </w:p>
        </w:tc>
        <w:tc>
          <w:tcPr>
            <w:tcW w:w="764" w:type="dxa"/>
            <w:vAlign w:val="top"/>
          </w:tcPr>
          <w:p w14:paraId="001708FE">
            <w:pPr>
              <w:pStyle w:val="27"/>
              <w:spacing w:before="253" w:line="224" w:lineRule="auto"/>
              <w:ind w:left="15"/>
              <w:rPr>
                <w:color w:val="auto"/>
                <w:spacing w:val="-2"/>
                <w:sz w:val="16"/>
                <w:szCs w:val="16"/>
                <w:highlight w:val="none"/>
              </w:rPr>
            </w:pPr>
          </w:p>
        </w:tc>
        <w:tc>
          <w:tcPr>
            <w:tcW w:w="640" w:type="dxa"/>
            <w:vAlign w:val="top"/>
          </w:tcPr>
          <w:p w14:paraId="046C17D6">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6DA89639">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3BDE2D0C">
            <w:pPr>
              <w:pStyle w:val="27"/>
              <w:spacing w:before="253" w:line="224" w:lineRule="auto"/>
              <w:ind w:left="15"/>
              <w:rPr>
                <w:color w:val="auto"/>
                <w:spacing w:val="-2"/>
                <w:sz w:val="16"/>
                <w:szCs w:val="16"/>
                <w:highlight w:val="none"/>
              </w:rPr>
            </w:pPr>
          </w:p>
        </w:tc>
        <w:tc>
          <w:tcPr>
            <w:tcW w:w="641" w:type="dxa"/>
            <w:vAlign w:val="top"/>
          </w:tcPr>
          <w:p w14:paraId="35D394FC">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4458D044">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0DA367A9">
            <w:pPr>
              <w:pStyle w:val="27"/>
              <w:spacing w:before="253" w:line="224" w:lineRule="auto"/>
              <w:ind w:left="15"/>
              <w:rPr>
                <w:color w:val="auto"/>
                <w:spacing w:val="-2"/>
                <w:sz w:val="16"/>
                <w:szCs w:val="16"/>
                <w:highlight w:val="none"/>
              </w:rPr>
            </w:pPr>
          </w:p>
        </w:tc>
      </w:tr>
      <w:tr w14:paraId="0B6BE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661" w:type="dxa"/>
            <w:tcBorders>
              <w:left w:val="single" w:color="000000" w:sz="10" w:space="0"/>
            </w:tcBorders>
            <w:vAlign w:val="top"/>
          </w:tcPr>
          <w:p w14:paraId="4C841585">
            <w:pPr>
              <w:pStyle w:val="27"/>
              <w:spacing w:before="253" w:line="224" w:lineRule="auto"/>
              <w:ind w:left="15"/>
              <w:rPr>
                <w:color w:val="auto"/>
                <w:spacing w:val="-2"/>
                <w:sz w:val="16"/>
                <w:szCs w:val="16"/>
                <w:highlight w:val="none"/>
              </w:rPr>
            </w:pPr>
            <w:r>
              <w:rPr>
                <w:color w:val="auto"/>
                <w:spacing w:val="-2"/>
                <w:sz w:val="16"/>
                <w:szCs w:val="16"/>
                <w:highlight w:val="none"/>
              </w:rPr>
              <w:t>软件和信息技术服务业</w:t>
            </w:r>
          </w:p>
        </w:tc>
        <w:tc>
          <w:tcPr>
            <w:tcW w:w="760" w:type="dxa"/>
            <w:vAlign w:val="top"/>
          </w:tcPr>
          <w:p w14:paraId="2286BD61">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vAlign w:val="top"/>
          </w:tcPr>
          <w:p w14:paraId="087E9034">
            <w:pPr>
              <w:pStyle w:val="27"/>
              <w:spacing w:before="253" w:line="224" w:lineRule="auto"/>
              <w:ind w:left="15"/>
              <w:rPr>
                <w:color w:val="auto"/>
                <w:spacing w:val="-2"/>
                <w:sz w:val="16"/>
                <w:szCs w:val="16"/>
                <w:highlight w:val="none"/>
              </w:rPr>
            </w:pPr>
            <w:r>
              <w:rPr>
                <w:color w:val="auto"/>
                <w:spacing w:val="-2"/>
                <w:sz w:val="16"/>
                <w:szCs w:val="16"/>
                <w:highlight w:val="none"/>
              </w:rPr>
              <w:t>10000 万元 以下</w:t>
            </w:r>
          </w:p>
        </w:tc>
        <w:tc>
          <w:tcPr>
            <w:tcW w:w="686" w:type="dxa"/>
            <w:vAlign w:val="top"/>
          </w:tcPr>
          <w:p w14:paraId="078660A8">
            <w:pPr>
              <w:pStyle w:val="27"/>
              <w:spacing w:before="253" w:line="224" w:lineRule="auto"/>
              <w:ind w:left="15"/>
              <w:rPr>
                <w:color w:val="auto"/>
                <w:spacing w:val="-2"/>
                <w:sz w:val="16"/>
                <w:szCs w:val="16"/>
                <w:highlight w:val="none"/>
              </w:rPr>
            </w:pPr>
          </w:p>
        </w:tc>
        <w:tc>
          <w:tcPr>
            <w:tcW w:w="709" w:type="dxa"/>
            <w:vAlign w:val="top"/>
          </w:tcPr>
          <w:p w14:paraId="38376C15">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1D2E612D">
            <w:pPr>
              <w:pStyle w:val="27"/>
              <w:spacing w:before="253" w:line="224" w:lineRule="auto"/>
              <w:ind w:left="15"/>
              <w:rPr>
                <w:color w:val="auto"/>
                <w:spacing w:val="-2"/>
                <w:sz w:val="16"/>
                <w:szCs w:val="16"/>
                <w:highlight w:val="none"/>
              </w:rPr>
            </w:pPr>
            <w:r>
              <w:rPr>
                <w:color w:val="auto"/>
                <w:spacing w:val="-2"/>
                <w:sz w:val="16"/>
                <w:szCs w:val="16"/>
                <w:highlight w:val="none"/>
              </w:rPr>
              <w:t>1000 万元及 以上</w:t>
            </w:r>
          </w:p>
        </w:tc>
        <w:tc>
          <w:tcPr>
            <w:tcW w:w="764" w:type="dxa"/>
            <w:vAlign w:val="top"/>
          </w:tcPr>
          <w:p w14:paraId="0D5682FF">
            <w:pPr>
              <w:pStyle w:val="27"/>
              <w:spacing w:before="253" w:line="224" w:lineRule="auto"/>
              <w:ind w:left="15"/>
              <w:rPr>
                <w:color w:val="auto"/>
                <w:spacing w:val="-2"/>
                <w:sz w:val="16"/>
                <w:szCs w:val="16"/>
                <w:highlight w:val="none"/>
              </w:rPr>
            </w:pPr>
          </w:p>
        </w:tc>
        <w:tc>
          <w:tcPr>
            <w:tcW w:w="640" w:type="dxa"/>
            <w:vAlign w:val="top"/>
          </w:tcPr>
          <w:p w14:paraId="704EAB67">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64B4EABF">
            <w:pPr>
              <w:pStyle w:val="27"/>
              <w:spacing w:before="253" w:line="224" w:lineRule="auto"/>
              <w:ind w:left="15"/>
              <w:rPr>
                <w:color w:val="auto"/>
                <w:spacing w:val="-2"/>
                <w:sz w:val="16"/>
                <w:szCs w:val="16"/>
                <w:highlight w:val="none"/>
              </w:rPr>
            </w:pPr>
            <w:r>
              <w:rPr>
                <w:color w:val="auto"/>
                <w:spacing w:val="-2"/>
                <w:sz w:val="16"/>
                <w:szCs w:val="16"/>
                <w:highlight w:val="none"/>
              </w:rPr>
              <w:t>50 万元及 以上</w:t>
            </w:r>
          </w:p>
        </w:tc>
        <w:tc>
          <w:tcPr>
            <w:tcW w:w="738" w:type="dxa"/>
            <w:vAlign w:val="top"/>
          </w:tcPr>
          <w:p w14:paraId="771CD272">
            <w:pPr>
              <w:pStyle w:val="27"/>
              <w:spacing w:before="253" w:line="224" w:lineRule="auto"/>
              <w:ind w:left="15"/>
              <w:rPr>
                <w:color w:val="auto"/>
                <w:spacing w:val="-2"/>
                <w:sz w:val="16"/>
                <w:szCs w:val="16"/>
                <w:highlight w:val="none"/>
              </w:rPr>
            </w:pPr>
          </w:p>
        </w:tc>
        <w:tc>
          <w:tcPr>
            <w:tcW w:w="641" w:type="dxa"/>
            <w:vAlign w:val="top"/>
          </w:tcPr>
          <w:p w14:paraId="65917798">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680D8671">
            <w:pPr>
              <w:pStyle w:val="27"/>
              <w:spacing w:before="253" w:line="224" w:lineRule="auto"/>
              <w:ind w:left="15"/>
              <w:rPr>
                <w:color w:val="auto"/>
                <w:spacing w:val="-2"/>
                <w:sz w:val="16"/>
                <w:szCs w:val="16"/>
                <w:highlight w:val="none"/>
              </w:rPr>
            </w:pPr>
            <w:r>
              <w:rPr>
                <w:color w:val="auto"/>
                <w:spacing w:val="-2"/>
                <w:sz w:val="16"/>
                <w:szCs w:val="16"/>
                <w:highlight w:val="none"/>
              </w:rPr>
              <w:t>50 万元以 下</w:t>
            </w:r>
          </w:p>
        </w:tc>
        <w:tc>
          <w:tcPr>
            <w:tcW w:w="696" w:type="dxa"/>
            <w:tcBorders>
              <w:right w:val="single" w:color="000000" w:sz="10" w:space="0"/>
            </w:tcBorders>
            <w:vAlign w:val="top"/>
          </w:tcPr>
          <w:p w14:paraId="55248F98">
            <w:pPr>
              <w:pStyle w:val="27"/>
              <w:spacing w:before="253" w:line="224" w:lineRule="auto"/>
              <w:ind w:left="15"/>
              <w:rPr>
                <w:color w:val="auto"/>
                <w:spacing w:val="-2"/>
                <w:sz w:val="16"/>
                <w:szCs w:val="16"/>
                <w:highlight w:val="none"/>
              </w:rPr>
            </w:pPr>
          </w:p>
        </w:tc>
      </w:tr>
      <w:tr w14:paraId="32661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5D250891">
            <w:pPr>
              <w:pStyle w:val="27"/>
              <w:spacing w:before="253" w:line="224" w:lineRule="auto"/>
              <w:ind w:left="15"/>
              <w:rPr>
                <w:color w:val="auto"/>
                <w:spacing w:val="-2"/>
                <w:sz w:val="16"/>
                <w:szCs w:val="16"/>
                <w:highlight w:val="none"/>
              </w:rPr>
            </w:pPr>
            <w:r>
              <w:rPr>
                <w:color w:val="auto"/>
                <w:spacing w:val="-2"/>
                <w:sz w:val="16"/>
                <w:szCs w:val="16"/>
                <w:highlight w:val="none"/>
              </w:rPr>
              <w:t>房地产开发经营</w:t>
            </w:r>
          </w:p>
        </w:tc>
        <w:tc>
          <w:tcPr>
            <w:tcW w:w="760" w:type="dxa"/>
            <w:vAlign w:val="top"/>
          </w:tcPr>
          <w:p w14:paraId="1FF1A8FC">
            <w:pPr>
              <w:pStyle w:val="27"/>
              <w:spacing w:before="253" w:line="224" w:lineRule="auto"/>
              <w:ind w:left="15"/>
              <w:rPr>
                <w:color w:val="auto"/>
                <w:spacing w:val="-2"/>
                <w:sz w:val="16"/>
                <w:szCs w:val="16"/>
                <w:highlight w:val="none"/>
              </w:rPr>
            </w:pPr>
            <w:r>
              <w:rPr>
                <w:color w:val="auto"/>
                <w:spacing w:val="-2"/>
                <w:sz w:val="16"/>
                <w:szCs w:val="16"/>
                <w:highlight w:val="none"/>
              </w:rPr>
              <w:t>200000 万 元以下</w:t>
            </w:r>
          </w:p>
        </w:tc>
        <w:tc>
          <w:tcPr>
            <w:tcW w:w="861" w:type="dxa"/>
            <w:vAlign w:val="top"/>
          </w:tcPr>
          <w:p w14:paraId="7D6BE3DE">
            <w:pPr>
              <w:pStyle w:val="27"/>
              <w:spacing w:before="253" w:line="224" w:lineRule="auto"/>
              <w:ind w:left="15"/>
              <w:rPr>
                <w:color w:val="auto"/>
                <w:spacing w:val="-2"/>
                <w:sz w:val="16"/>
                <w:szCs w:val="16"/>
                <w:highlight w:val="none"/>
              </w:rPr>
            </w:pPr>
            <w:r>
              <w:rPr>
                <w:color w:val="auto"/>
                <w:spacing w:val="-2"/>
                <w:sz w:val="16"/>
                <w:szCs w:val="16"/>
                <w:highlight w:val="none"/>
              </w:rPr>
              <w:t>10000 万元 以下</w:t>
            </w:r>
          </w:p>
        </w:tc>
        <w:tc>
          <w:tcPr>
            <w:tcW w:w="686" w:type="dxa"/>
            <w:vAlign w:val="top"/>
          </w:tcPr>
          <w:p w14:paraId="2F4B1A6C">
            <w:pPr>
              <w:pStyle w:val="27"/>
              <w:spacing w:before="253" w:line="224" w:lineRule="auto"/>
              <w:ind w:left="15"/>
              <w:rPr>
                <w:color w:val="auto"/>
                <w:spacing w:val="-2"/>
                <w:sz w:val="16"/>
                <w:szCs w:val="16"/>
                <w:highlight w:val="none"/>
              </w:rPr>
            </w:pPr>
          </w:p>
        </w:tc>
        <w:tc>
          <w:tcPr>
            <w:tcW w:w="709" w:type="dxa"/>
            <w:vAlign w:val="top"/>
          </w:tcPr>
          <w:p w14:paraId="4EF71FB7">
            <w:pPr>
              <w:pStyle w:val="27"/>
              <w:spacing w:before="253" w:line="224" w:lineRule="auto"/>
              <w:ind w:left="15"/>
              <w:rPr>
                <w:color w:val="auto"/>
                <w:spacing w:val="-2"/>
                <w:sz w:val="16"/>
                <w:szCs w:val="16"/>
                <w:highlight w:val="none"/>
              </w:rPr>
            </w:pPr>
          </w:p>
        </w:tc>
        <w:tc>
          <w:tcPr>
            <w:tcW w:w="900" w:type="dxa"/>
            <w:vAlign w:val="top"/>
          </w:tcPr>
          <w:p w14:paraId="46943A46">
            <w:pPr>
              <w:pStyle w:val="27"/>
              <w:spacing w:before="253" w:line="224" w:lineRule="auto"/>
              <w:ind w:left="15"/>
              <w:rPr>
                <w:color w:val="auto"/>
                <w:spacing w:val="-2"/>
                <w:sz w:val="16"/>
                <w:szCs w:val="16"/>
                <w:highlight w:val="none"/>
              </w:rPr>
            </w:pPr>
            <w:r>
              <w:rPr>
                <w:color w:val="auto"/>
                <w:spacing w:val="-2"/>
                <w:sz w:val="16"/>
                <w:szCs w:val="16"/>
                <w:highlight w:val="none"/>
              </w:rPr>
              <w:t>1000 万元及 以上</w:t>
            </w:r>
          </w:p>
        </w:tc>
        <w:tc>
          <w:tcPr>
            <w:tcW w:w="764" w:type="dxa"/>
            <w:vAlign w:val="top"/>
          </w:tcPr>
          <w:p w14:paraId="12FAEDE2">
            <w:pPr>
              <w:pStyle w:val="27"/>
              <w:spacing w:before="253" w:line="224" w:lineRule="auto"/>
              <w:ind w:left="15"/>
              <w:rPr>
                <w:color w:val="auto"/>
                <w:spacing w:val="-2"/>
                <w:sz w:val="16"/>
                <w:szCs w:val="16"/>
                <w:highlight w:val="none"/>
              </w:rPr>
            </w:pPr>
            <w:r>
              <w:rPr>
                <w:color w:val="auto"/>
                <w:spacing w:val="-2"/>
                <w:sz w:val="16"/>
                <w:szCs w:val="16"/>
                <w:highlight w:val="none"/>
              </w:rPr>
              <w:t>5000 万元 及以上</w:t>
            </w:r>
          </w:p>
        </w:tc>
        <w:tc>
          <w:tcPr>
            <w:tcW w:w="640" w:type="dxa"/>
            <w:vAlign w:val="top"/>
          </w:tcPr>
          <w:p w14:paraId="3D606896">
            <w:pPr>
              <w:pStyle w:val="27"/>
              <w:spacing w:before="253" w:line="224" w:lineRule="auto"/>
              <w:ind w:left="15"/>
              <w:rPr>
                <w:color w:val="auto"/>
                <w:spacing w:val="-2"/>
                <w:sz w:val="16"/>
                <w:szCs w:val="16"/>
                <w:highlight w:val="none"/>
              </w:rPr>
            </w:pPr>
          </w:p>
        </w:tc>
        <w:tc>
          <w:tcPr>
            <w:tcW w:w="831" w:type="dxa"/>
            <w:vAlign w:val="top"/>
          </w:tcPr>
          <w:p w14:paraId="08AAAF90">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738" w:type="dxa"/>
            <w:vAlign w:val="top"/>
          </w:tcPr>
          <w:p w14:paraId="72C58912">
            <w:pPr>
              <w:pStyle w:val="27"/>
              <w:spacing w:before="253" w:line="224" w:lineRule="auto"/>
              <w:ind w:left="15"/>
              <w:rPr>
                <w:color w:val="auto"/>
                <w:spacing w:val="-2"/>
                <w:sz w:val="16"/>
                <w:szCs w:val="16"/>
                <w:highlight w:val="none"/>
              </w:rPr>
            </w:pPr>
            <w:r>
              <w:rPr>
                <w:color w:val="auto"/>
                <w:spacing w:val="-2"/>
                <w:sz w:val="16"/>
                <w:szCs w:val="16"/>
                <w:highlight w:val="none"/>
              </w:rPr>
              <w:t>2000 万  元及以上</w:t>
            </w:r>
          </w:p>
        </w:tc>
        <w:tc>
          <w:tcPr>
            <w:tcW w:w="641" w:type="dxa"/>
            <w:vAlign w:val="top"/>
          </w:tcPr>
          <w:p w14:paraId="02B00E34">
            <w:pPr>
              <w:pStyle w:val="27"/>
              <w:spacing w:before="253" w:line="224" w:lineRule="auto"/>
              <w:ind w:left="15"/>
              <w:rPr>
                <w:color w:val="auto"/>
                <w:spacing w:val="-2"/>
                <w:sz w:val="16"/>
                <w:szCs w:val="16"/>
                <w:highlight w:val="none"/>
              </w:rPr>
            </w:pPr>
          </w:p>
        </w:tc>
        <w:tc>
          <w:tcPr>
            <w:tcW w:w="763" w:type="dxa"/>
            <w:vAlign w:val="top"/>
          </w:tcPr>
          <w:p w14:paraId="45C638DE">
            <w:pPr>
              <w:pStyle w:val="27"/>
              <w:spacing w:before="253" w:line="224" w:lineRule="auto"/>
              <w:ind w:left="15"/>
              <w:rPr>
                <w:color w:val="auto"/>
                <w:spacing w:val="-2"/>
                <w:sz w:val="16"/>
                <w:szCs w:val="16"/>
                <w:highlight w:val="none"/>
              </w:rPr>
            </w:pPr>
            <w:r>
              <w:rPr>
                <w:color w:val="auto"/>
                <w:spacing w:val="-2"/>
                <w:sz w:val="16"/>
                <w:szCs w:val="16"/>
                <w:highlight w:val="none"/>
              </w:rPr>
              <w:t>100 万元 以下</w:t>
            </w:r>
          </w:p>
        </w:tc>
        <w:tc>
          <w:tcPr>
            <w:tcW w:w="696" w:type="dxa"/>
            <w:tcBorders>
              <w:right w:val="single" w:color="000000" w:sz="10" w:space="0"/>
            </w:tcBorders>
            <w:vAlign w:val="top"/>
          </w:tcPr>
          <w:p w14:paraId="795BCA8A">
            <w:pPr>
              <w:pStyle w:val="27"/>
              <w:spacing w:before="253" w:line="224" w:lineRule="auto"/>
              <w:ind w:left="15"/>
              <w:rPr>
                <w:color w:val="auto"/>
                <w:spacing w:val="-2"/>
                <w:sz w:val="16"/>
                <w:szCs w:val="16"/>
                <w:highlight w:val="none"/>
              </w:rPr>
            </w:pPr>
            <w:r>
              <w:rPr>
                <w:color w:val="auto"/>
                <w:spacing w:val="-2"/>
                <w:sz w:val="16"/>
                <w:szCs w:val="16"/>
                <w:highlight w:val="none"/>
              </w:rPr>
              <w:t>2000 万元 以下</w:t>
            </w:r>
          </w:p>
        </w:tc>
      </w:tr>
      <w:tr w14:paraId="001D7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661" w:type="dxa"/>
            <w:tcBorders>
              <w:left w:val="single" w:color="000000" w:sz="10" w:space="0"/>
            </w:tcBorders>
            <w:vAlign w:val="top"/>
          </w:tcPr>
          <w:p w14:paraId="7F36A106">
            <w:pPr>
              <w:pStyle w:val="27"/>
              <w:spacing w:before="253" w:line="224" w:lineRule="auto"/>
              <w:ind w:left="15"/>
              <w:rPr>
                <w:color w:val="auto"/>
                <w:spacing w:val="-2"/>
                <w:sz w:val="16"/>
                <w:szCs w:val="16"/>
                <w:highlight w:val="none"/>
              </w:rPr>
            </w:pPr>
            <w:r>
              <w:rPr>
                <w:color w:val="auto"/>
                <w:spacing w:val="-2"/>
                <w:sz w:val="16"/>
                <w:szCs w:val="16"/>
                <w:highlight w:val="none"/>
              </w:rPr>
              <w:t>物业管理</w:t>
            </w:r>
          </w:p>
        </w:tc>
        <w:tc>
          <w:tcPr>
            <w:tcW w:w="760" w:type="dxa"/>
            <w:vAlign w:val="top"/>
          </w:tcPr>
          <w:p w14:paraId="4750F88D">
            <w:pPr>
              <w:pStyle w:val="27"/>
              <w:spacing w:before="253" w:line="224" w:lineRule="auto"/>
              <w:ind w:left="15"/>
              <w:rPr>
                <w:color w:val="auto"/>
                <w:spacing w:val="-2"/>
                <w:sz w:val="16"/>
                <w:szCs w:val="16"/>
                <w:highlight w:val="none"/>
              </w:rPr>
            </w:pPr>
            <w:r>
              <w:rPr>
                <w:color w:val="auto"/>
                <w:spacing w:val="-2"/>
                <w:sz w:val="16"/>
                <w:szCs w:val="16"/>
                <w:highlight w:val="none"/>
              </w:rPr>
              <w:t>1000 人以 下</w:t>
            </w:r>
          </w:p>
        </w:tc>
        <w:tc>
          <w:tcPr>
            <w:tcW w:w="861" w:type="dxa"/>
            <w:vAlign w:val="top"/>
          </w:tcPr>
          <w:p w14:paraId="26DB9F81">
            <w:pPr>
              <w:pStyle w:val="27"/>
              <w:spacing w:before="253" w:line="224" w:lineRule="auto"/>
              <w:ind w:left="15"/>
              <w:rPr>
                <w:color w:val="auto"/>
                <w:spacing w:val="-2"/>
                <w:sz w:val="16"/>
                <w:szCs w:val="16"/>
                <w:highlight w:val="none"/>
              </w:rPr>
            </w:pPr>
            <w:r>
              <w:rPr>
                <w:color w:val="auto"/>
                <w:spacing w:val="-2"/>
                <w:sz w:val="16"/>
                <w:szCs w:val="16"/>
                <w:highlight w:val="none"/>
              </w:rPr>
              <w:t>5000 万元以 下</w:t>
            </w:r>
          </w:p>
        </w:tc>
        <w:tc>
          <w:tcPr>
            <w:tcW w:w="686" w:type="dxa"/>
            <w:vAlign w:val="top"/>
          </w:tcPr>
          <w:p w14:paraId="6299D85C">
            <w:pPr>
              <w:pStyle w:val="27"/>
              <w:spacing w:before="253" w:line="224" w:lineRule="auto"/>
              <w:ind w:left="15"/>
              <w:rPr>
                <w:color w:val="auto"/>
                <w:spacing w:val="-2"/>
                <w:sz w:val="16"/>
                <w:szCs w:val="16"/>
                <w:highlight w:val="none"/>
              </w:rPr>
            </w:pPr>
          </w:p>
        </w:tc>
        <w:tc>
          <w:tcPr>
            <w:tcW w:w="709" w:type="dxa"/>
            <w:vAlign w:val="top"/>
          </w:tcPr>
          <w:p w14:paraId="62A6551A">
            <w:pPr>
              <w:pStyle w:val="27"/>
              <w:spacing w:before="253" w:line="224" w:lineRule="auto"/>
              <w:ind w:left="15"/>
              <w:rPr>
                <w:color w:val="auto"/>
                <w:spacing w:val="-2"/>
                <w:sz w:val="16"/>
                <w:szCs w:val="16"/>
                <w:highlight w:val="none"/>
              </w:rPr>
            </w:pPr>
            <w:r>
              <w:rPr>
                <w:color w:val="auto"/>
                <w:spacing w:val="-2"/>
                <w:sz w:val="16"/>
                <w:szCs w:val="16"/>
                <w:highlight w:val="none"/>
              </w:rPr>
              <w:t>300 人及 以上</w:t>
            </w:r>
          </w:p>
        </w:tc>
        <w:tc>
          <w:tcPr>
            <w:tcW w:w="900" w:type="dxa"/>
            <w:vAlign w:val="top"/>
          </w:tcPr>
          <w:p w14:paraId="1B6717EC">
            <w:pPr>
              <w:pStyle w:val="27"/>
              <w:spacing w:before="253" w:line="224" w:lineRule="auto"/>
              <w:ind w:left="15"/>
              <w:rPr>
                <w:color w:val="auto"/>
                <w:spacing w:val="-2"/>
                <w:sz w:val="16"/>
                <w:szCs w:val="16"/>
                <w:highlight w:val="none"/>
              </w:rPr>
            </w:pPr>
            <w:r>
              <w:rPr>
                <w:color w:val="auto"/>
                <w:spacing w:val="-2"/>
                <w:sz w:val="16"/>
                <w:szCs w:val="16"/>
                <w:highlight w:val="none"/>
              </w:rPr>
              <w:t>1000 万元及 以上</w:t>
            </w:r>
          </w:p>
        </w:tc>
        <w:tc>
          <w:tcPr>
            <w:tcW w:w="764" w:type="dxa"/>
            <w:vAlign w:val="top"/>
          </w:tcPr>
          <w:p w14:paraId="7BB6C545">
            <w:pPr>
              <w:pStyle w:val="27"/>
              <w:spacing w:before="253" w:line="224" w:lineRule="auto"/>
              <w:ind w:left="15"/>
              <w:rPr>
                <w:color w:val="auto"/>
                <w:spacing w:val="-2"/>
                <w:sz w:val="16"/>
                <w:szCs w:val="16"/>
                <w:highlight w:val="none"/>
              </w:rPr>
            </w:pPr>
          </w:p>
        </w:tc>
        <w:tc>
          <w:tcPr>
            <w:tcW w:w="640" w:type="dxa"/>
            <w:vAlign w:val="top"/>
          </w:tcPr>
          <w:p w14:paraId="2266B19B">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831" w:type="dxa"/>
            <w:vAlign w:val="top"/>
          </w:tcPr>
          <w:p w14:paraId="420351BA">
            <w:pPr>
              <w:pStyle w:val="27"/>
              <w:spacing w:before="253" w:line="224" w:lineRule="auto"/>
              <w:ind w:left="15"/>
              <w:rPr>
                <w:color w:val="auto"/>
                <w:spacing w:val="-2"/>
                <w:sz w:val="16"/>
                <w:szCs w:val="16"/>
                <w:highlight w:val="none"/>
              </w:rPr>
            </w:pPr>
            <w:r>
              <w:rPr>
                <w:color w:val="auto"/>
                <w:spacing w:val="-2"/>
                <w:sz w:val="16"/>
                <w:szCs w:val="16"/>
                <w:highlight w:val="none"/>
              </w:rPr>
              <w:t>500 万元 及以上</w:t>
            </w:r>
          </w:p>
        </w:tc>
        <w:tc>
          <w:tcPr>
            <w:tcW w:w="738" w:type="dxa"/>
            <w:vAlign w:val="top"/>
          </w:tcPr>
          <w:p w14:paraId="57A0EE7E">
            <w:pPr>
              <w:pStyle w:val="27"/>
              <w:spacing w:before="253" w:line="224" w:lineRule="auto"/>
              <w:ind w:left="15"/>
              <w:rPr>
                <w:color w:val="auto"/>
                <w:spacing w:val="-2"/>
                <w:sz w:val="16"/>
                <w:szCs w:val="16"/>
                <w:highlight w:val="none"/>
              </w:rPr>
            </w:pPr>
          </w:p>
        </w:tc>
        <w:tc>
          <w:tcPr>
            <w:tcW w:w="641" w:type="dxa"/>
            <w:vAlign w:val="top"/>
          </w:tcPr>
          <w:p w14:paraId="6E9F5542">
            <w:pPr>
              <w:pStyle w:val="27"/>
              <w:spacing w:before="253" w:line="224" w:lineRule="auto"/>
              <w:ind w:left="15"/>
              <w:rPr>
                <w:color w:val="auto"/>
                <w:spacing w:val="-2"/>
                <w:sz w:val="16"/>
                <w:szCs w:val="16"/>
                <w:highlight w:val="none"/>
              </w:rPr>
            </w:pPr>
            <w:r>
              <w:rPr>
                <w:color w:val="auto"/>
                <w:spacing w:val="-2"/>
                <w:sz w:val="16"/>
                <w:szCs w:val="16"/>
                <w:highlight w:val="none"/>
              </w:rPr>
              <w:t>100 人以下</w:t>
            </w:r>
          </w:p>
        </w:tc>
        <w:tc>
          <w:tcPr>
            <w:tcW w:w="763" w:type="dxa"/>
            <w:vAlign w:val="top"/>
          </w:tcPr>
          <w:p w14:paraId="1C10F070">
            <w:pPr>
              <w:pStyle w:val="27"/>
              <w:spacing w:before="253" w:line="224" w:lineRule="auto"/>
              <w:ind w:left="15"/>
              <w:rPr>
                <w:color w:val="auto"/>
                <w:spacing w:val="-2"/>
                <w:sz w:val="16"/>
                <w:szCs w:val="16"/>
                <w:highlight w:val="none"/>
              </w:rPr>
            </w:pPr>
            <w:r>
              <w:rPr>
                <w:color w:val="auto"/>
                <w:spacing w:val="-2"/>
                <w:sz w:val="16"/>
                <w:szCs w:val="16"/>
                <w:highlight w:val="none"/>
              </w:rPr>
              <w:t>500 万元 以下</w:t>
            </w:r>
          </w:p>
        </w:tc>
        <w:tc>
          <w:tcPr>
            <w:tcW w:w="696" w:type="dxa"/>
            <w:tcBorders>
              <w:right w:val="single" w:color="000000" w:sz="10" w:space="0"/>
            </w:tcBorders>
            <w:vAlign w:val="top"/>
          </w:tcPr>
          <w:p w14:paraId="5ACD9C4E">
            <w:pPr>
              <w:pStyle w:val="27"/>
              <w:spacing w:before="253" w:line="224" w:lineRule="auto"/>
              <w:ind w:left="15"/>
              <w:rPr>
                <w:color w:val="auto"/>
                <w:spacing w:val="-2"/>
                <w:sz w:val="16"/>
                <w:szCs w:val="16"/>
                <w:highlight w:val="none"/>
              </w:rPr>
            </w:pPr>
          </w:p>
        </w:tc>
      </w:tr>
      <w:tr w14:paraId="48663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661" w:type="dxa"/>
            <w:tcBorders>
              <w:left w:val="single" w:color="000000" w:sz="10" w:space="0"/>
            </w:tcBorders>
            <w:vAlign w:val="top"/>
          </w:tcPr>
          <w:p w14:paraId="6C1917A4">
            <w:pPr>
              <w:pStyle w:val="27"/>
              <w:spacing w:before="253" w:line="224" w:lineRule="auto"/>
              <w:ind w:left="15"/>
              <w:rPr>
                <w:color w:val="auto"/>
                <w:spacing w:val="-2"/>
                <w:sz w:val="16"/>
                <w:szCs w:val="16"/>
                <w:highlight w:val="none"/>
              </w:rPr>
            </w:pPr>
            <w:r>
              <w:rPr>
                <w:color w:val="auto"/>
                <w:spacing w:val="-2"/>
                <w:sz w:val="16"/>
                <w:szCs w:val="16"/>
                <w:highlight w:val="none"/>
              </w:rPr>
              <w:t>租赁和商务服务业</w:t>
            </w:r>
          </w:p>
          <w:p w14:paraId="3742848F">
            <w:pPr>
              <w:bidi w:val="0"/>
              <w:rPr>
                <w:highlight w:val="none"/>
              </w:rPr>
            </w:pPr>
          </w:p>
          <w:p w14:paraId="0670D934">
            <w:pPr>
              <w:bidi w:val="0"/>
              <w:rPr>
                <w:highlight w:val="none"/>
              </w:rPr>
            </w:pPr>
          </w:p>
          <w:p w14:paraId="6E11A427">
            <w:pPr>
              <w:bidi w:val="0"/>
              <w:rPr>
                <w:highlight w:val="none"/>
              </w:rPr>
            </w:pPr>
          </w:p>
          <w:p w14:paraId="13D2AB27">
            <w:pPr>
              <w:bidi w:val="0"/>
              <w:rPr>
                <w:highlight w:val="none"/>
              </w:rPr>
            </w:pPr>
          </w:p>
          <w:p w14:paraId="3A3610AB">
            <w:pPr>
              <w:bidi w:val="0"/>
              <w:rPr>
                <w:highlight w:val="none"/>
              </w:rPr>
            </w:pPr>
          </w:p>
          <w:p w14:paraId="2D4DFCB0">
            <w:pPr>
              <w:bidi w:val="0"/>
              <w:rPr>
                <w:highlight w:val="none"/>
              </w:rPr>
            </w:pPr>
          </w:p>
          <w:p w14:paraId="1A92410F">
            <w:pPr>
              <w:bidi w:val="0"/>
              <w:rPr>
                <w:highlight w:val="none"/>
              </w:rPr>
            </w:pPr>
          </w:p>
          <w:p w14:paraId="30B9F1CC">
            <w:pPr>
              <w:bidi w:val="0"/>
              <w:ind w:firstLine="260" w:firstLineChars="0"/>
              <w:jc w:val="left"/>
              <w:rPr>
                <w:highlight w:val="none"/>
              </w:rPr>
            </w:pPr>
          </w:p>
        </w:tc>
        <w:tc>
          <w:tcPr>
            <w:tcW w:w="760" w:type="dxa"/>
            <w:vAlign w:val="top"/>
          </w:tcPr>
          <w:p w14:paraId="2A6C98FD">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vAlign w:val="top"/>
          </w:tcPr>
          <w:p w14:paraId="17932224">
            <w:pPr>
              <w:pStyle w:val="27"/>
              <w:spacing w:before="253" w:line="224" w:lineRule="auto"/>
              <w:ind w:left="15"/>
              <w:rPr>
                <w:color w:val="auto"/>
                <w:spacing w:val="-2"/>
                <w:sz w:val="16"/>
                <w:szCs w:val="16"/>
                <w:highlight w:val="none"/>
              </w:rPr>
            </w:pPr>
          </w:p>
        </w:tc>
        <w:tc>
          <w:tcPr>
            <w:tcW w:w="686" w:type="dxa"/>
            <w:vAlign w:val="top"/>
          </w:tcPr>
          <w:p w14:paraId="024F9C83">
            <w:pPr>
              <w:pStyle w:val="27"/>
              <w:spacing w:before="253" w:line="224" w:lineRule="auto"/>
              <w:ind w:left="15"/>
              <w:rPr>
                <w:color w:val="auto"/>
                <w:spacing w:val="-2"/>
                <w:sz w:val="16"/>
                <w:szCs w:val="16"/>
                <w:highlight w:val="none"/>
              </w:rPr>
            </w:pPr>
            <w:r>
              <w:rPr>
                <w:color w:val="auto"/>
                <w:spacing w:val="-2"/>
                <w:sz w:val="16"/>
                <w:szCs w:val="16"/>
                <w:highlight w:val="none"/>
              </w:rPr>
              <w:t>120000 万 元以下</w:t>
            </w:r>
          </w:p>
        </w:tc>
        <w:tc>
          <w:tcPr>
            <w:tcW w:w="709" w:type="dxa"/>
            <w:vAlign w:val="top"/>
          </w:tcPr>
          <w:p w14:paraId="676190D3">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vAlign w:val="top"/>
          </w:tcPr>
          <w:p w14:paraId="520EC53A">
            <w:pPr>
              <w:pStyle w:val="27"/>
              <w:spacing w:before="253" w:line="224" w:lineRule="auto"/>
              <w:ind w:left="15"/>
              <w:rPr>
                <w:color w:val="auto"/>
                <w:spacing w:val="-2"/>
                <w:sz w:val="16"/>
                <w:szCs w:val="16"/>
                <w:highlight w:val="none"/>
              </w:rPr>
            </w:pPr>
          </w:p>
        </w:tc>
        <w:tc>
          <w:tcPr>
            <w:tcW w:w="764" w:type="dxa"/>
            <w:vAlign w:val="top"/>
          </w:tcPr>
          <w:p w14:paraId="28F0D436">
            <w:pPr>
              <w:pStyle w:val="27"/>
              <w:spacing w:before="253" w:line="224" w:lineRule="auto"/>
              <w:ind w:left="15"/>
              <w:rPr>
                <w:color w:val="auto"/>
                <w:spacing w:val="-2"/>
                <w:sz w:val="16"/>
                <w:szCs w:val="16"/>
                <w:highlight w:val="none"/>
              </w:rPr>
            </w:pPr>
            <w:r>
              <w:rPr>
                <w:color w:val="auto"/>
                <w:spacing w:val="-2"/>
                <w:sz w:val="16"/>
                <w:szCs w:val="16"/>
                <w:highlight w:val="none"/>
              </w:rPr>
              <w:t>8000 万元 及以上</w:t>
            </w:r>
          </w:p>
        </w:tc>
        <w:tc>
          <w:tcPr>
            <w:tcW w:w="640" w:type="dxa"/>
            <w:vAlign w:val="top"/>
          </w:tcPr>
          <w:p w14:paraId="0B8A0E9E">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vAlign w:val="top"/>
          </w:tcPr>
          <w:p w14:paraId="23A2383A">
            <w:pPr>
              <w:pStyle w:val="27"/>
              <w:spacing w:before="253" w:line="224" w:lineRule="auto"/>
              <w:ind w:left="15"/>
              <w:rPr>
                <w:color w:val="auto"/>
                <w:spacing w:val="-2"/>
                <w:sz w:val="16"/>
                <w:szCs w:val="16"/>
                <w:highlight w:val="none"/>
              </w:rPr>
            </w:pPr>
          </w:p>
        </w:tc>
        <w:tc>
          <w:tcPr>
            <w:tcW w:w="738" w:type="dxa"/>
            <w:vAlign w:val="top"/>
          </w:tcPr>
          <w:p w14:paraId="62220D15">
            <w:pPr>
              <w:pStyle w:val="27"/>
              <w:spacing w:before="253" w:line="224" w:lineRule="auto"/>
              <w:ind w:left="15"/>
              <w:rPr>
                <w:color w:val="auto"/>
                <w:spacing w:val="-2"/>
                <w:sz w:val="16"/>
                <w:szCs w:val="16"/>
                <w:highlight w:val="none"/>
              </w:rPr>
            </w:pPr>
            <w:r>
              <w:rPr>
                <w:color w:val="auto"/>
                <w:spacing w:val="-2"/>
                <w:sz w:val="16"/>
                <w:szCs w:val="16"/>
                <w:highlight w:val="none"/>
              </w:rPr>
              <w:t>100 万元 及以上</w:t>
            </w:r>
          </w:p>
        </w:tc>
        <w:tc>
          <w:tcPr>
            <w:tcW w:w="641" w:type="dxa"/>
            <w:vAlign w:val="top"/>
          </w:tcPr>
          <w:p w14:paraId="4A8DB4A5">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vAlign w:val="top"/>
          </w:tcPr>
          <w:p w14:paraId="6D7D2D9C">
            <w:pPr>
              <w:pStyle w:val="27"/>
              <w:spacing w:before="253" w:line="224" w:lineRule="auto"/>
              <w:ind w:left="15"/>
              <w:rPr>
                <w:color w:val="auto"/>
                <w:spacing w:val="-2"/>
                <w:sz w:val="16"/>
                <w:szCs w:val="16"/>
                <w:highlight w:val="none"/>
              </w:rPr>
            </w:pPr>
          </w:p>
        </w:tc>
        <w:tc>
          <w:tcPr>
            <w:tcW w:w="696" w:type="dxa"/>
            <w:tcBorders>
              <w:right w:val="single" w:color="000000" w:sz="10" w:space="0"/>
            </w:tcBorders>
            <w:vAlign w:val="top"/>
          </w:tcPr>
          <w:p w14:paraId="47B51B2A">
            <w:pPr>
              <w:pStyle w:val="27"/>
              <w:spacing w:before="253" w:line="224" w:lineRule="auto"/>
              <w:ind w:left="15"/>
              <w:rPr>
                <w:color w:val="auto"/>
                <w:spacing w:val="-2"/>
                <w:sz w:val="16"/>
                <w:szCs w:val="16"/>
                <w:highlight w:val="none"/>
              </w:rPr>
            </w:pPr>
            <w:r>
              <w:rPr>
                <w:color w:val="auto"/>
                <w:spacing w:val="-2"/>
                <w:sz w:val="16"/>
                <w:szCs w:val="16"/>
                <w:highlight w:val="none"/>
              </w:rPr>
              <w:t>100 万元以 下</w:t>
            </w:r>
          </w:p>
        </w:tc>
      </w:tr>
      <w:tr w14:paraId="52273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5" w:hRule="atLeast"/>
        </w:trPr>
        <w:tc>
          <w:tcPr>
            <w:tcW w:w="1661" w:type="dxa"/>
            <w:tcBorders>
              <w:left w:val="single" w:color="000000" w:sz="10" w:space="0"/>
              <w:bottom w:val="single" w:color="000000" w:sz="10" w:space="0"/>
            </w:tcBorders>
            <w:vAlign w:val="top"/>
          </w:tcPr>
          <w:p w14:paraId="508C7343">
            <w:pPr>
              <w:pStyle w:val="27"/>
              <w:spacing w:before="253" w:line="224" w:lineRule="auto"/>
              <w:ind w:left="15"/>
              <w:rPr>
                <w:color w:val="auto"/>
                <w:spacing w:val="-2"/>
                <w:sz w:val="16"/>
                <w:szCs w:val="16"/>
                <w:highlight w:val="none"/>
              </w:rPr>
            </w:pPr>
            <w:r>
              <w:rPr>
                <w:color w:val="auto"/>
                <w:spacing w:val="-2"/>
                <w:sz w:val="16"/>
                <w:szCs w:val="16"/>
                <w:highlight w:val="none"/>
              </w:rPr>
              <w:t>其他未列明行业（包括 科学研究和技术服务</w:t>
            </w:r>
          </w:p>
          <w:p w14:paraId="4B8C06D6">
            <w:pPr>
              <w:pStyle w:val="27"/>
              <w:spacing w:before="253" w:line="224" w:lineRule="auto"/>
              <w:ind w:left="15"/>
              <w:rPr>
                <w:color w:val="auto"/>
                <w:spacing w:val="-2"/>
                <w:sz w:val="16"/>
                <w:szCs w:val="16"/>
                <w:highlight w:val="none"/>
              </w:rPr>
            </w:pPr>
            <w:r>
              <w:rPr>
                <w:color w:val="auto"/>
                <w:spacing w:val="-2"/>
                <w:sz w:val="16"/>
                <w:szCs w:val="16"/>
                <w:highlight w:val="none"/>
              </w:rPr>
              <w:t>业，水利、环境和公共  设施管理业，居民服务、 修理和其他服务业，社  会工作，文化、体育和</w:t>
            </w:r>
          </w:p>
        </w:tc>
        <w:tc>
          <w:tcPr>
            <w:tcW w:w="760" w:type="dxa"/>
            <w:tcBorders>
              <w:bottom w:val="single" w:color="000000" w:sz="10" w:space="0"/>
            </w:tcBorders>
            <w:vAlign w:val="top"/>
          </w:tcPr>
          <w:p w14:paraId="4427140F">
            <w:pPr>
              <w:pStyle w:val="27"/>
              <w:spacing w:before="253" w:line="224" w:lineRule="auto"/>
              <w:ind w:left="15"/>
              <w:rPr>
                <w:color w:val="auto"/>
                <w:spacing w:val="-2"/>
                <w:sz w:val="16"/>
                <w:szCs w:val="16"/>
                <w:highlight w:val="none"/>
              </w:rPr>
            </w:pPr>
          </w:p>
          <w:p w14:paraId="4069B4C1">
            <w:pPr>
              <w:pStyle w:val="27"/>
              <w:spacing w:before="253" w:line="224" w:lineRule="auto"/>
              <w:ind w:left="15"/>
              <w:rPr>
                <w:color w:val="auto"/>
                <w:spacing w:val="-2"/>
                <w:sz w:val="16"/>
                <w:szCs w:val="16"/>
                <w:highlight w:val="none"/>
              </w:rPr>
            </w:pPr>
          </w:p>
          <w:p w14:paraId="2866DAB3">
            <w:pPr>
              <w:pStyle w:val="27"/>
              <w:spacing w:before="253" w:line="224" w:lineRule="auto"/>
              <w:ind w:left="15"/>
              <w:rPr>
                <w:color w:val="auto"/>
                <w:spacing w:val="-2"/>
                <w:sz w:val="16"/>
                <w:szCs w:val="16"/>
                <w:highlight w:val="none"/>
              </w:rPr>
            </w:pPr>
            <w:r>
              <w:rPr>
                <w:color w:val="auto"/>
                <w:spacing w:val="-2"/>
                <w:sz w:val="16"/>
                <w:szCs w:val="16"/>
                <w:highlight w:val="none"/>
              </w:rPr>
              <w:t>300 人以 下</w:t>
            </w:r>
          </w:p>
        </w:tc>
        <w:tc>
          <w:tcPr>
            <w:tcW w:w="861" w:type="dxa"/>
            <w:tcBorders>
              <w:bottom w:val="single" w:color="000000" w:sz="10" w:space="0"/>
            </w:tcBorders>
            <w:vAlign w:val="top"/>
          </w:tcPr>
          <w:p w14:paraId="6361FCA5">
            <w:pPr>
              <w:pStyle w:val="27"/>
              <w:spacing w:before="253" w:line="224" w:lineRule="auto"/>
              <w:ind w:left="15"/>
              <w:rPr>
                <w:color w:val="auto"/>
                <w:spacing w:val="-2"/>
                <w:sz w:val="16"/>
                <w:szCs w:val="16"/>
                <w:highlight w:val="none"/>
              </w:rPr>
            </w:pPr>
          </w:p>
        </w:tc>
        <w:tc>
          <w:tcPr>
            <w:tcW w:w="686" w:type="dxa"/>
            <w:tcBorders>
              <w:bottom w:val="single" w:color="000000" w:sz="10" w:space="0"/>
            </w:tcBorders>
            <w:vAlign w:val="top"/>
          </w:tcPr>
          <w:p w14:paraId="5153B3BA">
            <w:pPr>
              <w:pStyle w:val="27"/>
              <w:spacing w:before="253" w:line="224" w:lineRule="auto"/>
              <w:ind w:left="15"/>
              <w:rPr>
                <w:color w:val="auto"/>
                <w:spacing w:val="-2"/>
                <w:sz w:val="16"/>
                <w:szCs w:val="16"/>
                <w:highlight w:val="none"/>
              </w:rPr>
            </w:pPr>
          </w:p>
        </w:tc>
        <w:tc>
          <w:tcPr>
            <w:tcW w:w="709" w:type="dxa"/>
            <w:tcBorders>
              <w:bottom w:val="single" w:color="000000" w:sz="10" w:space="0"/>
            </w:tcBorders>
            <w:vAlign w:val="top"/>
          </w:tcPr>
          <w:p w14:paraId="0B974E00">
            <w:pPr>
              <w:pStyle w:val="27"/>
              <w:spacing w:before="253" w:line="224" w:lineRule="auto"/>
              <w:ind w:left="15"/>
              <w:rPr>
                <w:color w:val="auto"/>
                <w:spacing w:val="-2"/>
                <w:sz w:val="16"/>
                <w:szCs w:val="16"/>
                <w:highlight w:val="none"/>
              </w:rPr>
            </w:pPr>
          </w:p>
          <w:p w14:paraId="08F9EC5D">
            <w:pPr>
              <w:pStyle w:val="27"/>
              <w:spacing w:before="253" w:line="224" w:lineRule="auto"/>
              <w:ind w:left="15"/>
              <w:rPr>
                <w:color w:val="auto"/>
                <w:spacing w:val="-2"/>
                <w:sz w:val="16"/>
                <w:szCs w:val="16"/>
                <w:highlight w:val="none"/>
              </w:rPr>
            </w:pPr>
          </w:p>
          <w:p w14:paraId="7722E545">
            <w:pPr>
              <w:pStyle w:val="27"/>
              <w:spacing w:before="253" w:line="224" w:lineRule="auto"/>
              <w:ind w:left="15"/>
              <w:rPr>
                <w:color w:val="auto"/>
                <w:spacing w:val="-2"/>
                <w:sz w:val="16"/>
                <w:szCs w:val="16"/>
                <w:highlight w:val="none"/>
              </w:rPr>
            </w:pPr>
            <w:r>
              <w:rPr>
                <w:color w:val="auto"/>
                <w:spacing w:val="-2"/>
                <w:sz w:val="16"/>
                <w:szCs w:val="16"/>
                <w:highlight w:val="none"/>
              </w:rPr>
              <w:t>100 人及 以上</w:t>
            </w:r>
          </w:p>
        </w:tc>
        <w:tc>
          <w:tcPr>
            <w:tcW w:w="900" w:type="dxa"/>
            <w:tcBorders>
              <w:bottom w:val="single" w:color="000000" w:sz="10" w:space="0"/>
            </w:tcBorders>
            <w:vAlign w:val="top"/>
          </w:tcPr>
          <w:p w14:paraId="6D264CFE">
            <w:pPr>
              <w:pStyle w:val="27"/>
              <w:spacing w:before="253" w:line="224" w:lineRule="auto"/>
              <w:ind w:left="15"/>
              <w:rPr>
                <w:color w:val="auto"/>
                <w:spacing w:val="-2"/>
                <w:sz w:val="16"/>
                <w:szCs w:val="16"/>
                <w:highlight w:val="none"/>
              </w:rPr>
            </w:pPr>
          </w:p>
        </w:tc>
        <w:tc>
          <w:tcPr>
            <w:tcW w:w="764" w:type="dxa"/>
            <w:tcBorders>
              <w:bottom w:val="single" w:color="000000" w:sz="10" w:space="0"/>
            </w:tcBorders>
            <w:vAlign w:val="top"/>
          </w:tcPr>
          <w:p w14:paraId="74A87E7E">
            <w:pPr>
              <w:pStyle w:val="27"/>
              <w:spacing w:before="253" w:line="224" w:lineRule="auto"/>
              <w:ind w:left="15"/>
              <w:rPr>
                <w:color w:val="auto"/>
                <w:spacing w:val="-2"/>
                <w:sz w:val="16"/>
                <w:szCs w:val="16"/>
                <w:highlight w:val="none"/>
              </w:rPr>
            </w:pPr>
          </w:p>
        </w:tc>
        <w:tc>
          <w:tcPr>
            <w:tcW w:w="640" w:type="dxa"/>
            <w:tcBorders>
              <w:bottom w:val="single" w:color="000000" w:sz="10" w:space="0"/>
            </w:tcBorders>
            <w:vAlign w:val="top"/>
          </w:tcPr>
          <w:p w14:paraId="74F1B115">
            <w:pPr>
              <w:pStyle w:val="27"/>
              <w:spacing w:before="253" w:line="224" w:lineRule="auto"/>
              <w:ind w:left="15"/>
              <w:rPr>
                <w:color w:val="auto"/>
                <w:spacing w:val="-2"/>
                <w:sz w:val="16"/>
                <w:szCs w:val="16"/>
                <w:highlight w:val="none"/>
              </w:rPr>
            </w:pPr>
          </w:p>
          <w:p w14:paraId="526A0A06">
            <w:pPr>
              <w:pStyle w:val="27"/>
              <w:spacing w:before="253" w:line="224" w:lineRule="auto"/>
              <w:ind w:left="15"/>
              <w:rPr>
                <w:color w:val="auto"/>
                <w:spacing w:val="-2"/>
                <w:sz w:val="16"/>
                <w:szCs w:val="16"/>
                <w:highlight w:val="none"/>
              </w:rPr>
            </w:pPr>
          </w:p>
          <w:p w14:paraId="0174675C">
            <w:pPr>
              <w:pStyle w:val="27"/>
              <w:spacing w:before="253" w:line="224" w:lineRule="auto"/>
              <w:ind w:left="15"/>
              <w:rPr>
                <w:color w:val="auto"/>
                <w:spacing w:val="-2"/>
                <w:sz w:val="16"/>
                <w:szCs w:val="16"/>
                <w:highlight w:val="none"/>
              </w:rPr>
            </w:pPr>
            <w:r>
              <w:rPr>
                <w:color w:val="auto"/>
                <w:spacing w:val="-2"/>
                <w:sz w:val="16"/>
                <w:szCs w:val="16"/>
                <w:highlight w:val="none"/>
              </w:rPr>
              <w:t>10 人及以 上</w:t>
            </w:r>
          </w:p>
        </w:tc>
        <w:tc>
          <w:tcPr>
            <w:tcW w:w="831" w:type="dxa"/>
            <w:tcBorders>
              <w:bottom w:val="single" w:color="000000" w:sz="10" w:space="0"/>
            </w:tcBorders>
            <w:vAlign w:val="top"/>
          </w:tcPr>
          <w:p w14:paraId="62AE9BF1">
            <w:pPr>
              <w:pStyle w:val="27"/>
              <w:spacing w:before="253" w:line="224" w:lineRule="auto"/>
              <w:ind w:left="15"/>
              <w:rPr>
                <w:color w:val="auto"/>
                <w:spacing w:val="-2"/>
                <w:sz w:val="16"/>
                <w:szCs w:val="16"/>
                <w:highlight w:val="none"/>
              </w:rPr>
            </w:pPr>
          </w:p>
        </w:tc>
        <w:tc>
          <w:tcPr>
            <w:tcW w:w="738" w:type="dxa"/>
            <w:tcBorders>
              <w:bottom w:val="single" w:color="000000" w:sz="10" w:space="0"/>
            </w:tcBorders>
            <w:vAlign w:val="top"/>
          </w:tcPr>
          <w:p w14:paraId="38995F92">
            <w:pPr>
              <w:pStyle w:val="27"/>
              <w:spacing w:before="253" w:line="224" w:lineRule="auto"/>
              <w:ind w:left="15"/>
              <w:rPr>
                <w:color w:val="auto"/>
                <w:spacing w:val="-2"/>
                <w:sz w:val="16"/>
                <w:szCs w:val="16"/>
                <w:highlight w:val="none"/>
              </w:rPr>
            </w:pPr>
          </w:p>
        </w:tc>
        <w:tc>
          <w:tcPr>
            <w:tcW w:w="641" w:type="dxa"/>
            <w:tcBorders>
              <w:bottom w:val="single" w:color="000000" w:sz="10" w:space="0"/>
            </w:tcBorders>
            <w:vAlign w:val="top"/>
          </w:tcPr>
          <w:p w14:paraId="7B7581D0">
            <w:pPr>
              <w:pStyle w:val="27"/>
              <w:spacing w:before="253" w:line="224" w:lineRule="auto"/>
              <w:ind w:left="15"/>
              <w:rPr>
                <w:color w:val="auto"/>
                <w:spacing w:val="-2"/>
                <w:sz w:val="16"/>
                <w:szCs w:val="16"/>
                <w:highlight w:val="none"/>
              </w:rPr>
            </w:pPr>
          </w:p>
          <w:p w14:paraId="6B9E2B89">
            <w:pPr>
              <w:pStyle w:val="27"/>
              <w:spacing w:before="253" w:line="224" w:lineRule="auto"/>
              <w:ind w:left="15"/>
              <w:rPr>
                <w:color w:val="auto"/>
                <w:spacing w:val="-2"/>
                <w:sz w:val="16"/>
                <w:szCs w:val="16"/>
                <w:highlight w:val="none"/>
              </w:rPr>
            </w:pPr>
          </w:p>
          <w:p w14:paraId="78D90F9E">
            <w:pPr>
              <w:pStyle w:val="27"/>
              <w:spacing w:before="253" w:line="224" w:lineRule="auto"/>
              <w:ind w:left="15"/>
              <w:rPr>
                <w:color w:val="auto"/>
                <w:spacing w:val="-2"/>
                <w:sz w:val="16"/>
                <w:szCs w:val="16"/>
                <w:highlight w:val="none"/>
              </w:rPr>
            </w:pPr>
          </w:p>
          <w:p w14:paraId="7586DB1C">
            <w:pPr>
              <w:pStyle w:val="27"/>
              <w:spacing w:before="253" w:line="224" w:lineRule="auto"/>
              <w:ind w:left="15"/>
              <w:rPr>
                <w:color w:val="auto"/>
                <w:spacing w:val="-2"/>
                <w:sz w:val="16"/>
                <w:szCs w:val="16"/>
                <w:highlight w:val="none"/>
              </w:rPr>
            </w:pPr>
            <w:r>
              <w:rPr>
                <w:color w:val="auto"/>
                <w:spacing w:val="-2"/>
                <w:sz w:val="16"/>
                <w:szCs w:val="16"/>
                <w:highlight w:val="none"/>
              </w:rPr>
              <w:t>10 人以下</w:t>
            </w:r>
          </w:p>
        </w:tc>
        <w:tc>
          <w:tcPr>
            <w:tcW w:w="763" w:type="dxa"/>
            <w:tcBorders>
              <w:bottom w:val="single" w:color="000000" w:sz="10" w:space="0"/>
            </w:tcBorders>
            <w:vAlign w:val="top"/>
          </w:tcPr>
          <w:p w14:paraId="3A84D70C">
            <w:pPr>
              <w:pStyle w:val="27"/>
              <w:spacing w:before="253" w:line="224" w:lineRule="auto"/>
              <w:ind w:left="15"/>
              <w:rPr>
                <w:color w:val="auto"/>
                <w:spacing w:val="-2"/>
                <w:sz w:val="16"/>
                <w:szCs w:val="16"/>
                <w:highlight w:val="none"/>
              </w:rPr>
            </w:pPr>
          </w:p>
        </w:tc>
        <w:tc>
          <w:tcPr>
            <w:tcW w:w="696" w:type="dxa"/>
            <w:tcBorders>
              <w:bottom w:val="single" w:color="000000" w:sz="10" w:space="0"/>
              <w:right w:val="single" w:color="000000" w:sz="10" w:space="0"/>
            </w:tcBorders>
            <w:vAlign w:val="top"/>
          </w:tcPr>
          <w:p w14:paraId="1674915D">
            <w:pPr>
              <w:pStyle w:val="27"/>
              <w:spacing w:before="253" w:line="224" w:lineRule="auto"/>
              <w:ind w:left="15"/>
              <w:rPr>
                <w:color w:val="auto"/>
                <w:spacing w:val="-2"/>
                <w:sz w:val="16"/>
                <w:szCs w:val="16"/>
                <w:highlight w:val="none"/>
              </w:rPr>
            </w:pPr>
          </w:p>
        </w:tc>
      </w:tr>
    </w:tbl>
    <w:p w14:paraId="1E165408">
      <w:pPr>
        <w:pStyle w:val="27"/>
        <w:spacing w:before="253" w:line="224" w:lineRule="auto"/>
        <w:ind w:left="15"/>
        <w:rPr>
          <w:color w:val="auto"/>
          <w:spacing w:val="-2"/>
          <w:sz w:val="16"/>
          <w:szCs w:val="16"/>
          <w:highlight w:val="none"/>
        </w:rPr>
      </w:pPr>
    </w:p>
    <w:tbl>
      <w:tblPr>
        <w:tblStyle w:val="26"/>
        <w:tblW w:w="10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1"/>
        <w:gridCol w:w="760"/>
        <w:gridCol w:w="861"/>
        <w:gridCol w:w="812"/>
        <w:gridCol w:w="744"/>
        <w:gridCol w:w="909"/>
        <w:gridCol w:w="714"/>
        <w:gridCol w:w="762"/>
        <w:gridCol w:w="762"/>
        <w:gridCol w:w="680"/>
        <w:gridCol w:w="775"/>
        <w:gridCol w:w="694"/>
        <w:gridCol w:w="790"/>
      </w:tblGrid>
      <w:tr w14:paraId="50528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661" w:type="dxa"/>
            <w:tcBorders>
              <w:left w:val="single" w:color="000000" w:sz="10" w:space="0"/>
              <w:bottom w:val="single" w:color="000000" w:sz="10" w:space="0"/>
            </w:tcBorders>
            <w:vAlign w:val="top"/>
          </w:tcPr>
          <w:p w14:paraId="529B56AB">
            <w:pPr>
              <w:pStyle w:val="27"/>
              <w:spacing w:before="253" w:line="224" w:lineRule="auto"/>
              <w:ind w:left="15"/>
              <w:rPr>
                <w:color w:val="auto"/>
                <w:spacing w:val="-2"/>
                <w:sz w:val="16"/>
                <w:szCs w:val="16"/>
                <w:highlight w:val="none"/>
              </w:rPr>
            </w:pPr>
            <w:r>
              <w:rPr>
                <w:color w:val="auto"/>
                <w:spacing w:val="-2"/>
                <w:sz w:val="16"/>
                <w:szCs w:val="16"/>
                <w:highlight w:val="none"/>
              </w:rPr>
              <w:t>娱乐业等）</w:t>
            </w:r>
          </w:p>
        </w:tc>
        <w:tc>
          <w:tcPr>
            <w:tcW w:w="760" w:type="dxa"/>
            <w:tcBorders>
              <w:bottom w:val="single" w:color="000000" w:sz="10" w:space="0"/>
            </w:tcBorders>
            <w:vAlign w:val="top"/>
          </w:tcPr>
          <w:p w14:paraId="53FD6321">
            <w:pPr>
              <w:pStyle w:val="27"/>
              <w:spacing w:before="253" w:line="224" w:lineRule="auto"/>
              <w:ind w:left="15"/>
              <w:rPr>
                <w:color w:val="auto"/>
                <w:spacing w:val="-2"/>
                <w:sz w:val="16"/>
                <w:szCs w:val="16"/>
                <w:highlight w:val="none"/>
              </w:rPr>
            </w:pPr>
          </w:p>
        </w:tc>
        <w:tc>
          <w:tcPr>
            <w:tcW w:w="861" w:type="dxa"/>
            <w:tcBorders>
              <w:bottom w:val="single" w:color="000000" w:sz="10" w:space="0"/>
            </w:tcBorders>
            <w:vAlign w:val="top"/>
          </w:tcPr>
          <w:p w14:paraId="64E93EFC">
            <w:pPr>
              <w:pStyle w:val="27"/>
              <w:spacing w:before="253" w:line="224" w:lineRule="auto"/>
              <w:ind w:left="15"/>
              <w:rPr>
                <w:color w:val="auto"/>
                <w:spacing w:val="-2"/>
                <w:sz w:val="16"/>
                <w:szCs w:val="16"/>
                <w:highlight w:val="none"/>
              </w:rPr>
            </w:pPr>
          </w:p>
        </w:tc>
        <w:tc>
          <w:tcPr>
            <w:tcW w:w="812" w:type="dxa"/>
            <w:tcBorders>
              <w:bottom w:val="single" w:color="000000" w:sz="10" w:space="0"/>
            </w:tcBorders>
            <w:vAlign w:val="top"/>
          </w:tcPr>
          <w:p w14:paraId="7A34B50B">
            <w:pPr>
              <w:pStyle w:val="27"/>
              <w:spacing w:before="253" w:line="224" w:lineRule="auto"/>
              <w:ind w:left="15"/>
              <w:rPr>
                <w:color w:val="auto"/>
                <w:spacing w:val="-2"/>
                <w:sz w:val="16"/>
                <w:szCs w:val="16"/>
                <w:highlight w:val="none"/>
              </w:rPr>
            </w:pPr>
          </w:p>
        </w:tc>
        <w:tc>
          <w:tcPr>
            <w:tcW w:w="744" w:type="dxa"/>
            <w:tcBorders>
              <w:bottom w:val="single" w:color="000000" w:sz="10" w:space="0"/>
            </w:tcBorders>
            <w:vAlign w:val="top"/>
          </w:tcPr>
          <w:p w14:paraId="757B1597">
            <w:pPr>
              <w:pStyle w:val="27"/>
              <w:spacing w:before="253" w:line="224" w:lineRule="auto"/>
              <w:ind w:left="15"/>
              <w:rPr>
                <w:color w:val="auto"/>
                <w:spacing w:val="-2"/>
                <w:sz w:val="16"/>
                <w:szCs w:val="16"/>
                <w:highlight w:val="none"/>
              </w:rPr>
            </w:pPr>
          </w:p>
        </w:tc>
        <w:tc>
          <w:tcPr>
            <w:tcW w:w="909" w:type="dxa"/>
            <w:tcBorders>
              <w:bottom w:val="single" w:color="000000" w:sz="10" w:space="0"/>
            </w:tcBorders>
            <w:vAlign w:val="top"/>
          </w:tcPr>
          <w:p w14:paraId="48321E9A">
            <w:pPr>
              <w:pStyle w:val="27"/>
              <w:spacing w:before="253" w:line="224" w:lineRule="auto"/>
              <w:ind w:left="15"/>
              <w:rPr>
                <w:color w:val="auto"/>
                <w:spacing w:val="-2"/>
                <w:sz w:val="16"/>
                <w:szCs w:val="16"/>
                <w:highlight w:val="none"/>
              </w:rPr>
            </w:pPr>
          </w:p>
        </w:tc>
        <w:tc>
          <w:tcPr>
            <w:tcW w:w="714" w:type="dxa"/>
            <w:tcBorders>
              <w:bottom w:val="single" w:color="000000" w:sz="10" w:space="0"/>
            </w:tcBorders>
            <w:vAlign w:val="top"/>
          </w:tcPr>
          <w:p w14:paraId="217EECC5">
            <w:pPr>
              <w:pStyle w:val="27"/>
              <w:spacing w:before="253" w:line="224" w:lineRule="auto"/>
              <w:ind w:left="15"/>
              <w:rPr>
                <w:color w:val="auto"/>
                <w:spacing w:val="-2"/>
                <w:sz w:val="16"/>
                <w:szCs w:val="16"/>
                <w:highlight w:val="none"/>
              </w:rPr>
            </w:pPr>
          </w:p>
        </w:tc>
        <w:tc>
          <w:tcPr>
            <w:tcW w:w="762" w:type="dxa"/>
            <w:tcBorders>
              <w:bottom w:val="single" w:color="000000" w:sz="10" w:space="0"/>
            </w:tcBorders>
            <w:vAlign w:val="top"/>
          </w:tcPr>
          <w:p w14:paraId="1197330A">
            <w:pPr>
              <w:pStyle w:val="27"/>
              <w:spacing w:before="253" w:line="224" w:lineRule="auto"/>
              <w:ind w:left="15"/>
              <w:rPr>
                <w:color w:val="auto"/>
                <w:spacing w:val="-2"/>
                <w:sz w:val="16"/>
                <w:szCs w:val="16"/>
                <w:highlight w:val="none"/>
              </w:rPr>
            </w:pPr>
          </w:p>
        </w:tc>
        <w:tc>
          <w:tcPr>
            <w:tcW w:w="762" w:type="dxa"/>
            <w:tcBorders>
              <w:bottom w:val="single" w:color="000000" w:sz="10" w:space="0"/>
            </w:tcBorders>
            <w:vAlign w:val="top"/>
          </w:tcPr>
          <w:p w14:paraId="2AE6A545">
            <w:pPr>
              <w:pStyle w:val="27"/>
              <w:spacing w:before="253" w:line="224" w:lineRule="auto"/>
              <w:ind w:left="15"/>
              <w:rPr>
                <w:color w:val="auto"/>
                <w:spacing w:val="-2"/>
                <w:sz w:val="16"/>
                <w:szCs w:val="16"/>
                <w:highlight w:val="none"/>
              </w:rPr>
            </w:pPr>
          </w:p>
        </w:tc>
        <w:tc>
          <w:tcPr>
            <w:tcW w:w="680" w:type="dxa"/>
            <w:tcBorders>
              <w:bottom w:val="single" w:color="000000" w:sz="10" w:space="0"/>
            </w:tcBorders>
            <w:vAlign w:val="top"/>
          </w:tcPr>
          <w:p w14:paraId="6A3789C4">
            <w:pPr>
              <w:pStyle w:val="27"/>
              <w:spacing w:before="253" w:line="224" w:lineRule="auto"/>
              <w:ind w:left="15"/>
              <w:rPr>
                <w:color w:val="auto"/>
                <w:spacing w:val="-2"/>
                <w:sz w:val="16"/>
                <w:szCs w:val="16"/>
                <w:highlight w:val="none"/>
              </w:rPr>
            </w:pPr>
          </w:p>
        </w:tc>
        <w:tc>
          <w:tcPr>
            <w:tcW w:w="775" w:type="dxa"/>
            <w:tcBorders>
              <w:bottom w:val="single" w:color="000000" w:sz="10" w:space="0"/>
            </w:tcBorders>
            <w:vAlign w:val="top"/>
          </w:tcPr>
          <w:p w14:paraId="15D63273">
            <w:pPr>
              <w:pStyle w:val="27"/>
              <w:spacing w:before="253" w:line="224" w:lineRule="auto"/>
              <w:ind w:left="15"/>
              <w:rPr>
                <w:color w:val="auto"/>
                <w:spacing w:val="-2"/>
                <w:sz w:val="16"/>
                <w:szCs w:val="16"/>
                <w:highlight w:val="none"/>
              </w:rPr>
            </w:pPr>
          </w:p>
        </w:tc>
        <w:tc>
          <w:tcPr>
            <w:tcW w:w="694" w:type="dxa"/>
            <w:tcBorders>
              <w:bottom w:val="single" w:color="000000" w:sz="10" w:space="0"/>
            </w:tcBorders>
            <w:vAlign w:val="top"/>
          </w:tcPr>
          <w:p w14:paraId="6A133ECE">
            <w:pPr>
              <w:pStyle w:val="27"/>
              <w:spacing w:before="253" w:line="224" w:lineRule="auto"/>
              <w:ind w:left="15"/>
              <w:rPr>
                <w:color w:val="auto"/>
                <w:spacing w:val="-2"/>
                <w:sz w:val="16"/>
                <w:szCs w:val="16"/>
                <w:highlight w:val="none"/>
              </w:rPr>
            </w:pPr>
          </w:p>
        </w:tc>
        <w:tc>
          <w:tcPr>
            <w:tcW w:w="790" w:type="dxa"/>
            <w:tcBorders>
              <w:bottom w:val="single" w:color="000000" w:sz="10" w:space="0"/>
              <w:right w:val="single" w:color="000000" w:sz="10" w:space="0"/>
            </w:tcBorders>
            <w:vAlign w:val="top"/>
          </w:tcPr>
          <w:p w14:paraId="51F5C68B">
            <w:pPr>
              <w:pStyle w:val="27"/>
              <w:spacing w:before="253" w:line="224" w:lineRule="auto"/>
              <w:ind w:left="15"/>
              <w:rPr>
                <w:color w:val="auto"/>
                <w:spacing w:val="-2"/>
                <w:sz w:val="16"/>
                <w:szCs w:val="16"/>
                <w:highlight w:val="none"/>
              </w:rPr>
            </w:pPr>
          </w:p>
        </w:tc>
      </w:tr>
    </w:tbl>
    <w:p w14:paraId="47A814FB">
      <w:pPr>
        <w:pStyle w:val="9"/>
        <w:rPr>
          <w:color w:val="auto"/>
          <w:highlight w:val="none"/>
        </w:rPr>
      </w:pPr>
    </w:p>
    <w:p w14:paraId="7AE33DF8">
      <w:pPr>
        <w:keepLines w:val="0"/>
        <w:pageBreakBefore w:val="0"/>
        <w:kinsoku/>
        <w:wordWrap/>
        <w:overflowPunct/>
        <w:topLinePunct w:val="0"/>
        <w:bidi w:val="0"/>
        <w:spacing w:line="43" w:lineRule="exact"/>
        <w:rPr>
          <w:highlight w:val="none"/>
        </w:rPr>
      </w:pPr>
    </w:p>
    <w:p w14:paraId="59043B64">
      <w:pPr>
        <w:keepLines w:val="0"/>
        <w:pageBreakBefore w:val="0"/>
        <w:kinsoku/>
        <w:wordWrap/>
        <w:overflowPunct/>
        <w:topLinePunct w:val="0"/>
        <w:bidi w:val="0"/>
        <w:spacing w:line="43" w:lineRule="exact"/>
        <w:rPr>
          <w:highlight w:val="none"/>
        </w:rPr>
      </w:pPr>
    </w:p>
    <w:p w14:paraId="58A9B9B5">
      <w:pPr>
        <w:keepLines w:val="0"/>
        <w:pageBreakBefore w:val="0"/>
        <w:kinsoku/>
        <w:wordWrap/>
        <w:overflowPunct/>
        <w:topLinePunct w:val="0"/>
        <w:bidi w:val="0"/>
        <w:spacing w:line="43" w:lineRule="exact"/>
        <w:rPr>
          <w:highlight w:val="none"/>
        </w:rPr>
      </w:pPr>
    </w:p>
    <w:p w14:paraId="253F55E9">
      <w:pPr>
        <w:keepLines w:val="0"/>
        <w:pageBreakBefore w:val="0"/>
        <w:kinsoku/>
        <w:wordWrap/>
        <w:overflowPunct/>
        <w:topLinePunct w:val="0"/>
        <w:bidi w:val="0"/>
        <w:spacing w:line="43" w:lineRule="exact"/>
        <w:rPr>
          <w:highlight w:val="none"/>
        </w:rPr>
      </w:pPr>
    </w:p>
    <w:p w14:paraId="38C564F0">
      <w:pPr>
        <w:keepLines w:val="0"/>
        <w:pageBreakBefore w:val="0"/>
        <w:kinsoku/>
        <w:wordWrap/>
        <w:overflowPunct/>
        <w:topLinePunct w:val="0"/>
        <w:bidi w:val="0"/>
        <w:spacing w:line="43" w:lineRule="exact"/>
        <w:rPr>
          <w:highlight w:val="none"/>
        </w:rPr>
      </w:pPr>
    </w:p>
    <w:p w14:paraId="69622361">
      <w:pPr>
        <w:keepLines w:val="0"/>
        <w:pageBreakBefore w:val="0"/>
        <w:kinsoku/>
        <w:wordWrap/>
        <w:overflowPunct/>
        <w:topLinePunct w:val="0"/>
        <w:bidi w:val="0"/>
        <w:spacing w:line="43" w:lineRule="exact"/>
        <w:rPr>
          <w:highlight w:val="none"/>
        </w:rPr>
      </w:pPr>
    </w:p>
    <w:p w14:paraId="015A3B8D">
      <w:pPr>
        <w:keepLines w:val="0"/>
        <w:pageBreakBefore w:val="0"/>
        <w:kinsoku/>
        <w:wordWrap/>
        <w:overflowPunct/>
        <w:topLinePunct w:val="0"/>
        <w:bidi w:val="0"/>
        <w:spacing w:line="43" w:lineRule="exact"/>
        <w:rPr>
          <w:highlight w:val="none"/>
        </w:rPr>
      </w:pPr>
    </w:p>
    <w:p w14:paraId="14D790C6">
      <w:pPr>
        <w:keepLines w:val="0"/>
        <w:pageBreakBefore w:val="0"/>
        <w:kinsoku/>
        <w:wordWrap/>
        <w:overflowPunct/>
        <w:topLinePunct w:val="0"/>
        <w:bidi w:val="0"/>
        <w:spacing w:line="43" w:lineRule="exact"/>
        <w:rPr>
          <w:highlight w:val="none"/>
        </w:rPr>
      </w:pPr>
    </w:p>
    <w:p w14:paraId="796596C7">
      <w:pPr>
        <w:keepLines w:val="0"/>
        <w:pageBreakBefore w:val="0"/>
        <w:kinsoku/>
        <w:wordWrap/>
        <w:overflowPunct/>
        <w:topLinePunct w:val="0"/>
        <w:bidi w:val="0"/>
        <w:spacing w:line="43" w:lineRule="exact"/>
        <w:rPr>
          <w:highlight w:val="none"/>
        </w:rPr>
      </w:pPr>
    </w:p>
    <w:p w14:paraId="587C2B3C">
      <w:pPr>
        <w:keepLines w:val="0"/>
        <w:pageBreakBefore w:val="0"/>
        <w:kinsoku/>
        <w:wordWrap/>
        <w:overflowPunct/>
        <w:topLinePunct w:val="0"/>
        <w:bidi w:val="0"/>
        <w:spacing w:line="43" w:lineRule="exact"/>
        <w:rPr>
          <w:highlight w:val="none"/>
        </w:rPr>
      </w:pPr>
    </w:p>
    <w:p w14:paraId="17DB2722">
      <w:pPr>
        <w:keepLines w:val="0"/>
        <w:pageBreakBefore w:val="0"/>
        <w:kinsoku/>
        <w:wordWrap/>
        <w:overflowPunct/>
        <w:topLinePunct w:val="0"/>
        <w:bidi w:val="0"/>
        <w:spacing w:line="43" w:lineRule="exact"/>
        <w:rPr>
          <w:highlight w:val="none"/>
        </w:rPr>
      </w:pPr>
    </w:p>
    <w:p w14:paraId="75D44225">
      <w:pPr>
        <w:keepLines w:val="0"/>
        <w:pageBreakBefore w:val="0"/>
        <w:kinsoku/>
        <w:wordWrap/>
        <w:overflowPunct/>
        <w:topLinePunct w:val="0"/>
        <w:bidi w:val="0"/>
        <w:spacing w:line="43" w:lineRule="exact"/>
        <w:rPr>
          <w:highlight w:val="none"/>
        </w:rPr>
      </w:pPr>
    </w:p>
    <w:p w14:paraId="24142848">
      <w:pPr>
        <w:keepLines w:val="0"/>
        <w:pageBreakBefore w:val="0"/>
        <w:kinsoku/>
        <w:wordWrap/>
        <w:overflowPunct/>
        <w:topLinePunct w:val="0"/>
        <w:bidi w:val="0"/>
        <w:spacing w:line="43" w:lineRule="exact"/>
        <w:rPr>
          <w:highlight w:val="none"/>
        </w:rPr>
      </w:pPr>
    </w:p>
    <w:p w14:paraId="77C1830A">
      <w:pPr>
        <w:keepLines w:val="0"/>
        <w:pageBreakBefore w:val="0"/>
        <w:kinsoku/>
        <w:wordWrap/>
        <w:overflowPunct/>
        <w:topLinePunct w:val="0"/>
        <w:bidi w:val="0"/>
        <w:spacing w:line="43" w:lineRule="exact"/>
        <w:rPr>
          <w:highlight w:val="none"/>
        </w:rPr>
      </w:pPr>
    </w:p>
    <w:p w14:paraId="7C09749B">
      <w:pPr>
        <w:keepLines w:val="0"/>
        <w:pageBreakBefore w:val="0"/>
        <w:kinsoku/>
        <w:wordWrap/>
        <w:overflowPunct/>
        <w:topLinePunct w:val="0"/>
        <w:bidi w:val="0"/>
        <w:spacing w:line="43" w:lineRule="exact"/>
        <w:rPr>
          <w:highlight w:val="none"/>
        </w:rPr>
      </w:pPr>
    </w:p>
    <w:p w14:paraId="6B4A3DA1">
      <w:pPr>
        <w:keepLines w:val="0"/>
        <w:pageBreakBefore w:val="0"/>
        <w:kinsoku/>
        <w:wordWrap/>
        <w:overflowPunct/>
        <w:topLinePunct w:val="0"/>
        <w:bidi w:val="0"/>
        <w:spacing w:line="43" w:lineRule="exact"/>
        <w:rPr>
          <w:highlight w:val="none"/>
        </w:rPr>
      </w:pPr>
    </w:p>
    <w:p w14:paraId="684C78C1">
      <w:pPr>
        <w:keepLines w:val="0"/>
        <w:pageBreakBefore w:val="0"/>
        <w:kinsoku/>
        <w:wordWrap/>
        <w:overflowPunct/>
        <w:topLinePunct w:val="0"/>
        <w:bidi w:val="0"/>
        <w:spacing w:line="43" w:lineRule="exact"/>
        <w:rPr>
          <w:highlight w:val="none"/>
        </w:rPr>
      </w:pPr>
    </w:p>
    <w:p w14:paraId="2D79159F">
      <w:pPr>
        <w:keepLines w:val="0"/>
        <w:pageBreakBefore w:val="0"/>
        <w:kinsoku/>
        <w:wordWrap/>
        <w:overflowPunct/>
        <w:topLinePunct w:val="0"/>
        <w:bidi w:val="0"/>
        <w:spacing w:line="43" w:lineRule="exact"/>
        <w:rPr>
          <w:highlight w:val="none"/>
        </w:rPr>
      </w:pPr>
    </w:p>
    <w:p w14:paraId="4EF14506">
      <w:pPr>
        <w:keepLines w:val="0"/>
        <w:pageBreakBefore w:val="0"/>
        <w:kinsoku/>
        <w:wordWrap/>
        <w:overflowPunct/>
        <w:topLinePunct w:val="0"/>
        <w:bidi w:val="0"/>
        <w:spacing w:line="43" w:lineRule="exact"/>
        <w:rPr>
          <w:highlight w:val="none"/>
        </w:rPr>
      </w:pPr>
    </w:p>
    <w:p w14:paraId="4A97EFBE">
      <w:pPr>
        <w:keepLines w:val="0"/>
        <w:pageBreakBefore w:val="0"/>
        <w:kinsoku/>
        <w:wordWrap/>
        <w:overflowPunct/>
        <w:topLinePunct w:val="0"/>
        <w:bidi w:val="0"/>
        <w:spacing w:line="43" w:lineRule="exact"/>
        <w:rPr>
          <w:highlight w:val="none"/>
        </w:rPr>
      </w:pPr>
    </w:p>
    <w:p w14:paraId="65637C0B">
      <w:pPr>
        <w:keepLines w:val="0"/>
        <w:pageBreakBefore w:val="0"/>
        <w:kinsoku/>
        <w:wordWrap/>
        <w:overflowPunct/>
        <w:topLinePunct w:val="0"/>
        <w:bidi w:val="0"/>
        <w:spacing w:line="43" w:lineRule="exact"/>
        <w:rPr>
          <w:highlight w:val="none"/>
        </w:rPr>
      </w:pPr>
    </w:p>
    <w:p w14:paraId="1AFE9873">
      <w:pPr>
        <w:keepLines w:val="0"/>
        <w:pageBreakBefore w:val="0"/>
        <w:kinsoku/>
        <w:wordWrap/>
        <w:overflowPunct/>
        <w:topLinePunct w:val="0"/>
        <w:bidi w:val="0"/>
        <w:spacing w:line="43" w:lineRule="exact"/>
        <w:rPr>
          <w:highlight w:val="none"/>
        </w:rPr>
      </w:pPr>
    </w:p>
    <w:p w14:paraId="66DE1245">
      <w:pPr>
        <w:keepLines w:val="0"/>
        <w:pageBreakBefore w:val="0"/>
        <w:kinsoku/>
        <w:wordWrap/>
        <w:overflowPunct/>
        <w:topLinePunct w:val="0"/>
        <w:bidi w:val="0"/>
        <w:spacing w:line="43" w:lineRule="exact"/>
        <w:rPr>
          <w:highlight w:val="none"/>
        </w:rPr>
      </w:pPr>
    </w:p>
    <w:p w14:paraId="23AC61F3">
      <w:pPr>
        <w:keepLines w:val="0"/>
        <w:pageBreakBefore w:val="0"/>
        <w:kinsoku/>
        <w:wordWrap/>
        <w:overflowPunct/>
        <w:topLinePunct w:val="0"/>
        <w:bidi w:val="0"/>
        <w:spacing w:line="43" w:lineRule="exact"/>
        <w:rPr>
          <w:highlight w:val="none"/>
        </w:rPr>
      </w:pPr>
    </w:p>
    <w:p w14:paraId="02244227">
      <w:pPr>
        <w:keepLines w:val="0"/>
        <w:pageBreakBefore w:val="0"/>
        <w:kinsoku/>
        <w:wordWrap/>
        <w:overflowPunct/>
        <w:topLinePunct w:val="0"/>
        <w:bidi w:val="0"/>
        <w:spacing w:line="43" w:lineRule="exact"/>
        <w:rPr>
          <w:highlight w:val="none"/>
        </w:rPr>
      </w:pPr>
    </w:p>
    <w:p w14:paraId="5A2C62BA">
      <w:pPr>
        <w:keepLines w:val="0"/>
        <w:pageBreakBefore w:val="0"/>
        <w:kinsoku/>
        <w:wordWrap/>
        <w:overflowPunct/>
        <w:topLinePunct w:val="0"/>
        <w:bidi w:val="0"/>
        <w:spacing w:line="43" w:lineRule="exact"/>
        <w:rPr>
          <w:highlight w:val="none"/>
        </w:rPr>
      </w:pPr>
    </w:p>
    <w:p w14:paraId="1447C65F">
      <w:pPr>
        <w:keepLines w:val="0"/>
        <w:pageBreakBefore w:val="0"/>
        <w:kinsoku/>
        <w:wordWrap/>
        <w:overflowPunct/>
        <w:topLinePunct w:val="0"/>
        <w:bidi w:val="0"/>
        <w:spacing w:line="43" w:lineRule="exact"/>
        <w:rPr>
          <w:highlight w:val="none"/>
        </w:rPr>
      </w:pPr>
    </w:p>
    <w:p w14:paraId="235EE104">
      <w:pPr>
        <w:keepLines w:val="0"/>
        <w:pageBreakBefore w:val="0"/>
        <w:kinsoku/>
        <w:wordWrap/>
        <w:overflowPunct/>
        <w:topLinePunct w:val="0"/>
        <w:bidi w:val="0"/>
        <w:spacing w:line="43" w:lineRule="exact"/>
        <w:rPr>
          <w:highlight w:val="none"/>
        </w:rPr>
      </w:pPr>
    </w:p>
    <w:p w14:paraId="2C6E65BD">
      <w:pPr>
        <w:keepLines w:val="0"/>
        <w:pageBreakBefore w:val="0"/>
        <w:kinsoku/>
        <w:wordWrap/>
        <w:overflowPunct/>
        <w:topLinePunct w:val="0"/>
        <w:bidi w:val="0"/>
        <w:spacing w:line="43" w:lineRule="exact"/>
        <w:rPr>
          <w:highlight w:val="none"/>
        </w:rPr>
      </w:pPr>
    </w:p>
    <w:p w14:paraId="6D5C400E">
      <w:pPr>
        <w:keepLines w:val="0"/>
        <w:pageBreakBefore w:val="0"/>
        <w:kinsoku/>
        <w:wordWrap/>
        <w:overflowPunct/>
        <w:topLinePunct w:val="0"/>
        <w:bidi w:val="0"/>
        <w:spacing w:line="43" w:lineRule="exact"/>
        <w:rPr>
          <w:highlight w:val="none"/>
        </w:rPr>
      </w:pPr>
    </w:p>
    <w:p w14:paraId="416CB964">
      <w:pPr>
        <w:keepLines w:val="0"/>
        <w:pageBreakBefore w:val="0"/>
        <w:kinsoku/>
        <w:wordWrap/>
        <w:overflowPunct/>
        <w:topLinePunct w:val="0"/>
        <w:bidi w:val="0"/>
        <w:spacing w:line="43" w:lineRule="exact"/>
        <w:rPr>
          <w:highlight w:val="none"/>
        </w:rPr>
      </w:pPr>
    </w:p>
    <w:p w14:paraId="7C8151D3">
      <w:pPr>
        <w:keepLines w:val="0"/>
        <w:pageBreakBefore w:val="0"/>
        <w:kinsoku/>
        <w:wordWrap/>
        <w:overflowPunct/>
        <w:topLinePunct w:val="0"/>
        <w:bidi w:val="0"/>
        <w:spacing w:line="43" w:lineRule="exact"/>
        <w:rPr>
          <w:highlight w:val="none"/>
        </w:rPr>
      </w:pPr>
    </w:p>
    <w:p w14:paraId="0A52694D">
      <w:pPr>
        <w:keepLines w:val="0"/>
        <w:pageBreakBefore w:val="0"/>
        <w:kinsoku/>
        <w:wordWrap/>
        <w:overflowPunct/>
        <w:topLinePunct w:val="0"/>
        <w:bidi w:val="0"/>
        <w:spacing w:line="43" w:lineRule="exact"/>
        <w:rPr>
          <w:highlight w:val="none"/>
        </w:rPr>
      </w:pPr>
    </w:p>
    <w:p w14:paraId="5B63236B">
      <w:pPr>
        <w:keepLines w:val="0"/>
        <w:pageBreakBefore w:val="0"/>
        <w:kinsoku/>
        <w:wordWrap/>
        <w:overflowPunct/>
        <w:topLinePunct w:val="0"/>
        <w:bidi w:val="0"/>
        <w:spacing w:line="43" w:lineRule="exact"/>
        <w:rPr>
          <w:highlight w:val="none"/>
        </w:rPr>
      </w:pPr>
    </w:p>
    <w:p w14:paraId="48F77F73">
      <w:pPr>
        <w:keepLines w:val="0"/>
        <w:pageBreakBefore w:val="0"/>
        <w:kinsoku/>
        <w:wordWrap/>
        <w:overflowPunct/>
        <w:topLinePunct w:val="0"/>
        <w:bidi w:val="0"/>
        <w:spacing w:line="43" w:lineRule="exact"/>
        <w:rPr>
          <w:highlight w:val="none"/>
        </w:rPr>
      </w:pPr>
    </w:p>
    <w:p w14:paraId="4C5B2DC6">
      <w:pPr>
        <w:keepLines w:val="0"/>
        <w:pageBreakBefore w:val="0"/>
        <w:kinsoku/>
        <w:wordWrap/>
        <w:overflowPunct/>
        <w:topLinePunct w:val="0"/>
        <w:bidi w:val="0"/>
        <w:spacing w:line="43" w:lineRule="exact"/>
        <w:rPr>
          <w:highlight w:val="none"/>
        </w:rPr>
      </w:pPr>
    </w:p>
    <w:p w14:paraId="5A5BBF98">
      <w:pPr>
        <w:keepLines w:val="0"/>
        <w:pageBreakBefore w:val="0"/>
        <w:kinsoku/>
        <w:wordWrap/>
        <w:overflowPunct/>
        <w:topLinePunct w:val="0"/>
        <w:bidi w:val="0"/>
        <w:spacing w:line="43" w:lineRule="exact"/>
        <w:rPr>
          <w:highlight w:val="none"/>
        </w:rPr>
      </w:pPr>
    </w:p>
    <w:p w14:paraId="49899340">
      <w:pPr>
        <w:keepLines w:val="0"/>
        <w:pageBreakBefore w:val="0"/>
        <w:kinsoku/>
        <w:wordWrap/>
        <w:overflowPunct/>
        <w:topLinePunct w:val="0"/>
        <w:bidi w:val="0"/>
        <w:spacing w:line="43" w:lineRule="exact"/>
        <w:rPr>
          <w:highlight w:val="none"/>
        </w:rPr>
      </w:pPr>
    </w:p>
    <w:p w14:paraId="3676239D">
      <w:pPr>
        <w:keepLines w:val="0"/>
        <w:pageBreakBefore w:val="0"/>
        <w:kinsoku/>
        <w:wordWrap/>
        <w:overflowPunct/>
        <w:topLinePunct w:val="0"/>
        <w:bidi w:val="0"/>
        <w:spacing w:line="43" w:lineRule="exact"/>
        <w:rPr>
          <w:highlight w:val="none"/>
        </w:rPr>
      </w:pPr>
    </w:p>
    <w:p w14:paraId="5502B718">
      <w:pPr>
        <w:keepLines w:val="0"/>
        <w:pageBreakBefore w:val="0"/>
        <w:kinsoku/>
        <w:wordWrap/>
        <w:overflowPunct/>
        <w:topLinePunct w:val="0"/>
        <w:bidi w:val="0"/>
        <w:spacing w:line="43" w:lineRule="exact"/>
        <w:rPr>
          <w:highlight w:val="none"/>
        </w:rPr>
      </w:pPr>
    </w:p>
    <w:p w14:paraId="0D9828B7">
      <w:pPr>
        <w:keepLines w:val="0"/>
        <w:pageBreakBefore w:val="0"/>
        <w:kinsoku/>
        <w:wordWrap/>
        <w:overflowPunct/>
        <w:topLinePunct w:val="0"/>
        <w:bidi w:val="0"/>
        <w:spacing w:line="43" w:lineRule="exact"/>
        <w:rPr>
          <w:highlight w:val="none"/>
        </w:rPr>
      </w:pPr>
    </w:p>
    <w:p w14:paraId="5F62E72E">
      <w:pPr>
        <w:keepLines w:val="0"/>
        <w:pageBreakBefore w:val="0"/>
        <w:kinsoku/>
        <w:wordWrap/>
        <w:overflowPunct/>
        <w:topLinePunct w:val="0"/>
        <w:bidi w:val="0"/>
        <w:spacing w:line="43" w:lineRule="exact"/>
        <w:rPr>
          <w:highlight w:val="none"/>
        </w:rPr>
      </w:pPr>
    </w:p>
    <w:p w14:paraId="7727F2D8">
      <w:pPr>
        <w:keepLines w:val="0"/>
        <w:pageBreakBefore w:val="0"/>
        <w:kinsoku/>
        <w:wordWrap/>
        <w:overflowPunct/>
        <w:topLinePunct w:val="0"/>
        <w:bidi w:val="0"/>
        <w:spacing w:line="43" w:lineRule="exact"/>
        <w:rPr>
          <w:highlight w:val="none"/>
        </w:rPr>
      </w:pPr>
    </w:p>
    <w:p w14:paraId="5C2C7211">
      <w:pPr>
        <w:keepLines w:val="0"/>
        <w:pageBreakBefore w:val="0"/>
        <w:kinsoku/>
        <w:wordWrap/>
        <w:overflowPunct/>
        <w:topLinePunct w:val="0"/>
        <w:bidi w:val="0"/>
        <w:spacing w:line="43" w:lineRule="exact"/>
        <w:rPr>
          <w:highlight w:val="none"/>
        </w:rPr>
      </w:pPr>
    </w:p>
    <w:p w14:paraId="1611F33F">
      <w:pPr>
        <w:keepLines w:val="0"/>
        <w:pageBreakBefore w:val="0"/>
        <w:kinsoku/>
        <w:wordWrap/>
        <w:overflowPunct/>
        <w:topLinePunct w:val="0"/>
        <w:bidi w:val="0"/>
        <w:spacing w:line="43" w:lineRule="exact"/>
        <w:rPr>
          <w:highlight w:val="none"/>
        </w:rPr>
      </w:pPr>
    </w:p>
    <w:p w14:paraId="4EE9C0F8">
      <w:pPr>
        <w:keepLines w:val="0"/>
        <w:pageBreakBefore w:val="0"/>
        <w:kinsoku/>
        <w:wordWrap/>
        <w:overflowPunct/>
        <w:topLinePunct w:val="0"/>
        <w:bidi w:val="0"/>
        <w:spacing w:line="43" w:lineRule="exact"/>
        <w:rPr>
          <w:highlight w:val="none"/>
        </w:rPr>
      </w:pPr>
    </w:p>
    <w:p w14:paraId="2E9D912F">
      <w:pPr>
        <w:keepLines w:val="0"/>
        <w:pageBreakBefore w:val="0"/>
        <w:kinsoku/>
        <w:wordWrap/>
        <w:overflowPunct/>
        <w:topLinePunct w:val="0"/>
        <w:bidi w:val="0"/>
        <w:spacing w:line="43" w:lineRule="exact"/>
        <w:rPr>
          <w:highlight w:val="none"/>
        </w:rPr>
      </w:pPr>
    </w:p>
    <w:p w14:paraId="2C3F665F">
      <w:pPr>
        <w:keepLines w:val="0"/>
        <w:pageBreakBefore w:val="0"/>
        <w:kinsoku/>
        <w:wordWrap/>
        <w:overflowPunct/>
        <w:topLinePunct w:val="0"/>
        <w:bidi w:val="0"/>
        <w:spacing w:line="43" w:lineRule="exact"/>
        <w:rPr>
          <w:highlight w:val="none"/>
        </w:rPr>
      </w:pPr>
    </w:p>
    <w:p w14:paraId="27BE41E8">
      <w:pPr>
        <w:keepLines w:val="0"/>
        <w:pageBreakBefore w:val="0"/>
        <w:kinsoku/>
        <w:wordWrap/>
        <w:overflowPunct/>
        <w:topLinePunct w:val="0"/>
        <w:bidi w:val="0"/>
        <w:spacing w:line="43" w:lineRule="exact"/>
        <w:rPr>
          <w:highlight w:val="none"/>
        </w:rPr>
      </w:pPr>
    </w:p>
    <w:p w14:paraId="3EE26AF5">
      <w:pPr>
        <w:keepLines w:val="0"/>
        <w:pageBreakBefore w:val="0"/>
        <w:kinsoku/>
        <w:wordWrap/>
        <w:overflowPunct/>
        <w:topLinePunct w:val="0"/>
        <w:bidi w:val="0"/>
        <w:spacing w:line="43" w:lineRule="exact"/>
        <w:rPr>
          <w:highlight w:val="none"/>
        </w:rPr>
      </w:pPr>
    </w:p>
    <w:p w14:paraId="09174687">
      <w:pPr>
        <w:keepLines w:val="0"/>
        <w:pageBreakBefore w:val="0"/>
        <w:kinsoku/>
        <w:wordWrap/>
        <w:overflowPunct/>
        <w:topLinePunct w:val="0"/>
        <w:bidi w:val="0"/>
        <w:spacing w:line="43" w:lineRule="exact"/>
        <w:rPr>
          <w:highlight w:val="none"/>
        </w:rPr>
      </w:pPr>
    </w:p>
    <w:p w14:paraId="00AE254A">
      <w:pPr>
        <w:keepLines w:val="0"/>
        <w:pageBreakBefore w:val="0"/>
        <w:kinsoku/>
        <w:wordWrap/>
        <w:overflowPunct/>
        <w:topLinePunct w:val="0"/>
        <w:bidi w:val="0"/>
        <w:spacing w:line="43" w:lineRule="exact"/>
        <w:rPr>
          <w:highlight w:val="none"/>
        </w:rPr>
      </w:pPr>
    </w:p>
    <w:p w14:paraId="0384E150">
      <w:pPr>
        <w:keepLines w:val="0"/>
        <w:pageBreakBefore w:val="0"/>
        <w:kinsoku/>
        <w:wordWrap/>
        <w:overflowPunct/>
        <w:topLinePunct w:val="0"/>
        <w:bidi w:val="0"/>
        <w:spacing w:line="43" w:lineRule="exact"/>
        <w:rPr>
          <w:highlight w:val="none"/>
        </w:rPr>
      </w:pPr>
    </w:p>
    <w:p w14:paraId="6992EBBC">
      <w:pPr>
        <w:keepLines w:val="0"/>
        <w:pageBreakBefore w:val="0"/>
        <w:kinsoku/>
        <w:wordWrap/>
        <w:overflowPunct/>
        <w:topLinePunct w:val="0"/>
        <w:bidi w:val="0"/>
        <w:spacing w:line="43" w:lineRule="exact"/>
        <w:rPr>
          <w:highlight w:val="none"/>
        </w:rPr>
      </w:pPr>
    </w:p>
    <w:p w14:paraId="0E6FA675">
      <w:pPr>
        <w:keepLines w:val="0"/>
        <w:pageBreakBefore w:val="0"/>
        <w:kinsoku/>
        <w:wordWrap/>
        <w:overflowPunct/>
        <w:topLinePunct w:val="0"/>
        <w:bidi w:val="0"/>
        <w:spacing w:line="43" w:lineRule="exact"/>
        <w:rPr>
          <w:highlight w:val="none"/>
        </w:rPr>
      </w:pPr>
    </w:p>
    <w:p w14:paraId="6BC49E75">
      <w:pPr>
        <w:keepLines w:val="0"/>
        <w:pageBreakBefore w:val="0"/>
        <w:kinsoku/>
        <w:wordWrap/>
        <w:overflowPunct/>
        <w:topLinePunct w:val="0"/>
        <w:bidi w:val="0"/>
        <w:spacing w:line="43" w:lineRule="exact"/>
        <w:rPr>
          <w:highlight w:val="none"/>
        </w:rPr>
      </w:pPr>
    </w:p>
    <w:p w14:paraId="51D084AD">
      <w:pPr>
        <w:keepLines w:val="0"/>
        <w:pageBreakBefore w:val="0"/>
        <w:kinsoku/>
        <w:wordWrap/>
        <w:overflowPunct/>
        <w:topLinePunct w:val="0"/>
        <w:bidi w:val="0"/>
        <w:spacing w:line="43" w:lineRule="exact"/>
        <w:rPr>
          <w:highlight w:val="none"/>
        </w:rPr>
      </w:pPr>
    </w:p>
    <w:p w14:paraId="68EDE71C">
      <w:pPr>
        <w:keepLines w:val="0"/>
        <w:pageBreakBefore w:val="0"/>
        <w:kinsoku/>
        <w:wordWrap/>
        <w:overflowPunct/>
        <w:topLinePunct w:val="0"/>
        <w:bidi w:val="0"/>
        <w:spacing w:line="43" w:lineRule="exact"/>
        <w:rPr>
          <w:highlight w:val="none"/>
        </w:rPr>
      </w:pPr>
    </w:p>
    <w:p w14:paraId="1DC380ED">
      <w:pPr>
        <w:keepLines w:val="0"/>
        <w:pageBreakBefore w:val="0"/>
        <w:kinsoku/>
        <w:wordWrap/>
        <w:overflowPunct/>
        <w:topLinePunct w:val="0"/>
        <w:bidi w:val="0"/>
        <w:spacing w:line="43" w:lineRule="exact"/>
        <w:rPr>
          <w:highlight w:val="none"/>
        </w:rPr>
      </w:pPr>
    </w:p>
    <w:p w14:paraId="744A41E2">
      <w:pPr>
        <w:keepLines w:val="0"/>
        <w:pageBreakBefore w:val="0"/>
        <w:kinsoku/>
        <w:wordWrap/>
        <w:overflowPunct/>
        <w:topLinePunct w:val="0"/>
        <w:bidi w:val="0"/>
        <w:spacing w:line="43" w:lineRule="exact"/>
        <w:rPr>
          <w:highlight w:val="none"/>
        </w:rPr>
      </w:pPr>
    </w:p>
    <w:p w14:paraId="63D9B264">
      <w:pPr>
        <w:keepLines w:val="0"/>
        <w:pageBreakBefore w:val="0"/>
        <w:kinsoku/>
        <w:wordWrap/>
        <w:overflowPunct/>
        <w:topLinePunct w:val="0"/>
        <w:bidi w:val="0"/>
        <w:spacing w:line="43" w:lineRule="exact"/>
        <w:rPr>
          <w:highlight w:val="none"/>
        </w:rPr>
      </w:pPr>
    </w:p>
    <w:p w14:paraId="495C6465">
      <w:pPr>
        <w:keepLines w:val="0"/>
        <w:pageBreakBefore w:val="0"/>
        <w:kinsoku/>
        <w:wordWrap/>
        <w:overflowPunct/>
        <w:topLinePunct w:val="0"/>
        <w:bidi w:val="0"/>
        <w:spacing w:line="43" w:lineRule="exact"/>
        <w:rPr>
          <w:highlight w:val="none"/>
        </w:rPr>
      </w:pPr>
    </w:p>
    <w:p w14:paraId="72C261AE">
      <w:pPr>
        <w:keepLines w:val="0"/>
        <w:pageBreakBefore w:val="0"/>
        <w:kinsoku/>
        <w:wordWrap/>
        <w:overflowPunct/>
        <w:topLinePunct w:val="0"/>
        <w:bidi w:val="0"/>
        <w:spacing w:line="43" w:lineRule="exact"/>
        <w:rPr>
          <w:highlight w:val="none"/>
        </w:rPr>
      </w:pPr>
    </w:p>
    <w:p w14:paraId="73BEFC1D">
      <w:pPr>
        <w:keepLines w:val="0"/>
        <w:pageBreakBefore w:val="0"/>
        <w:kinsoku/>
        <w:wordWrap/>
        <w:overflowPunct/>
        <w:topLinePunct w:val="0"/>
        <w:bidi w:val="0"/>
        <w:spacing w:line="43" w:lineRule="exact"/>
        <w:rPr>
          <w:highlight w:val="none"/>
        </w:rPr>
      </w:pPr>
    </w:p>
    <w:p w14:paraId="64C2651D">
      <w:pPr>
        <w:keepLines w:val="0"/>
        <w:pageBreakBefore w:val="0"/>
        <w:kinsoku/>
        <w:wordWrap/>
        <w:overflowPunct/>
        <w:topLinePunct w:val="0"/>
        <w:bidi w:val="0"/>
        <w:spacing w:line="43" w:lineRule="exact"/>
        <w:rPr>
          <w:highlight w:val="none"/>
        </w:rPr>
      </w:pPr>
    </w:p>
    <w:p w14:paraId="234FF638">
      <w:pPr>
        <w:keepLines w:val="0"/>
        <w:pageBreakBefore w:val="0"/>
        <w:kinsoku/>
        <w:wordWrap/>
        <w:overflowPunct/>
        <w:topLinePunct w:val="0"/>
        <w:bidi w:val="0"/>
        <w:spacing w:line="43" w:lineRule="exact"/>
        <w:rPr>
          <w:highlight w:val="none"/>
        </w:rPr>
      </w:pPr>
    </w:p>
    <w:p w14:paraId="432D5A1D">
      <w:pPr>
        <w:keepLines w:val="0"/>
        <w:pageBreakBefore w:val="0"/>
        <w:kinsoku/>
        <w:wordWrap/>
        <w:overflowPunct/>
        <w:topLinePunct w:val="0"/>
        <w:bidi w:val="0"/>
        <w:spacing w:line="43" w:lineRule="exact"/>
        <w:rPr>
          <w:highlight w:val="none"/>
        </w:rPr>
      </w:pPr>
    </w:p>
    <w:p w14:paraId="64FD0D49">
      <w:pPr>
        <w:keepLines w:val="0"/>
        <w:pageBreakBefore w:val="0"/>
        <w:kinsoku/>
        <w:wordWrap/>
        <w:overflowPunct/>
        <w:topLinePunct w:val="0"/>
        <w:bidi w:val="0"/>
        <w:spacing w:line="43" w:lineRule="exact"/>
        <w:rPr>
          <w:highlight w:val="none"/>
        </w:rPr>
      </w:pPr>
    </w:p>
    <w:p w14:paraId="5032D928">
      <w:pPr>
        <w:keepLines w:val="0"/>
        <w:pageBreakBefore w:val="0"/>
        <w:kinsoku/>
        <w:wordWrap/>
        <w:overflowPunct/>
        <w:topLinePunct w:val="0"/>
        <w:bidi w:val="0"/>
        <w:spacing w:line="43" w:lineRule="exact"/>
        <w:rPr>
          <w:highlight w:val="none"/>
        </w:rPr>
      </w:pPr>
    </w:p>
    <w:p w14:paraId="4ECD2CDD">
      <w:pPr>
        <w:keepLines w:val="0"/>
        <w:pageBreakBefore w:val="0"/>
        <w:kinsoku/>
        <w:wordWrap/>
        <w:overflowPunct/>
        <w:topLinePunct w:val="0"/>
        <w:bidi w:val="0"/>
        <w:spacing w:line="43" w:lineRule="exact"/>
        <w:rPr>
          <w:highlight w:val="none"/>
        </w:rPr>
      </w:pPr>
    </w:p>
    <w:p w14:paraId="263A5F06">
      <w:pPr>
        <w:keepLines w:val="0"/>
        <w:pageBreakBefore w:val="0"/>
        <w:kinsoku/>
        <w:wordWrap/>
        <w:overflowPunct/>
        <w:topLinePunct w:val="0"/>
        <w:bidi w:val="0"/>
        <w:spacing w:line="43" w:lineRule="exact"/>
        <w:rPr>
          <w:highlight w:val="none"/>
        </w:rPr>
      </w:pPr>
    </w:p>
    <w:p w14:paraId="2D7CBE26">
      <w:pPr>
        <w:keepLines w:val="0"/>
        <w:pageBreakBefore w:val="0"/>
        <w:kinsoku/>
        <w:wordWrap/>
        <w:overflowPunct/>
        <w:topLinePunct w:val="0"/>
        <w:bidi w:val="0"/>
        <w:spacing w:line="43" w:lineRule="exact"/>
        <w:rPr>
          <w:highlight w:val="none"/>
        </w:rPr>
      </w:pPr>
    </w:p>
    <w:p w14:paraId="147A11CB">
      <w:pPr>
        <w:keepLines w:val="0"/>
        <w:pageBreakBefore w:val="0"/>
        <w:kinsoku/>
        <w:wordWrap/>
        <w:overflowPunct/>
        <w:topLinePunct w:val="0"/>
        <w:bidi w:val="0"/>
        <w:spacing w:line="43" w:lineRule="exact"/>
        <w:rPr>
          <w:highlight w:val="none"/>
        </w:rPr>
      </w:pPr>
    </w:p>
    <w:p w14:paraId="34C37131">
      <w:pPr>
        <w:keepLines w:val="0"/>
        <w:pageBreakBefore w:val="0"/>
        <w:kinsoku/>
        <w:wordWrap/>
        <w:overflowPunct/>
        <w:topLinePunct w:val="0"/>
        <w:bidi w:val="0"/>
        <w:spacing w:line="43" w:lineRule="exact"/>
        <w:rPr>
          <w:highlight w:val="none"/>
        </w:rPr>
      </w:pPr>
    </w:p>
    <w:p w14:paraId="4F907F6B">
      <w:pPr>
        <w:keepLines w:val="0"/>
        <w:pageBreakBefore w:val="0"/>
        <w:kinsoku/>
        <w:wordWrap/>
        <w:overflowPunct/>
        <w:topLinePunct w:val="0"/>
        <w:bidi w:val="0"/>
        <w:spacing w:line="43" w:lineRule="exact"/>
        <w:rPr>
          <w:highlight w:val="none"/>
        </w:rPr>
      </w:pPr>
    </w:p>
    <w:p w14:paraId="153F6CF6">
      <w:pPr>
        <w:keepLines w:val="0"/>
        <w:pageBreakBefore w:val="0"/>
        <w:kinsoku/>
        <w:wordWrap/>
        <w:overflowPunct/>
        <w:topLinePunct w:val="0"/>
        <w:bidi w:val="0"/>
        <w:spacing w:line="43" w:lineRule="exact"/>
        <w:rPr>
          <w:highlight w:val="none"/>
        </w:rPr>
      </w:pPr>
    </w:p>
    <w:p w14:paraId="7D03930E">
      <w:pPr>
        <w:keepLines w:val="0"/>
        <w:pageBreakBefore w:val="0"/>
        <w:kinsoku/>
        <w:wordWrap/>
        <w:overflowPunct/>
        <w:topLinePunct w:val="0"/>
        <w:bidi w:val="0"/>
        <w:spacing w:line="43" w:lineRule="exact"/>
        <w:rPr>
          <w:highlight w:val="none"/>
        </w:rPr>
      </w:pPr>
    </w:p>
    <w:p w14:paraId="661EA7BB">
      <w:pPr>
        <w:keepLines w:val="0"/>
        <w:pageBreakBefore w:val="0"/>
        <w:kinsoku/>
        <w:wordWrap/>
        <w:overflowPunct/>
        <w:topLinePunct w:val="0"/>
        <w:bidi w:val="0"/>
        <w:spacing w:line="43" w:lineRule="exact"/>
        <w:rPr>
          <w:highlight w:val="none"/>
        </w:rPr>
      </w:pPr>
    </w:p>
    <w:p w14:paraId="3D46AD22">
      <w:pPr>
        <w:keepLines w:val="0"/>
        <w:pageBreakBefore w:val="0"/>
        <w:kinsoku/>
        <w:wordWrap/>
        <w:overflowPunct/>
        <w:topLinePunct w:val="0"/>
        <w:bidi w:val="0"/>
        <w:spacing w:line="43" w:lineRule="exact"/>
        <w:rPr>
          <w:highlight w:val="none"/>
        </w:rPr>
      </w:pPr>
    </w:p>
    <w:p w14:paraId="57FBEEFF">
      <w:pPr>
        <w:keepLines w:val="0"/>
        <w:pageBreakBefore w:val="0"/>
        <w:kinsoku/>
        <w:wordWrap/>
        <w:overflowPunct/>
        <w:topLinePunct w:val="0"/>
        <w:bidi w:val="0"/>
        <w:spacing w:line="43" w:lineRule="exact"/>
        <w:rPr>
          <w:highlight w:val="none"/>
        </w:rPr>
      </w:pPr>
    </w:p>
    <w:p w14:paraId="0A053518">
      <w:pPr>
        <w:keepLines w:val="0"/>
        <w:pageBreakBefore w:val="0"/>
        <w:kinsoku/>
        <w:wordWrap/>
        <w:overflowPunct/>
        <w:topLinePunct w:val="0"/>
        <w:bidi w:val="0"/>
        <w:spacing w:line="43" w:lineRule="exact"/>
        <w:rPr>
          <w:highlight w:val="none"/>
        </w:rPr>
      </w:pPr>
    </w:p>
    <w:p w14:paraId="2F04311B">
      <w:pPr>
        <w:keepLines w:val="0"/>
        <w:pageBreakBefore w:val="0"/>
        <w:kinsoku/>
        <w:wordWrap/>
        <w:overflowPunct/>
        <w:topLinePunct w:val="0"/>
        <w:bidi w:val="0"/>
        <w:spacing w:line="43" w:lineRule="exact"/>
        <w:rPr>
          <w:highlight w:val="none"/>
        </w:rPr>
      </w:pPr>
    </w:p>
    <w:p w14:paraId="7DCA59A3">
      <w:pPr>
        <w:keepLines w:val="0"/>
        <w:pageBreakBefore w:val="0"/>
        <w:kinsoku/>
        <w:wordWrap/>
        <w:overflowPunct/>
        <w:topLinePunct w:val="0"/>
        <w:bidi w:val="0"/>
        <w:spacing w:line="43" w:lineRule="exact"/>
        <w:rPr>
          <w:highlight w:val="none"/>
        </w:rPr>
      </w:pPr>
    </w:p>
    <w:p w14:paraId="1EE2A787">
      <w:pPr>
        <w:keepLines w:val="0"/>
        <w:pageBreakBefore w:val="0"/>
        <w:kinsoku/>
        <w:wordWrap/>
        <w:overflowPunct/>
        <w:topLinePunct w:val="0"/>
        <w:bidi w:val="0"/>
        <w:spacing w:line="43" w:lineRule="exact"/>
        <w:rPr>
          <w:highlight w:val="none"/>
        </w:rPr>
      </w:pPr>
    </w:p>
    <w:p w14:paraId="302BB891">
      <w:pPr>
        <w:keepLines w:val="0"/>
        <w:pageBreakBefore w:val="0"/>
        <w:kinsoku/>
        <w:wordWrap/>
        <w:overflowPunct/>
        <w:topLinePunct w:val="0"/>
        <w:bidi w:val="0"/>
        <w:spacing w:line="43" w:lineRule="exact"/>
        <w:rPr>
          <w:highlight w:val="none"/>
        </w:rPr>
      </w:pPr>
    </w:p>
    <w:p w14:paraId="006CCFB2">
      <w:pPr>
        <w:keepLines w:val="0"/>
        <w:pageBreakBefore w:val="0"/>
        <w:kinsoku/>
        <w:wordWrap/>
        <w:overflowPunct/>
        <w:topLinePunct w:val="0"/>
        <w:bidi w:val="0"/>
        <w:spacing w:line="43" w:lineRule="exact"/>
        <w:rPr>
          <w:highlight w:val="none"/>
        </w:rPr>
      </w:pPr>
    </w:p>
    <w:p w14:paraId="69D219C7">
      <w:pPr>
        <w:keepLines w:val="0"/>
        <w:pageBreakBefore w:val="0"/>
        <w:kinsoku/>
        <w:wordWrap/>
        <w:overflowPunct/>
        <w:topLinePunct w:val="0"/>
        <w:bidi w:val="0"/>
        <w:spacing w:line="43" w:lineRule="exact"/>
        <w:rPr>
          <w:highlight w:val="none"/>
        </w:rPr>
      </w:pPr>
    </w:p>
    <w:p w14:paraId="604749A7">
      <w:pPr>
        <w:keepLines w:val="0"/>
        <w:pageBreakBefore w:val="0"/>
        <w:kinsoku/>
        <w:wordWrap/>
        <w:overflowPunct/>
        <w:topLinePunct w:val="0"/>
        <w:bidi w:val="0"/>
        <w:spacing w:line="43" w:lineRule="exact"/>
        <w:rPr>
          <w:highlight w:val="none"/>
        </w:rPr>
      </w:pPr>
    </w:p>
    <w:p w14:paraId="4EA42006">
      <w:pPr>
        <w:keepLines w:val="0"/>
        <w:pageBreakBefore w:val="0"/>
        <w:kinsoku/>
        <w:wordWrap/>
        <w:overflowPunct/>
        <w:topLinePunct w:val="0"/>
        <w:bidi w:val="0"/>
        <w:spacing w:line="43" w:lineRule="exact"/>
        <w:rPr>
          <w:highlight w:val="none"/>
        </w:rPr>
      </w:pPr>
    </w:p>
    <w:p w14:paraId="6B6EADC1">
      <w:pPr>
        <w:keepLines w:val="0"/>
        <w:pageBreakBefore w:val="0"/>
        <w:kinsoku/>
        <w:wordWrap/>
        <w:overflowPunct/>
        <w:topLinePunct w:val="0"/>
        <w:bidi w:val="0"/>
        <w:spacing w:line="43" w:lineRule="exact"/>
        <w:rPr>
          <w:highlight w:val="none"/>
        </w:rPr>
      </w:pPr>
    </w:p>
    <w:p w14:paraId="18BE20D2">
      <w:pPr>
        <w:keepLines w:val="0"/>
        <w:pageBreakBefore w:val="0"/>
        <w:kinsoku/>
        <w:wordWrap/>
        <w:overflowPunct/>
        <w:topLinePunct w:val="0"/>
        <w:bidi w:val="0"/>
        <w:spacing w:line="43" w:lineRule="exact"/>
        <w:rPr>
          <w:highlight w:val="none"/>
        </w:rPr>
      </w:pPr>
    </w:p>
    <w:p w14:paraId="14C82863">
      <w:pPr>
        <w:keepLines w:val="0"/>
        <w:pageBreakBefore w:val="0"/>
        <w:kinsoku/>
        <w:wordWrap/>
        <w:overflowPunct/>
        <w:topLinePunct w:val="0"/>
        <w:bidi w:val="0"/>
        <w:spacing w:line="43" w:lineRule="exact"/>
        <w:rPr>
          <w:highlight w:val="none"/>
        </w:rPr>
      </w:pPr>
    </w:p>
    <w:p w14:paraId="6469527F">
      <w:pPr>
        <w:keepLines w:val="0"/>
        <w:pageBreakBefore w:val="0"/>
        <w:kinsoku/>
        <w:wordWrap/>
        <w:overflowPunct/>
        <w:topLinePunct w:val="0"/>
        <w:bidi w:val="0"/>
        <w:spacing w:line="43" w:lineRule="exact"/>
        <w:rPr>
          <w:highlight w:val="none"/>
        </w:rPr>
      </w:pPr>
    </w:p>
    <w:p w14:paraId="7D3A9A86">
      <w:pPr>
        <w:keepLines w:val="0"/>
        <w:pageBreakBefore w:val="0"/>
        <w:kinsoku/>
        <w:wordWrap/>
        <w:overflowPunct/>
        <w:topLinePunct w:val="0"/>
        <w:bidi w:val="0"/>
        <w:spacing w:line="43" w:lineRule="exact"/>
        <w:rPr>
          <w:highlight w:val="none"/>
        </w:rPr>
      </w:pPr>
    </w:p>
    <w:p w14:paraId="18DE75FF">
      <w:pPr>
        <w:keepLines w:val="0"/>
        <w:pageBreakBefore w:val="0"/>
        <w:kinsoku/>
        <w:wordWrap/>
        <w:overflowPunct/>
        <w:topLinePunct w:val="0"/>
        <w:bidi w:val="0"/>
        <w:spacing w:line="43" w:lineRule="exact"/>
        <w:rPr>
          <w:highlight w:val="none"/>
        </w:rPr>
      </w:pPr>
    </w:p>
    <w:p w14:paraId="15E990CF">
      <w:pPr>
        <w:keepLines w:val="0"/>
        <w:pageBreakBefore w:val="0"/>
        <w:kinsoku/>
        <w:wordWrap/>
        <w:overflowPunct/>
        <w:topLinePunct w:val="0"/>
        <w:bidi w:val="0"/>
        <w:spacing w:line="43" w:lineRule="exact"/>
        <w:rPr>
          <w:highlight w:val="none"/>
        </w:rPr>
      </w:pPr>
    </w:p>
    <w:p w14:paraId="20EAFD4B">
      <w:pPr>
        <w:keepLines w:val="0"/>
        <w:pageBreakBefore w:val="0"/>
        <w:kinsoku/>
        <w:wordWrap/>
        <w:overflowPunct/>
        <w:topLinePunct w:val="0"/>
        <w:bidi w:val="0"/>
        <w:spacing w:line="43" w:lineRule="exact"/>
        <w:rPr>
          <w:highlight w:val="none"/>
        </w:rPr>
      </w:pPr>
    </w:p>
    <w:p w14:paraId="599C01EA">
      <w:pPr>
        <w:keepLines w:val="0"/>
        <w:pageBreakBefore w:val="0"/>
        <w:kinsoku/>
        <w:wordWrap/>
        <w:overflowPunct/>
        <w:topLinePunct w:val="0"/>
        <w:bidi w:val="0"/>
        <w:spacing w:line="43" w:lineRule="exact"/>
        <w:rPr>
          <w:highlight w:val="none"/>
        </w:rPr>
      </w:pPr>
    </w:p>
    <w:p w14:paraId="2AD4CE7E">
      <w:pPr>
        <w:keepLines w:val="0"/>
        <w:pageBreakBefore w:val="0"/>
        <w:kinsoku/>
        <w:wordWrap/>
        <w:overflowPunct/>
        <w:topLinePunct w:val="0"/>
        <w:bidi w:val="0"/>
        <w:spacing w:line="43" w:lineRule="exact"/>
        <w:rPr>
          <w:highlight w:val="none"/>
        </w:rPr>
      </w:pPr>
    </w:p>
    <w:p w14:paraId="0888503A">
      <w:pPr>
        <w:keepLines w:val="0"/>
        <w:pageBreakBefore w:val="0"/>
        <w:kinsoku/>
        <w:wordWrap/>
        <w:overflowPunct/>
        <w:topLinePunct w:val="0"/>
        <w:bidi w:val="0"/>
        <w:spacing w:line="43" w:lineRule="exact"/>
        <w:rPr>
          <w:highlight w:val="none"/>
        </w:rPr>
      </w:pPr>
    </w:p>
    <w:p w14:paraId="488B4852">
      <w:pPr>
        <w:keepLines w:val="0"/>
        <w:pageBreakBefore w:val="0"/>
        <w:kinsoku/>
        <w:wordWrap/>
        <w:overflowPunct/>
        <w:topLinePunct w:val="0"/>
        <w:bidi w:val="0"/>
        <w:spacing w:line="43" w:lineRule="exact"/>
        <w:rPr>
          <w:highlight w:val="none"/>
        </w:rPr>
      </w:pPr>
    </w:p>
    <w:p w14:paraId="58CDB67F">
      <w:pPr>
        <w:keepLines w:val="0"/>
        <w:pageBreakBefore w:val="0"/>
        <w:kinsoku/>
        <w:wordWrap/>
        <w:overflowPunct/>
        <w:topLinePunct w:val="0"/>
        <w:bidi w:val="0"/>
        <w:spacing w:line="43" w:lineRule="exact"/>
        <w:rPr>
          <w:highlight w:val="none"/>
        </w:rPr>
      </w:pPr>
    </w:p>
    <w:p w14:paraId="350D7347">
      <w:pPr>
        <w:keepLines w:val="0"/>
        <w:pageBreakBefore w:val="0"/>
        <w:kinsoku/>
        <w:wordWrap/>
        <w:overflowPunct/>
        <w:topLinePunct w:val="0"/>
        <w:bidi w:val="0"/>
        <w:spacing w:line="43" w:lineRule="exact"/>
        <w:rPr>
          <w:highlight w:val="none"/>
        </w:rPr>
      </w:pPr>
    </w:p>
    <w:p w14:paraId="29A03CB6">
      <w:pPr>
        <w:keepLines w:val="0"/>
        <w:pageBreakBefore w:val="0"/>
        <w:kinsoku/>
        <w:wordWrap/>
        <w:overflowPunct/>
        <w:topLinePunct w:val="0"/>
        <w:bidi w:val="0"/>
        <w:spacing w:line="43" w:lineRule="exact"/>
        <w:rPr>
          <w:highlight w:val="none"/>
        </w:rPr>
      </w:pPr>
    </w:p>
    <w:p w14:paraId="204A48A7">
      <w:pPr>
        <w:keepLines w:val="0"/>
        <w:pageBreakBefore w:val="0"/>
        <w:kinsoku/>
        <w:wordWrap/>
        <w:overflowPunct/>
        <w:topLinePunct w:val="0"/>
        <w:bidi w:val="0"/>
        <w:spacing w:line="43" w:lineRule="exact"/>
        <w:rPr>
          <w:highlight w:val="none"/>
        </w:rPr>
      </w:pPr>
    </w:p>
    <w:p w14:paraId="3A0E99C9">
      <w:pPr>
        <w:keepLines w:val="0"/>
        <w:pageBreakBefore w:val="0"/>
        <w:kinsoku/>
        <w:wordWrap/>
        <w:overflowPunct/>
        <w:topLinePunct w:val="0"/>
        <w:bidi w:val="0"/>
        <w:spacing w:line="43" w:lineRule="exact"/>
        <w:rPr>
          <w:highlight w:val="none"/>
        </w:rPr>
      </w:pPr>
    </w:p>
    <w:p w14:paraId="7B0EEE95">
      <w:pPr>
        <w:keepLines w:val="0"/>
        <w:pageBreakBefore w:val="0"/>
        <w:kinsoku/>
        <w:wordWrap/>
        <w:overflowPunct/>
        <w:topLinePunct w:val="0"/>
        <w:bidi w:val="0"/>
        <w:spacing w:line="43" w:lineRule="exact"/>
        <w:rPr>
          <w:highlight w:val="none"/>
        </w:rPr>
      </w:pPr>
    </w:p>
    <w:p w14:paraId="036FDB81">
      <w:pPr>
        <w:keepLines w:val="0"/>
        <w:pageBreakBefore w:val="0"/>
        <w:kinsoku/>
        <w:wordWrap/>
        <w:overflowPunct/>
        <w:topLinePunct w:val="0"/>
        <w:bidi w:val="0"/>
        <w:spacing w:line="43" w:lineRule="exact"/>
        <w:rPr>
          <w:highlight w:val="none"/>
        </w:rPr>
      </w:pPr>
    </w:p>
    <w:p w14:paraId="45222B26">
      <w:pPr>
        <w:keepLines w:val="0"/>
        <w:pageBreakBefore w:val="0"/>
        <w:kinsoku/>
        <w:wordWrap/>
        <w:overflowPunct/>
        <w:topLinePunct w:val="0"/>
        <w:bidi w:val="0"/>
        <w:spacing w:line="43" w:lineRule="exact"/>
        <w:rPr>
          <w:highlight w:val="none"/>
        </w:rPr>
      </w:pPr>
    </w:p>
    <w:p w14:paraId="00A48E76">
      <w:pPr>
        <w:keepLines w:val="0"/>
        <w:pageBreakBefore w:val="0"/>
        <w:kinsoku/>
        <w:wordWrap/>
        <w:overflowPunct/>
        <w:topLinePunct w:val="0"/>
        <w:bidi w:val="0"/>
        <w:spacing w:line="43" w:lineRule="exact"/>
        <w:rPr>
          <w:highlight w:val="none"/>
        </w:rPr>
      </w:pPr>
    </w:p>
    <w:p w14:paraId="2B33BCB0">
      <w:pPr>
        <w:keepLines w:val="0"/>
        <w:pageBreakBefore w:val="0"/>
        <w:kinsoku/>
        <w:wordWrap/>
        <w:overflowPunct/>
        <w:topLinePunct w:val="0"/>
        <w:bidi w:val="0"/>
        <w:spacing w:line="43" w:lineRule="exact"/>
        <w:rPr>
          <w:highlight w:val="none"/>
        </w:rPr>
      </w:pPr>
    </w:p>
    <w:p w14:paraId="6FD8D321">
      <w:pPr>
        <w:keepLines w:val="0"/>
        <w:pageBreakBefore w:val="0"/>
        <w:kinsoku/>
        <w:wordWrap/>
        <w:overflowPunct/>
        <w:topLinePunct w:val="0"/>
        <w:bidi w:val="0"/>
        <w:spacing w:line="43" w:lineRule="exact"/>
        <w:rPr>
          <w:highlight w:val="none"/>
        </w:rPr>
      </w:pPr>
    </w:p>
    <w:p w14:paraId="019612F9">
      <w:pPr>
        <w:keepLines w:val="0"/>
        <w:pageBreakBefore w:val="0"/>
        <w:kinsoku/>
        <w:wordWrap/>
        <w:overflowPunct/>
        <w:topLinePunct w:val="0"/>
        <w:bidi w:val="0"/>
        <w:spacing w:line="43" w:lineRule="exact"/>
        <w:rPr>
          <w:highlight w:val="none"/>
        </w:rPr>
      </w:pPr>
    </w:p>
    <w:p w14:paraId="04D21C02">
      <w:pPr>
        <w:keepLines w:val="0"/>
        <w:pageBreakBefore w:val="0"/>
        <w:kinsoku/>
        <w:wordWrap/>
        <w:overflowPunct/>
        <w:topLinePunct w:val="0"/>
        <w:bidi w:val="0"/>
        <w:spacing w:line="43" w:lineRule="exact"/>
        <w:rPr>
          <w:highlight w:val="none"/>
        </w:rPr>
      </w:pPr>
    </w:p>
    <w:p w14:paraId="3E00A784">
      <w:pPr>
        <w:keepLines w:val="0"/>
        <w:pageBreakBefore w:val="0"/>
        <w:kinsoku/>
        <w:wordWrap/>
        <w:overflowPunct/>
        <w:topLinePunct w:val="0"/>
        <w:bidi w:val="0"/>
        <w:spacing w:line="43" w:lineRule="exact"/>
        <w:rPr>
          <w:highlight w:val="none"/>
        </w:rPr>
      </w:pPr>
    </w:p>
    <w:p w14:paraId="2E62301D">
      <w:pPr>
        <w:keepLines w:val="0"/>
        <w:pageBreakBefore w:val="0"/>
        <w:kinsoku/>
        <w:wordWrap/>
        <w:overflowPunct/>
        <w:topLinePunct w:val="0"/>
        <w:bidi w:val="0"/>
        <w:spacing w:line="43" w:lineRule="exact"/>
        <w:rPr>
          <w:highlight w:val="none"/>
        </w:rPr>
      </w:pPr>
    </w:p>
    <w:p w14:paraId="16C63DD7">
      <w:pPr>
        <w:keepLines w:val="0"/>
        <w:pageBreakBefore w:val="0"/>
        <w:kinsoku/>
        <w:wordWrap/>
        <w:overflowPunct/>
        <w:topLinePunct w:val="0"/>
        <w:bidi w:val="0"/>
        <w:spacing w:line="43" w:lineRule="exact"/>
        <w:rPr>
          <w:highlight w:val="none"/>
        </w:rPr>
      </w:pPr>
    </w:p>
    <w:p w14:paraId="24FD7BAD">
      <w:pPr>
        <w:keepLines w:val="0"/>
        <w:pageBreakBefore w:val="0"/>
        <w:kinsoku/>
        <w:wordWrap/>
        <w:overflowPunct/>
        <w:topLinePunct w:val="0"/>
        <w:bidi w:val="0"/>
        <w:spacing w:line="43" w:lineRule="exact"/>
        <w:rPr>
          <w:highlight w:val="none"/>
        </w:rPr>
      </w:pPr>
    </w:p>
    <w:p w14:paraId="3FD4249A">
      <w:pPr>
        <w:keepLines w:val="0"/>
        <w:pageBreakBefore w:val="0"/>
        <w:kinsoku/>
        <w:wordWrap/>
        <w:overflowPunct/>
        <w:topLinePunct w:val="0"/>
        <w:bidi w:val="0"/>
        <w:spacing w:line="43" w:lineRule="exact"/>
        <w:rPr>
          <w:highlight w:val="none"/>
        </w:rPr>
      </w:pPr>
    </w:p>
    <w:p w14:paraId="2A53A778">
      <w:pPr>
        <w:keepLines w:val="0"/>
        <w:pageBreakBefore w:val="0"/>
        <w:kinsoku/>
        <w:wordWrap/>
        <w:overflowPunct/>
        <w:topLinePunct w:val="0"/>
        <w:bidi w:val="0"/>
        <w:spacing w:line="43" w:lineRule="exact"/>
        <w:rPr>
          <w:highlight w:val="none"/>
        </w:rPr>
      </w:pPr>
    </w:p>
    <w:p w14:paraId="045A400D">
      <w:pPr>
        <w:keepLines w:val="0"/>
        <w:pageBreakBefore w:val="0"/>
        <w:kinsoku/>
        <w:wordWrap/>
        <w:overflowPunct/>
        <w:topLinePunct w:val="0"/>
        <w:bidi w:val="0"/>
        <w:spacing w:line="43" w:lineRule="exact"/>
        <w:rPr>
          <w:highlight w:val="none"/>
        </w:rPr>
      </w:pPr>
    </w:p>
    <w:p w14:paraId="06675DEF">
      <w:pPr>
        <w:keepLines w:val="0"/>
        <w:pageBreakBefore w:val="0"/>
        <w:kinsoku/>
        <w:wordWrap/>
        <w:overflowPunct/>
        <w:topLinePunct w:val="0"/>
        <w:bidi w:val="0"/>
        <w:spacing w:line="43" w:lineRule="exact"/>
        <w:rPr>
          <w:highlight w:val="none"/>
        </w:rPr>
      </w:pPr>
    </w:p>
    <w:p w14:paraId="59F476C6">
      <w:pPr>
        <w:keepLines w:val="0"/>
        <w:pageBreakBefore w:val="0"/>
        <w:kinsoku/>
        <w:wordWrap/>
        <w:overflowPunct/>
        <w:topLinePunct w:val="0"/>
        <w:bidi w:val="0"/>
        <w:spacing w:line="43" w:lineRule="exact"/>
        <w:rPr>
          <w:highlight w:val="none"/>
        </w:rPr>
      </w:pPr>
    </w:p>
    <w:p w14:paraId="0C4CCBA6">
      <w:pPr>
        <w:keepLines w:val="0"/>
        <w:pageBreakBefore w:val="0"/>
        <w:kinsoku/>
        <w:wordWrap/>
        <w:overflowPunct/>
        <w:topLinePunct w:val="0"/>
        <w:bidi w:val="0"/>
        <w:spacing w:line="43" w:lineRule="exact"/>
        <w:rPr>
          <w:highlight w:val="none"/>
        </w:rPr>
      </w:pPr>
    </w:p>
    <w:p w14:paraId="491F87E7">
      <w:pPr>
        <w:keepLines w:val="0"/>
        <w:pageBreakBefore w:val="0"/>
        <w:kinsoku/>
        <w:wordWrap/>
        <w:overflowPunct/>
        <w:topLinePunct w:val="0"/>
        <w:bidi w:val="0"/>
        <w:spacing w:line="43" w:lineRule="exact"/>
        <w:rPr>
          <w:highlight w:val="none"/>
        </w:rPr>
      </w:pPr>
    </w:p>
    <w:p w14:paraId="3DE87044">
      <w:pPr>
        <w:keepLines w:val="0"/>
        <w:pageBreakBefore w:val="0"/>
        <w:kinsoku/>
        <w:wordWrap/>
        <w:overflowPunct/>
        <w:topLinePunct w:val="0"/>
        <w:bidi w:val="0"/>
        <w:spacing w:line="43" w:lineRule="exact"/>
        <w:rPr>
          <w:highlight w:val="none"/>
        </w:rPr>
      </w:pPr>
    </w:p>
    <w:p w14:paraId="3A3F5CA7">
      <w:pPr>
        <w:keepLines w:val="0"/>
        <w:pageBreakBefore w:val="0"/>
        <w:kinsoku/>
        <w:wordWrap/>
        <w:overflowPunct/>
        <w:topLinePunct w:val="0"/>
        <w:bidi w:val="0"/>
        <w:spacing w:line="43" w:lineRule="exact"/>
        <w:rPr>
          <w:highlight w:val="none"/>
        </w:rPr>
      </w:pPr>
    </w:p>
    <w:p w14:paraId="7FEC27A7">
      <w:pPr>
        <w:keepLines w:val="0"/>
        <w:pageBreakBefore w:val="0"/>
        <w:kinsoku/>
        <w:wordWrap/>
        <w:overflowPunct/>
        <w:topLinePunct w:val="0"/>
        <w:bidi w:val="0"/>
        <w:spacing w:line="43" w:lineRule="exact"/>
        <w:rPr>
          <w:highlight w:val="none"/>
        </w:rPr>
      </w:pPr>
    </w:p>
    <w:p w14:paraId="33D90EFA">
      <w:pPr>
        <w:keepLines w:val="0"/>
        <w:pageBreakBefore w:val="0"/>
        <w:kinsoku/>
        <w:wordWrap/>
        <w:overflowPunct/>
        <w:topLinePunct w:val="0"/>
        <w:bidi w:val="0"/>
        <w:spacing w:line="43" w:lineRule="exact"/>
        <w:rPr>
          <w:highlight w:val="none"/>
        </w:rPr>
      </w:pPr>
    </w:p>
    <w:p w14:paraId="5FDBF4AC">
      <w:pPr>
        <w:keepLines w:val="0"/>
        <w:pageBreakBefore w:val="0"/>
        <w:kinsoku/>
        <w:wordWrap/>
        <w:overflowPunct/>
        <w:topLinePunct w:val="0"/>
        <w:bidi w:val="0"/>
        <w:spacing w:line="43" w:lineRule="exact"/>
        <w:rPr>
          <w:highlight w:val="none"/>
        </w:rPr>
      </w:pPr>
    </w:p>
    <w:p w14:paraId="2A4136B3">
      <w:pPr>
        <w:keepLines w:val="0"/>
        <w:pageBreakBefore w:val="0"/>
        <w:kinsoku/>
        <w:wordWrap/>
        <w:overflowPunct/>
        <w:topLinePunct w:val="0"/>
        <w:bidi w:val="0"/>
        <w:spacing w:line="43" w:lineRule="exact"/>
        <w:rPr>
          <w:highlight w:val="none"/>
        </w:rPr>
      </w:pPr>
    </w:p>
    <w:p w14:paraId="17FF7855">
      <w:pPr>
        <w:keepLines w:val="0"/>
        <w:pageBreakBefore w:val="0"/>
        <w:kinsoku/>
        <w:wordWrap/>
        <w:overflowPunct/>
        <w:topLinePunct w:val="0"/>
        <w:bidi w:val="0"/>
        <w:spacing w:line="43" w:lineRule="exact"/>
        <w:rPr>
          <w:highlight w:val="none"/>
        </w:rPr>
      </w:pPr>
    </w:p>
    <w:p w14:paraId="108182FB">
      <w:pPr>
        <w:keepLines w:val="0"/>
        <w:pageBreakBefore w:val="0"/>
        <w:kinsoku/>
        <w:wordWrap/>
        <w:overflowPunct/>
        <w:topLinePunct w:val="0"/>
        <w:bidi w:val="0"/>
        <w:spacing w:line="43" w:lineRule="exact"/>
        <w:rPr>
          <w:highlight w:val="none"/>
        </w:rPr>
      </w:pPr>
    </w:p>
    <w:p w14:paraId="66563B60">
      <w:pPr>
        <w:keepLines w:val="0"/>
        <w:pageBreakBefore w:val="0"/>
        <w:kinsoku/>
        <w:wordWrap/>
        <w:overflowPunct/>
        <w:topLinePunct w:val="0"/>
        <w:bidi w:val="0"/>
        <w:spacing w:line="43" w:lineRule="exact"/>
        <w:rPr>
          <w:highlight w:val="none"/>
        </w:rPr>
      </w:pPr>
    </w:p>
    <w:p w14:paraId="02AEA344">
      <w:pPr>
        <w:keepLines w:val="0"/>
        <w:pageBreakBefore w:val="0"/>
        <w:kinsoku/>
        <w:wordWrap/>
        <w:overflowPunct/>
        <w:topLinePunct w:val="0"/>
        <w:bidi w:val="0"/>
        <w:spacing w:line="43" w:lineRule="exact"/>
        <w:rPr>
          <w:highlight w:val="none"/>
        </w:rPr>
      </w:pPr>
    </w:p>
    <w:p w14:paraId="01EAA0FA">
      <w:pPr>
        <w:keepLines w:val="0"/>
        <w:pageBreakBefore w:val="0"/>
        <w:kinsoku/>
        <w:wordWrap/>
        <w:overflowPunct/>
        <w:topLinePunct w:val="0"/>
        <w:bidi w:val="0"/>
        <w:spacing w:line="43" w:lineRule="exact"/>
        <w:rPr>
          <w:highlight w:val="none"/>
        </w:rPr>
      </w:pPr>
    </w:p>
    <w:p w14:paraId="3D6AAA97">
      <w:pPr>
        <w:keepLines w:val="0"/>
        <w:pageBreakBefore w:val="0"/>
        <w:kinsoku/>
        <w:wordWrap/>
        <w:overflowPunct/>
        <w:topLinePunct w:val="0"/>
        <w:bidi w:val="0"/>
        <w:spacing w:line="43" w:lineRule="exact"/>
        <w:rPr>
          <w:highlight w:val="none"/>
        </w:rPr>
      </w:pPr>
    </w:p>
    <w:p w14:paraId="129142F1">
      <w:pPr>
        <w:keepLines w:val="0"/>
        <w:pageBreakBefore w:val="0"/>
        <w:kinsoku/>
        <w:wordWrap/>
        <w:overflowPunct/>
        <w:topLinePunct w:val="0"/>
        <w:bidi w:val="0"/>
        <w:spacing w:line="43" w:lineRule="exact"/>
        <w:rPr>
          <w:highlight w:val="none"/>
        </w:rPr>
      </w:pPr>
    </w:p>
    <w:p w14:paraId="7B70D654">
      <w:pPr>
        <w:keepLines w:val="0"/>
        <w:pageBreakBefore w:val="0"/>
        <w:kinsoku/>
        <w:wordWrap/>
        <w:overflowPunct/>
        <w:topLinePunct w:val="0"/>
        <w:bidi w:val="0"/>
        <w:spacing w:line="43" w:lineRule="exact"/>
        <w:rPr>
          <w:highlight w:val="none"/>
        </w:rPr>
      </w:pPr>
    </w:p>
    <w:p w14:paraId="6168BBF5">
      <w:pPr>
        <w:keepLines w:val="0"/>
        <w:pageBreakBefore w:val="0"/>
        <w:kinsoku/>
        <w:wordWrap/>
        <w:overflowPunct/>
        <w:topLinePunct w:val="0"/>
        <w:bidi w:val="0"/>
        <w:spacing w:line="43" w:lineRule="exact"/>
        <w:rPr>
          <w:highlight w:val="none"/>
        </w:rPr>
      </w:pPr>
    </w:p>
    <w:p w14:paraId="0E951BF4">
      <w:pPr>
        <w:keepLines w:val="0"/>
        <w:pageBreakBefore w:val="0"/>
        <w:kinsoku/>
        <w:wordWrap/>
        <w:overflowPunct/>
        <w:topLinePunct w:val="0"/>
        <w:bidi w:val="0"/>
        <w:spacing w:line="43" w:lineRule="exact"/>
        <w:rPr>
          <w:highlight w:val="none"/>
        </w:rPr>
      </w:pPr>
    </w:p>
    <w:p w14:paraId="77E5B0FE">
      <w:pPr>
        <w:keepLines w:val="0"/>
        <w:pageBreakBefore w:val="0"/>
        <w:kinsoku/>
        <w:wordWrap/>
        <w:overflowPunct/>
        <w:topLinePunct w:val="0"/>
        <w:bidi w:val="0"/>
        <w:spacing w:line="43" w:lineRule="exact"/>
        <w:rPr>
          <w:highlight w:val="none"/>
        </w:rPr>
      </w:pPr>
    </w:p>
    <w:p w14:paraId="3A1CDBE6">
      <w:pPr>
        <w:keepLines w:val="0"/>
        <w:pageBreakBefore w:val="0"/>
        <w:kinsoku/>
        <w:wordWrap/>
        <w:overflowPunct/>
        <w:topLinePunct w:val="0"/>
        <w:bidi w:val="0"/>
        <w:spacing w:line="43" w:lineRule="exact"/>
        <w:rPr>
          <w:highlight w:val="none"/>
        </w:rPr>
      </w:pPr>
    </w:p>
    <w:p w14:paraId="734FF732">
      <w:pPr>
        <w:keepLines w:val="0"/>
        <w:pageBreakBefore w:val="0"/>
        <w:kinsoku/>
        <w:wordWrap/>
        <w:overflowPunct/>
        <w:topLinePunct w:val="0"/>
        <w:bidi w:val="0"/>
        <w:spacing w:line="43" w:lineRule="exact"/>
        <w:rPr>
          <w:highlight w:val="none"/>
        </w:rPr>
      </w:pPr>
    </w:p>
    <w:p w14:paraId="1D49FE8B">
      <w:pPr>
        <w:keepLines w:val="0"/>
        <w:pageBreakBefore w:val="0"/>
        <w:kinsoku/>
        <w:wordWrap/>
        <w:overflowPunct/>
        <w:topLinePunct w:val="0"/>
        <w:bidi w:val="0"/>
        <w:spacing w:line="43" w:lineRule="exact"/>
        <w:rPr>
          <w:highlight w:val="none"/>
        </w:rPr>
      </w:pPr>
    </w:p>
    <w:p w14:paraId="1D252E79">
      <w:pPr>
        <w:keepLines w:val="0"/>
        <w:pageBreakBefore w:val="0"/>
        <w:kinsoku/>
        <w:wordWrap/>
        <w:overflowPunct/>
        <w:topLinePunct w:val="0"/>
        <w:bidi w:val="0"/>
        <w:spacing w:line="43" w:lineRule="exact"/>
        <w:rPr>
          <w:highlight w:val="none"/>
        </w:rPr>
      </w:pPr>
    </w:p>
    <w:p w14:paraId="16083F3B">
      <w:pPr>
        <w:keepLines w:val="0"/>
        <w:pageBreakBefore w:val="0"/>
        <w:kinsoku/>
        <w:wordWrap/>
        <w:overflowPunct/>
        <w:topLinePunct w:val="0"/>
        <w:bidi w:val="0"/>
        <w:spacing w:line="43" w:lineRule="exact"/>
        <w:rPr>
          <w:highlight w:val="none"/>
        </w:rPr>
      </w:pPr>
    </w:p>
    <w:p w14:paraId="7D3937F7">
      <w:pPr>
        <w:keepLines w:val="0"/>
        <w:pageBreakBefore w:val="0"/>
        <w:kinsoku/>
        <w:wordWrap/>
        <w:overflowPunct/>
        <w:topLinePunct w:val="0"/>
        <w:bidi w:val="0"/>
        <w:spacing w:line="43" w:lineRule="exact"/>
        <w:rPr>
          <w:highlight w:val="none"/>
        </w:rPr>
      </w:pPr>
    </w:p>
    <w:p w14:paraId="46E8BC9B">
      <w:pPr>
        <w:keepLines w:val="0"/>
        <w:pageBreakBefore w:val="0"/>
        <w:kinsoku/>
        <w:wordWrap/>
        <w:overflowPunct/>
        <w:topLinePunct w:val="0"/>
        <w:bidi w:val="0"/>
        <w:spacing w:line="43" w:lineRule="exact"/>
        <w:rPr>
          <w:highlight w:val="none"/>
        </w:rPr>
      </w:pPr>
    </w:p>
    <w:p w14:paraId="22DA293E">
      <w:pPr>
        <w:keepLines w:val="0"/>
        <w:pageBreakBefore w:val="0"/>
        <w:kinsoku/>
        <w:wordWrap/>
        <w:overflowPunct/>
        <w:topLinePunct w:val="0"/>
        <w:bidi w:val="0"/>
        <w:spacing w:line="43" w:lineRule="exact"/>
        <w:rPr>
          <w:highlight w:val="none"/>
        </w:rPr>
      </w:pPr>
    </w:p>
    <w:p w14:paraId="0CE92659">
      <w:pPr>
        <w:keepLines w:val="0"/>
        <w:pageBreakBefore w:val="0"/>
        <w:kinsoku/>
        <w:wordWrap/>
        <w:overflowPunct/>
        <w:topLinePunct w:val="0"/>
        <w:bidi w:val="0"/>
        <w:spacing w:line="43" w:lineRule="exact"/>
        <w:rPr>
          <w:highlight w:val="none"/>
        </w:rPr>
      </w:pPr>
    </w:p>
    <w:p w14:paraId="0B9CCB1F">
      <w:pPr>
        <w:keepLines w:val="0"/>
        <w:pageBreakBefore w:val="0"/>
        <w:kinsoku/>
        <w:wordWrap/>
        <w:overflowPunct/>
        <w:topLinePunct w:val="0"/>
        <w:bidi w:val="0"/>
        <w:spacing w:line="43" w:lineRule="exact"/>
        <w:rPr>
          <w:highlight w:val="none"/>
        </w:rPr>
      </w:pPr>
    </w:p>
    <w:p w14:paraId="06EB4B2A">
      <w:pPr>
        <w:keepLines w:val="0"/>
        <w:pageBreakBefore w:val="0"/>
        <w:kinsoku/>
        <w:wordWrap/>
        <w:overflowPunct/>
        <w:topLinePunct w:val="0"/>
        <w:bidi w:val="0"/>
        <w:spacing w:line="43" w:lineRule="exact"/>
        <w:rPr>
          <w:highlight w:val="none"/>
        </w:rPr>
      </w:pPr>
    </w:p>
    <w:p w14:paraId="11EE3F25">
      <w:pPr>
        <w:keepLines w:val="0"/>
        <w:pageBreakBefore w:val="0"/>
        <w:kinsoku/>
        <w:wordWrap/>
        <w:overflowPunct/>
        <w:topLinePunct w:val="0"/>
        <w:bidi w:val="0"/>
        <w:spacing w:line="43" w:lineRule="exact"/>
        <w:rPr>
          <w:highlight w:val="none"/>
        </w:rPr>
      </w:pPr>
    </w:p>
    <w:p w14:paraId="470378AD">
      <w:pPr>
        <w:keepLines w:val="0"/>
        <w:pageBreakBefore w:val="0"/>
        <w:kinsoku/>
        <w:wordWrap/>
        <w:overflowPunct/>
        <w:topLinePunct w:val="0"/>
        <w:bidi w:val="0"/>
        <w:spacing w:line="43" w:lineRule="exact"/>
        <w:rPr>
          <w:highlight w:val="none"/>
        </w:rPr>
      </w:pPr>
    </w:p>
    <w:p w14:paraId="170CA86C">
      <w:pPr>
        <w:keepLines w:val="0"/>
        <w:pageBreakBefore w:val="0"/>
        <w:kinsoku/>
        <w:wordWrap/>
        <w:overflowPunct/>
        <w:topLinePunct w:val="0"/>
        <w:bidi w:val="0"/>
        <w:spacing w:line="43" w:lineRule="exact"/>
        <w:rPr>
          <w:highlight w:val="none"/>
        </w:rPr>
      </w:pPr>
    </w:p>
    <w:p w14:paraId="4FB722AE">
      <w:pPr>
        <w:keepLines w:val="0"/>
        <w:pageBreakBefore w:val="0"/>
        <w:kinsoku/>
        <w:wordWrap/>
        <w:overflowPunct/>
        <w:topLinePunct w:val="0"/>
        <w:bidi w:val="0"/>
        <w:spacing w:line="43" w:lineRule="exact"/>
        <w:rPr>
          <w:highlight w:val="none"/>
        </w:rPr>
      </w:pPr>
    </w:p>
    <w:p w14:paraId="0C07BE25">
      <w:pPr>
        <w:keepLines w:val="0"/>
        <w:pageBreakBefore w:val="0"/>
        <w:kinsoku/>
        <w:wordWrap/>
        <w:overflowPunct/>
        <w:topLinePunct w:val="0"/>
        <w:bidi w:val="0"/>
        <w:spacing w:line="43" w:lineRule="exact"/>
        <w:rPr>
          <w:highlight w:val="none"/>
        </w:rPr>
      </w:pPr>
    </w:p>
    <w:p w14:paraId="2F5D7C05">
      <w:pPr>
        <w:keepLines w:val="0"/>
        <w:pageBreakBefore w:val="0"/>
        <w:kinsoku/>
        <w:wordWrap/>
        <w:overflowPunct/>
        <w:topLinePunct w:val="0"/>
        <w:bidi w:val="0"/>
        <w:spacing w:line="43" w:lineRule="exact"/>
        <w:rPr>
          <w:highlight w:val="none"/>
        </w:rPr>
      </w:pPr>
    </w:p>
    <w:p w14:paraId="7D3BE6CC">
      <w:pPr>
        <w:keepLines w:val="0"/>
        <w:pageBreakBefore w:val="0"/>
        <w:kinsoku/>
        <w:wordWrap/>
        <w:overflowPunct/>
        <w:topLinePunct w:val="0"/>
        <w:bidi w:val="0"/>
        <w:spacing w:line="43" w:lineRule="exact"/>
        <w:rPr>
          <w:highlight w:val="none"/>
        </w:rPr>
      </w:pPr>
    </w:p>
    <w:p w14:paraId="679E09EF">
      <w:pPr>
        <w:keepLines w:val="0"/>
        <w:pageBreakBefore w:val="0"/>
        <w:kinsoku/>
        <w:wordWrap/>
        <w:overflowPunct/>
        <w:topLinePunct w:val="0"/>
        <w:bidi w:val="0"/>
        <w:spacing w:line="43" w:lineRule="exact"/>
        <w:rPr>
          <w:highlight w:val="none"/>
        </w:rPr>
      </w:pPr>
    </w:p>
    <w:p w14:paraId="7661E8C9">
      <w:pPr>
        <w:keepLines w:val="0"/>
        <w:pageBreakBefore w:val="0"/>
        <w:kinsoku/>
        <w:wordWrap/>
        <w:overflowPunct/>
        <w:topLinePunct w:val="0"/>
        <w:bidi w:val="0"/>
        <w:spacing w:line="43" w:lineRule="exact"/>
        <w:rPr>
          <w:highlight w:val="none"/>
        </w:rPr>
      </w:pPr>
    </w:p>
    <w:p w14:paraId="0F1FA7DA">
      <w:pPr>
        <w:keepLines w:val="0"/>
        <w:pageBreakBefore w:val="0"/>
        <w:kinsoku/>
        <w:wordWrap/>
        <w:overflowPunct/>
        <w:topLinePunct w:val="0"/>
        <w:bidi w:val="0"/>
        <w:spacing w:line="43" w:lineRule="exact"/>
        <w:rPr>
          <w:highlight w:val="none"/>
        </w:rPr>
      </w:pPr>
    </w:p>
    <w:p w14:paraId="6F246745">
      <w:pPr>
        <w:keepLines w:val="0"/>
        <w:pageBreakBefore w:val="0"/>
        <w:kinsoku/>
        <w:wordWrap/>
        <w:overflowPunct/>
        <w:topLinePunct w:val="0"/>
        <w:bidi w:val="0"/>
        <w:spacing w:line="43" w:lineRule="exact"/>
        <w:rPr>
          <w:highlight w:val="none"/>
        </w:rPr>
      </w:pPr>
    </w:p>
    <w:p w14:paraId="08E9641F">
      <w:pPr>
        <w:keepLines w:val="0"/>
        <w:pageBreakBefore w:val="0"/>
        <w:kinsoku/>
        <w:wordWrap/>
        <w:overflowPunct/>
        <w:topLinePunct w:val="0"/>
        <w:bidi w:val="0"/>
        <w:spacing w:line="43" w:lineRule="exact"/>
        <w:rPr>
          <w:highlight w:val="none"/>
        </w:rPr>
      </w:pPr>
    </w:p>
    <w:p w14:paraId="79BBE20E">
      <w:pPr>
        <w:keepLines w:val="0"/>
        <w:pageBreakBefore w:val="0"/>
        <w:kinsoku/>
        <w:wordWrap/>
        <w:overflowPunct/>
        <w:topLinePunct w:val="0"/>
        <w:bidi w:val="0"/>
        <w:spacing w:line="43" w:lineRule="exact"/>
        <w:rPr>
          <w:highlight w:val="none"/>
        </w:rPr>
      </w:pPr>
    </w:p>
    <w:p w14:paraId="095FABE2">
      <w:pPr>
        <w:keepLines w:val="0"/>
        <w:pageBreakBefore w:val="0"/>
        <w:kinsoku/>
        <w:wordWrap/>
        <w:overflowPunct/>
        <w:topLinePunct w:val="0"/>
        <w:bidi w:val="0"/>
        <w:spacing w:line="43" w:lineRule="exact"/>
        <w:rPr>
          <w:highlight w:val="none"/>
        </w:rPr>
      </w:pPr>
    </w:p>
    <w:p w14:paraId="4F94B0D4">
      <w:pPr>
        <w:keepLines w:val="0"/>
        <w:pageBreakBefore w:val="0"/>
        <w:kinsoku/>
        <w:wordWrap/>
        <w:overflowPunct/>
        <w:topLinePunct w:val="0"/>
        <w:bidi w:val="0"/>
        <w:spacing w:line="43" w:lineRule="exact"/>
        <w:rPr>
          <w:highlight w:val="none"/>
        </w:rPr>
      </w:pPr>
    </w:p>
    <w:p w14:paraId="3BA4A205">
      <w:pPr>
        <w:keepLines w:val="0"/>
        <w:pageBreakBefore w:val="0"/>
        <w:kinsoku/>
        <w:wordWrap/>
        <w:overflowPunct/>
        <w:topLinePunct w:val="0"/>
        <w:bidi w:val="0"/>
        <w:spacing w:line="43" w:lineRule="exact"/>
        <w:rPr>
          <w:highlight w:val="none"/>
        </w:rPr>
      </w:pPr>
    </w:p>
    <w:p w14:paraId="68649E21">
      <w:pPr>
        <w:keepLines w:val="0"/>
        <w:pageBreakBefore w:val="0"/>
        <w:kinsoku/>
        <w:wordWrap/>
        <w:overflowPunct/>
        <w:topLinePunct w:val="0"/>
        <w:bidi w:val="0"/>
        <w:spacing w:line="43" w:lineRule="exact"/>
        <w:rPr>
          <w:highlight w:val="none"/>
        </w:rPr>
      </w:pPr>
    </w:p>
    <w:p w14:paraId="2013783D">
      <w:pPr>
        <w:keepLines w:val="0"/>
        <w:pageBreakBefore w:val="0"/>
        <w:kinsoku/>
        <w:wordWrap/>
        <w:overflowPunct/>
        <w:topLinePunct w:val="0"/>
        <w:bidi w:val="0"/>
        <w:spacing w:line="43" w:lineRule="exact"/>
        <w:rPr>
          <w:highlight w:val="none"/>
        </w:rPr>
      </w:pPr>
    </w:p>
    <w:p w14:paraId="20C6732A">
      <w:pPr>
        <w:keepLines w:val="0"/>
        <w:pageBreakBefore w:val="0"/>
        <w:kinsoku/>
        <w:wordWrap/>
        <w:overflowPunct/>
        <w:topLinePunct w:val="0"/>
        <w:bidi w:val="0"/>
        <w:spacing w:line="43" w:lineRule="exact"/>
        <w:rPr>
          <w:highlight w:val="none"/>
        </w:rPr>
      </w:pPr>
    </w:p>
    <w:p w14:paraId="27500F16">
      <w:pPr>
        <w:keepLines w:val="0"/>
        <w:pageBreakBefore w:val="0"/>
        <w:kinsoku/>
        <w:wordWrap/>
        <w:overflowPunct/>
        <w:topLinePunct w:val="0"/>
        <w:bidi w:val="0"/>
        <w:spacing w:line="43" w:lineRule="exact"/>
        <w:rPr>
          <w:highlight w:val="none"/>
        </w:rPr>
      </w:pPr>
    </w:p>
    <w:p w14:paraId="556382C0">
      <w:pPr>
        <w:keepLines w:val="0"/>
        <w:pageBreakBefore w:val="0"/>
        <w:kinsoku/>
        <w:wordWrap/>
        <w:overflowPunct/>
        <w:topLinePunct w:val="0"/>
        <w:bidi w:val="0"/>
        <w:spacing w:line="43" w:lineRule="exact"/>
        <w:rPr>
          <w:highlight w:val="none"/>
        </w:rPr>
      </w:pPr>
    </w:p>
    <w:p w14:paraId="17B7EE38">
      <w:pPr>
        <w:keepLines w:val="0"/>
        <w:pageBreakBefore w:val="0"/>
        <w:kinsoku/>
        <w:wordWrap/>
        <w:overflowPunct/>
        <w:topLinePunct w:val="0"/>
        <w:bidi w:val="0"/>
        <w:spacing w:line="43" w:lineRule="exact"/>
        <w:rPr>
          <w:highlight w:val="none"/>
        </w:rPr>
      </w:pPr>
    </w:p>
    <w:p w14:paraId="1E14E5E1">
      <w:pPr>
        <w:keepLines w:val="0"/>
        <w:pageBreakBefore w:val="0"/>
        <w:kinsoku/>
        <w:wordWrap/>
        <w:overflowPunct/>
        <w:topLinePunct w:val="0"/>
        <w:bidi w:val="0"/>
        <w:spacing w:line="43" w:lineRule="exact"/>
        <w:rPr>
          <w:highlight w:val="none"/>
        </w:rPr>
      </w:pPr>
    </w:p>
    <w:p w14:paraId="377D0F05">
      <w:pPr>
        <w:keepLines w:val="0"/>
        <w:pageBreakBefore w:val="0"/>
        <w:kinsoku/>
        <w:wordWrap/>
        <w:overflowPunct/>
        <w:topLinePunct w:val="0"/>
        <w:bidi w:val="0"/>
        <w:spacing w:line="43" w:lineRule="exact"/>
        <w:rPr>
          <w:highlight w:val="none"/>
        </w:rPr>
      </w:pPr>
    </w:p>
    <w:p w14:paraId="43C9FCEC">
      <w:pPr>
        <w:keepLines w:val="0"/>
        <w:pageBreakBefore w:val="0"/>
        <w:kinsoku/>
        <w:wordWrap/>
        <w:overflowPunct/>
        <w:topLinePunct w:val="0"/>
        <w:bidi w:val="0"/>
        <w:spacing w:line="43" w:lineRule="exact"/>
        <w:rPr>
          <w:highlight w:val="none"/>
        </w:rPr>
      </w:pPr>
    </w:p>
    <w:p w14:paraId="2F124DEA">
      <w:pPr>
        <w:keepLines w:val="0"/>
        <w:pageBreakBefore w:val="0"/>
        <w:kinsoku/>
        <w:wordWrap/>
        <w:overflowPunct/>
        <w:topLinePunct w:val="0"/>
        <w:bidi w:val="0"/>
        <w:spacing w:line="43" w:lineRule="exact"/>
        <w:rPr>
          <w:highlight w:val="none"/>
        </w:rPr>
      </w:pPr>
    </w:p>
    <w:p w14:paraId="3737F94D">
      <w:pPr>
        <w:keepLines w:val="0"/>
        <w:pageBreakBefore w:val="0"/>
        <w:kinsoku/>
        <w:wordWrap/>
        <w:overflowPunct/>
        <w:topLinePunct w:val="0"/>
        <w:bidi w:val="0"/>
        <w:spacing w:line="43" w:lineRule="exact"/>
        <w:rPr>
          <w:highlight w:val="none"/>
        </w:rPr>
      </w:pPr>
    </w:p>
    <w:p w14:paraId="2DA982AB">
      <w:pPr>
        <w:keepLines w:val="0"/>
        <w:pageBreakBefore w:val="0"/>
        <w:kinsoku/>
        <w:wordWrap/>
        <w:overflowPunct/>
        <w:topLinePunct w:val="0"/>
        <w:bidi w:val="0"/>
        <w:spacing w:line="43" w:lineRule="exact"/>
        <w:rPr>
          <w:highlight w:val="none"/>
        </w:rPr>
      </w:pPr>
    </w:p>
    <w:p w14:paraId="201316D4">
      <w:pPr>
        <w:keepLines w:val="0"/>
        <w:pageBreakBefore w:val="0"/>
        <w:kinsoku/>
        <w:wordWrap/>
        <w:overflowPunct/>
        <w:topLinePunct w:val="0"/>
        <w:bidi w:val="0"/>
        <w:spacing w:line="43" w:lineRule="exact"/>
        <w:rPr>
          <w:highlight w:val="none"/>
        </w:rPr>
      </w:pPr>
    </w:p>
    <w:p w14:paraId="52A4530A">
      <w:pPr>
        <w:keepLines w:val="0"/>
        <w:pageBreakBefore w:val="0"/>
        <w:kinsoku/>
        <w:wordWrap/>
        <w:overflowPunct/>
        <w:topLinePunct w:val="0"/>
        <w:bidi w:val="0"/>
        <w:spacing w:line="43" w:lineRule="exact"/>
        <w:rPr>
          <w:highlight w:val="none"/>
        </w:rPr>
      </w:pPr>
    </w:p>
    <w:p w14:paraId="41B38241">
      <w:pPr>
        <w:keepLines w:val="0"/>
        <w:pageBreakBefore w:val="0"/>
        <w:kinsoku/>
        <w:wordWrap/>
        <w:overflowPunct/>
        <w:topLinePunct w:val="0"/>
        <w:bidi w:val="0"/>
        <w:spacing w:line="43" w:lineRule="exact"/>
        <w:rPr>
          <w:highlight w:val="none"/>
        </w:rPr>
      </w:pPr>
    </w:p>
    <w:p w14:paraId="00719E4F">
      <w:pPr>
        <w:keepLines w:val="0"/>
        <w:pageBreakBefore w:val="0"/>
        <w:kinsoku/>
        <w:wordWrap/>
        <w:overflowPunct/>
        <w:topLinePunct w:val="0"/>
        <w:bidi w:val="0"/>
        <w:spacing w:line="43" w:lineRule="exact"/>
        <w:rPr>
          <w:highlight w:val="none"/>
        </w:rPr>
      </w:pPr>
    </w:p>
    <w:p w14:paraId="035F0E74">
      <w:pPr>
        <w:keepLines w:val="0"/>
        <w:pageBreakBefore w:val="0"/>
        <w:kinsoku/>
        <w:wordWrap/>
        <w:overflowPunct/>
        <w:topLinePunct w:val="0"/>
        <w:bidi w:val="0"/>
        <w:spacing w:line="43" w:lineRule="exact"/>
        <w:rPr>
          <w:highlight w:val="none"/>
        </w:rPr>
      </w:pPr>
    </w:p>
    <w:p w14:paraId="128591B0">
      <w:pPr>
        <w:keepLines w:val="0"/>
        <w:pageBreakBefore w:val="0"/>
        <w:kinsoku/>
        <w:wordWrap/>
        <w:overflowPunct/>
        <w:topLinePunct w:val="0"/>
        <w:bidi w:val="0"/>
        <w:spacing w:line="43" w:lineRule="exact"/>
        <w:rPr>
          <w:highlight w:val="none"/>
        </w:rPr>
      </w:pPr>
    </w:p>
    <w:p w14:paraId="42B42463">
      <w:pPr>
        <w:keepLines w:val="0"/>
        <w:pageBreakBefore w:val="0"/>
        <w:kinsoku/>
        <w:wordWrap/>
        <w:overflowPunct/>
        <w:topLinePunct w:val="0"/>
        <w:bidi w:val="0"/>
        <w:spacing w:line="43" w:lineRule="exact"/>
        <w:rPr>
          <w:highlight w:val="none"/>
        </w:rPr>
      </w:pPr>
    </w:p>
    <w:p w14:paraId="0A9C097F">
      <w:pPr>
        <w:keepLines w:val="0"/>
        <w:pageBreakBefore w:val="0"/>
        <w:kinsoku/>
        <w:wordWrap/>
        <w:overflowPunct/>
        <w:topLinePunct w:val="0"/>
        <w:bidi w:val="0"/>
        <w:spacing w:line="43" w:lineRule="exact"/>
        <w:rPr>
          <w:highlight w:val="none"/>
        </w:rPr>
      </w:pPr>
    </w:p>
    <w:p w14:paraId="331D26C4">
      <w:pPr>
        <w:keepLines w:val="0"/>
        <w:pageBreakBefore w:val="0"/>
        <w:kinsoku/>
        <w:wordWrap/>
        <w:overflowPunct/>
        <w:topLinePunct w:val="0"/>
        <w:bidi w:val="0"/>
        <w:spacing w:line="43" w:lineRule="exact"/>
        <w:rPr>
          <w:highlight w:val="none"/>
        </w:rPr>
      </w:pPr>
    </w:p>
    <w:p w14:paraId="4A727E92">
      <w:pPr>
        <w:keepLines w:val="0"/>
        <w:pageBreakBefore w:val="0"/>
        <w:kinsoku/>
        <w:wordWrap/>
        <w:overflowPunct/>
        <w:topLinePunct w:val="0"/>
        <w:bidi w:val="0"/>
        <w:spacing w:line="43" w:lineRule="exact"/>
        <w:rPr>
          <w:highlight w:val="none"/>
        </w:rPr>
      </w:pPr>
    </w:p>
    <w:p w14:paraId="2D376948">
      <w:pPr>
        <w:keepLines w:val="0"/>
        <w:pageBreakBefore w:val="0"/>
        <w:kinsoku/>
        <w:wordWrap/>
        <w:overflowPunct/>
        <w:topLinePunct w:val="0"/>
        <w:bidi w:val="0"/>
        <w:spacing w:line="43" w:lineRule="exact"/>
        <w:rPr>
          <w:highlight w:val="none"/>
        </w:rPr>
      </w:pPr>
    </w:p>
    <w:p w14:paraId="30545907">
      <w:pPr>
        <w:keepLines w:val="0"/>
        <w:pageBreakBefore w:val="0"/>
        <w:kinsoku/>
        <w:wordWrap/>
        <w:overflowPunct/>
        <w:topLinePunct w:val="0"/>
        <w:bidi w:val="0"/>
        <w:spacing w:line="43" w:lineRule="exact"/>
        <w:rPr>
          <w:highlight w:val="none"/>
        </w:rPr>
      </w:pPr>
    </w:p>
    <w:p w14:paraId="51BDFCA8">
      <w:pPr>
        <w:keepLines w:val="0"/>
        <w:pageBreakBefore w:val="0"/>
        <w:kinsoku/>
        <w:wordWrap/>
        <w:overflowPunct/>
        <w:topLinePunct w:val="0"/>
        <w:bidi w:val="0"/>
        <w:spacing w:line="43" w:lineRule="exact"/>
        <w:rPr>
          <w:highlight w:val="none"/>
        </w:rPr>
      </w:pPr>
    </w:p>
    <w:p w14:paraId="502C1268">
      <w:pPr>
        <w:keepLines w:val="0"/>
        <w:pageBreakBefore w:val="0"/>
        <w:kinsoku/>
        <w:wordWrap/>
        <w:overflowPunct/>
        <w:topLinePunct w:val="0"/>
        <w:bidi w:val="0"/>
        <w:spacing w:line="43" w:lineRule="exact"/>
        <w:rPr>
          <w:highlight w:val="none"/>
        </w:rPr>
      </w:pPr>
    </w:p>
    <w:p w14:paraId="10A2E8FF">
      <w:pPr>
        <w:keepLines w:val="0"/>
        <w:pageBreakBefore w:val="0"/>
        <w:kinsoku/>
        <w:wordWrap/>
        <w:overflowPunct/>
        <w:topLinePunct w:val="0"/>
        <w:bidi w:val="0"/>
        <w:spacing w:line="43" w:lineRule="exact"/>
        <w:rPr>
          <w:highlight w:val="none"/>
        </w:rPr>
      </w:pPr>
    </w:p>
    <w:p w14:paraId="24CAB20B">
      <w:pPr>
        <w:keepLines w:val="0"/>
        <w:pageBreakBefore w:val="0"/>
        <w:kinsoku/>
        <w:wordWrap/>
        <w:overflowPunct/>
        <w:topLinePunct w:val="0"/>
        <w:bidi w:val="0"/>
        <w:spacing w:line="43" w:lineRule="exact"/>
        <w:rPr>
          <w:highlight w:val="none"/>
        </w:rPr>
      </w:pPr>
    </w:p>
    <w:p w14:paraId="6FC025A3">
      <w:pPr>
        <w:keepLines w:val="0"/>
        <w:pageBreakBefore w:val="0"/>
        <w:kinsoku/>
        <w:wordWrap/>
        <w:overflowPunct/>
        <w:topLinePunct w:val="0"/>
        <w:bidi w:val="0"/>
        <w:spacing w:line="43" w:lineRule="exact"/>
        <w:rPr>
          <w:highlight w:val="none"/>
        </w:rPr>
      </w:pPr>
    </w:p>
    <w:p w14:paraId="6261EE19">
      <w:pPr>
        <w:keepLines w:val="0"/>
        <w:pageBreakBefore w:val="0"/>
        <w:kinsoku/>
        <w:wordWrap/>
        <w:overflowPunct/>
        <w:topLinePunct w:val="0"/>
        <w:bidi w:val="0"/>
        <w:spacing w:line="43" w:lineRule="exact"/>
        <w:rPr>
          <w:highlight w:val="none"/>
        </w:rPr>
      </w:pPr>
    </w:p>
    <w:p w14:paraId="4CA112D6">
      <w:pPr>
        <w:keepLines w:val="0"/>
        <w:pageBreakBefore w:val="0"/>
        <w:kinsoku/>
        <w:wordWrap/>
        <w:overflowPunct/>
        <w:topLinePunct w:val="0"/>
        <w:bidi w:val="0"/>
        <w:spacing w:line="43" w:lineRule="exact"/>
        <w:rPr>
          <w:highlight w:val="none"/>
        </w:rPr>
      </w:pPr>
    </w:p>
    <w:p w14:paraId="1AC36620">
      <w:pPr>
        <w:keepLines w:val="0"/>
        <w:pageBreakBefore w:val="0"/>
        <w:kinsoku/>
        <w:wordWrap/>
        <w:overflowPunct/>
        <w:topLinePunct w:val="0"/>
        <w:bidi w:val="0"/>
        <w:spacing w:line="43" w:lineRule="exact"/>
        <w:rPr>
          <w:highlight w:val="none"/>
        </w:rPr>
      </w:pPr>
    </w:p>
    <w:p w14:paraId="0E7574FB">
      <w:pPr>
        <w:keepLines w:val="0"/>
        <w:pageBreakBefore w:val="0"/>
        <w:kinsoku/>
        <w:wordWrap/>
        <w:overflowPunct/>
        <w:topLinePunct w:val="0"/>
        <w:bidi w:val="0"/>
        <w:spacing w:line="43" w:lineRule="exact"/>
        <w:rPr>
          <w:highlight w:val="none"/>
        </w:rPr>
      </w:pPr>
    </w:p>
    <w:p w14:paraId="352423D7">
      <w:pPr>
        <w:keepLines w:val="0"/>
        <w:pageBreakBefore w:val="0"/>
        <w:kinsoku/>
        <w:wordWrap/>
        <w:overflowPunct/>
        <w:topLinePunct w:val="0"/>
        <w:bidi w:val="0"/>
        <w:spacing w:line="43" w:lineRule="exact"/>
        <w:rPr>
          <w:highlight w:val="none"/>
        </w:rPr>
      </w:pPr>
    </w:p>
    <w:p w14:paraId="75862804">
      <w:pPr>
        <w:keepLines w:val="0"/>
        <w:pageBreakBefore w:val="0"/>
        <w:kinsoku/>
        <w:wordWrap/>
        <w:overflowPunct/>
        <w:topLinePunct w:val="0"/>
        <w:bidi w:val="0"/>
        <w:spacing w:line="43" w:lineRule="exact"/>
        <w:rPr>
          <w:highlight w:val="none"/>
        </w:rPr>
      </w:pPr>
    </w:p>
    <w:p w14:paraId="4D63CD36">
      <w:pPr>
        <w:keepLines w:val="0"/>
        <w:pageBreakBefore w:val="0"/>
        <w:kinsoku/>
        <w:wordWrap/>
        <w:overflowPunct/>
        <w:topLinePunct w:val="0"/>
        <w:bidi w:val="0"/>
        <w:spacing w:line="43" w:lineRule="exact"/>
        <w:rPr>
          <w:highlight w:val="none"/>
        </w:rPr>
      </w:pPr>
    </w:p>
    <w:p w14:paraId="4DE0880F">
      <w:pPr>
        <w:keepLines w:val="0"/>
        <w:pageBreakBefore w:val="0"/>
        <w:kinsoku/>
        <w:wordWrap/>
        <w:overflowPunct/>
        <w:topLinePunct w:val="0"/>
        <w:bidi w:val="0"/>
        <w:spacing w:line="43" w:lineRule="exact"/>
        <w:rPr>
          <w:highlight w:val="none"/>
        </w:rPr>
      </w:pPr>
    </w:p>
    <w:p w14:paraId="37FEF2F5">
      <w:pPr>
        <w:keepLines w:val="0"/>
        <w:pageBreakBefore w:val="0"/>
        <w:kinsoku/>
        <w:wordWrap/>
        <w:overflowPunct/>
        <w:topLinePunct w:val="0"/>
        <w:bidi w:val="0"/>
        <w:spacing w:line="43" w:lineRule="exact"/>
        <w:rPr>
          <w:highlight w:val="none"/>
        </w:rPr>
      </w:pPr>
    </w:p>
    <w:p w14:paraId="1BCE56FA">
      <w:pPr>
        <w:keepLines w:val="0"/>
        <w:pageBreakBefore w:val="0"/>
        <w:kinsoku/>
        <w:wordWrap/>
        <w:overflowPunct/>
        <w:topLinePunct w:val="0"/>
        <w:bidi w:val="0"/>
        <w:spacing w:line="43" w:lineRule="exact"/>
        <w:rPr>
          <w:highlight w:val="none"/>
        </w:rPr>
      </w:pPr>
    </w:p>
    <w:p w14:paraId="7AC908E9">
      <w:pPr>
        <w:keepLines w:val="0"/>
        <w:pageBreakBefore w:val="0"/>
        <w:kinsoku/>
        <w:wordWrap/>
        <w:overflowPunct/>
        <w:topLinePunct w:val="0"/>
        <w:bidi w:val="0"/>
        <w:spacing w:line="43" w:lineRule="exact"/>
        <w:rPr>
          <w:highlight w:val="none"/>
        </w:rPr>
      </w:pPr>
    </w:p>
    <w:p w14:paraId="580E4E2A">
      <w:pPr>
        <w:keepLines w:val="0"/>
        <w:pageBreakBefore w:val="0"/>
        <w:kinsoku/>
        <w:wordWrap/>
        <w:overflowPunct/>
        <w:topLinePunct w:val="0"/>
        <w:bidi w:val="0"/>
        <w:spacing w:line="43" w:lineRule="exact"/>
        <w:rPr>
          <w:highlight w:val="none"/>
        </w:rPr>
      </w:pPr>
    </w:p>
    <w:p w14:paraId="351884A2">
      <w:pPr>
        <w:keepLines w:val="0"/>
        <w:pageBreakBefore w:val="0"/>
        <w:kinsoku/>
        <w:wordWrap/>
        <w:overflowPunct/>
        <w:topLinePunct w:val="0"/>
        <w:bidi w:val="0"/>
        <w:spacing w:line="43" w:lineRule="exact"/>
        <w:rPr>
          <w:highlight w:val="none"/>
        </w:rPr>
      </w:pPr>
    </w:p>
    <w:p w14:paraId="595D9B3D">
      <w:pPr>
        <w:keepLines w:val="0"/>
        <w:pageBreakBefore w:val="0"/>
        <w:kinsoku/>
        <w:wordWrap/>
        <w:overflowPunct/>
        <w:topLinePunct w:val="0"/>
        <w:bidi w:val="0"/>
        <w:spacing w:line="43" w:lineRule="exact"/>
        <w:rPr>
          <w:highlight w:val="none"/>
        </w:rPr>
      </w:pPr>
    </w:p>
    <w:p w14:paraId="2910DF99">
      <w:pPr>
        <w:keepLines w:val="0"/>
        <w:pageBreakBefore w:val="0"/>
        <w:kinsoku/>
        <w:wordWrap/>
        <w:overflowPunct/>
        <w:topLinePunct w:val="0"/>
        <w:bidi w:val="0"/>
        <w:spacing w:line="43" w:lineRule="exact"/>
        <w:rPr>
          <w:highlight w:val="none"/>
        </w:rPr>
      </w:pPr>
    </w:p>
    <w:p w14:paraId="7435BD03">
      <w:pPr>
        <w:keepLines w:val="0"/>
        <w:pageBreakBefore w:val="0"/>
        <w:kinsoku/>
        <w:wordWrap/>
        <w:overflowPunct/>
        <w:topLinePunct w:val="0"/>
        <w:bidi w:val="0"/>
        <w:spacing w:line="43" w:lineRule="exact"/>
        <w:rPr>
          <w:highlight w:val="none"/>
        </w:rPr>
      </w:pPr>
    </w:p>
    <w:p w14:paraId="31D7F6FD">
      <w:pPr>
        <w:keepLines w:val="0"/>
        <w:pageBreakBefore w:val="0"/>
        <w:kinsoku/>
        <w:wordWrap/>
        <w:overflowPunct/>
        <w:topLinePunct w:val="0"/>
        <w:bidi w:val="0"/>
        <w:spacing w:line="43" w:lineRule="exact"/>
        <w:rPr>
          <w:highlight w:val="none"/>
        </w:rPr>
      </w:pPr>
    </w:p>
    <w:p w14:paraId="1AB3B04D">
      <w:pPr>
        <w:keepLines w:val="0"/>
        <w:pageBreakBefore w:val="0"/>
        <w:kinsoku/>
        <w:wordWrap/>
        <w:overflowPunct/>
        <w:topLinePunct w:val="0"/>
        <w:bidi w:val="0"/>
        <w:spacing w:line="43" w:lineRule="exact"/>
        <w:rPr>
          <w:highlight w:val="none"/>
        </w:rPr>
      </w:pPr>
    </w:p>
    <w:p w14:paraId="0670A63D">
      <w:pPr>
        <w:keepLines w:val="0"/>
        <w:pageBreakBefore w:val="0"/>
        <w:kinsoku/>
        <w:wordWrap/>
        <w:overflowPunct/>
        <w:topLinePunct w:val="0"/>
        <w:bidi w:val="0"/>
        <w:spacing w:line="43" w:lineRule="exact"/>
        <w:rPr>
          <w:highlight w:val="none"/>
        </w:rPr>
      </w:pPr>
    </w:p>
    <w:p w14:paraId="7EFE7049">
      <w:pPr>
        <w:keepLines w:val="0"/>
        <w:pageBreakBefore w:val="0"/>
        <w:kinsoku/>
        <w:wordWrap/>
        <w:overflowPunct/>
        <w:topLinePunct w:val="0"/>
        <w:bidi w:val="0"/>
        <w:spacing w:line="43" w:lineRule="exact"/>
        <w:rPr>
          <w:highlight w:val="none"/>
        </w:rPr>
      </w:pPr>
    </w:p>
    <w:p w14:paraId="149534B7">
      <w:pPr>
        <w:keepLines w:val="0"/>
        <w:pageBreakBefore w:val="0"/>
        <w:kinsoku/>
        <w:wordWrap/>
        <w:overflowPunct/>
        <w:topLinePunct w:val="0"/>
        <w:bidi w:val="0"/>
        <w:spacing w:line="43" w:lineRule="exact"/>
        <w:rPr>
          <w:highlight w:val="none"/>
        </w:rPr>
      </w:pPr>
    </w:p>
    <w:p w14:paraId="470E705E">
      <w:pPr>
        <w:keepLines w:val="0"/>
        <w:pageBreakBefore w:val="0"/>
        <w:kinsoku/>
        <w:wordWrap/>
        <w:overflowPunct/>
        <w:topLinePunct w:val="0"/>
        <w:bidi w:val="0"/>
        <w:spacing w:line="43" w:lineRule="exact"/>
        <w:rPr>
          <w:highlight w:val="none"/>
        </w:rPr>
      </w:pPr>
    </w:p>
    <w:p w14:paraId="58414AF6">
      <w:pPr>
        <w:keepLines w:val="0"/>
        <w:pageBreakBefore w:val="0"/>
        <w:kinsoku/>
        <w:wordWrap/>
        <w:overflowPunct/>
        <w:topLinePunct w:val="0"/>
        <w:bidi w:val="0"/>
        <w:spacing w:line="43" w:lineRule="exact"/>
        <w:rPr>
          <w:highlight w:val="none"/>
        </w:rPr>
      </w:pPr>
    </w:p>
    <w:p w14:paraId="4ED96528">
      <w:pPr>
        <w:keepLines w:val="0"/>
        <w:pageBreakBefore w:val="0"/>
        <w:kinsoku/>
        <w:wordWrap/>
        <w:overflowPunct/>
        <w:topLinePunct w:val="0"/>
        <w:bidi w:val="0"/>
        <w:spacing w:line="43" w:lineRule="exact"/>
        <w:rPr>
          <w:highlight w:val="none"/>
        </w:rPr>
      </w:pPr>
    </w:p>
    <w:p w14:paraId="259D514B">
      <w:pPr>
        <w:keepLines w:val="0"/>
        <w:pageBreakBefore w:val="0"/>
        <w:kinsoku/>
        <w:wordWrap/>
        <w:overflowPunct/>
        <w:topLinePunct w:val="0"/>
        <w:bidi w:val="0"/>
        <w:spacing w:line="43" w:lineRule="exact"/>
        <w:rPr>
          <w:highlight w:val="none"/>
        </w:rPr>
      </w:pPr>
    </w:p>
    <w:p w14:paraId="3973F763">
      <w:pPr>
        <w:keepLines w:val="0"/>
        <w:pageBreakBefore w:val="0"/>
        <w:kinsoku/>
        <w:wordWrap/>
        <w:overflowPunct/>
        <w:topLinePunct w:val="0"/>
        <w:bidi w:val="0"/>
        <w:spacing w:line="43" w:lineRule="exact"/>
        <w:rPr>
          <w:highlight w:val="none"/>
        </w:rPr>
      </w:pPr>
    </w:p>
    <w:p w14:paraId="025F96C0">
      <w:pPr>
        <w:keepLines w:val="0"/>
        <w:pageBreakBefore w:val="0"/>
        <w:kinsoku/>
        <w:wordWrap/>
        <w:overflowPunct/>
        <w:topLinePunct w:val="0"/>
        <w:bidi w:val="0"/>
        <w:spacing w:line="43" w:lineRule="exact"/>
        <w:rPr>
          <w:highlight w:val="none"/>
        </w:rPr>
      </w:pPr>
    </w:p>
    <w:p w14:paraId="5F6FA7CD">
      <w:pPr>
        <w:keepLines w:val="0"/>
        <w:pageBreakBefore w:val="0"/>
        <w:kinsoku/>
        <w:wordWrap/>
        <w:overflowPunct/>
        <w:topLinePunct w:val="0"/>
        <w:bidi w:val="0"/>
        <w:spacing w:line="43" w:lineRule="exact"/>
        <w:rPr>
          <w:highlight w:val="none"/>
        </w:rPr>
      </w:pPr>
    </w:p>
    <w:p w14:paraId="1B23DBFC">
      <w:pPr>
        <w:keepLines w:val="0"/>
        <w:pageBreakBefore w:val="0"/>
        <w:kinsoku/>
        <w:wordWrap/>
        <w:overflowPunct/>
        <w:topLinePunct w:val="0"/>
        <w:bidi w:val="0"/>
        <w:spacing w:line="43" w:lineRule="exact"/>
        <w:rPr>
          <w:highlight w:val="none"/>
        </w:rPr>
      </w:pPr>
    </w:p>
    <w:p w14:paraId="4094F331">
      <w:pPr>
        <w:keepLines w:val="0"/>
        <w:pageBreakBefore w:val="0"/>
        <w:kinsoku/>
        <w:wordWrap/>
        <w:overflowPunct/>
        <w:topLinePunct w:val="0"/>
        <w:bidi w:val="0"/>
        <w:spacing w:line="43" w:lineRule="exact"/>
        <w:rPr>
          <w:highlight w:val="none"/>
        </w:rPr>
      </w:pPr>
    </w:p>
    <w:p w14:paraId="3290AAC4">
      <w:pPr>
        <w:keepLines w:val="0"/>
        <w:pageBreakBefore w:val="0"/>
        <w:kinsoku/>
        <w:wordWrap/>
        <w:overflowPunct/>
        <w:topLinePunct w:val="0"/>
        <w:bidi w:val="0"/>
        <w:spacing w:line="43" w:lineRule="exact"/>
        <w:rPr>
          <w:highlight w:val="none"/>
        </w:rPr>
      </w:pPr>
    </w:p>
    <w:p w14:paraId="6830D438">
      <w:pPr>
        <w:keepLines w:val="0"/>
        <w:pageBreakBefore w:val="0"/>
        <w:kinsoku/>
        <w:wordWrap/>
        <w:overflowPunct/>
        <w:topLinePunct w:val="0"/>
        <w:bidi w:val="0"/>
        <w:spacing w:line="43" w:lineRule="exact"/>
        <w:rPr>
          <w:highlight w:val="none"/>
        </w:rPr>
      </w:pPr>
    </w:p>
    <w:p w14:paraId="09B00621">
      <w:pPr>
        <w:keepLines w:val="0"/>
        <w:pageBreakBefore w:val="0"/>
        <w:kinsoku/>
        <w:wordWrap/>
        <w:overflowPunct/>
        <w:topLinePunct w:val="0"/>
        <w:bidi w:val="0"/>
        <w:spacing w:line="43" w:lineRule="exact"/>
        <w:rPr>
          <w:highlight w:val="none"/>
        </w:rPr>
      </w:pPr>
    </w:p>
    <w:p w14:paraId="088D2A2C">
      <w:pPr>
        <w:keepLines w:val="0"/>
        <w:pageBreakBefore w:val="0"/>
        <w:kinsoku/>
        <w:wordWrap/>
        <w:overflowPunct/>
        <w:topLinePunct w:val="0"/>
        <w:bidi w:val="0"/>
        <w:spacing w:line="43" w:lineRule="exact"/>
        <w:rPr>
          <w:highlight w:val="none"/>
        </w:rPr>
      </w:pPr>
    </w:p>
    <w:p w14:paraId="3C6565C7">
      <w:pPr>
        <w:keepLines w:val="0"/>
        <w:pageBreakBefore w:val="0"/>
        <w:kinsoku/>
        <w:wordWrap/>
        <w:overflowPunct/>
        <w:topLinePunct w:val="0"/>
        <w:bidi w:val="0"/>
        <w:spacing w:line="43" w:lineRule="exact"/>
        <w:rPr>
          <w:highlight w:val="none"/>
        </w:rPr>
      </w:pPr>
    </w:p>
    <w:p w14:paraId="01EDADDA">
      <w:pPr>
        <w:keepLines w:val="0"/>
        <w:pageBreakBefore w:val="0"/>
        <w:kinsoku/>
        <w:wordWrap/>
        <w:overflowPunct/>
        <w:topLinePunct w:val="0"/>
        <w:bidi w:val="0"/>
        <w:spacing w:line="43" w:lineRule="exact"/>
        <w:rPr>
          <w:highlight w:val="none"/>
        </w:rPr>
      </w:pPr>
    </w:p>
    <w:p w14:paraId="213DCFAA">
      <w:pPr>
        <w:keepLines w:val="0"/>
        <w:pageBreakBefore w:val="0"/>
        <w:kinsoku/>
        <w:wordWrap/>
        <w:overflowPunct/>
        <w:topLinePunct w:val="0"/>
        <w:bidi w:val="0"/>
        <w:spacing w:line="43" w:lineRule="exact"/>
        <w:rPr>
          <w:highlight w:val="none"/>
        </w:rPr>
      </w:pPr>
    </w:p>
    <w:p w14:paraId="50C6A193">
      <w:pPr>
        <w:keepLines w:val="0"/>
        <w:pageBreakBefore w:val="0"/>
        <w:kinsoku/>
        <w:wordWrap/>
        <w:overflowPunct/>
        <w:topLinePunct w:val="0"/>
        <w:bidi w:val="0"/>
        <w:spacing w:line="43" w:lineRule="exact"/>
        <w:rPr>
          <w:highlight w:val="none"/>
        </w:rPr>
      </w:pPr>
    </w:p>
    <w:p w14:paraId="3376C7A0">
      <w:pPr>
        <w:keepLines w:val="0"/>
        <w:pageBreakBefore w:val="0"/>
        <w:kinsoku/>
        <w:wordWrap/>
        <w:overflowPunct/>
        <w:topLinePunct w:val="0"/>
        <w:bidi w:val="0"/>
        <w:spacing w:line="43" w:lineRule="exact"/>
        <w:rPr>
          <w:highlight w:val="none"/>
        </w:rPr>
      </w:pPr>
    </w:p>
    <w:p w14:paraId="6C3F8F1A">
      <w:pPr>
        <w:keepLines w:val="0"/>
        <w:pageBreakBefore w:val="0"/>
        <w:kinsoku/>
        <w:wordWrap/>
        <w:overflowPunct/>
        <w:topLinePunct w:val="0"/>
        <w:bidi w:val="0"/>
        <w:spacing w:line="43" w:lineRule="exact"/>
        <w:rPr>
          <w:highlight w:val="none"/>
        </w:rPr>
      </w:pPr>
    </w:p>
    <w:p w14:paraId="16174082">
      <w:pPr>
        <w:keepLines w:val="0"/>
        <w:pageBreakBefore w:val="0"/>
        <w:kinsoku/>
        <w:wordWrap/>
        <w:overflowPunct/>
        <w:topLinePunct w:val="0"/>
        <w:bidi w:val="0"/>
        <w:jc w:val="left"/>
        <w:rPr>
          <w:rFonts w:ascii="Arial" w:hAnsi="Arial" w:eastAsia="Arial" w:cs="Arial"/>
          <w:snapToGrid w:val="0"/>
          <w:color w:val="000000"/>
          <w:kern w:val="0"/>
          <w:sz w:val="21"/>
          <w:szCs w:val="21"/>
          <w:highlight w:val="none"/>
          <w:lang w:val="en-US" w:eastAsia="en-US" w:bidi="ar-SA"/>
        </w:rPr>
      </w:pPr>
    </w:p>
    <w:bookmarkEnd w:id="1"/>
    <w:sectPr>
      <w:footerReference r:id="rId18" w:type="default"/>
      <w:pgSz w:w="11906" w:h="16839"/>
      <w:pgMar w:top="1440" w:right="1080" w:bottom="1440" w:left="1080" w:header="0" w:footer="105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roman"/>
    <w:pitch w:val="default"/>
    <w:sig w:usb0="E00002FF" w:usb1="4000045F" w:usb2="0000000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86"/>
    <w:family w:val="roman"/>
    <w:pitch w:val="default"/>
    <w:sig w:usb0="00000000" w:usb1="00000000" w:usb2="0000007F" w:usb3="00000000" w:csb0="203F01FF" w:csb1="DFFF0000"/>
  </w:font>
  <w:font w:name="Arial">
    <w:panose1 w:val="020B0604020202020204"/>
    <w:charset w:val="00"/>
    <w:family w:val="auto"/>
    <w:pitch w:val="default"/>
    <w:sig w:usb0="E0002AFF" w:usb1="C0007843" w:usb2="00000009" w:usb3="00000000" w:csb0="400001FF" w:csb1="FFFF0000"/>
  </w:font>
  <w:font w:name="思源黑体 CN Light">
    <w:altName w:val="黑体"/>
    <w:panose1 w:val="00000000000000000000"/>
    <w:charset w:val="86"/>
    <w:family w:val="swiss"/>
    <w:pitch w:val="default"/>
    <w:sig w:usb0="00000000" w:usb1="00000000" w:usb2="00000016" w:usb3="00000000" w:csb0="0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S UI Gothic">
    <w:altName w:val="方正书宋_GBK"/>
    <w:panose1 w:val="020B0600070205080204"/>
    <w:charset w:val="80"/>
    <w:family w:val="auto"/>
    <w:pitch w:val="default"/>
    <w:sig w:usb0="00000000" w:usb1="00000000" w:usb2="00000012" w:usb3="00000000" w:csb0="4002009F" w:csb1="DFD70000"/>
  </w:font>
  <w:font w:name="方正仿宋_GB2312">
    <w:altName w:val="仿宋"/>
    <w:panose1 w:val="02000000000000000000"/>
    <w:charset w:val="86"/>
    <w:family w:val="auto"/>
    <w:pitch w:val="default"/>
    <w:sig w:usb0="00000000" w:usb1="00000000" w:usb2="00000012" w:usb3="00000000" w:csb0="00040001" w:csb1="00000000"/>
  </w:font>
  <w:font w:name="Microsoft YaHei UI">
    <w:altName w:val="微软雅黑"/>
    <w:panose1 w:val="020B0503020204020204"/>
    <w:charset w:val="86"/>
    <w:family w:val="auto"/>
    <w:pitch w:val="default"/>
    <w:sig w:usb0="00000000" w:usb1="00000000" w:usb2="00000016" w:usb3="00000000" w:csb0="0004001F" w:csb1="00000000"/>
  </w:font>
  <w:font w:name="system-u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9357A">
    <w:pPr>
      <w:pStyle w:val="11"/>
      <w:tabs>
        <w:tab w:val="center" w:pos="4873"/>
        <w:tab w:val="clear" w:pos="4153"/>
      </w:tabs>
    </w:pP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37177">
    <w:pPr>
      <w:pStyle w:val="11"/>
      <w:tabs>
        <w:tab w:val="center" w:pos="4873"/>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C0965">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FC0965">
                    <w:pPr>
                      <w:pStyle w:val="11"/>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9F01">
    <w:pPr>
      <w:spacing w:line="176" w:lineRule="auto"/>
      <w:ind w:left="41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6CF4B">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46CF4B">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8ECCA">
    <w:pPr>
      <w:spacing w:line="176" w:lineRule="auto"/>
      <w:rPr>
        <w:rFonts w:ascii="Times New Roman" w:hAnsi="Times New Roman" w:eastAsia="Times New Roman" w:cs="Times New Roman"/>
        <w:spacing w:val="-4"/>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D3299">
                          <w:pPr>
                            <w:pStyle w:val="11"/>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21D3299">
                    <w:pPr>
                      <w:pStyle w:val="11"/>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ABCCB">
    <w:pPr>
      <w:spacing w:line="176" w:lineRule="auto"/>
      <w:ind w:left="41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8BCCF">
                          <w:pPr>
                            <w:pStyle w:val="11"/>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98BCCF">
                    <w:pPr>
                      <w:pStyle w:val="11"/>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E6B32">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40881">
                          <w:pPr>
                            <w:pStyle w:val="11"/>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3F40881">
                    <w:pPr>
                      <w:pStyle w:val="11"/>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88B17">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7D511">
                          <w:pPr>
                            <w:pStyle w:val="11"/>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127D511">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C0257">
    <w:pPr>
      <w:spacing w:after="168" w:line="43" w:lineRule="exact"/>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62279">
                          <w:pPr>
                            <w:pStyle w:val="1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8662279">
                    <w:pPr>
                      <w:pStyle w:val="11"/>
                    </w:pPr>
                    <w:r>
                      <w:fldChar w:fldCharType="begin"/>
                    </w:r>
                    <w:r>
                      <w:instrText xml:space="preserve"> PAGE  \* MERGEFORMAT </w:instrText>
                    </w:r>
                    <w:r>
                      <w:fldChar w:fldCharType="separate"/>
                    </w:r>
                    <w:r>
                      <w:t>64</w:t>
                    </w:r>
                    <w:r>
                      <w:fldChar w:fldCharType="end"/>
                    </w:r>
                  </w:p>
                </w:txbxContent>
              </v:textbox>
            </v:shape>
          </w:pict>
        </mc:Fallback>
      </mc:AlternateContent>
    </w:r>
  </w:p>
  <w:p w14:paraId="6F2BC802">
    <w:pPr>
      <w:spacing w:line="176" w:lineRule="auto"/>
      <w:rPr>
        <w:rFonts w:ascii="Times New Roman" w:hAnsi="Times New Roman" w:eastAsia="Times New Roman"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D722">
    <w:pPr>
      <w:spacing w:after="168" w:line="43" w:lineRule="exact"/>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0A4494">
                          <w:pPr>
                            <w:pStyle w:val="11"/>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00A4494">
                    <w:pPr>
                      <w:pStyle w:val="11"/>
                    </w:pPr>
                    <w:r>
                      <w:fldChar w:fldCharType="begin"/>
                    </w:r>
                    <w:r>
                      <w:instrText xml:space="preserve"> PAGE  \* MERGEFORMAT </w:instrText>
                    </w:r>
                    <w:r>
                      <w:fldChar w:fldCharType="separate"/>
                    </w:r>
                    <w:r>
                      <w:t>65</w:t>
                    </w:r>
                    <w:r>
                      <w:fldChar w:fldCharType="end"/>
                    </w:r>
                  </w:p>
                </w:txbxContent>
              </v:textbox>
            </v:shape>
          </w:pict>
        </mc:Fallback>
      </mc:AlternateContent>
    </w:r>
  </w:p>
  <w:p w14:paraId="7895F1D0">
    <w:pPr>
      <w:spacing w:line="176" w:lineRule="auto"/>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D4FC">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0B124">
                          <w:pPr>
                            <w:pStyle w:val="11"/>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910B124">
                    <w:pPr>
                      <w:pStyle w:val="11"/>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F63F">
    <w:pPr>
      <w:spacing w:after="170" w:line="43" w:lineRule="exact"/>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BCFC9">
                          <w:pPr>
                            <w:pStyle w:val="11"/>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DEBCFC9">
                    <w:pPr>
                      <w:pStyle w:val="11"/>
                    </w:pPr>
                    <w:r>
                      <w:fldChar w:fldCharType="begin"/>
                    </w:r>
                    <w:r>
                      <w:instrText xml:space="preserve"> PAGE  \* MERGEFORMAT </w:instrText>
                    </w:r>
                    <w:r>
                      <w:fldChar w:fldCharType="separate"/>
                    </w:r>
                    <w:r>
                      <w:t>71</w:t>
                    </w:r>
                    <w:r>
                      <w:fldChar w:fldCharType="end"/>
                    </w:r>
                  </w:p>
                </w:txbxContent>
              </v:textbox>
            </v:shape>
          </w:pict>
        </mc:Fallback>
      </mc:AlternateContent>
    </w:r>
  </w:p>
  <w:p w14:paraId="02D72AF0">
    <w:pPr>
      <w:spacing w:line="173" w:lineRule="auto"/>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57DE6">
    <w:pPr>
      <w:spacing w:line="176" w:lineRule="auto"/>
      <w:ind w:left="42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531A8">
                          <w:pPr>
                            <w:pStyle w:val="11"/>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32E531A8">
                    <w:pPr>
                      <w:pStyle w:val="11"/>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F6C8">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E921A">
                          <w:pPr>
                            <w:pStyle w:val="1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50E921A">
                    <w:pPr>
                      <w:pStyle w:val="1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29D48">
    <w:pPr>
      <w:widowControl w:val="0"/>
      <w:pBdr>
        <w:bottom w:val="single" w:color="auto" w:sz="6" w:space="1"/>
      </w:pBdr>
      <w:snapToGrid w:val="0"/>
      <w:jc w:val="both"/>
      <w:rPr>
        <w:rFonts w:hint="eastAsia" w:ascii="Times New Roman" w:hAnsi="Times New Roman" w:eastAsia="宋体" w:cs="仿宋"/>
        <w:kern w:val="2"/>
        <w:sz w:val="18"/>
        <w:szCs w:val="18"/>
        <w:lang w:val="en-US" w:eastAsia="zh-CN" w:bidi="ar-SA"/>
      </w:rPr>
    </w:pPr>
    <w:r>
      <w:rPr>
        <w:rFonts w:hint="eastAsia" w:ascii="Times New Roman" w:hAnsi="Times New Roman" w:eastAsia="宋体" w:cs="仿宋"/>
        <w:kern w:val="2"/>
        <w:sz w:val="18"/>
        <w:szCs w:val="18"/>
        <w:lang w:val="en-US" w:eastAsia="zh-CN" w:bidi="ar-SA"/>
      </w:rPr>
      <w:t>阿克苏市政务服务和公共资源交易中心    招标文件</w:t>
    </w:r>
  </w:p>
  <w:p w14:paraId="5DC07721">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AA17D7"/>
    <w:multiLevelType w:val="singleLevel"/>
    <w:tmpl w:val="84AA17D7"/>
    <w:lvl w:ilvl="0" w:tentative="0">
      <w:start w:val="2"/>
      <w:numFmt w:val="chineseCounting"/>
      <w:suff w:val="nothing"/>
      <w:lvlText w:val="%1、"/>
      <w:lvlJc w:val="left"/>
      <w:rPr>
        <w:rFonts w:hint="eastAsia"/>
      </w:rPr>
    </w:lvl>
  </w:abstractNum>
  <w:abstractNum w:abstractNumId="1">
    <w:nsid w:val="8BB95830"/>
    <w:multiLevelType w:val="singleLevel"/>
    <w:tmpl w:val="8BB95830"/>
    <w:lvl w:ilvl="0" w:tentative="0">
      <w:start w:val="1"/>
      <w:numFmt w:val="decimal"/>
      <w:suff w:val="nothing"/>
      <w:lvlText w:val="%1、"/>
      <w:lvlJc w:val="left"/>
    </w:lvl>
  </w:abstractNum>
  <w:abstractNum w:abstractNumId="2">
    <w:nsid w:val="8DCF00DA"/>
    <w:multiLevelType w:val="singleLevel"/>
    <w:tmpl w:val="8DCF00DA"/>
    <w:lvl w:ilvl="0" w:tentative="0">
      <w:start w:val="1"/>
      <w:numFmt w:val="chineseCounting"/>
      <w:suff w:val="nothing"/>
      <w:lvlText w:val="%1、"/>
      <w:lvlJc w:val="left"/>
      <w:rPr>
        <w:rFonts w:hint="eastAsia"/>
      </w:rPr>
    </w:lvl>
  </w:abstractNum>
  <w:abstractNum w:abstractNumId="3">
    <w:nsid w:val="BE331868"/>
    <w:multiLevelType w:val="singleLevel"/>
    <w:tmpl w:val="BE331868"/>
    <w:lvl w:ilvl="0" w:tentative="0">
      <w:start w:val="1"/>
      <w:numFmt w:val="chineseCounting"/>
      <w:suff w:val="space"/>
      <w:lvlText w:val="第%1章"/>
      <w:lvlJc w:val="left"/>
      <w:rPr>
        <w:rFonts w:hint="eastAsia"/>
      </w:rPr>
    </w:lvl>
  </w:abstractNum>
  <w:abstractNum w:abstractNumId="4">
    <w:nsid w:val="DE881812"/>
    <w:multiLevelType w:val="singleLevel"/>
    <w:tmpl w:val="DE881812"/>
    <w:lvl w:ilvl="0" w:tentative="0">
      <w:start w:val="3"/>
      <w:numFmt w:val="chineseCounting"/>
      <w:suff w:val="space"/>
      <w:lvlText w:val="第%1节"/>
      <w:lvlJc w:val="left"/>
      <w:rPr>
        <w:rFonts w:hint="eastAsia"/>
      </w:rPr>
    </w:lvl>
  </w:abstractNum>
  <w:abstractNum w:abstractNumId="5">
    <w:nsid w:val="6BE922A1"/>
    <w:multiLevelType w:val="singleLevel"/>
    <w:tmpl w:val="6BE922A1"/>
    <w:lvl w:ilvl="0" w:tentative="0">
      <w:start w:val="5"/>
      <w:numFmt w:val="chineseCounting"/>
      <w:suff w:val="space"/>
      <w:lvlText w:val="第%1章"/>
      <w:lvlJc w:val="left"/>
      <w:rPr>
        <w:rFonts w:hint="eastAsia"/>
      </w:r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rawingGridHorizontalSpacing w:val="158"/>
  <w:drawingGridVerticalSpacing w:val="296"/>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Y0ZjNjOTExYmExMjg0MmIyMTIzNmYyYmRkMDRhNmMifQ=="/>
  </w:docVars>
  <w:rsids>
    <w:rsidRoot w:val="00000000"/>
    <w:rsid w:val="001F503A"/>
    <w:rsid w:val="003E236B"/>
    <w:rsid w:val="003F152B"/>
    <w:rsid w:val="00475BA1"/>
    <w:rsid w:val="006140F3"/>
    <w:rsid w:val="008658B1"/>
    <w:rsid w:val="00E32D5A"/>
    <w:rsid w:val="01012314"/>
    <w:rsid w:val="013D1CD1"/>
    <w:rsid w:val="01514187"/>
    <w:rsid w:val="018C1F1F"/>
    <w:rsid w:val="027B0384"/>
    <w:rsid w:val="02DE6E1F"/>
    <w:rsid w:val="032C4E8C"/>
    <w:rsid w:val="03734073"/>
    <w:rsid w:val="03C84489"/>
    <w:rsid w:val="03CD1071"/>
    <w:rsid w:val="03D461BA"/>
    <w:rsid w:val="047168CE"/>
    <w:rsid w:val="049F55B2"/>
    <w:rsid w:val="055C732D"/>
    <w:rsid w:val="05874428"/>
    <w:rsid w:val="058C1C12"/>
    <w:rsid w:val="05AF0E39"/>
    <w:rsid w:val="05FA4D19"/>
    <w:rsid w:val="06042115"/>
    <w:rsid w:val="06175254"/>
    <w:rsid w:val="06255BC2"/>
    <w:rsid w:val="065546FA"/>
    <w:rsid w:val="07034EEF"/>
    <w:rsid w:val="072B1154"/>
    <w:rsid w:val="0757624F"/>
    <w:rsid w:val="078E1545"/>
    <w:rsid w:val="079B7E3C"/>
    <w:rsid w:val="07B91445"/>
    <w:rsid w:val="07C64D36"/>
    <w:rsid w:val="08071A24"/>
    <w:rsid w:val="083F2B76"/>
    <w:rsid w:val="08470AEB"/>
    <w:rsid w:val="08486C64"/>
    <w:rsid w:val="089C7D27"/>
    <w:rsid w:val="08A4749C"/>
    <w:rsid w:val="08EC5D95"/>
    <w:rsid w:val="08F83D92"/>
    <w:rsid w:val="09036BB8"/>
    <w:rsid w:val="0935611C"/>
    <w:rsid w:val="0A1C72DC"/>
    <w:rsid w:val="0A456133"/>
    <w:rsid w:val="0A8C1797"/>
    <w:rsid w:val="0AB61D0E"/>
    <w:rsid w:val="0AC25040"/>
    <w:rsid w:val="0ADF201C"/>
    <w:rsid w:val="0B0B5703"/>
    <w:rsid w:val="0B492353"/>
    <w:rsid w:val="0BBA3A87"/>
    <w:rsid w:val="0C136807"/>
    <w:rsid w:val="0C267D16"/>
    <w:rsid w:val="0C35444C"/>
    <w:rsid w:val="0C3D750B"/>
    <w:rsid w:val="0C492597"/>
    <w:rsid w:val="0CB952B6"/>
    <w:rsid w:val="0CC779D3"/>
    <w:rsid w:val="0CE1087C"/>
    <w:rsid w:val="0CE92476"/>
    <w:rsid w:val="0D4E5A0B"/>
    <w:rsid w:val="0D960515"/>
    <w:rsid w:val="0DC861A2"/>
    <w:rsid w:val="0E034839"/>
    <w:rsid w:val="0E166F38"/>
    <w:rsid w:val="0E2F3F20"/>
    <w:rsid w:val="0E843362"/>
    <w:rsid w:val="0F50661C"/>
    <w:rsid w:val="0F8932E2"/>
    <w:rsid w:val="0FC25AA9"/>
    <w:rsid w:val="0FD20B69"/>
    <w:rsid w:val="100B41D3"/>
    <w:rsid w:val="10C83D1A"/>
    <w:rsid w:val="10FD39C4"/>
    <w:rsid w:val="11144937"/>
    <w:rsid w:val="11E84674"/>
    <w:rsid w:val="12462F6C"/>
    <w:rsid w:val="12805248"/>
    <w:rsid w:val="128B3075"/>
    <w:rsid w:val="12B15D0C"/>
    <w:rsid w:val="12C64072"/>
    <w:rsid w:val="131E1159"/>
    <w:rsid w:val="139466E7"/>
    <w:rsid w:val="13B33D27"/>
    <w:rsid w:val="13B37593"/>
    <w:rsid w:val="13EC31A4"/>
    <w:rsid w:val="13ED66B2"/>
    <w:rsid w:val="14733F9D"/>
    <w:rsid w:val="14CE2940"/>
    <w:rsid w:val="14D03633"/>
    <w:rsid w:val="14F31730"/>
    <w:rsid w:val="1532356A"/>
    <w:rsid w:val="1596722A"/>
    <w:rsid w:val="165C2AB4"/>
    <w:rsid w:val="165F2A2B"/>
    <w:rsid w:val="166813BA"/>
    <w:rsid w:val="166E405A"/>
    <w:rsid w:val="1715758D"/>
    <w:rsid w:val="171E118D"/>
    <w:rsid w:val="17514FCE"/>
    <w:rsid w:val="175728BF"/>
    <w:rsid w:val="175B01B3"/>
    <w:rsid w:val="17A32FF6"/>
    <w:rsid w:val="17A4103D"/>
    <w:rsid w:val="182E6B10"/>
    <w:rsid w:val="18341577"/>
    <w:rsid w:val="18502F73"/>
    <w:rsid w:val="18A24E51"/>
    <w:rsid w:val="18C544E7"/>
    <w:rsid w:val="18E979FA"/>
    <w:rsid w:val="191967AB"/>
    <w:rsid w:val="192E7B16"/>
    <w:rsid w:val="19414963"/>
    <w:rsid w:val="194A1770"/>
    <w:rsid w:val="199F431D"/>
    <w:rsid w:val="19FBAE68"/>
    <w:rsid w:val="1A275744"/>
    <w:rsid w:val="1AA50C28"/>
    <w:rsid w:val="1B1A6E08"/>
    <w:rsid w:val="1B4030F3"/>
    <w:rsid w:val="1B5C1C2F"/>
    <w:rsid w:val="1B8B42C2"/>
    <w:rsid w:val="1BAE5697"/>
    <w:rsid w:val="1BFDC698"/>
    <w:rsid w:val="1C6E5776"/>
    <w:rsid w:val="1CAA2369"/>
    <w:rsid w:val="1CC27ED1"/>
    <w:rsid w:val="1D071A7F"/>
    <w:rsid w:val="1D2F1E9F"/>
    <w:rsid w:val="1D341918"/>
    <w:rsid w:val="1D3E3886"/>
    <w:rsid w:val="1D4C598D"/>
    <w:rsid w:val="1D6A61E3"/>
    <w:rsid w:val="1D9751A0"/>
    <w:rsid w:val="1DB418AE"/>
    <w:rsid w:val="1DBE5B2A"/>
    <w:rsid w:val="1DD75FF4"/>
    <w:rsid w:val="1E253C0C"/>
    <w:rsid w:val="1E276524"/>
    <w:rsid w:val="1E470974"/>
    <w:rsid w:val="1E8A6AB3"/>
    <w:rsid w:val="1E9A1A93"/>
    <w:rsid w:val="1EC16497"/>
    <w:rsid w:val="1F821BEB"/>
    <w:rsid w:val="1FC05A0A"/>
    <w:rsid w:val="1FCE210A"/>
    <w:rsid w:val="202C1CA8"/>
    <w:rsid w:val="205C4E1A"/>
    <w:rsid w:val="208C116B"/>
    <w:rsid w:val="20DD6A4C"/>
    <w:rsid w:val="20E72B14"/>
    <w:rsid w:val="210727E0"/>
    <w:rsid w:val="211C60E8"/>
    <w:rsid w:val="211C6E33"/>
    <w:rsid w:val="214370BF"/>
    <w:rsid w:val="21521B0A"/>
    <w:rsid w:val="21922DF8"/>
    <w:rsid w:val="219D0E63"/>
    <w:rsid w:val="221C3EC6"/>
    <w:rsid w:val="22321B30"/>
    <w:rsid w:val="22395980"/>
    <w:rsid w:val="22602004"/>
    <w:rsid w:val="227E692E"/>
    <w:rsid w:val="22804455"/>
    <w:rsid w:val="22A4710F"/>
    <w:rsid w:val="22C40483"/>
    <w:rsid w:val="231E0613"/>
    <w:rsid w:val="232D6837"/>
    <w:rsid w:val="233B0019"/>
    <w:rsid w:val="23635644"/>
    <w:rsid w:val="23650372"/>
    <w:rsid w:val="236D6760"/>
    <w:rsid w:val="239134F1"/>
    <w:rsid w:val="23C93B9B"/>
    <w:rsid w:val="2406098A"/>
    <w:rsid w:val="24677933"/>
    <w:rsid w:val="246A14B7"/>
    <w:rsid w:val="247026F4"/>
    <w:rsid w:val="24967F5F"/>
    <w:rsid w:val="25A563F3"/>
    <w:rsid w:val="25BD776E"/>
    <w:rsid w:val="25BF34E6"/>
    <w:rsid w:val="25CD5C03"/>
    <w:rsid w:val="26354AD3"/>
    <w:rsid w:val="26C62652"/>
    <w:rsid w:val="26DD5E92"/>
    <w:rsid w:val="26E054C2"/>
    <w:rsid w:val="26FE664D"/>
    <w:rsid w:val="278607B6"/>
    <w:rsid w:val="2788267D"/>
    <w:rsid w:val="27C53B3E"/>
    <w:rsid w:val="27F40D78"/>
    <w:rsid w:val="2809073D"/>
    <w:rsid w:val="28120F00"/>
    <w:rsid w:val="282D76DD"/>
    <w:rsid w:val="28461D2E"/>
    <w:rsid w:val="284736C1"/>
    <w:rsid w:val="28845C06"/>
    <w:rsid w:val="29137654"/>
    <w:rsid w:val="2942121D"/>
    <w:rsid w:val="294A756A"/>
    <w:rsid w:val="297A35CA"/>
    <w:rsid w:val="2A197071"/>
    <w:rsid w:val="2A1D70CE"/>
    <w:rsid w:val="2A2F344C"/>
    <w:rsid w:val="2A4023DD"/>
    <w:rsid w:val="2ABF6AF3"/>
    <w:rsid w:val="2B1D7721"/>
    <w:rsid w:val="2BA458C2"/>
    <w:rsid w:val="2BE821A6"/>
    <w:rsid w:val="2C0320EA"/>
    <w:rsid w:val="2C323F1B"/>
    <w:rsid w:val="2C7212B2"/>
    <w:rsid w:val="2CA709DE"/>
    <w:rsid w:val="2D0F6E05"/>
    <w:rsid w:val="2D5A6D7E"/>
    <w:rsid w:val="2DB7189C"/>
    <w:rsid w:val="2DE312CD"/>
    <w:rsid w:val="2E240862"/>
    <w:rsid w:val="2E3A1CB9"/>
    <w:rsid w:val="2E676846"/>
    <w:rsid w:val="2E9D175B"/>
    <w:rsid w:val="2EB01C1E"/>
    <w:rsid w:val="2ECF6A3D"/>
    <w:rsid w:val="2EE87609"/>
    <w:rsid w:val="2F1F4474"/>
    <w:rsid w:val="2F3E7229"/>
    <w:rsid w:val="2F854E58"/>
    <w:rsid w:val="2F971030"/>
    <w:rsid w:val="2FBC2096"/>
    <w:rsid w:val="30BE2F3E"/>
    <w:rsid w:val="30E30DF8"/>
    <w:rsid w:val="30FC4BAD"/>
    <w:rsid w:val="31640E31"/>
    <w:rsid w:val="31821B16"/>
    <w:rsid w:val="31864EB8"/>
    <w:rsid w:val="318D6246"/>
    <w:rsid w:val="318E731F"/>
    <w:rsid w:val="32382656"/>
    <w:rsid w:val="3282377B"/>
    <w:rsid w:val="32DC3501"/>
    <w:rsid w:val="331B63F6"/>
    <w:rsid w:val="33614751"/>
    <w:rsid w:val="33B7574B"/>
    <w:rsid w:val="33B84FCF"/>
    <w:rsid w:val="33C04CC0"/>
    <w:rsid w:val="33EC6C5A"/>
    <w:rsid w:val="341848A7"/>
    <w:rsid w:val="34C3033B"/>
    <w:rsid w:val="34DF0D53"/>
    <w:rsid w:val="352C502F"/>
    <w:rsid w:val="353B01B7"/>
    <w:rsid w:val="35B50293"/>
    <w:rsid w:val="35C60D1B"/>
    <w:rsid w:val="35F613E1"/>
    <w:rsid w:val="36103A89"/>
    <w:rsid w:val="36392E40"/>
    <w:rsid w:val="36396246"/>
    <w:rsid w:val="36991344"/>
    <w:rsid w:val="369E4A52"/>
    <w:rsid w:val="36F9D839"/>
    <w:rsid w:val="371D74F0"/>
    <w:rsid w:val="37712C8C"/>
    <w:rsid w:val="37D42E21"/>
    <w:rsid w:val="37EBC6D8"/>
    <w:rsid w:val="3870241E"/>
    <w:rsid w:val="38CF0B21"/>
    <w:rsid w:val="38D952BA"/>
    <w:rsid w:val="38FE5445"/>
    <w:rsid w:val="39273424"/>
    <w:rsid w:val="39A25887"/>
    <w:rsid w:val="3A077920"/>
    <w:rsid w:val="3A0F0224"/>
    <w:rsid w:val="3A581C37"/>
    <w:rsid w:val="3A68272B"/>
    <w:rsid w:val="3AAF02B5"/>
    <w:rsid w:val="3AB862D5"/>
    <w:rsid w:val="3AEA295B"/>
    <w:rsid w:val="3B6224F2"/>
    <w:rsid w:val="3BF34BD3"/>
    <w:rsid w:val="3C12216A"/>
    <w:rsid w:val="3C43589C"/>
    <w:rsid w:val="3C6B7014"/>
    <w:rsid w:val="3D2F0AF9"/>
    <w:rsid w:val="3D3138AE"/>
    <w:rsid w:val="3D5A2D51"/>
    <w:rsid w:val="3D614993"/>
    <w:rsid w:val="3D873A6C"/>
    <w:rsid w:val="3DCE0312"/>
    <w:rsid w:val="3E155F41"/>
    <w:rsid w:val="3E1A3557"/>
    <w:rsid w:val="3E1E1AF9"/>
    <w:rsid w:val="3E385A19"/>
    <w:rsid w:val="3E3D10AA"/>
    <w:rsid w:val="3E706AA3"/>
    <w:rsid w:val="3E7B7D67"/>
    <w:rsid w:val="3ECC7453"/>
    <w:rsid w:val="3EEB1DFB"/>
    <w:rsid w:val="3F42078C"/>
    <w:rsid w:val="3F906829"/>
    <w:rsid w:val="3FA4132B"/>
    <w:rsid w:val="3FDA6395"/>
    <w:rsid w:val="3FEF612A"/>
    <w:rsid w:val="3FF20B8C"/>
    <w:rsid w:val="40267E17"/>
    <w:rsid w:val="405D1866"/>
    <w:rsid w:val="40B85FDB"/>
    <w:rsid w:val="40C3088A"/>
    <w:rsid w:val="40C451A5"/>
    <w:rsid w:val="418A27A2"/>
    <w:rsid w:val="41F847CE"/>
    <w:rsid w:val="42354B55"/>
    <w:rsid w:val="42626E97"/>
    <w:rsid w:val="428430D9"/>
    <w:rsid w:val="42B1476A"/>
    <w:rsid w:val="42CF3E6D"/>
    <w:rsid w:val="42DE73E4"/>
    <w:rsid w:val="42F73E67"/>
    <w:rsid w:val="43087A30"/>
    <w:rsid w:val="433EBC3F"/>
    <w:rsid w:val="43A976EF"/>
    <w:rsid w:val="43B04308"/>
    <w:rsid w:val="441B2EE5"/>
    <w:rsid w:val="441D5B50"/>
    <w:rsid w:val="449A6641"/>
    <w:rsid w:val="44E46590"/>
    <w:rsid w:val="44FB6469"/>
    <w:rsid w:val="455D3858"/>
    <w:rsid w:val="46357180"/>
    <w:rsid w:val="46647A66"/>
    <w:rsid w:val="46D9135A"/>
    <w:rsid w:val="47473DC3"/>
    <w:rsid w:val="47953C4F"/>
    <w:rsid w:val="47BA535A"/>
    <w:rsid w:val="48110B2B"/>
    <w:rsid w:val="4845019B"/>
    <w:rsid w:val="485C42E8"/>
    <w:rsid w:val="485E6969"/>
    <w:rsid w:val="48B337FF"/>
    <w:rsid w:val="48D272C6"/>
    <w:rsid w:val="48F134B2"/>
    <w:rsid w:val="492321E5"/>
    <w:rsid w:val="49725FF6"/>
    <w:rsid w:val="49B061AB"/>
    <w:rsid w:val="4A197695"/>
    <w:rsid w:val="4A527BD5"/>
    <w:rsid w:val="4A7139F3"/>
    <w:rsid w:val="4AAA5C63"/>
    <w:rsid w:val="4AAB68B4"/>
    <w:rsid w:val="4ACC4FC1"/>
    <w:rsid w:val="4AE44CD1"/>
    <w:rsid w:val="4AF15924"/>
    <w:rsid w:val="4B0610EB"/>
    <w:rsid w:val="4BDE558E"/>
    <w:rsid w:val="4C1677B0"/>
    <w:rsid w:val="4C181CE0"/>
    <w:rsid w:val="4CA86906"/>
    <w:rsid w:val="4CC31F2D"/>
    <w:rsid w:val="4CFA6A2E"/>
    <w:rsid w:val="4CFD02CC"/>
    <w:rsid w:val="4D2806F4"/>
    <w:rsid w:val="4D3F6AF3"/>
    <w:rsid w:val="4D8372A0"/>
    <w:rsid w:val="4D8409ED"/>
    <w:rsid w:val="4E157897"/>
    <w:rsid w:val="4E435700"/>
    <w:rsid w:val="4E56727D"/>
    <w:rsid w:val="4E9974A6"/>
    <w:rsid w:val="4EA17774"/>
    <w:rsid w:val="4EE6512A"/>
    <w:rsid w:val="4EE71234"/>
    <w:rsid w:val="4EF6400F"/>
    <w:rsid w:val="4F887B91"/>
    <w:rsid w:val="4F8A0DCC"/>
    <w:rsid w:val="4FD517AA"/>
    <w:rsid w:val="4FFD5E9F"/>
    <w:rsid w:val="50256815"/>
    <w:rsid w:val="50B3232E"/>
    <w:rsid w:val="50B46C20"/>
    <w:rsid w:val="50C35534"/>
    <w:rsid w:val="51074B4B"/>
    <w:rsid w:val="511713D3"/>
    <w:rsid w:val="516528E4"/>
    <w:rsid w:val="51DD46C7"/>
    <w:rsid w:val="5206556E"/>
    <w:rsid w:val="52281239"/>
    <w:rsid w:val="522F1477"/>
    <w:rsid w:val="52D86862"/>
    <w:rsid w:val="53035E61"/>
    <w:rsid w:val="534B5553"/>
    <w:rsid w:val="53A56FC8"/>
    <w:rsid w:val="547FB7FB"/>
    <w:rsid w:val="548435E1"/>
    <w:rsid w:val="549E6E38"/>
    <w:rsid w:val="54F40B54"/>
    <w:rsid w:val="550B5550"/>
    <w:rsid w:val="55243AD1"/>
    <w:rsid w:val="555D389B"/>
    <w:rsid w:val="55A4515A"/>
    <w:rsid w:val="563D6471"/>
    <w:rsid w:val="56466840"/>
    <w:rsid w:val="566F457A"/>
    <w:rsid w:val="56705FB3"/>
    <w:rsid w:val="56960069"/>
    <w:rsid w:val="56F33B91"/>
    <w:rsid w:val="56F3DC9C"/>
    <w:rsid w:val="572A52CC"/>
    <w:rsid w:val="57471C8A"/>
    <w:rsid w:val="576A4B68"/>
    <w:rsid w:val="57780573"/>
    <w:rsid w:val="578735B4"/>
    <w:rsid w:val="57912A20"/>
    <w:rsid w:val="57B455BA"/>
    <w:rsid w:val="580B0F75"/>
    <w:rsid w:val="581A4428"/>
    <w:rsid w:val="584119B5"/>
    <w:rsid w:val="58483A19"/>
    <w:rsid w:val="58FE349F"/>
    <w:rsid w:val="58FF37B1"/>
    <w:rsid w:val="590442D0"/>
    <w:rsid w:val="59103328"/>
    <w:rsid w:val="59241258"/>
    <w:rsid w:val="59323A50"/>
    <w:rsid w:val="59941FB8"/>
    <w:rsid w:val="59A0095D"/>
    <w:rsid w:val="59BE35E2"/>
    <w:rsid w:val="59E79DE9"/>
    <w:rsid w:val="5A63073C"/>
    <w:rsid w:val="5A9A1850"/>
    <w:rsid w:val="5A9F5E78"/>
    <w:rsid w:val="5AA4699A"/>
    <w:rsid w:val="5ABA15AB"/>
    <w:rsid w:val="5AF54CD9"/>
    <w:rsid w:val="5B4B2B4A"/>
    <w:rsid w:val="5BB21969"/>
    <w:rsid w:val="5C0009AC"/>
    <w:rsid w:val="5C164F06"/>
    <w:rsid w:val="5C6407EF"/>
    <w:rsid w:val="5C987A6F"/>
    <w:rsid w:val="5CA40764"/>
    <w:rsid w:val="5CA850E3"/>
    <w:rsid w:val="5CFC309C"/>
    <w:rsid w:val="5D263E92"/>
    <w:rsid w:val="5D4D7998"/>
    <w:rsid w:val="5DDF0F85"/>
    <w:rsid w:val="5E1B2CA8"/>
    <w:rsid w:val="5E31411E"/>
    <w:rsid w:val="5EEC1F4F"/>
    <w:rsid w:val="5F0F3E1B"/>
    <w:rsid w:val="5F10773B"/>
    <w:rsid w:val="5F7F7AA4"/>
    <w:rsid w:val="5F9743C0"/>
    <w:rsid w:val="602C1292"/>
    <w:rsid w:val="60400176"/>
    <w:rsid w:val="60564642"/>
    <w:rsid w:val="6064215B"/>
    <w:rsid w:val="60652479"/>
    <w:rsid w:val="60752B8E"/>
    <w:rsid w:val="60906C54"/>
    <w:rsid w:val="60E7004C"/>
    <w:rsid w:val="6115578D"/>
    <w:rsid w:val="612739D7"/>
    <w:rsid w:val="615D5386"/>
    <w:rsid w:val="61637887"/>
    <w:rsid w:val="617C53D9"/>
    <w:rsid w:val="61B0380A"/>
    <w:rsid w:val="61C9790C"/>
    <w:rsid w:val="6231554B"/>
    <w:rsid w:val="62343A8E"/>
    <w:rsid w:val="628A3147"/>
    <w:rsid w:val="629504EF"/>
    <w:rsid w:val="62AC21BB"/>
    <w:rsid w:val="62AE44E8"/>
    <w:rsid w:val="62BD348D"/>
    <w:rsid w:val="62CF5665"/>
    <w:rsid w:val="62F87114"/>
    <w:rsid w:val="632048BD"/>
    <w:rsid w:val="63234407"/>
    <w:rsid w:val="6343752F"/>
    <w:rsid w:val="63A55DE1"/>
    <w:rsid w:val="63CB6745"/>
    <w:rsid w:val="63EE0517"/>
    <w:rsid w:val="643C35AF"/>
    <w:rsid w:val="64455E07"/>
    <w:rsid w:val="64B21544"/>
    <w:rsid w:val="64B27796"/>
    <w:rsid w:val="65497BF4"/>
    <w:rsid w:val="656159AD"/>
    <w:rsid w:val="6565098C"/>
    <w:rsid w:val="657D732D"/>
    <w:rsid w:val="657F58CB"/>
    <w:rsid w:val="659F5D29"/>
    <w:rsid w:val="65C9490F"/>
    <w:rsid w:val="65EE0CA2"/>
    <w:rsid w:val="66354994"/>
    <w:rsid w:val="663E33D8"/>
    <w:rsid w:val="66AC1B17"/>
    <w:rsid w:val="66DE7CCD"/>
    <w:rsid w:val="674A5735"/>
    <w:rsid w:val="67B81628"/>
    <w:rsid w:val="684D41D7"/>
    <w:rsid w:val="685700EF"/>
    <w:rsid w:val="68964A1B"/>
    <w:rsid w:val="68A65B76"/>
    <w:rsid w:val="68D26659"/>
    <w:rsid w:val="69771195"/>
    <w:rsid w:val="69A34123"/>
    <w:rsid w:val="6A4F08C6"/>
    <w:rsid w:val="6A8A7C42"/>
    <w:rsid w:val="6A9B65D4"/>
    <w:rsid w:val="6ABD0705"/>
    <w:rsid w:val="6AE631D2"/>
    <w:rsid w:val="6B656486"/>
    <w:rsid w:val="6B700D5C"/>
    <w:rsid w:val="6C613F7C"/>
    <w:rsid w:val="6C9A24F6"/>
    <w:rsid w:val="6CA24044"/>
    <w:rsid w:val="6CC355C2"/>
    <w:rsid w:val="6CD2570F"/>
    <w:rsid w:val="6D4F33F6"/>
    <w:rsid w:val="6D7B04E5"/>
    <w:rsid w:val="6DDFE04A"/>
    <w:rsid w:val="6DFE506E"/>
    <w:rsid w:val="6E3C0282"/>
    <w:rsid w:val="6F084B83"/>
    <w:rsid w:val="6F5C5FE4"/>
    <w:rsid w:val="6F6A5F99"/>
    <w:rsid w:val="6F885CC3"/>
    <w:rsid w:val="6FEC6252"/>
    <w:rsid w:val="6FF922AC"/>
    <w:rsid w:val="70413F71"/>
    <w:rsid w:val="704A55BF"/>
    <w:rsid w:val="71211228"/>
    <w:rsid w:val="71243E9A"/>
    <w:rsid w:val="714C39A4"/>
    <w:rsid w:val="717676DE"/>
    <w:rsid w:val="718B4812"/>
    <w:rsid w:val="71BB4D6E"/>
    <w:rsid w:val="71EE0C33"/>
    <w:rsid w:val="71FF291F"/>
    <w:rsid w:val="723E41E3"/>
    <w:rsid w:val="72F816D1"/>
    <w:rsid w:val="7309711B"/>
    <w:rsid w:val="735A1725"/>
    <w:rsid w:val="73836ECE"/>
    <w:rsid w:val="74065409"/>
    <w:rsid w:val="74B25471"/>
    <w:rsid w:val="74C460BA"/>
    <w:rsid w:val="74CE4BA1"/>
    <w:rsid w:val="75033411"/>
    <w:rsid w:val="75DE03EB"/>
    <w:rsid w:val="75E63744"/>
    <w:rsid w:val="760C4C55"/>
    <w:rsid w:val="7625426C"/>
    <w:rsid w:val="768B76B6"/>
    <w:rsid w:val="76B733AB"/>
    <w:rsid w:val="76E40BD9"/>
    <w:rsid w:val="77094214"/>
    <w:rsid w:val="770C35E3"/>
    <w:rsid w:val="770D0406"/>
    <w:rsid w:val="770E27AC"/>
    <w:rsid w:val="77533CFE"/>
    <w:rsid w:val="77774532"/>
    <w:rsid w:val="778D1778"/>
    <w:rsid w:val="77F42082"/>
    <w:rsid w:val="78266F87"/>
    <w:rsid w:val="78897AFF"/>
    <w:rsid w:val="78AF725D"/>
    <w:rsid w:val="79054489"/>
    <w:rsid w:val="79751067"/>
    <w:rsid w:val="79C132E3"/>
    <w:rsid w:val="79E9735F"/>
    <w:rsid w:val="7A545120"/>
    <w:rsid w:val="7AB441D5"/>
    <w:rsid w:val="7AB51E92"/>
    <w:rsid w:val="7AE87C4C"/>
    <w:rsid w:val="7B185B9D"/>
    <w:rsid w:val="7B18614D"/>
    <w:rsid w:val="7B2014A6"/>
    <w:rsid w:val="7B9F289A"/>
    <w:rsid w:val="7BAFC5D9"/>
    <w:rsid w:val="7BD246A9"/>
    <w:rsid w:val="7BDC6677"/>
    <w:rsid w:val="7BDD1603"/>
    <w:rsid w:val="7BF5648F"/>
    <w:rsid w:val="7C1DC8FA"/>
    <w:rsid w:val="7C4B2553"/>
    <w:rsid w:val="7C5207FC"/>
    <w:rsid w:val="7C9C234A"/>
    <w:rsid w:val="7CAA1027"/>
    <w:rsid w:val="7CFFB76D"/>
    <w:rsid w:val="7D133A6A"/>
    <w:rsid w:val="7D2D5A80"/>
    <w:rsid w:val="7D513E64"/>
    <w:rsid w:val="7DFC2B7F"/>
    <w:rsid w:val="7DFD1F92"/>
    <w:rsid w:val="7E0A4C70"/>
    <w:rsid w:val="7E414658"/>
    <w:rsid w:val="7E486D4A"/>
    <w:rsid w:val="7E5576B9"/>
    <w:rsid w:val="7E7F04D6"/>
    <w:rsid w:val="7E9A7674"/>
    <w:rsid w:val="7ED47850"/>
    <w:rsid w:val="7F052E8D"/>
    <w:rsid w:val="7F06CB85"/>
    <w:rsid w:val="7F5160D2"/>
    <w:rsid w:val="7F742D89"/>
    <w:rsid w:val="7F8E4F77"/>
    <w:rsid w:val="7FAB0A21"/>
    <w:rsid w:val="7FFA0E83"/>
    <w:rsid w:val="8ADB5599"/>
    <w:rsid w:val="AAB9FC5B"/>
    <w:rsid w:val="ACF75EF0"/>
    <w:rsid w:val="AF99DF3F"/>
    <w:rsid w:val="AFEF57F1"/>
    <w:rsid w:val="BB2F5287"/>
    <w:rsid w:val="BE0F6E8E"/>
    <w:rsid w:val="BF5EABF2"/>
    <w:rsid w:val="BF77E485"/>
    <w:rsid w:val="BFFCB8A3"/>
    <w:rsid w:val="D6F63CCA"/>
    <w:rsid w:val="DD3F17D0"/>
    <w:rsid w:val="DFF609B8"/>
    <w:rsid w:val="ED7DFC6B"/>
    <w:rsid w:val="EF3DD1FF"/>
    <w:rsid w:val="F66E2F3E"/>
    <w:rsid w:val="F67CCFD4"/>
    <w:rsid w:val="F7BE974D"/>
    <w:rsid w:val="F7FB1BAE"/>
    <w:rsid w:val="FAEE4FAA"/>
    <w:rsid w:val="FBDFA5D0"/>
    <w:rsid w:val="FBED7182"/>
    <w:rsid w:val="FBFB4513"/>
    <w:rsid w:val="FEF77365"/>
    <w:rsid w:val="FFA64BE5"/>
    <w:rsid w:val="FFD6DC1D"/>
    <w:rsid w:val="FFEEB03A"/>
    <w:rsid w:val="FFFD21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2"/>
    <w:basedOn w:val="5"/>
    <w:next w:val="1"/>
    <w:unhideWhenUsed/>
    <w:qFormat/>
    <w:uiPriority w:val="9"/>
    <w:pPr>
      <w:keepNext/>
      <w:keepLines/>
      <w:spacing w:before="260" w:after="260" w:line="416" w:lineRule="auto"/>
      <w:outlineLvl w:val="1"/>
    </w:pPr>
    <w:rPr>
      <w:rFonts w:eastAsia="楷体" w:asciiTheme="majorHAnsi" w:hAnsiTheme="majorHAnsi" w:cstheme="majorBidi"/>
      <w:sz w:val="32"/>
      <w:szCs w:val="32"/>
    </w:rPr>
  </w:style>
  <w:style w:type="paragraph" w:styleId="5">
    <w:name w:val="heading 3"/>
    <w:basedOn w:val="1"/>
    <w:next w:val="1"/>
    <w:autoRedefine/>
    <w:qFormat/>
    <w:uiPriority w:val="0"/>
    <w:pPr>
      <w:keepNext/>
      <w:outlineLvl w:val="2"/>
    </w:pPr>
    <w:rPr>
      <w:rFonts w:ascii="楷体_GB2312" w:hAnsi="宋体" w:eastAsia="楷体_GB2312"/>
      <w:b/>
      <w:bCs/>
      <w:sz w:val="32"/>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qFormat/>
    <w:uiPriority w:val="0"/>
    <w:pPr>
      <w:widowControl w:val="0"/>
      <w:spacing w:before="0" w:beforeAutospacing="0" w:after="120" w:afterAutospacing="0"/>
      <w:ind w:left="200" w:leftChars="200" w:firstLine="200" w:firstLineChars="200"/>
      <w:jc w:val="both"/>
    </w:pPr>
    <w:rPr>
      <w:rFonts w:ascii="Times New Roman" w:hAnsi="Times New Roman" w:cs="Times New Roman"/>
      <w:kern w:val="2"/>
      <w:sz w:val="21"/>
      <w:lang w:bidi="ar-SA"/>
    </w:rPr>
  </w:style>
  <w:style w:type="paragraph" w:styleId="3">
    <w:name w:val="Body Text Indent"/>
    <w:basedOn w:val="1"/>
    <w:autoRedefine/>
    <w:qFormat/>
    <w:uiPriority w:val="0"/>
    <w:pPr>
      <w:spacing w:after="120"/>
      <w:ind w:left="420" w:leftChars="200"/>
    </w:pPr>
  </w:style>
  <w:style w:type="paragraph" w:styleId="6">
    <w:name w:val="Normal Indent"/>
    <w:basedOn w:val="1"/>
    <w:autoRedefine/>
    <w:qFormat/>
    <w:uiPriority w:val="0"/>
    <w:pPr>
      <w:ind w:firstLine="420" w:firstLineChars="200"/>
    </w:pPr>
    <w:rPr>
      <w:rFonts w:eastAsia="宋体"/>
    </w:rPr>
  </w:style>
  <w:style w:type="paragraph" w:styleId="7">
    <w:name w:val="caption"/>
    <w:basedOn w:val="1"/>
    <w:next w:val="1"/>
    <w:autoRedefine/>
    <w:unhideWhenUsed/>
    <w:qFormat/>
    <w:uiPriority w:val="0"/>
    <w:rPr>
      <w:rFonts w:ascii="Arial" w:hAnsi="Arial" w:eastAsia="黑体"/>
      <w:sz w:val="20"/>
    </w:rPr>
  </w:style>
  <w:style w:type="paragraph" w:styleId="8">
    <w:name w:val="toa heading"/>
    <w:basedOn w:val="1"/>
    <w:next w:val="1"/>
    <w:autoRedefine/>
    <w:unhideWhenUsed/>
    <w:qFormat/>
    <w:uiPriority w:val="99"/>
    <w:pPr>
      <w:spacing w:before="120"/>
    </w:pPr>
    <w:rPr>
      <w:rFonts w:ascii="Cambria" w:hAnsi="Cambria" w:cs="Times New Roman"/>
      <w:sz w:val="24"/>
      <w:szCs w:val="24"/>
    </w:rPr>
  </w:style>
  <w:style w:type="paragraph" w:styleId="9">
    <w:name w:val="Body Text"/>
    <w:basedOn w:val="1"/>
    <w:autoRedefine/>
    <w:semiHidden/>
    <w:qFormat/>
    <w:uiPriority w:val="0"/>
    <w:rPr>
      <w:rFonts w:ascii="Arial" w:hAnsi="Arial" w:eastAsia="Arial" w:cs="Arial"/>
      <w:sz w:val="21"/>
      <w:szCs w:val="21"/>
      <w:lang w:val="en-US" w:eastAsia="en-US" w:bidi="ar-SA"/>
    </w:rPr>
  </w:style>
  <w:style w:type="paragraph" w:styleId="10">
    <w:name w:val="Plain Text"/>
    <w:basedOn w:val="1"/>
    <w:next w:val="9"/>
    <w:qFormat/>
    <w:uiPriority w:val="0"/>
    <w:rPr>
      <w:rFonts w:ascii="宋体" w:hAnsi="Courier New" w:eastAsia="宋体"/>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envelope return"/>
    <w:basedOn w:val="1"/>
    <w:autoRedefine/>
    <w:qFormat/>
    <w:uiPriority w:val="0"/>
    <w:pPr>
      <w:snapToGrid w:val="0"/>
    </w:pPr>
    <w:rPr>
      <w:rFonts w:ascii="Arial" w:hAnsi="Arial" w:cs="Arial"/>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List"/>
    <w:basedOn w:val="1"/>
    <w:autoRedefine/>
    <w:qFormat/>
    <w:uiPriority w:val="0"/>
    <w:pPr>
      <w:ind w:left="200" w:hanging="200" w:hangingChars="200"/>
    </w:pPr>
    <w:rPr>
      <w:rFonts w:ascii="Calibri" w:hAnsi="Calibri"/>
    </w:rPr>
  </w:style>
  <w:style w:type="paragraph" w:styleId="15">
    <w:name w:val="Body Text 2"/>
    <w:qFormat/>
    <w:uiPriority w:val="0"/>
    <w:pPr>
      <w:widowControl w:val="0"/>
      <w:spacing w:after="120" w:line="480" w:lineRule="auto"/>
      <w:jc w:val="both"/>
    </w:pPr>
    <w:rPr>
      <w:rFonts w:ascii="Times New Roman" w:hAnsi="Times New Roman" w:eastAsia="宋体" w:cs="仿宋"/>
      <w:kern w:val="2"/>
      <w:sz w:val="28"/>
      <w:szCs w:val="28"/>
      <w:lang w:val="en-US" w:eastAsia="zh-CN" w:bidi="ar-SA"/>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page number"/>
    <w:basedOn w:val="19"/>
    <w:autoRedefine/>
    <w:qFormat/>
    <w:uiPriority w:val="0"/>
  </w:style>
  <w:style w:type="character" w:styleId="22">
    <w:name w:val="HTML Sample"/>
    <w:basedOn w:val="19"/>
    <w:autoRedefine/>
    <w:qFormat/>
    <w:uiPriority w:val="0"/>
    <w:rPr>
      <w:rFonts w:ascii="Courier New" w:hAnsi="Courier New"/>
    </w:rPr>
  </w:style>
  <w:style w:type="paragraph" w:customStyle="1" w:styleId="23">
    <w:name w:val="Default"/>
    <w:basedOn w:val="10"/>
    <w:next w:val="24"/>
    <w:autoRedefine/>
    <w:qFormat/>
    <w:uiPriority w:val="0"/>
    <w:pPr>
      <w:widowControl w:val="0"/>
      <w:autoSpaceDE w:val="0"/>
      <w:autoSpaceDN w:val="0"/>
      <w:adjustRightInd w:val="0"/>
    </w:pPr>
    <w:rPr>
      <w:rFonts w:ascii="Arial Unicode MS" w:hAnsi="Times New Roman" w:eastAsia="Arial Unicode MS" w:cs="Arial Unicode MS"/>
      <w:color w:val="000000"/>
      <w:sz w:val="24"/>
      <w:szCs w:val="24"/>
      <w:lang w:val="en-US" w:eastAsia="zh-CN" w:bidi="ar-SA"/>
    </w:rPr>
  </w:style>
  <w:style w:type="paragraph" w:customStyle="1" w:styleId="24">
    <w:name w:val="大标题"/>
    <w:basedOn w:val="1"/>
    <w:next w:val="2"/>
    <w:qFormat/>
    <w:uiPriority w:val="0"/>
    <w:pPr>
      <w:jc w:val="center"/>
    </w:pPr>
    <w:rPr>
      <w:rFonts w:ascii="Arial" w:hAnsi="Arial" w:eastAsia="宋体"/>
      <w:b/>
      <w:sz w:val="28"/>
    </w:rPr>
  </w:style>
  <w:style w:type="paragraph" w:customStyle="1" w:styleId="25">
    <w:name w:val="列出段落1"/>
    <w:basedOn w:val="1"/>
    <w:autoRedefine/>
    <w:qFormat/>
    <w:uiPriority w:val="34"/>
    <w:pPr>
      <w:ind w:firstLine="420" w:firstLineChars="200"/>
    </w:pPr>
  </w:style>
  <w:style w:type="table" w:customStyle="1" w:styleId="26">
    <w:name w:val="Table Normal"/>
    <w:autoRedefine/>
    <w:unhideWhenUsed/>
    <w:qFormat/>
    <w:uiPriority w:val="0"/>
    <w:tblPr>
      <w:tblCellMar>
        <w:top w:w="0" w:type="dxa"/>
        <w:left w:w="0" w:type="dxa"/>
        <w:bottom w:w="0" w:type="dxa"/>
        <w:right w:w="0" w:type="dxa"/>
      </w:tblCellMar>
    </w:tblPr>
  </w:style>
  <w:style w:type="paragraph" w:customStyle="1" w:styleId="27">
    <w:name w:val="Table Text"/>
    <w:basedOn w:val="1"/>
    <w:autoRedefine/>
    <w:semiHidden/>
    <w:qFormat/>
    <w:uiPriority w:val="0"/>
    <w:rPr>
      <w:rFonts w:ascii="仿宋" w:hAnsi="仿宋" w:eastAsia="仿宋" w:cs="仿宋"/>
      <w:sz w:val="24"/>
      <w:szCs w:val="24"/>
      <w:lang w:val="en-US" w:eastAsia="en-US" w:bidi="ar-SA"/>
    </w:rPr>
  </w:style>
  <w:style w:type="paragraph" w:customStyle="1" w:styleId="28">
    <w:name w:val="List Paragraph"/>
    <w:basedOn w:val="1"/>
    <w:autoRedefine/>
    <w:qFormat/>
    <w:uiPriority w:val="34"/>
    <w:pPr>
      <w:ind w:firstLine="420" w:firstLineChars="200"/>
    </w:pPr>
    <w:rPr>
      <w:rFonts w:ascii="Calibri" w:hAnsi="Calibri"/>
      <w:szCs w:val="22"/>
    </w:rPr>
  </w:style>
  <w:style w:type="paragraph" w:customStyle="1" w:styleId="29">
    <w:name w:val="_Style 1"/>
    <w:basedOn w:val="1"/>
    <w:autoRedefine/>
    <w:qFormat/>
    <w:uiPriority w:val="0"/>
    <w:pPr>
      <w:ind w:firstLine="420" w:firstLineChars="200"/>
    </w:pPr>
    <w:rPr>
      <w:rFonts w:ascii="Calibri" w:hAnsi="Calibri"/>
      <w:szCs w:val="22"/>
    </w:rPr>
  </w:style>
  <w:style w:type="paragraph" w:customStyle="1" w:styleId="30">
    <w:name w:val="样式 样式 样式 左侧:  2 字符1 + 首行缩进:  2 字符1 + 首行缩进:  2 字符"/>
    <w:basedOn w:val="1"/>
    <w:autoRedefine/>
    <w:qFormat/>
    <w:uiPriority w:val="0"/>
    <w:pPr>
      <w:widowControl/>
      <w:spacing w:before="60" w:after="120" w:line="440" w:lineRule="atLeast"/>
      <w:ind w:firstLine="480"/>
    </w:pPr>
    <w:rPr>
      <w:rFonts w:hint="eastAsia"/>
      <w:sz w:val="24"/>
    </w:rPr>
  </w:style>
  <w:style w:type="paragraph" w:customStyle="1" w:styleId="31">
    <w:name w:val="标书正文"/>
    <w:basedOn w:val="1"/>
    <w:autoRedefine/>
    <w:qFormat/>
    <w:uiPriority w:val="0"/>
    <w:pPr>
      <w:spacing w:line="360" w:lineRule="auto"/>
      <w:ind w:firstLine="497" w:firstLineChars="207"/>
    </w:pPr>
    <w:rPr>
      <w:sz w:val="24"/>
      <w:szCs w:val="20"/>
    </w:rPr>
  </w:style>
  <w:style w:type="character" w:customStyle="1" w:styleId="32">
    <w:name w:val="NormalCharacter"/>
    <w:autoRedefine/>
    <w:semiHidden/>
    <w:qFormat/>
    <w:uiPriority w:val="0"/>
  </w:style>
  <w:style w:type="paragraph" w:styleId="33">
    <w:name w:val="No Spacing"/>
    <w:qFormat/>
    <w:uiPriority w:val="1"/>
    <w:pPr>
      <w:widowControl w:val="0"/>
      <w:jc w:val="both"/>
    </w:pPr>
    <w:rPr>
      <w:rFonts w:eastAsia="思源黑体 CN Light" w:asciiTheme="minorHAnsi" w:hAnsiTheme="minorHAnsi" w:cstheme="minorBidi"/>
      <w:kern w:val="2"/>
      <w:sz w:val="24"/>
      <w:szCs w:val="22"/>
      <w:lang w:val="en-US" w:eastAsia="zh-CN" w:bidi="ar-SA"/>
    </w:rPr>
  </w:style>
  <w:style w:type="paragraph" w:customStyle="1" w:styleId="34">
    <w:name w:val="Normal_2"/>
    <w:qFormat/>
    <w:uiPriority w:val="0"/>
    <w:rPr>
      <w:rFonts w:ascii="黑体" w:hAnsi="Times New Roman" w:eastAsia="黑体" w:cs="Times New Roman"/>
      <w:b/>
      <w:sz w:val="32"/>
      <w:szCs w:val="24"/>
      <w:lang w:val="en-US" w:eastAsia="zh-CN" w:bidi="ar-SA"/>
    </w:rPr>
  </w:style>
  <w:style w:type="paragraph" w:customStyle="1" w:styleId="35">
    <w:name w:val="Heading1"/>
    <w:next w:val="1"/>
    <w:qFormat/>
    <w:uiPriority w:val="0"/>
    <w:pPr>
      <w:keepNext/>
      <w:keepLines/>
      <w:spacing w:before="340" w:after="330" w:line="576" w:lineRule="auto"/>
      <w:jc w:val="both"/>
      <w:textAlignment w:val="baseline"/>
    </w:pPr>
    <w:rPr>
      <w:rFonts w:ascii="Calibri" w:hAnsi="Calibri" w:eastAsia="宋体" w:cstheme="minorBidi"/>
      <w:b/>
      <w:kern w:val="44"/>
      <w:sz w:val="44"/>
      <w:szCs w:val="24"/>
      <w:lang w:val="en-US" w:eastAsia="zh-CN" w:bidi="ar-SA"/>
    </w:rPr>
  </w:style>
  <w:style w:type="paragraph" w:customStyle="1" w:styleId="36">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98</Pages>
  <Words>150</Words>
  <Characters>160</Characters>
  <TotalTime>7</TotalTime>
  <ScaleCrop>false</ScaleCrop>
  <LinksUpToDate>false</LinksUpToDate>
  <CharactersWithSpaces>172</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2024-04-24T17:39:00Z</dcterms:created>
  <dc:creator>Administrator</dc:creator>
  <cp:lastModifiedBy>user</cp:lastModifiedBy>
  <cp:lastPrinted>2026-07-18T00:48:00Z</cp:lastPrinted>
  <dcterms:modified xsi:type="dcterms:W3CDTF">2026-09-30T19:12:42Z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2024-04-22T17:39:26Z</vt:filetime>
  </property>
  <property fmtid="{D5CDD505-2E9C-101B-9397-08002B2CF9AE}" pid="4" name="UsrData">
    <vt:lpwstr>6626303b6ed6f9001f5f3b46wl</vt:lpwstr>
  </property>
  <property fmtid="{D5CDD505-2E9C-101B-9397-08002B2CF9AE}" pid="5" name="KSOProductBuildVer">
    <vt:lpwstr>2052-12.1.2.24730</vt:lpwstr>
  </property>
  <property fmtid="{D5CDD505-2E9C-101B-9397-08002B2CF9AE}" pid="6" name="ICV">
    <vt:lpwstr>0680E6B1F1724A54A21E0F779B1F6AA0_13</vt:lpwstr>
  </property>
  <property fmtid="{D5CDD505-2E9C-101B-9397-08002B2CF9AE}" pid="7" name="KSOTemplateDocerSaveRecord">
    <vt:lpwstr>eyJoZGlkIjoiZDNlZTZlYTE3NTdhYmZkYmJkZjI5YWQzYWVhY2QxZDMiLCJ1c2VySWQiOiI5NDg5MTM0NzgifQ==</vt:lpwstr>
  </property>
</Properties>
</file>