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39622">
      <w:pPr>
        <w:spacing w:before="119" w:line="223" w:lineRule="auto"/>
        <w:jc w:val="center"/>
        <w:rPr>
          <w:rFonts w:hint="eastAsia" w:ascii="宋体" w:hAnsi="宋体" w:eastAsia="宋体" w:cs="宋体"/>
          <w:b/>
          <w:bCs/>
          <w:spacing w:val="5"/>
          <w:sz w:val="47"/>
          <w:szCs w:val="47"/>
          <w:lang w:val="en-US" w:eastAsia="zh-CN"/>
        </w:rPr>
      </w:pPr>
      <w:r>
        <w:rPr>
          <w:rFonts w:hint="eastAsia" w:ascii="宋体" w:hAnsi="宋体" w:eastAsia="宋体" w:cs="宋体"/>
          <w:b/>
          <w:bCs/>
          <w:spacing w:val="5"/>
          <w:sz w:val="47"/>
          <w:szCs w:val="47"/>
          <w:lang w:eastAsia="zh-CN"/>
        </w:rPr>
        <w:t>采购2026年困难群众冬季取暖煤</w:t>
      </w:r>
      <w:r>
        <w:rPr>
          <w:rFonts w:hint="eastAsia" w:ascii="宋体" w:hAnsi="宋体" w:eastAsia="宋体" w:cs="宋体"/>
          <w:b/>
          <w:bCs/>
          <w:spacing w:val="5"/>
          <w:sz w:val="47"/>
          <w:szCs w:val="47"/>
          <w:lang w:val="en-US" w:eastAsia="zh-CN"/>
        </w:rPr>
        <w:t>项目</w:t>
      </w:r>
    </w:p>
    <w:p w14:paraId="6354E929">
      <w:pPr>
        <w:spacing w:before="119" w:line="223" w:lineRule="auto"/>
        <w:jc w:val="center"/>
        <w:rPr>
          <w:rFonts w:hint="default" w:ascii="宋体" w:hAnsi="宋体" w:eastAsia="宋体" w:cs="宋体"/>
          <w:b/>
          <w:bCs/>
          <w:spacing w:val="5"/>
          <w:sz w:val="47"/>
          <w:szCs w:val="47"/>
          <w:lang w:val="en-US" w:eastAsia="zh-CN"/>
        </w:rPr>
      </w:pPr>
      <w:r>
        <w:rPr>
          <w:rFonts w:hint="eastAsia" w:ascii="宋体" w:hAnsi="宋体" w:eastAsia="宋体" w:cs="宋体"/>
          <w:b/>
          <w:bCs/>
          <w:spacing w:val="5"/>
          <w:sz w:val="47"/>
          <w:szCs w:val="47"/>
          <w:lang w:val="en-US" w:eastAsia="zh-CN"/>
        </w:rPr>
        <w:t>（二次）</w:t>
      </w:r>
    </w:p>
    <w:p w14:paraId="1DCD2937">
      <w:pPr>
        <w:spacing w:before="119" w:line="223" w:lineRule="auto"/>
        <w:rPr>
          <w:rFonts w:ascii="宋体" w:hAnsi="宋体" w:eastAsia="宋体" w:cs="宋体"/>
          <w:sz w:val="47"/>
          <w:szCs w:val="47"/>
        </w:rPr>
      </w:pPr>
    </w:p>
    <w:p w14:paraId="16A86C1C">
      <w:pPr>
        <w:pStyle w:val="2"/>
        <w:spacing w:line="346" w:lineRule="auto"/>
      </w:pPr>
    </w:p>
    <w:p w14:paraId="0319A0A3">
      <w:pPr>
        <w:pStyle w:val="2"/>
        <w:spacing w:line="346" w:lineRule="auto"/>
      </w:pPr>
    </w:p>
    <w:p w14:paraId="1467644D">
      <w:pPr>
        <w:spacing w:before="110" w:line="225" w:lineRule="auto"/>
        <w:ind w:left="1664"/>
        <w:rPr>
          <w:rFonts w:ascii="宋体" w:hAnsi="宋体" w:eastAsia="宋体" w:cs="宋体"/>
          <w:sz w:val="34"/>
          <w:szCs w:val="34"/>
          <w:highlight w:val="none"/>
        </w:rPr>
      </w:pPr>
      <w:r>
        <w:rPr>
          <w:rFonts w:ascii="宋体" w:hAnsi="宋体" w:eastAsia="宋体" w:cs="宋体"/>
          <w:b/>
          <w:bCs/>
          <w:spacing w:val="3"/>
          <w:sz w:val="34"/>
          <w:szCs w:val="34"/>
        </w:rPr>
        <w:t>（项目编号</w:t>
      </w:r>
      <w:r>
        <w:rPr>
          <w:rFonts w:ascii="宋体" w:hAnsi="宋体" w:eastAsia="宋体" w:cs="宋体"/>
          <w:b/>
          <w:bCs/>
          <w:spacing w:val="3"/>
          <w:sz w:val="34"/>
          <w:szCs w:val="34"/>
          <w:highlight w:val="none"/>
        </w:rPr>
        <w:t>：</w:t>
      </w:r>
      <w:r>
        <w:rPr>
          <w:rFonts w:hint="eastAsia" w:ascii="宋体" w:hAnsi="宋体" w:eastAsia="宋体" w:cs="宋体"/>
          <w:spacing w:val="-2"/>
          <w:sz w:val="28"/>
          <w:szCs w:val="28"/>
          <w:highlight w:val="none"/>
          <w:lang w:val="en-US" w:eastAsia="zh-CN"/>
        </w:rPr>
        <w:t>20260818-01</w:t>
      </w:r>
      <w:r>
        <w:rPr>
          <w:rFonts w:ascii="宋体" w:hAnsi="宋体" w:eastAsia="宋体" w:cs="宋体"/>
          <w:b/>
          <w:bCs/>
          <w:spacing w:val="3"/>
          <w:sz w:val="34"/>
          <w:szCs w:val="34"/>
          <w:highlight w:val="none"/>
        </w:rPr>
        <w:t>）</w:t>
      </w:r>
    </w:p>
    <w:p w14:paraId="31B2D555">
      <w:pPr>
        <w:pStyle w:val="2"/>
        <w:spacing w:line="261" w:lineRule="auto"/>
        <w:rPr>
          <w:highlight w:val="none"/>
        </w:rPr>
      </w:pPr>
    </w:p>
    <w:p w14:paraId="79479CED">
      <w:pPr>
        <w:pStyle w:val="2"/>
        <w:spacing w:line="261" w:lineRule="auto"/>
        <w:rPr>
          <w:highlight w:val="none"/>
        </w:rPr>
      </w:pPr>
    </w:p>
    <w:p w14:paraId="68ECFC15">
      <w:pPr>
        <w:pStyle w:val="2"/>
        <w:spacing w:line="261" w:lineRule="auto"/>
        <w:rPr>
          <w:highlight w:val="none"/>
        </w:rPr>
      </w:pPr>
    </w:p>
    <w:p w14:paraId="2EE6852D">
      <w:pPr>
        <w:pStyle w:val="2"/>
        <w:spacing w:line="261" w:lineRule="auto"/>
      </w:pPr>
    </w:p>
    <w:p w14:paraId="0CC34822">
      <w:pPr>
        <w:pStyle w:val="2"/>
        <w:spacing w:line="262" w:lineRule="auto"/>
      </w:pPr>
    </w:p>
    <w:p w14:paraId="5E967492">
      <w:pPr>
        <w:pStyle w:val="2"/>
        <w:spacing w:line="262" w:lineRule="auto"/>
      </w:pPr>
    </w:p>
    <w:p w14:paraId="66BF5D6E">
      <w:pPr>
        <w:pStyle w:val="2"/>
        <w:spacing w:line="262" w:lineRule="auto"/>
      </w:pPr>
    </w:p>
    <w:p w14:paraId="6D26A874">
      <w:pPr>
        <w:pStyle w:val="2"/>
        <w:spacing w:line="262" w:lineRule="auto"/>
      </w:pPr>
    </w:p>
    <w:p w14:paraId="73CE7796">
      <w:pPr>
        <w:pStyle w:val="2"/>
        <w:spacing w:line="262" w:lineRule="auto"/>
      </w:pPr>
    </w:p>
    <w:p w14:paraId="068B5F44">
      <w:pPr>
        <w:pStyle w:val="2"/>
        <w:spacing w:line="262" w:lineRule="auto"/>
      </w:pPr>
    </w:p>
    <w:p w14:paraId="17A83EA3">
      <w:pPr>
        <w:spacing w:before="306" w:line="221" w:lineRule="auto"/>
        <w:ind w:left="2027"/>
        <w:rPr>
          <w:rFonts w:ascii="宋体" w:hAnsi="宋体" w:eastAsia="宋体" w:cs="宋体"/>
          <w:sz w:val="94"/>
          <w:szCs w:val="94"/>
        </w:rPr>
      </w:pPr>
      <w:r>
        <w:rPr>
          <w:rFonts w:ascii="宋体" w:hAnsi="宋体" w:eastAsia="宋体" w:cs="宋体"/>
          <w:b/>
          <w:bCs/>
          <w:spacing w:val="-34"/>
          <w:sz w:val="94"/>
          <w:szCs w:val="94"/>
        </w:rPr>
        <w:t>招标文件</w:t>
      </w:r>
    </w:p>
    <w:p w14:paraId="28005712">
      <w:pPr>
        <w:pStyle w:val="2"/>
        <w:spacing w:line="247" w:lineRule="auto"/>
      </w:pPr>
    </w:p>
    <w:p w14:paraId="6DA19CE3">
      <w:pPr>
        <w:pStyle w:val="2"/>
        <w:spacing w:line="247" w:lineRule="auto"/>
      </w:pPr>
    </w:p>
    <w:p w14:paraId="595AE257">
      <w:pPr>
        <w:pStyle w:val="2"/>
        <w:spacing w:line="247" w:lineRule="auto"/>
      </w:pPr>
    </w:p>
    <w:p w14:paraId="56455CC7">
      <w:pPr>
        <w:pStyle w:val="2"/>
        <w:spacing w:line="247" w:lineRule="auto"/>
      </w:pPr>
    </w:p>
    <w:p w14:paraId="0FCE46FC">
      <w:pPr>
        <w:pStyle w:val="2"/>
        <w:spacing w:line="247" w:lineRule="auto"/>
      </w:pPr>
    </w:p>
    <w:p w14:paraId="7FD7710C">
      <w:pPr>
        <w:pStyle w:val="2"/>
        <w:spacing w:line="247" w:lineRule="auto"/>
      </w:pPr>
    </w:p>
    <w:p w14:paraId="3D25F6FD">
      <w:pPr>
        <w:pStyle w:val="2"/>
        <w:spacing w:line="247" w:lineRule="auto"/>
      </w:pPr>
    </w:p>
    <w:p w14:paraId="569DFB6C">
      <w:pPr>
        <w:pStyle w:val="2"/>
        <w:spacing w:line="247" w:lineRule="auto"/>
      </w:pPr>
    </w:p>
    <w:p w14:paraId="3BE4C9F5">
      <w:pPr>
        <w:pStyle w:val="2"/>
        <w:spacing w:line="248" w:lineRule="auto"/>
      </w:pPr>
    </w:p>
    <w:p w14:paraId="5A910981">
      <w:pPr>
        <w:pStyle w:val="2"/>
        <w:spacing w:line="248" w:lineRule="auto"/>
      </w:pPr>
    </w:p>
    <w:p w14:paraId="39CFA3F4">
      <w:pPr>
        <w:pStyle w:val="2"/>
        <w:spacing w:line="248" w:lineRule="auto"/>
      </w:pPr>
    </w:p>
    <w:p w14:paraId="5DF76493">
      <w:pPr>
        <w:pStyle w:val="2"/>
        <w:spacing w:line="248" w:lineRule="auto"/>
      </w:pPr>
    </w:p>
    <w:p w14:paraId="14D4A7EB">
      <w:pPr>
        <w:pStyle w:val="2"/>
        <w:spacing w:line="248" w:lineRule="auto"/>
      </w:pPr>
    </w:p>
    <w:p w14:paraId="09E75564">
      <w:pPr>
        <w:pStyle w:val="2"/>
        <w:spacing w:line="248" w:lineRule="auto"/>
      </w:pPr>
    </w:p>
    <w:p w14:paraId="584AC93E">
      <w:pPr>
        <w:pStyle w:val="2"/>
        <w:spacing w:line="248" w:lineRule="auto"/>
      </w:pPr>
    </w:p>
    <w:p w14:paraId="68478682">
      <w:pPr>
        <w:pStyle w:val="2"/>
        <w:spacing w:line="248" w:lineRule="auto"/>
      </w:pPr>
    </w:p>
    <w:p w14:paraId="64A5AECD">
      <w:pPr>
        <w:pStyle w:val="2"/>
        <w:spacing w:line="248" w:lineRule="auto"/>
      </w:pPr>
    </w:p>
    <w:p w14:paraId="45443BB5">
      <w:pPr>
        <w:spacing w:before="100" w:line="225" w:lineRule="auto"/>
        <w:ind w:left="1175"/>
        <w:rPr>
          <w:rFonts w:ascii="宋体" w:hAnsi="宋体" w:eastAsia="宋体" w:cs="宋体"/>
          <w:sz w:val="31"/>
          <w:szCs w:val="31"/>
        </w:rPr>
      </w:pPr>
      <w:r>
        <w:rPr>
          <w:rFonts w:ascii="宋体" w:hAnsi="宋体" w:eastAsia="宋体" w:cs="宋体"/>
          <w:spacing w:val="8"/>
          <w:sz w:val="31"/>
          <w:szCs w:val="31"/>
        </w:rPr>
        <w:t>采购人：</w:t>
      </w:r>
      <w:r>
        <w:rPr>
          <w:rFonts w:hint="eastAsia" w:ascii="宋体" w:hAnsi="宋体" w:eastAsia="宋体" w:cs="宋体"/>
          <w:spacing w:val="8"/>
          <w:sz w:val="31"/>
          <w:szCs w:val="31"/>
          <w:lang w:val="en-US" w:eastAsia="zh-CN"/>
        </w:rPr>
        <w:t>阿瓦提县</w:t>
      </w:r>
      <w:r>
        <w:rPr>
          <w:rFonts w:ascii="宋体" w:hAnsi="宋体" w:eastAsia="宋体" w:cs="宋体"/>
          <w:spacing w:val="8"/>
          <w:sz w:val="31"/>
          <w:szCs w:val="31"/>
        </w:rPr>
        <w:t>民政局</w:t>
      </w:r>
    </w:p>
    <w:p w14:paraId="3E8785F8">
      <w:pPr>
        <w:spacing w:before="244" w:line="225" w:lineRule="auto"/>
        <w:ind w:left="1175"/>
        <w:rPr>
          <w:rFonts w:hint="default" w:ascii="宋体" w:hAnsi="宋体" w:eastAsia="宋体" w:cs="宋体"/>
          <w:sz w:val="31"/>
          <w:szCs w:val="31"/>
          <w:lang w:val="en-US" w:eastAsia="zh-CN"/>
        </w:rPr>
      </w:pPr>
      <w:r>
        <w:rPr>
          <w:rFonts w:ascii="宋体" w:hAnsi="宋体" w:eastAsia="宋体" w:cs="宋体"/>
          <w:spacing w:val="9"/>
          <w:sz w:val="31"/>
          <w:szCs w:val="31"/>
        </w:rPr>
        <w:t>采购代理：</w:t>
      </w:r>
      <w:r>
        <w:rPr>
          <w:rFonts w:hint="eastAsia" w:ascii="宋体" w:hAnsi="宋体" w:eastAsia="宋体" w:cs="宋体"/>
          <w:spacing w:val="9"/>
          <w:sz w:val="31"/>
          <w:szCs w:val="31"/>
          <w:lang w:val="en-US" w:eastAsia="zh-CN"/>
        </w:rPr>
        <w:t>阿能（阿克苏）项目管理有限公司</w:t>
      </w:r>
    </w:p>
    <w:p w14:paraId="31340A2B">
      <w:pPr>
        <w:spacing w:before="245" w:line="225" w:lineRule="auto"/>
        <w:ind w:left="3621"/>
        <w:rPr>
          <w:rFonts w:ascii="宋体" w:hAnsi="宋体" w:eastAsia="宋体" w:cs="宋体"/>
          <w:sz w:val="30"/>
          <w:szCs w:val="30"/>
        </w:rPr>
        <w:sectPr>
          <w:footerReference r:id="rId5" w:type="default"/>
          <w:pgSz w:w="11906" w:h="16840"/>
          <w:pgMar w:top="1431" w:right="1785" w:bottom="1100" w:left="1785" w:header="0" w:footer="931" w:gutter="0"/>
          <w:pgNumType w:fmt="decimal"/>
          <w:cols w:space="720" w:num="1"/>
        </w:sectPr>
      </w:pPr>
      <w:r>
        <w:rPr>
          <w:rFonts w:ascii="宋体" w:hAnsi="宋体" w:eastAsia="宋体" w:cs="宋体"/>
          <w:spacing w:val="-4"/>
          <w:sz w:val="31"/>
          <w:szCs w:val="31"/>
        </w:rPr>
        <w:t>202</w:t>
      </w:r>
      <w:r>
        <w:rPr>
          <w:rFonts w:hint="eastAsia" w:ascii="宋体" w:hAnsi="宋体" w:eastAsia="宋体" w:cs="宋体"/>
          <w:spacing w:val="-4"/>
          <w:sz w:val="31"/>
          <w:szCs w:val="31"/>
          <w:lang w:val="en-US" w:eastAsia="zh-CN"/>
        </w:rPr>
        <w:t>6</w:t>
      </w:r>
      <w:r>
        <w:rPr>
          <w:rFonts w:ascii="宋体" w:hAnsi="宋体" w:eastAsia="宋体" w:cs="宋体"/>
          <w:spacing w:val="-4"/>
          <w:sz w:val="31"/>
          <w:szCs w:val="31"/>
        </w:rPr>
        <w:t>年</w:t>
      </w:r>
      <w:r>
        <w:rPr>
          <w:rFonts w:hint="eastAsia" w:ascii="宋体" w:hAnsi="宋体" w:eastAsia="宋体" w:cs="宋体"/>
          <w:spacing w:val="-4"/>
          <w:sz w:val="31"/>
          <w:szCs w:val="31"/>
          <w:lang w:val="en-US" w:eastAsia="zh-CN"/>
        </w:rPr>
        <w:t>8</w:t>
      </w:r>
      <w:r>
        <w:rPr>
          <w:rFonts w:ascii="宋体" w:hAnsi="宋体" w:eastAsia="宋体" w:cs="宋体"/>
          <w:spacing w:val="-4"/>
          <w:sz w:val="31"/>
          <w:szCs w:val="31"/>
        </w:rPr>
        <w:t>月</w:t>
      </w:r>
    </w:p>
    <w:p w14:paraId="2CEEA30D">
      <w:pPr>
        <w:pStyle w:val="2"/>
        <w:spacing w:line="261" w:lineRule="auto"/>
      </w:pPr>
    </w:p>
    <w:p w14:paraId="04D9EC71">
      <w:pPr>
        <w:pStyle w:val="2"/>
        <w:spacing w:line="261" w:lineRule="auto"/>
      </w:pPr>
    </w:p>
    <w:p w14:paraId="31877947">
      <w:pPr>
        <w:pStyle w:val="2"/>
        <w:spacing w:line="261" w:lineRule="auto"/>
      </w:pPr>
    </w:p>
    <w:p w14:paraId="2B942623">
      <w:pPr>
        <w:pStyle w:val="2"/>
        <w:spacing w:line="262" w:lineRule="auto"/>
      </w:pPr>
    </w:p>
    <w:p w14:paraId="68017E75">
      <w:pPr>
        <w:spacing w:before="130" w:line="220" w:lineRule="auto"/>
        <w:ind w:left="3034"/>
        <w:rPr>
          <w:rFonts w:ascii="宋体" w:hAnsi="宋体" w:eastAsia="宋体" w:cs="宋体"/>
          <w:sz w:val="40"/>
          <w:szCs w:val="40"/>
        </w:rPr>
      </w:pPr>
      <w:r>
        <w:rPr>
          <w:rFonts w:ascii="宋体" w:hAnsi="宋体" w:eastAsia="宋体" w:cs="宋体"/>
          <w:spacing w:val="-8"/>
          <w:sz w:val="40"/>
          <w:szCs w:val="40"/>
        </w:rPr>
        <w:t>公开招标文件</w:t>
      </w:r>
    </w:p>
    <w:p w14:paraId="1C65BB33">
      <w:pPr>
        <w:pStyle w:val="2"/>
        <w:spacing w:line="293" w:lineRule="auto"/>
      </w:pPr>
    </w:p>
    <w:p w14:paraId="6F0628EB">
      <w:pPr>
        <w:pStyle w:val="2"/>
        <w:spacing w:line="294" w:lineRule="auto"/>
        <w:rPr>
          <w:highlight w:val="none"/>
        </w:rPr>
      </w:pPr>
    </w:p>
    <w:p w14:paraId="2AC4D728">
      <w:pPr>
        <w:spacing w:before="255" w:line="225" w:lineRule="auto"/>
        <w:ind w:left="51"/>
        <w:rPr>
          <w:rFonts w:hint="default" w:ascii="宋体" w:hAnsi="宋体" w:eastAsia="宋体" w:cs="宋体"/>
          <w:spacing w:val="13"/>
          <w:sz w:val="30"/>
          <w:szCs w:val="30"/>
          <w:highlight w:val="none"/>
          <w:lang w:val="en-US" w:eastAsia="zh-CN"/>
        </w:rPr>
      </w:pPr>
      <w:r>
        <w:rPr>
          <w:rFonts w:ascii="宋体" w:hAnsi="宋体" w:eastAsia="宋体" w:cs="宋体"/>
          <w:spacing w:val="13"/>
          <w:sz w:val="30"/>
          <w:szCs w:val="30"/>
          <w:highlight w:val="none"/>
        </w:rPr>
        <w:t>项目名称：</w:t>
      </w:r>
      <w:r>
        <w:rPr>
          <w:rFonts w:hint="eastAsia" w:ascii="宋体" w:hAnsi="宋体" w:eastAsia="宋体" w:cs="宋体"/>
          <w:spacing w:val="13"/>
          <w:sz w:val="30"/>
          <w:szCs w:val="30"/>
          <w:highlight w:val="none"/>
          <w:lang w:eastAsia="zh-CN"/>
        </w:rPr>
        <w:t>采购2026年困难群众冬季取暖煤</w:t>
      </w:r>
      <w:r>
        <w:rPr>
          <w:rFonts w:hint="eastAsia" w:ascii="宋体" w:hAnsi="宋体" w:eastAsia="宋体" w:cs="宋体"/>
          <w:spacing w:val="13"/>
          <w:sz w:val="30"/>
          <w:szCs w:val="30"/>
          <w:highlight w:val="none"/>
          <w:lang w:val="en-US" w:eastAsia="zh-CN"/>
        </w:rPr>
        <w:t>项目（二次）</w:t>
      </w:r>
    </w:p>
    <w:p w14:paraId="2E1AA7FE">
      <w:pPr>
        <w:spacing w:before="255" w:line="225" w:lineRule="auto"/>
        <w:jc w:val="left"/>
        <w:rPr>
          <w:rFonts w:ascii="宋体" w:hAnsi="宋体" w:eastAsia="宋体" w:cs="宋体"/>
          <w:sz w:val="30"/>
          <w:szCs w:val="30"/>
          <w:highlight w:val="none"/>
        </w:rPr>
      </w:pPr>
      <w:r>
        <w:rPr>
          <w:rFonts w:ascii="宋体" w:hAnsi="宋体" w:eastAsia="宋体" w:cs="宋体"/>
          <w:spacing w:val="13"/>
          <w:sz w:val="30"/>
          <w:szCs w:val="30"/>
          <w:highlight w:val="none"/>
        </w:rPr>
        <w:t>招标人（公章</w:t>
      </w:r>
      <w:r>
        <w:rPr>
          <w:rFonts w:ascii="宋体" w:hAnsi="宋体" w:eastAsia="宋体" w:cs="宋体"/>
          <w:spacing w:val="3"/>
          <w:sz w:val="30"/>
          <w:szCs w:val="30"/>
          <w:highlight w:val="none"/>
        </w:rPr>
        <w:t>）：</w:t>
      </w:r>
      <w:r>
        <w:rPr>
          <w:rFonts w:hint="eastAsia" w:ascii="宋体" w:hAnsi="宋体" w:eastAsia="宋体" w:cs="宋体"/>
          <w:spacing w:val="3"/>
          <w:sz w:val="30"/>
          <w:szCs w:val="30"/>
          <w:highlight w:val="none"/>
          <w:lang w:val="en-US" w:eastAsia="zh-CN"/>
        </w:rPr>
        <w:t>阿瓦提</w:t>
      </w:r>
      <w:r>
        <w:rPr>
          <w:rFonts w:ascii="宋体" w:hAnsi="宋体" w:eastAsia="宋体" w:cs="宋体"/>
          <w:spacing w:val="13"/>
          <w:sz w:val="30"/>
          <w:szCs w:val="30"/>
          <w:highlight w:val="none"/>
        </w:rPr>
        <w:t>县民政局</w:t>
      </w:r>
    </w:p>
    <w:p w14:paraId="658E8481">
      <w:pPr>
        <w:pStyle w:val="2"/>
        <w:spacing w:line="341" w:lineRule="auto"/>
        <w:rPr>
          <w:highlight w:val="none"/>
        </w:rPr>
      </w:pPr>
    </w:p>
    <w:p w14:paraId="524722C9">
      <w:pPr>
        <w:spacing w:before="97" w:line="225" w:lineRule="auto"/>
        <w:ind w:left="51"/>
        <w:rPr>
          <w:rFonts w:ascii="宋体" w:hAnsi="宋体" w:eastAsia="宋体" w:cs="宋体"/>
          <w:sz w:val="30"/>
          <w:szCs w:val="30"/>
          <w:highlight w:val="none"/>
        </w:rPr>
      </w:pPr>
      <w:r>
        <w:rPr>
          <w:rFonts w:ascii="宋体" w:hAnsi="宋体" w:eastAsia="宋体" w:cs="宋体"/>
          <w:spacing w:val="16"/>
          <w:sz w:val="30"/>
          <w:szCs w:val="30"/>
          <w:highlight w:val="none"/>
        </w:rPr>
        <w:t>法定代表人或授权委托人（签章</w:t>
      </w:r>
      <w:r>
        <w:rPr>
          <w:rFonts w:ascii="宋体" w:hAnsi="宋体" w:eastAsia="宋体" w:cs="宋体"/>
          <w:spacing w:val="14"/>
          <w:sz w:val="30"/>
          <w:szCs w:val="30"/>
          <w:highlight w:val="none"/>
        </w:rPr>
        <w:t>）：</w:t>
      </w:r>
    </w:p>
    <w:p w14:paraId="020B7AA3">
      <w:pPr>
        <w:pStyle w:val="2"/>
        <w:spacing w:line="294" w:lineRule="auto"/>
        <w:rPr>
          <w:highlight w:val="none"/>
        </w:rPr>
      </w:pPr>
    </w:p>
    <w:p w14:paraId="52660FD0">
      <w:pPr>
        <w:spacing w:before="97" w:line="225" w:lineRule="auto"/>
        <w:ind w:left="51"/>
        <w:rPr>
          <w:rFonts w:ascii="宋体" w:hAnsi="宋体" w:eastAsia="宋体" w:cs="宋体"/>
          <w:spacing w:val="16"/>
          <w:sz w:val="30"/>
          <w:szCs w:val="30"/>
          <w:highlight w:val="none"/>
        </w:rPr>
      </w:pPr>
      <w:r>
        <w:rPr>
          <w:rFonts w:ascii="宋体" w:hAnsi="宋体" w:eastAsia="宋体" w:cs="宋体"/>
          <w:spacing w:val="16"/>
          <w:sz w:val="30"/>
          <w:szCs w:val="30"/>
          <w:highlight w:val="none"/>
        </w:rPr>
        <w:t>联系人：</w:t>
      </w:r>
      <w:r>
        <w:rPr>
          <w:rFonts w:hint="eastAsia" w:ascii="宋体" w:hAnsi="宋体" w:eastAsia="宋体" w:cs="宋体"/>
          <w:spacing w:val="16"/>
          <w:sz w:val="30"/>
          <w:szCs w:val="30"/>
          <w:highlight w:val="none"/>
        </w:rPr>
        <w:t>古丽比亚</w:t>
      </w:r>
    </w:p>
    <w:p w14:paraId="23A0CB02">
      <w:pPr>
        <w:pStyle w:val="2"/>
        <w:spacing w:line="295" w:lineRule="auto"/>
        <w:rPr>
          <w:highlight w:val="none"/>
        </w:rPr>
      </w:pPr>
    </w:p>
    <w:p w14:paraId="4410A126">
      <w:pPr>
        <w:spacing w:before="97" w:line="225" w:lineRule="auto"/>
        <w:ind w:left="51"/>
        <w:rPr>
          <w:rFonts w:ascii="宋体" w:hAnsi="宋体" w:eastAsia="宋体" w:cs="宋体"/>
          <w:spacing w:val="16"/>
          <w:sz w:val="30"/>
          <w:szCs w:val="30"/>
          <w:highlight w:val="none"/>
        </w:rPr>
      </w:pPr>
      <w:r>
        <w:rPr>
          <w:rFonts w:ascii="宋体" w:hAnsi="宋体" w:eastAsia="宋体" w:cs="宋体"/>
          <w:spacing w:val="16"/>
          <w:sz w:val="30"/>
          <w:szCs w:val="30"/>
          <w:highlight w:val="none"/>
        </w:rPr>
        <w:t>电话：</w:t>
      </w:r>
      <w:r>
        <w:rPr>
          <w:rFonts w:hint="eastAsia" w:ascii="宋体" w:hAnsi="宋体" w:eastAsia="宋体" w:cs="宋体"/>
          <w:spacing w:val="16"/>
          <w:sz w:val="30"/>
          <w:szCs w:val="30"/>
          <w:highlight w:val="none"/>
        </w:rPr>
        <w:t>13999079500</w:t>
      </w:r>
    </w:p>
    <w:p w14:paraId="1561666D">
      <w:pPr>
        <w:pStyle w:val="2"/>
        <w:spacing w:line="247" w:lineRule="auto"/>
        <w:rPr>
          <w:highlight w:val="none"/>
        </w:rPr>
      </w:pPr>
    </w:p>
    <w:p w14:paraId="5DF68B5D">
      <w:pPr>
        <w:pStyle w:val="2"/>
        <w:spacing w:line="247" w:lineRule="auto"/>
        <w:rPr>
          <w:highlight w:val="none"/>
        </w:rPr>
      </w:pPr>
    </w:p>
    <w:p w14:paraId="644711FE">
      <w:pPr>
        <w:pStyle w:val="2"/>
        <w:spacing w:line="247" w:lineRule="auto"/>
        <w:rPr>
          <w:highlight w:val="none"/>
        </w:rPr>
      </w:pPr>
    </w:p>
    <w:p w14:paraId="4E747EA8">
      <w:pPr>
        <w:pStyle w:val="2"/>
        <w:spacing w:line="247" w:lineRule="auto"/>
        <w:rPr>
          <w:highlight w:val="none"/>
        </w:rPr>
      </w:pPr>
    </w:p>
    <w:p w14:paraId="0CBDED74">
      <w:pPr>
        <w:pStyle w:val="2"/>
        <w:spacing w:line="247" w:lineRule="auto"/>
        <w:rPr>
          <w:highlight w:val="none"/>
        </w:rPr>
      </w:pPr>
    </w:p>
    <w:p w14:paraId="534AEAD2">
      <w:pPr>
        <w:pStyle w:val="2"/>
        <w:spacing w:line="247" w:lineRule="auto"/>
        <w:rPr>
          <w:highlight w:val="none"/>
        </w:rPr>
      </w:pPr>
    </w:p>
    <w:p w14:paraId="49344CBC">
      <w:pPr>
        <w:pStyle w:val="2"/>
        <w:spacing w:line="247" w:lineRule="auto"/>
        <w:rPr>
          <w:highlight w:val="none"/>
        </w:rPr>
      </w:pPr>
    </w:p>
    <w:p w14:paraId="4BF79524">
      <w:pPr>
        <w:pStyle w:val="2"/>
        <w:spacing w:line="247" w:lineRule="auto"/>
        <w:rPr>
          <w:highlight w:val="none"/>
        </w:rPr>
      </w:pPr>
    </w:p>
    <w:p w14:paraId="68C40428">
      <w:pPr>
        <w:pStyle w:val="2"/>
        <w:spacing w:line="247" w:lineRule="auto"/>
        <w:rPr>
          <w:highlight w:val="none"/>
        </w:rPr>
      </w:pPr>
    </w:p>
    <w:p w14:paraId="0BFDEEB2">
      <w:pPr>
        <w:pStyle w:val="2"/>
        <w:spacing w:line="247" w:lineRule="auto"/>
        <w:rPr>
          <w:highlight w:val="none"/>
        </w:rPr>
      </w:pPr>
    </w:p>
    <w:p w14:paraId="71A6CB35">
      <w:pPr>
        <w:pStyle w:val="2"/>
        <w:spacing w:line="247" w:lineRule="auto"/>
        <w:rPr>
          <w:highlight w:val="none"/>
        </w:rPr>
      </w:pPr>
    </w:p>
    <w:p w14:paraId="20A0905D">
      <w:pPr>
        <w:pStyle w:val="2"/>
        <w:spacing w:line="247" w:lineRule="auto"/>
        <w:rPr>
          <w:highlight w:val="none"/>
        </w:rPr>
      </w:pPr>
    </w:p>
    <w:p w14:paraId="327D7DF1">
      <w:pPr>
        <w:spacing w:before="255" w:line="225" w:lineRule="auto"/>
        <w:ind w:left="51"/>
        <w:rPr>
          <w:rFonts w:ascii="宋体" w:hAnsi="宋体" w:eastAsia="宋体" w:cs="宋体"/>
          <w:spacing w:val="13"/>
          <w:sz w:val="30"/>
          <w:szCs w:val="30"/>
          <w:highlight w:val="none"/>
        </w:rPr>
      </w:pPr>
      <w:r>
        <w:rPr>
          <w:rFonts w:ascii="宋体" w:hAnsi="宋体" w:eastAsia="宋体" w:cs="宋体"/>
          <w:spacing w:val="13"/>
          <w:sz w:val="30"/>
          <w:szCs w:val="30"/>
          <w:highlight w:val="none"/>
        </w:rPr>
        <w:t>招标代理（公章）：</w:t>
      </w:r>
      <w:r>
        <w:rPr>
          <w:rFonts w:hint="eastAsia" w:ascii="宋体" w:hAnsi="宋体" w:eastAsia="宋体" w:cs="宋体"/>
          <w:spacing w:val="13"/>
          <w:sz w:val="30"/>
          <w:szCs w:val="30"/>
          <w:highlight w:val="none"/>
          <w:lang w:val="en-US" w:eastAsia="zh-CN"/>
        </w:rPr>
        <w:t>阿能（阿克苏）</w:t>
      </w:r>
      <w:r>
        <w:rPr>
          <w:rFonts w:ascii="宋体" w:hAnsi="宋体" w:eastAsia="宋体" w:cs="宋体"/>
          <w:spacing w:val="13"/>
          <w:sz w:val="30"/>
          <w:szCs w:val="30"/>
          <w:highlight w:val="none"/>
        </w:rPr>
        <w:t>项目管理</w:t>
      </w:r>
      <w:r>
        <w:rPr>
          <w:rFonts w:hint="eastAsia" w:ascii="宋体" w:hAnsi="宋体" w:eastAsia="宋体" w:cs="宋体"/>
          <w:spacing w:val="13"/>
          <w:sz w:val="30"/>
          <w:szCs w:val="30"/>
          <w:highlight w:val="none"/>
          <w:lang w:val="en-US" w:eastAsia="zh-CN"/>
        </w:rPr>
        <w:t>有</w:t>
      </w:r>
      <w:r>
        <w:rPr>
          <w:rFonts w:ascii="宋体" w:hAnsi="宋体" w:eastAsia="宋体" w:cs="宋体"/>
          <w:spacing w:val="13"/>
          <w:sz w:val="30"/>
          <w:szCs w:val="30"/>
          <w:highlight w:val="none"/>
        </w:rPr>
        <w:t>限公司</w:t>
      </w:r>
    </w:p>
    <w:p w14:paraId="737F1ADD">
      <w:pPr>
        <w:spacing w:before="255" w:line="225" w:lineRule="auto"/>
        <w:ind w:left="51"/>
        <w:rPr>
          <w:rFonts w:ascii="宋体" w:hAnsi="宋体" w:eastAsia="宋体" w:cs="宋体"/>
          <w:spacing w:val="13"/>
          <w:sz w:val="30"/>
          <w:szCs w:val="30"/>
          <w:highlight w:val="none"/>
        </w:rPr>
      </w:pPr>
      <w:r>
        <w:rPr>
          <w:rFonts w:ascii="宋体" w:hAnsi="宋体" w:eastAsia="宋体" w:cs="宋体"/>
          <w:spacing w:val="13"/>
          <w:sz w:val="30"/>
          <w:szCs w:val="30"/>
          <w:highlight w:val="none"/>
        </w:rPr>
        <w:t>法定代表人（签字或盖章）：</w:t>
      </w:r>
    </w:p>
    <w:p w14:paraId="28585292">
      <w:pPr>
        <w:spacing w:before="255" w:line="225" w:lineRule="auto"/>
        <w:ind w:left="51"/>
        <w:rPr>
          <w:rFonts w:ascii="宋体" w:hAnsi="宋体" w:eastAsia="宋体" w:cs="宋体"/>
          <w:spacing w:val="13"/>
          <w:sz w:val="30"/>
          <w:szCs w:val="30"/>
          <w:highlight w:val="none"/>
        </w:rPr>
      </w:pPr>
      <w:r>
        <w:rPr>
          <w:rFonts w:ascii="宋体" w:hAnsi="宋体" w:eastAsia="宋体" w:cs="宋体"/>
          <w:spacing w:val="13"/>
          <w:sz w:val="30"/>
          <w:szCs w:val="30"/>
          <w:highlight w:val="none"/>
        </w:rPr>
        <w:t>联系人：</w:t>
      </w:r>
      <w:r>
        <w:rPr>
          <w:rFonts w:hint="eastAsia" w:ascii="宋体" w:hAnsi="宋体" w:eastAsia="宋体" w:cs="宋体"/>
          <w:spacing w:val="13"/>
          <w:sz w:val="30"/>
          <w:szCs w:val="30"/>
          <w:highlight w:val="none"/>
          <w:lang w:val="en-US" w:eastAsia="zh-CN"/>
        </w:rPr>
        <w:t>齐元鑫、张黎</w:t>
      </w:r>
    </w:p>
    <w:p w14:paraId="3878894F">
      <w:pPr>
        <w:spacing w:before="255" w:line="225" w:lineRule="auto"/>
        <w:ind w:left="51"/>
        <w:rPr>
          <w:rFonts w:hint="eastAsia" w:ascii="宋体" w:hAnsi="宋体" w:eastAsia="宋体" w:cs="宋体"/>
          <w:spacing w:val="13"/>
          <w:sz w:val="30"/>
          <w:szCs w:val="30"/>
          <w:highlight w:val="none"/>
          <w:lang w:val="en-US" w:eastAsia="zh-CN"/>
        </w:rPr>
      </w:pPr>
      <w:r>
        <w:rPr>
          <w:rFonts w:ascii="宋体" w:hAnsi="宋体" w:eastAsia="宋体" w:cs="宋体"/>
          <w:spacing w:val="13"/>
          <w:sz w:val="30"/>
          <w:szCs w:val="30"/>
          <w:highlight w:val="none"/>
        </w:rPr>
        <w:t>电话：15292</w:t>
      </w:r>
      <w:r>
        <w:rPr>
          <w:rFonts w:hint="eastAsia" w:ascii="宋体" w:hAnsi="宋体" w:eastAsia="宋体" w:cs="宋体"/>
          <w:spacing w:val="13"/>
          <w:sz w:val="30"/>
          <w:szCs w:val="30"/>
          <w:highlight w:val="none"/>
          <w:lang w:val="en-US" w:eastAsia="zh-CN"/>
        </w:rPr>
        <w:t>520014</w:t>
      </w:r>
      <w:r>
        <w:rPr>
          <w:rFonts w:ascii="宋体" w:hAnsi="宋体" w:eastAsia="宋体" w:cs="宋体"/>
          <w:spacing w:val="13"/>
          <w:sz w:val="30"/>
          <w:szCs w:val="30"/>
          <w:highlight w:val="none"/>
        </w:rPr>
        <w:t>、</w:t>
      </w:r>
      <w:r>
        <w:rPr>
          <w:rFonts w:hint="eastAsia" w:ascii="宋体" w:hAnsi="宋体" w:eastAsia="宋体" w:cs="宋体"/>
          <w:spacing w:val="13"/>
          <w:sz w:val="30"/>
          <w:szCs w:val="30"/>
          <w:highlight w:val="none"/>
          <w:lang w:eastAsia="zh-CN"/>
        </w:rPr>
        <w:t>15299591234</w:t>
      </w:r>
    </w:p>
    <w:p w14:paraId="5F9E969E">
      <w:pPr>
        <w:spacing w:before="255" w:line="225" w:lineRule="auto"/>
        <w:ind w:left="51"/>
        <w:rPr>
          <w:rFonts w:hint="eastAsia" w:ascii="宋体" w:hAnsi="宋体" w:eastAsia="宋体" w:cs="宋体"/>
          <w:spacing w:val="13"/>
          <w:sz w:val="30"/>
          <w:szCs w:val="30"/>
          <w:highlight w:val="none"/>
          <w:lang w:eastAsia="zh-CN"/>
        </w:rPr>
      </w:pPr>
      <w:r>
        <w:rPr>
          <w:rFonts w:ascii="宋体" w:hAnsi="宋体" w:eastAsia="宋体" w:cs="宋体"/>
          <w:spacing w:val="13"/>
          <w:sz w:val="30"/>
          <w:szCs w:val="30"/>
          <w:highlight w:val="none"/>
        </w:rPr>
        <w:t>联系地址：</w:t>
      </w:r>
      <w:r>
        <w:rPr>
          <w:rFonts w:hint="eastAsia" w:ascii="宋体" w:hAnsi="宋体" w:eastAsia="宋体" w:cs="宋体"/>
          <w:spacing w:val="13"/>
          <w:sz w:val="30"/>
          <w:szCs w:val="30"/>
          <w:highlight w:val="none"/>
        </w:rPr>
        <w:t>新疆阿克苏地区温宿县长兴街15号阿克苏药品集散中心（一期）办公楼2层238室</w:t>
      </w:r>
    </w:p>
    <w:p w14:paraId="6BB84362">
      <w:pPr>
        <w:spacing w:before="255" w:line="225" w:lineRule="auto"/>
        <w:ind w:left="51"/>
        <w:rPr>
          <w:rFonts w:ascii="宋体" w:hAnsi="宋体" w:eastAsia="宋体" w:cs="宋体"/>
          <w:spacing w:val="13"/>
          <w:sz w:val="30"/>
          <w:szCs w:val="30"/>
          <w:highlight w:val="none"/>
        </w:rPr>
      </w:pPr>
    </w:p>
    <w:p w14:paraId="34D403C0">
      <w:pPr>
        <w:pStyle w:val="2"/>
        <w:spacing w:line="295" w:lineRule="auto"/>
        <w:rPr>
          <w:highlight w:val="none"/>
        </w:rPr>
      </w:pPr>
    </w:p>
    <w:p w14:paraId="6415A144">
      <w:pPr>
        <w:spacing w:before="91" w:line="220" w:lineRule="auto"/>
        <w:ind w:left="3474"/>
        <w:rPr>
          <w:rFonts w:ascii="宋体" w:hAnsi="宋体" w:eastAsia="宋体" w:cs="宋体"/>
          <w:sz w:val="28"/>
          <w:szCs w:val="28"/>
          <w:highlight w:val="none"/>
        </w:rPr>
      </w:pPr>
      <w:r>
        <w:rPr>
          <w:rFonts w:ascii="宋体" w:hAnsi="宋体" w:eastAsia="宋体" w:cs="宋体"/>
          <w:spacing w:val="-10"/>
          <w:sz w:val="28"/>
          <w:szCs w:val="28"/>
          <w:highlight w:val="none"/>
        </w:rPr>
        <w:t>2026年</w:t>
      </w:r>
      <w:r>
        <w:rPr>
          <w:rFonts w:hint="eastAsia" w:ascii="宋体" w:hAnsi="宋体" w:eastAsia="宋体" w:cs="宋体"/>
          <w:spacing w:val="-10"/>
          <w:sz w:val="28"/>
          <w:szCs w:val="28"/>
          <w:highlight w:val="none"/>
          <w:lang w:val="en-US" w:eastAsia="zh-CN"/>
        </w:rPr>
        <w:t>8</w:t>
      </w:r>
      <w:r>
        <w:rPr>
          <w:rFonts w:ascii="宋体" w:hAnsi="宋体" w:eastAsia="宋体" w:cs="宋体"/>
          <w:spacing w:val="-10"/>
          <w:sz w:val="28"/>
          <w:szCs w:val="28"/>
          <w:highlight w:val="none"/>
        </w:rPr>
        <w:t>月</w:t>
      </w:r>
    </w:p>
    <w:p w14:paraId="731B80E8">
      <w:pPr>
        <w:spacing w:line="220" w:lineRule="auto"/>
        <w:rPr>
          <w:rFonts w:ascii="宋体" w:hAnsi="宋体" w:eastAsia="宋体" w:cs="宋体"/>
          <w:sz w:val="28"/>
          <w:szCs w:val="28"/>
          <w:highlight w:val="none"/>
        </w:rPr>
        <w:sectPr>
          <w:footerReference r:id="rId6" w:type="default"/>
          <w:pgSz w:w="11906" w:h="16840"/>
          <w:pgMar w:top="1431" w:right="1785" w:bottom="1100" w:left="1785" w:header="0" w:footer="931" w:gutter="0"/>
          <w:pgNumType w:fmt="decimal"/>
          <w:cols w:space="720" w:num="1"/>
        </w:sectPr>
      </w:pPr>
    </w:p>
    <w:p w14:paraId="3BD34F39">
      <w:pPr>
        <w:pStyle w:val="2"/>
        <w:spacing w:line="306" w:lineRule="auto"/>
        <w:rPr>
          <w:sz w:val="28"/>
          <w:szCs w:val="28"/>
          <w:highlight w:val="none"/>
        </w:rPr>
      </w:pPr>
    </w:p>
    <w:sdt>
      <w:sdtPr>
        <w:rPr>
          <w:rFonts w:ascii="宋体" w:hAnsi="宋体" w:eastAsia="宋体" w:cs="Arial"/>
          <w:snapToGrid w:val="0"/>
          <w:color w:val="000000"/>
          <w:kern w:val="0"/>
          <w:sz w:val="28"/>
          <w:szCs w:val="28"/>
          <w:highlight w:val="none"/>
          <w:lang w:val="en-US" w:eastAsia="en-US" w:bidi="ar-SA"/>
        </w:rPr>
        <w:id w:val="147476003"/>
        <w:docPartObj>
          <w:docPartGallery w:val="Table of Contents"/>
          <w:docPartUnique/>
        </w:docPartObj>
      </w:sdtPr>
      <w:sdtEndPr>
        <w:rPr>
          <w:rFonts w:ascii="宋体" w:hAnsi="宋体" w:eastAsia="宋体" w:cs="Arial"/>
          <w:snapToGrid w:val="0"/>
          <w:color w:val="000000"/>
          <w:kern w:val="0"/>
          <w:sz w:val="20"/>
          <w:szCs w:val="20"/>
          <w:highlight w:val="none"/>
          <w:lang w:val="en-US" w:eastAsia="en-US" w:bidi="ar-SA"/>
        </w:rPr>
      </w:sdtEndPr>
      <w:sdtContent>
        <w:p w14:paraId="7569C454">
          <w:pPr>
            <w:spacing w:before="0" w:beforeLines="0" w:after="0" w:afterLines="0" w:line="240" w:lineRule="auto"/>
            <w:ind w:left="0" w:leftChars="0" w:right="0" w:rightChars="0" w:firstLine="0" w:firstLineChars="0"/>
            <w:jc w:val="center"/>
            <w:rPr>
              <w:sz w:val="28"/>
              <w:szCs w:val="28"/>
              <w:highlight w:val="none"/>
            </w:rPr>
          </w:pPr>
          <w:bookmarkStart w:id="0" w:name="_Toc9544_WPSOffice_Type1"/>
          <w:r>
            <w:rPr>
              <w:rFonts w:ascii="宋体" w:hAnsi="宋体" w:eastAsia="宋体"/>
              <w:sz w:val="28"/>
              <w:szCs w:val="28"/>
              <w:highlight w:val="none"/>
            </w:rPr>
            <w:t>目录</w:t>
          </w:r>
        </w:p>
        <w:p w14:paraId="2365CF61">
          <w:pPr>
            <w:pStyle w:val="12"/>
            <w:tabs>
              <w:tab w:val="right" w:leader="dot" w:pos="8341"/>
            </w:tabs>
            <w:rPr>
              <w:rFonts w:hint="eastAsia" w:asciiTheme="minorEastAsia" w:hAnsiTheme="minorEastAsia" w:eastAsiaTheme="minorEastAsia" w:cstheme="minorEastAsia"/>
              <w:b w:val="0"/>
              <w:bCs w:val="0"/>
              <w:sz w:val="32"/>
              <w:szCs w:val="32"/>
              <w:highlight w:val="none"/>
            </w:rPr>
          </w:pPr>
          <w:r>
            <w:rPr>
              <w:rFonts w:hint="eastAsia" w:asciiTheme="minorEastAsia" w:hAnsiTheme="minorEastAsia" w:eastAsiaTheme="minorEastAsia" w:cstheme="minorEastAsia"/>
              <w:b w:val="0"/>
              <w:bCs w:val="0"/>
              <w:sz w:val="32"/>
              <w:szCs w:val="32"/>
              <w:highlight w:val="none"/>
            </w:rPr>
            <w:fldChar w:fldCharType="begin"/>
          </w:r>
          <w:r>
            <w:rPr>
              <w:rFonts w:hint="eastAsia" w:asciiTheme="minorEastAsia" w:hAnsiTheme="minorEastAsia" w:eastAsiaTheme="minorEastAsia" w:cstheme="minorEastAsia"/>
              <w:b w:val="0"/>
              <w:bCs w:val="0"/>
              <w:sz w:val="32"/>
              <w:szCs w:val="32"/>
              <w:highlight w:val="none"/>
            </w:rPr>
            <w:instrText xml:space="preserve"> HYPERLINK \l _Toc19258_WPSOffice_Level1 </w:instrText>
          </w:r>
          <w:r>
            <w:rPr>
              <w:rFonts w:hint="eastAsia" w:asciiTheme="minorEastAsia" w:hAnsiTheme="minorEastAsia" w:eastAsiaTheme="minorEastAsia" w:cstheme="minorEastAsia"/>
              <w:b w:val="0"/>
              <w:bCs w:val="0"/>
              <w:sz w:val="32"/>
              <w:szCs w:val="32"/>
              <w:highlight w:val="none"/>
            </w:rPr>
            <w:fldChar w:fldCharType="separate"/>
          </w:r>
          <w:sdt>
            <w:sdtPr>
              <w:rPr>
                <w:rFonts w:hint="eastAsia" w:asciiTheme="minorEastAsia" w:hAnsiTheme="minorEastAsia" w:eastAsiaTheme="minorEastAsia" w:cstheme="minorEastAsia"/>
                <w:b w:val="0"/>
                <w:bCs w:val="0"/>
                <w:snapToGrid w:val="0"/>
                <w:color w:val="000000"/>
                <w:kern w:val="0"/>
                <w:sz w:val="36"/>
                <w:szCs w:val="36"/>
                <w:highlight w:val="none"/>
                <w:lang w:val="en-US" w:eastAsia="en-US" w:bidi="ar-SA"/>
              </w:rPr>
              <w:id w:val="147478878"/>
              <w:placeholder>
                <w:docPart w:val="{ef3febd7-fb2f-4a93-afce-00f853ae2919}"/>
              </w:placeholder>
            </w:sdtPr>
            <w:sdtEndPr>
              <w:rPr>
                <w:rFonts w:hint="eastAsia" w:asciiTheme="minorEastAsia" w:hAnsiTheme="minorEastAsia" w:eastAsiaTheme="minorEastAsia" w:cstheme="minorEastAsia"/>
                <w:b w:val="0"/>
                <w:bCs w:val="0"/>
                <w:snapToGrid w:val="0"/>
                <w:color w:val="000000"/>
                <w:kern w:val="0"/>
                <w:sz w:val="36"/>
                <w:szCs w:val="36"/>
                <w:highlight w:val="none"/>
                <w:lang w:val="en-US" w:eastAsia="en-US" w:bidi="ar-SA"/>
              </w:rPr>
            </w:sdtEndPr>
            <w:sdtContent>
              <w:r>
                <w:rPr>
                  <w:rFonts w:hint="eastAsia" w:asciiTheme="minorEastAsia" w:hAnsiTheme="minorEastAsia" w:eastAsiaTheme="minorEastAsia" w:cstheme="minorEastAsia"/>
                  <w:b w:val="0"/>
                  <w:bCs w:val="0"/>
                  <w:sz w:val="32"/>
                  <w:szCs w:val="32"/>
                  <w:highlight w:val="none"/>
                </w:rPr>
                <w:t>第一部分招标公告</w:t>
              </w:r>
            </w:sdtContent>
          </w:sdt>
          <w:r>
            <w:rPr>
              <w:rFonts w:hint="eastAsia" w:asciiTheme="minorEastAsia" w:hAnsiTheme="minorEastAsia" w:eastAsiaTheme="minorEastAsia" w:cstheme="minorEastAsia"/>
              <w:b w:val="0"/>
              <w:bCs w:val="0"/>
              <w:sz w:val="32"/>
              <w:szCs w:val="32"/>
              <w:highlight w:val="none"/>
            </w:rPr>
            <w:tab/>
          </w:r>
          <w:bookmarkStart w:id="1" w:name="_Toc19258_WPSOffice_Level1Page"/>
          <w:r>
            <w:rPr>
              <w:rFonts w:hint="eastAsia" w:asciiTheme="minorEastAsia" w:hAnsiTheme="minorEastAsia" w:eastAsiaTheme="minorEastAsia" w:cstheme="minorEastAsia"/>
              <w:b w:val="0"/>
              <w:bCs w:val="0"/>
              <w:sz w:val="32"/>
              <w:szCs w:val="32"/>
              <w:highlight w:val="none"/>
            </w:rPr>
            <w:t>4</w:t>
          </w:r>
          <w:bookmarkEnd w:id="1"/>
          <w:r>
            <w:rPr>
              <w:rFonts w:hint="eastAsia" w:asciiTheme="minorEastAsia" w:hAnsiTheme="minorEastAsia" w:eastAsiaTheme="minorEastAsia" w:cstheme="minorEastAsia"/>
              <w:b w:val="0"/>
              <w:bCs w:val="0"/>
              <w:sz w:val="32"/>
              <w:szCs w:val="32"/>
              <w:highlight w:val="none"/>
            </w:rPr>
            <w:fldChar w:fldCharType="end"/>
          </w:r>
        </w:p>
        <w:p w14:paraId="3D03900D">
          <w:pPr>
            <w:pStyle w:val="12"/>
            <w:tabs>
              <w:tab w:val="right" w:leader="dot" w:pos="8341"/>
            </w:tabs>
            <w:rPr>
              <w:rFonts w:hint="eastAsia" w:asciiTheme="minorEastAsia" w:hAnsiTheme="minorEastAsia" w:eastAsiaTheme="minorEastAsia" w:cstheme="minorEastAsia"/>
              <w:b w:val="0"/>
              <w:bCs w:val="0"/>
              <w:sz w:val="32"/>
              <w:szCs w:val="32"/>
              <w:highlight w:val="none"/>
            </w:rPr>
          </w:pPr>
          <w:r>
            <w:rPr>
              <w:rFonts w:hint="eastAsia" w:asciiTheme="minorEastAsia" w:hAnsiTheme="minorEastAsia" w:eastAsiaTheme="minorEastAsia" w:cstheme="minorEastAsia"/>
              <w:b w:val="0"/>
              <w:bCs w:val="0"/>
              <w:sz w:val="32"/>
              <w:szCs w:val="32"/>
              <w:highlight w:val="none"/>
            </w:rPr>
            <w:fldChar w:fldCharType="begin"/>
          </w:r>
          <w:r>
            <w:rPr>
              <w:rFonts w:hint="eastAsia" w:asciiTheme="minorEastAsia" w:hAnsiTheme="minorEastAsia" w:eastAsiaTheme="minorEastAsia" w:cstheme="minorEastAsia"/>
              <w:b w:val="0"/>
              <w:bCs w:val="0"/>
              <w:sz w:val="32"/>
              <w:szCs w:val="32"/>
              <w:highlight w:val="none"/>
            </w:rPr>
            <w:instrText xml:space="preserve"> HYPERLINK \l _Toc9544_WPSOffice_Level1 </w:instrText>
          </w:r>
          <w:r>
            <w:rPr>
              <w:rFonts w:hint="eastAsia" w:asciiTheme="minorEastAsia" w:hAnsiTheme="minorEastAsia" w:eastAsiaTheme="minorEastAsia" w:cstheme="minorEastAsia"/>
              <w:b w:val="0"/>
              <w:bCs w:val="0"/>
              <w:sz w:val="32"/>
              <w:szCs w:val="32"/>
              <w:highlight w:val="none"/>
            </w:rPr>
            <w:fldChar w:fldCharType="separate"/>
          </w:r>
          <w:sdt>
            <w:sdtPr>
              <w:rPr>
                <w:rFonts w:hint="eastAsia" w:asciiTheme="minorEastAsia" w:hAnsiTheme="minorEastAsia" w:eastAsiaTheme="minorEastAsia" w:cstheme="minorEastAsia"/>
                <w:b w:val="0"/>
                <w:bCs w:val="0"/>
                <w:snapToGrid w:val="0"/>
                <w:color w:val="000000"/>
                <w:kern w:val="0"/>
                <w:sz w:val="36"/>
                <w:szCs w:val="36"/>
                <w:highlight w:val="none"/>
                <w:lang w:val="en-US" w:eastAsia="en-US" w:bidi="ar-SA"/>
              </w:rPr>
              <w:id w:val="147471412"/>
              <w:placeholder>
                <w:docPart w:val="{f5d36ff5-eb0c-478c-a3a3-8e7ab50340f1}"/>
              </w:placeholder>
            </w:sdtPr>
            <w:sdtEndPr>
              <w:rPr>
                <w:rFonts w:hint="eastAsia" w:asciiTheme="minorEastAsia" w:hAnsiTheme="minorEastAsia" w:eastAsiaTheme="minorEastAsia" w:cstheme="minorEastAsia"/>
                <w:b w:val="0"/>
                <w:bCs w:val="0"/>
                <w:snapToGrid w:val="0"/>
                <w:color w:val="000000"/>
                <w:kern w:val="0"/>
                <w:sz w:val="36"/>
                <w:szCs w:val="36"/>
                <w:highlight w:val="none"/>
                <w:lang w:val="en-US" w:eastAsia="en-US" w:bidi="ar-SA"/>
              </w:rPr>
            </w:sdtEndPr>
            <w:sdtContent>
              <w:r>
                <w:rPr>
                  <w:rFonts w:hint="eastAsia" w:asciiTheme="minorEastAsia" w:hAnsiTheme="minorEastAsia" w:eastAsiaTheme="minorEastAsia" w:cstheme="minorEastAsia"/>
                  <w:b w:val="0"/>
                  <w:bCs w:val="0"/>
                  <w:sz w:val="32"/>
                  <w:szCs w:val="32"/>
                  <w:highlight w:val="none"/>
                </w:rPr>
                <w:t>第二部分投标人须知</w:t>
              </w:r>
            </w:sdtContent>
          </w:sdt>
          <w:r>
            <w:rPr>
              <w:rFonts w:hint="eastAsia" w:asciiTheme="minorEastAsia" w:hAnsiTheme="minorEastAsia" w:eastAsiaTheme="minorEastAsia" w:cstheme="minorEastAsia"/>
              <w:b w:val="0"/>
              <w:bCs w:val="0"/>
              <w:sz w:val="32"/>
              <w:szCs w:val="32"/>
              <w:highlight w:val="none"/>
            </w:rPr>
            <w:tab/>
          </w:r>
          <w:bookmarkStart w:id="2" w:name="_Toc9544_WPSOffice_Level1Page"/>
          <w:r>
            <w:rPr>
              <w:rFonts w:hint="eastAsia" w:asciiTheme="minorEastAsia" w:hAnsiTheme="minorEastAsia" w:eastAsiaTheme="minorEastAsia" w:cstheme="minorEastAsia"/>
              <w:b w:val="0"/>
              <w:bCs w:val="0"/>
              <w:sz w:val="32"/>
              <w:szCs w:val="32"/>
              <w:highlight w:val="none"/>
            </w:rPr>
            <w:t>8</w:t>
          </w:r>
          <w:bookmarkEnd w:id="2"/>
          <w:r>
            <w:rPr>
              <w:rFonts w:hint="eastAsia" w:asciiTheme="minorEastAsia" w:hAnsiTheme="minorEastAsia" w:eastAsiaTheme="minorEastAsia" w:cstheme="minorEastAsia"/>
              <w:b w:val="0"/>
              <w:bCs w:val="0"/>
              <w:sz w:val="32"/>
              <w:szCs w:val="32"/>
              <w:highlight w:val="none"/>
            </w:rPr>
            <w:fldChar w:fldCharType="end"/>
          </w:r>
        </w:p>
        <w:p w14:paraId="25FC9CB0">
          <w:pPr>
            <w:pStyle w:val="12"/>
            <w:tabs>
              <w:tab w:val="right" w:leader="dot" w:pos="8341"/>
            </w:tabs>
            <w:rPr>
              <w:rFonts w:hint="eastAsia" w:asciiTheme="minorEastAsia" w:hAnsiTheme="minorEastAsia" w:eastAsiaTheme="minorEastAsia" w:cstheme="minorEastAsia"/>
              <w:b w:val="0"/>
              <w:bCs w:val="0"/>
              <w:sz w:val="32"/>
              <w:szCs w:val="32"/>
              <w:highlight w:val="none"/>
            </w:rPr>
          </w:pPr>
          <w:r>
            <w:rPr>
              <w:rFonts w:hint="eastAsia" w:asciiTheme="minorEastAsia" w:hAnsiTheme="minorEastAsia" w:eastAsiaTheme="minorEastAsia" w:cstheme="minorEastAsia"/>
              <w:b w:val="0"/>
              <w:bCs w:val="0"/>
              <w:sz w:val="32"/>
              <w:szCs w:val="32"/>
              <w:highlight w:val="none"/>
            </w:rPr>
            <w:fldChar w:fldCharType="begin"/>
          </w:r>
          <w:r>
            <w:rPr>
              <w:rFonts w:hint="eastAsia" w:asciiTheme="minorEastAsia" w:hAnsiTheme="minorEastAsia" w:eastAsiaTheme="minorEastAsia" w:cstheme="minorEastAsia"/>
              <w:b w:val="0"/>
              <w:bCs w:val="0"/>
              <w:sz w:val="32"/>
              <w:szCs w:val="32"/>
              <w:highlight w:val="none"/>
            </w:rPr>
            <w:instrText xml:space="preserve"> HYPERLINK \l _Toc25598_WPSOffice_Level1 </w:instrText>
          </w:r>
          <w:r>
            <w:rPr>
              <w:rFonts w:hint="eastAsia" w:asciiTheme="minorEastAsia" w:hAnsiTheme="minorEastAsia" w:eastAsiaTheme="minorEastAsia" w:cstheme="minorEastAsia"/>
              <w:b w:val="0"/>
              <w:bCs w:val="0"/>
              <w:sz w:val="32"/>
              <w:szCs w:val="32"/>
              <w:highlight w:val="none"/>
            </w:rPr>
            <w:fldChar w:fldCharType="separate"/>
          </w:r>
          <w:sdt>
            <w:sdtPr>
              <w:rPr>
                <w:rFonts w:hint="eastAsia" w:asciiTheme="minorEastAsia" w:hAnsiTheme="minorEastAsia" w:eastAsiaTheme="minorEastAsia" w:cstheme="minorEastAsia"/>
                <w:b w:val="0"/>
                <w:bCs w:val="0"/>
                <w:snapToGrid w:val="0"/>
                <w:color w:val="000000"/>
                <w:kern w:val="0"/>
                <w:sz w:val="36"/>
                <w:szCs w:val="36"/>
                <w:highlight w:val="none"/>
                <w:lang w:val="en-US" w:eastAsia="en-US" w:bidi="ar-SA"/>
              </w:rPr>
              <w:id w:val="147459062"/>
              <w:placeholder>
                <w:docPart w:val="{c99bb422-390a-430d-99c0-3d4072a4c07b}"/>
              </w:placeholder>
            </w:sdtPr>
            <w:sdtEndPr>
              <w:rPr>
                <w:rFonts w:hint="eastAsia" w:asciiTheme="minorEastAsia" w:hAnsiTheme="minorEastAsia" w:eastAsiaTheme="minorEastAsia" w:cstheme="minorEastAsia"/>
                <w:b w:val="0"/>
                <w:bCs w:val="0"/>
                <w:snapToGrid w:val="0"/>
                <w:color w:val="000000"/>
                <w:kern w:val="0"/>
                <w:sz w:val="36"/>
                <w:szCs w:val="36"/>
                <w:highlight w:val="none"/>
                <w:lang w:val="en-US" w:eastAsia="en-US" w:bidi="ar-SA"/>
              </w:rPr>
            </w:sdtEndPr>
            <w:sdtContent>
              <w:r>
                <w:rPr>
                  <w:rFonts w:hint="eastAsia" w:asciiTheme="minorEastAsia" w:hAnsiTheme="minorEastAsia" w:eastAsiaTheme="minorEastAsia" w:cstheme="minorEastAsia"/>
                  <w:b w:val="0"/>
                  <w:bCs w:val="0"/>
                  <w:sz w:val="32"/>
                  <w:szCs w:val="32"/>
                  <w:highlight w:val="none"/>
                </w:rPr>
                <w:t>第三部分采购需求</w:t>
              </w:r>
            </w:sdtContent>
          </w:sdt>
          <w:r>
            <w:rPr>
              <w:rFonts w:hint="eastAsia" w:asciiTheme="minorEastAsia" w:hAnsiTheme="minorEastAsia" w:eastAsiaTheme="minorEastAsia" w:cstheme="minorEastAsia"/>
              <w:b w:val="0"/>
              <w:bCs w:val="0"/>
              <w:sz w:val="32"/>
              <w:szCs w:val="32"/>
              <w:highlight w:val="none"/>
            </w:rPr>
            <w:tab/>
          </w:r>
          <w:bookmarkStart w:id="3" w:name="_Toc25598_WPSOffice_Level1Page"/>
          <w:r>
            <w:rPr>
              <w:rFonts w:hint="eastAsia" w:asciiTheme="minorEastAsia" w:hAnsiTheme="minorEastAsia" w:eastAsiaTheme="minorEastAsia" w:cstheme="minorEastAsia"/>
              <w:b w:val="0"/>
              <w:bCs w:val="0"/>
              <w:sz w:val="32"/>
              <w:szCs w:val="32"/>
              <w:highlight w:val="none"/>
            </w:rPr>
            <w:t>37</w:t>
          </w:r>
          <w:bookmarkEnd w:id="3"/>
          <w:r>
            <w:rPr>
              <w:rFonts w:hint="eastAsia" w:asciiTheme="minorEastAsia" w:hAnsiTheme="minorEastAsia" w:eastAsiaTheme="minorEastAsia" w:cstheme="minorEastAsia"/>
              <w:b w:val="0"/>
              <w:bCs w:val="0"/>
              <w:sz w:val="32"/>
              <w:szCs w:val="32"/>
              <w:highlight w:val="none"/>
            </w:rPr>
            <w:fldChar w:fldCharType="end"/>
          </w:r>
        </w:p>
        <w:p w14:paraId="11CAC4D3">
          <w:pPr>
            <w:pStyle w:val="12"/>
            <w:tabs>
              <w:tab w:val="right" w:leader="dot" w:pos="8341"/>
            </w:tabs>
            <w:rPr>
              <w:rFonts w:hint="eastAsia" w:asciiTheme="minorEastAsia" w:hAnsiTheme="minorEastAsia" w:eastAsiaTheme="minorEastAsia" w:cstheme="minorEastAsia"/>
              <w:b w:val="0"/>
              <w:bCs w:val="0"/>
              <w:sz w:val="32"/>
              <w:szCs w:val="32"/>
              <w:highlight w:val="none"/>
            </w:rPr>
          </w:pPr>
          <w:r>
            <w:rPr>
              <w:rFonts w:hint="eastAsia" w:asciiTheme="minorEastAsia" w:hAnsiTheme="minorEastAsia" w:eastAsiaTheme="minorEastAsia" w:cstheme="minorEastAsia"/>
              <w:b w:val="0"/>
              <w:bCs w:val="0"/>
              <w:sz w:val="32"/>
              <w:szCs w:val="32"/>
              <w:highlight w:val="none"/>
            </w:rPr>
            <w:fldChar w:fldCharType="begin"/>
          </w:r>
          <w:r>
            <w:rPr>
              <w:rFonts w:hint="eastAsia" w:asciiTheme="minorEastAsia" w:hAnsiTheme="minorEastAsia" w:eastAsiaTheme="minorEastAsia" w:cstheme="minorEastAsia"/>
              <w:b w:val="0"/>
              <w:bCs w:val="0"/>
              <w:sz w:val="32"/>
              <w:szCs w:val="32"/>
              <w:highlight w:val="none"/>
            </w:rPr>
            <w:instrText xml:space="preserve"> HYPERLINK \l _Toc15566_WPSOffice_Level1 </w:instrText>
          </w:r>
          <w:r>
            <w:rPr>
              <w:rFonts w:hint="eastAsia" w:asciiTheme="minorEastAsia" w:hAnsiTheme="minorEastAsia" w:eastAsiaTheme="minorEastAsia" w:cstheme="minorEastAsia"/>
              <w:b w:val="0"/>
              <w:bCs w:val="0"/>
              <w:sz w:val="32"/>
              <w:szCs w:val="32"/>
              <w:highlight w:val="none"/>
            </w:rPr>
            <w:fldChar w:fldCharType="separate"/>
          </w:r>
          <w:sdt>
            <w:sdtPr>
              <w:rPr>
                <w:rFonts w:hint="eastAsia" w:asciiTheme="minorEastAsia" w:hAnsiTheme="minorEastAsia" w:eastAsiaTheme="minorEastAsia" w:cstheme="minorEastAsia"/>
                <w:b w:val="0"/>
                <w:bCs w:val="0"/>
                <w:snapToGrid w:val="0"/>
                <w:color w:val="000000"/>
                <w:kern w:val="0"/>
                <w:sz w:val="36"/>
                <w:szCs w:val="36"/>
                <w:highlight w:val="none"/>
                <w:lang w:val="en-US" w:eastAsia="en-US" w:bidi="ar-SA"/>
              </w:rPr>
              <w:id w:val="147450994"/>
              <w:placeholder>
                <w:docPart w:val="{0e83d0ca-1b9b-4d0f-80b2-f515e7acf605}"/>
              </w:placeholder>
            </w:sdtPr>
            <w:sdtEndPr>
              <w:rPr>
                <w:rFonts w:hint="eastAsia" w:asciiTheme="minorEastAsia" w:hAnsiTheme="minorEastAsia" w:eastAsiaTheme="minorEastAsia" w:cstheme="minorEastAsia"/>
                <w:b w:val="0"/>
                <w:bCs w:val="0"/>
                <w:snapToGrid w:val="0"/>
                <w:color w:val="000000"/>
                <w:kern w:val="0"/>
                <w:sz w:val="36"/>
                <w:szCs w:val="36"/>
                <w:highlight w:val="none"/>
                <w:lang w:val="en-US" w:eastAsia="en-US" w:bidi="ar-SA"/>
              </w:rPr>
            </w:sdtEndPr>
            <w:sdtContent>
              <w:r>
                <w:rPr>
                  <w:rFonts w:hint="eastAsia" w:asciiTheme="minorEastAsia" w:hAnsiTheme="minorEastAsia" w:eastAsiaTheme="minorEastAsia" w:cstheme="minorEastAsia"/>
                  <w:b w:val="0"/>
                  <w:bCs w:val="0"/>
                  <w:sz w:val="32"/>
                  <w:szCs w:val="32"/>
                  <w:highlight w:val="none"/>
                </w:rPr>
                <w:t>第四部分评审方法</w:t>
              </w:r>
            </w:sdtContent>
          </w:sdt>
          <w:r>
            <w:rPr>
              <w:rFonts w:hint="eastAsia" w:asciiTheme="minorEastAsia" w:hAnsiTheme="minorEastAsia" w:eastAsiaTheme="minorEastAsia" w:cstheme="minorEastAsia"/>
              <w:b w:val="0"/>
              <w:bCs w:val="0"/>
              <w:sz w:val="32"/>
              <w:szCs w:val="32"/>
              <w:highlight w:val="none"/>
            </w:rPr>
            <w:tab/>
          </w:r>
          <w:bookmarkStart w:id="4" w:name="_Toc15566_WPSOffice_Level1Page"/>
          <w:r>
            <w:rPr>
              <w:rFonts w:hint="eastAsia" w:asciiTheme="minorEastAsia" w:hAnsiTheme="minorEastAsia" w:eastAsiaTheme="minorEastAsia" w:cstheme="minorEastAsia"/>
              <w:b w:val="0"/>
              <w:bCs w:val="0"/>
              <w:sz w:val="32"/>
              <w:szCs w:val="32"/>
              <w:highlight w:val="none"/>
            </w:rPr>
            <w:t>38</w:t>
          </w:r>
          <w:bookmarkEnd w:id="4"/>
          <w:r>
            <w:rPr>
              <w:rFonts w:hint="eastAsia" w:asciiTheme="minorEastAsia" w:hAnsiTheme="minorEastAsia" w:eastAsiaTheme="minorEastAsia" w:cstheme="minorEastAsia"/>
              <w:b w:val="0"/>
              <w:bCs w:val="0"/>
              <w:sz w:val="32"/>
              <w:szCs w:val="32"/>
              <w:highlight w:val="none"/>
            </w:rPr>
            <w:fldChar w:fldCharType="end"/>
          </w:r>
        </w:p>
        <w:p w14:paraId="6F00FA13">
          <w:pPr>
            <w:pStyle w:val="12"/>
            <w:tabs>
              <w:tab w:val="right" w:leader="dot" w:pos="8341"/>
            </w:tabs>
            <w:rPr>
              <w:rFonts w:hint="eastAsia" w:asciiTheme="minorEastAsia" w:hAnsiTheme="minorEastAsia" w:eastAsiaTheme="minorEastAsia" w:cstheme="minorEastAsia"/>
              <w:b w:val="0"/>
              <w:bCs w:val="0"/>
              <w:sz w:val="32"/>
              <w:szCs w:val="32"/>
              <w:highlight w:val="none"/>
            </w:rPr>
          </w:pPr>
          <w:r>
            <w:rPr>
              <w:rFonts w:hint="eastAsia" w:asciiTheme="minorEastAsia" w:hAnsiTheme="minorEastAsia" w:eastAsiaTheme="minorEastAsia" w:cstheme="minorEastAsia"/>
              <w:b w:val="0"/>
              <w:bCs w:val="0"/>
              <w:sz w:val="32"/>
              <w:szCs w:val="32"/>
              <w:highlight w:val="none"/>
            </w:rPr>
            <w:fldChar w:fldCharType="begin"/>
          </w:r>
          <w:r>
            <w:rPr>
              <w:rFonts w:hint="eastAsia" w:asciiTheme="minorEastAsia" w:hAnsiTheme="minorEastAsia" w:eastAsiaTheme="minorEastAsia" w:cstheme="minorEastAsia"/>
              <w:b w:val="0"/>
              <w:bCs w:val="0"/>
              <w:sz w:val="32"/>
              <w:szCs w:val="32"/>
              <w:highlight w:val="none"/>
            </w:rPr>
            <w:instrText xml:space="preserve"> HYPERLINK \l _Toc18613_WPSOffice_Level1 </w:instrText>
          </w:r>
          <w:r>
            <w:rPr>
              <w:rFonts w:hint="eastAsia" w:asciiTheme="minorEastAsia" w:hAnsiTheme="minorEastAsia" w:eastAsiaTheme="minorEastAsia" w:cstheme="minorEastAsia"/>
              <w:b w:val="0"/>
              <w:bCs w:val="0"/>
              <w:sz w:val="32"/>
              <w:szCs w:val="32"/>
              <w:highlight w:val="none"/>
            </w:rPr>
            <w:fldChar w:fldCharType="separate"/>
          </w:r>
          <w:sdt>
            <w:sdtPr>
              <w:rPr>
                <w:rFonts w:hint="eastAsia" w:asciiTheme="minorEastAsia" w:hAnsiTheme="minorEastAsia" w:eastAsiaTheme="minorEastAsia" w:cstheme="minorEastAsia"/>
                <w:b w:val="0"/>
                <w:bCs w:val="0"/>
                <w:snapToGrid w:val="0"/>
                <w:color w:val="000000"/>
                <w:kern w:val="0"/>
                <w:sz w:val="36"/>
                <w:szCs w:val="36"/>
                <w:highlight w:val="none"/>
                <w:lang w:val="en-US" w:eastAsia="en-US" w:bidi="ar-SA"/>
              </w:rPr>
              <w:id w:val="147467523"/>
              <w:placeholder>
                <w:docPart w:val="{8dd6a8ac-4bfe-4828-a079-610d692ea4db}"/>
              </w:placeholder>
            </w:sdtPr>
            <w:sdtEndPr>
              <w:rPr>
                <w:rFonts w:hint="eastAsia" w:asciiTheme="minorEastAsia" w:hAnsiTheme="minorEastAsia" w:eastAsiaTheme="minorEastAsia" w:cstheme="minorEastAsia"/>
                <w:b w:val="0"/>
                <w:bCs w:val="0"/>
                <w:snapToGrid w:val="0"/>
                <w:color w:val="000000"/>
                <w:kern w:val="0"/>
                <w:sz w:val="36"/>
                <w:szCs w:val="36"/>
                <w:highlight w:val="none"/>
                <w:lang w:val="en-US" w:eastAsia="en-US" w:bidi="ar-SA"/>
              </w:rPr>
            </w:sdtEndPr>
            <w:sdtContent>
              <w:r>
                <w:rPr>
                  <w:rFonts w:hint="eastAsia" w:asciiTheme="minorEastAsia" w:hAnsiTheme="minorEastAsia" w:eastAsiaTheme="minorEastAsia" w:cstheme="minorEastAsia"/>
                  <w:b w:val="0"/>
                  <w:bCs w:val="0"/>
                  <w:sz w:val="32"/>
                  <w:szCs w:val="32"/>
                  <w:highlight w:val="none"/>
                </w:rPr>
                <w:t>第五部分合同文件</w:t>
              </w:r>
            </w:sdtContent>
          </w:sdt>
          <w:r>
            <w:rPr>
              <w:rFonts w:hint="eastAsia" w:asciiTheme="minorEastAsia" w:hAnsiTheme="minorEastAsia" w:eastAsiaTheme="minorEastAsia" w:cstheme="minorEastAsia"/>
              <w:b w:val="0"/>
              <w:bCs w:val="0"/>
              <w:sz w:val="32"/>
              <w:szCs w:val="32"/>
              <w:highlight w:val="none"/>
            </w:rPr>
            <w:tab/>
          </w:r>
          <w:bookmarkStart w:id="5" w:name="_Toc18613_WPSOffice_Level1Page"/>
          <w:r>
            <w:rPr>
              <w:rFonts w:hint="eastAsia" w:asciiTheme="minorEastAsia" w:hAnsiTheme="minorEastAsia" w:eastAsiaTheme="minorEastAsia" w:cstheme="minorEastAsia"/>
              <w:b w:val="0"/>
              <w:bCs w:val="0"/>
              <w:sz w:val="32"/>
              <w:szCs w:val="32"/>
              <w:highlight w:val="none"/>
            </w:rPr>
            <w:t>47</w:t>
          </w:r>
          <w:bookmarkEnd w:id="5"/>
          <w:r>
            <w:rPr>
              <w:rFonts w:hint="eastAsia" w:asciiTheme="minorEastAsia" w:hAnsiTheme="minorEastAsia" w:eastAsiaTheme="minorEastAsia" w:cstheme="minorEastAsia"/>
              <w:b w:val="0"/>
              <w:bCs w:val="0"/>
              <w:sz w:val="32"/>
              <w:szCs w:val="32"/>
              <w:highlight w:val="none"/>
            </w:rPr>
            <w:fldChar w:fldCharType="end"/>
          </w:r>
        </w:p>
        <w:p w14:paraId="3D924AD0">
          <w:pPr>
            <w:pStyle w:val="12"/>
            <w:tabs>
              <w:tab w:val="right" w:leader="dot" w:pos="8341"/>
            </w:tabs>
            <w:rPr>
              <w:rFonts w:hint="eastAsia" w:asciiTheme="minorEastAsia" w:hAnsiTheme="minorEastAsia" w:eastAsiaTheme="minorEastAsia" w:cstheme="minorEastAsia"/>
              <w:b w:val="0"/>
              <w:bCs w:val="0"/>
              <w:sz w:val="32"/>
              <w:szCs w:val="32"/>
              <w:highlight w:val="none"/>
            </w:rPr>
          </w:pPr>
          <w:r>
            <w:rPr>
              <w:rFonts w:hint="eastAsia" w:asciiTheme="minorEastAsia" w:hAnsiTheme="minorEastAsia" w:eastAsiaTheme="minorEastAsia" w:cstheme="minorEastAsia"/>
              <w:b w:val="0"/>
              <w:bCs w:val="0"/>
              <w:sz w:val="32"/>
              <w:szCs w:val="32"/>
              <w:highlight w:val="none"/>
            </w:rPr>
            <w:fldChar w:fldCharType="begin"/>
          </w:r>
          <w:r>
            <w:rPr>
              <w:rFonts w:hint="eastAsia" w:asciiTheme="minorEastAsia" w:hAnsiTheme="minorEastAsia" w:eastAsiaTheme="minorEastAsia" w:cstheme="minorEastAsia"/>
              <w:b w:val="0"/>
              <w:bCs w:val="0"/>
              <w:sz w:val="32"/>
              <w:szCs w:val="32"/>
              <w:highlight w:val="none"/>
            </w:rPr>
            <w:instrText xml:space="preserve"> HYPERLINK \l _Toc8816_WPSOffice_Level1 </w:instrText>
          </w:r>
          <w:r>
            <w:rPr>
              <w:rFonts w:hint="eastAsia" w:asciiTheme="minorEastAsia" w:hAnsiTheme="minorEastAsia" w:eastAsiaTheme="minorEastAsia" w:cstheme="minorEastAsia"/>
              <w:b w:val="0"/>
              <w:bCs w:val="0"/>
              <w:sz w:val="32"/>
              <w:szCs w:val="32"/>
              <w:highlight w:val="none"/>
            </w:rPr>
            <w:fldChar w:fldCharType="separate"/>
          </w:r>
          <w:sdt>
            <w:sdtPr>
              <w:rPr>
                <w:rFonts w:hint="eastAsia" w:asciiTheme="minorEastAsia" w:hAnsiTheme="minorEastAsia" w:eastAsiaTheme="minorEastAsia" w:cstheme="minorEastAsia"/>
                <w:b w:val="0"/>
                <w:bCs w:val="0"/>
                <w:snapToGrid w:val="0"/>
                <w:color w:val="000000"/>
                <w:kern w:val="0"/>
                <w:sz w:val="36"/>
                <w:szCs w:val="36"/>
                <w:highlight w:val="none"/>
                <w:lang w:val="en-US" w:eastAsia="en-US" w:bidi="ar-SA"/>
              </w:rPr>
              <w:id w:val="147460436"/>
              <w:placeholder>
                <w:docPart w:val="{312f4568-00b1-4adc-9098-c89c92018e32}"/>
              </w:placeholder>
            </w:sdtPr>
            <w:sdtEndPr>
              <w:rPr>
                <w:rFonts w:hint="eastAsia" w:asciiTheme="minorEastAsia" w:hAnsiTheme="minorEastAsia" w:eastAsiaTheme="minorEastAsia" w:cstheme="minorEastAsia"/>
                <w:b w:val="0"/>
                <w:bCs w:val="0"/>
                <w:snapToGrid w:val="0"/>
                <w:color w:val="000000"/>
                <w:kern w:val="0"/>
                <w:sz w:val="36"/>
                <w:szCs w:val="36"/>
                <w:highlight w:val="none"/>
                <w:lang w:val="en-US" w:eastAsia="en-US" w:bidi="ar-SA"/>
              </w:rPr>
            </w:sdtEndPr>
            <w:sdtContent>
              <w:r>
                <w:rPr>
                  <w:rFonts w:hint="eastAsia" w:asciiTheme="minorEastAsia" w:hAnsiTheme="minorEastAsia" w:eastAsiaTheme="minorEastAsia" w:cstheme="minorEastAsia"/>
                  <w:b w:val="0"/>
                  <w:bCs w:val="0"/>
                  <w:sz w:val="32"/>
                  <w:szCs w:val="32"/>
                  <w:highlight w:val="none"/>
                </w:rPr>
                <w:t>第六部分投标文件格式</w:t>
              </w:r>
            </w:sdtContent>
          </w:sdt>
          <w:r>
            <w:rPr>
              <w:rFonts w:hint="eastAsia" w:asciiTheme="minorEastAsia" w:hAnsiTheme="minorEastAsia" w:eastAsiaTheme="minorEastAsia" w:cstheme="minorEastAsia"/>
              <w:b w:val="0"/>
              <w:bCs w:val="0"/>
              <w:sz w:val="32"/>
              <w:szCs w:val="32"/>
              <w:highlight w:val="none"/>
            </w:rPr>
            <w:tab/>
          </w:r>
          <w:bookmarkStart w:id="6" w:name="_Toc8816_WPSOffice_Level1Page"/>
          <w:r>
            <w:rPr>
              <w:rFonts w:hint="eastAsia" w:asciiTheme="minorEastAsia" w:hAnsiTheme="minorEastAsia" w:eastAsiaTheme="minorEastAsia" w:cstheme="minorEastAsia"/>
              <w:b w:val="0"/>
              <w:bCs w:val="0"/>
              <w:sz w:val="32"/>
              <w:szCs w:val="32"/>
              <w:highlight w:val="none"/>
            </w:rPr>
            <w:t>63</w:t>
          </w:r>
          <w:bookmarkEnd w:id="6"/>
          <w:r>
            <w:rPr>
              <w:rFonts w:hint="eastAsia" w:asciiTheme="minorEastAsia" w:hAnsiTheme="minorEastAsia" w:eastAsiaTheme="minorEastAsia" w:cstheme="minorEastAsia"/>
              <w:b w:val="0"/>
              <w:bCs w:val="0"/>
              <w:sz w:val="32"/>
              <w:szCs w:val="32"/>
              <w:highlight w:val="none"/>
            </w:rPr>
            <w:fldChar w:fldCharType="end"/>
          </w:r>
        </w:p>
        <w:bookmarkEnd w:id="0"/>
        <w:p w14:paraId="5779FEDF">
          <w:pPr>
            <w:pStyle w:val="2"/>
            <w:spacing w:line="295" w:lineRule="auto"/>
            <w:rPr>
              <w:rFonts w:hint="eastAsia" w:asciiTheme="minorEastAsia" w:hAnsiTheme="minorEastAsia" w:eastAsiaTheme="minorEastAsia" w:cstheme="minorEastAsia"/>
              <w:b w:val="0"/>
              <w:bCs w:val="0"/>
              <w:sz w:val="32"/>
              <w:szCs w:val="32"/>
              <w:highlight w:val="none"/>
            </w:rPr>
          </w:pPr>
        </w:p>
        <w:p w14:paraId="72D93F3B">
          <w:pPr>
            <w:pStyle w:val="2"/>
            <w:spacing w:line="295" w:lineRule="auto"/>
            <w:rPr>
              <w:highlight w:val="none"/>
            </w:rPr>
          </w:pPr>
        </w:p>
      </w:sdtContent>
    </w:sdt>
    <w:p w14:paraId="135D0AD7">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bookmarkStart w:id="7" w:name="_Toc19258_WPSOffice_Level1"/>
      <w:r>
        <w:rPr>
          <w:rFonts w:hint="eastAsia" w:ascii="宋体" w:hAnsi="宋体" w:eastAsia="宋体" w:cs="宋体"/>
          <w:b/>
          <w:bCs/>
          <w:spacing w:val="8"/>
          <w:sz w:val="34"/>
          <w:szCs w:val="34"/>
          <w:highlight w:val="none"/>
          <w:lang w:eastAsia="zh-CN"/>
        </w:rPr>
        <w:tab/>
      </w:r>
    </w:p>
    <w:p w14:paraId="2F9E4685">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41B1C6CB">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0CF41222">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542587E5">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0487FDC8">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66448250">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0D0E6D1E">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7D12DCF7">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55D2396D">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0529DF58">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36B3A648">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5FE5E0F3">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37448476">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4444AC6A">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1D94C15A">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0886E882">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3AA78609">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2154ED55">
      <w:pPr>
        <w:tabs>
          <w:tab w:val="left" w:pos="1647"/>
        </w:tabs>
        <w:spacing w:before="111" w:line="223" w:lineRule="auto"/>
        <w:ind w:left="2748"/>
        <w:outlineLvl w:val="0"/>
        <w:rPr>
          <w:rFonts w:hint="eastAsia" w:ascii="宋体" w:hAnsi="宋体" w:eastAsia="宋体" w:cs="宋体"/>
          <w:b/>
          <w:bCs/>
          <w:spacing w:val="8"/>
          <w:sz w:val="34"/>
          <w:szCs w:val="34"/>
          <w:highlight w:val="none"/>
          <w:lang w:eastAsia="zh-CN"/>
        </w:rPr>
      </w:pPr>
    </w:p>
    <w:p w14:paraId="5C0042EC">
      <w:pPr>
        <w:tabs>
          <w:tab w:val="left" w:pos="1647"/>
        </w:tabs>
        <w:spacing w:before="111" w:line="223" w:lineRule="auto"/>
        <w:outlineLvl w:val="0"/>
        <w:rPr>
          <w:rFonts w:hint="eastAsia" w:ascii="宋体" w:hAnsi="宋体" w:eastAsia="宋体" w:cs="宋体"/>
          <w:b/>
          <w:bCs/>
          <w:spacing w:val="8"/>
          <w:sz w:val="34"/>
          <w:szCs w:val="34"/>
          <w:highlight w:val="none"/>
          <w:lang w:eastAsia="zh-CN"/>
        </w:rPr>
      </w:pPr>
    </w:p>
    <w:p w14:paraId="5E258B43">
      <w:pPr>
        <w:tabs>
          <w:tab w:val="left" w:pos="1647"/>
        </w:tabs>
        <w:spacing w:before="111" w:line="223" w:lineRule="auto"/>
        <w:ind w:left="2748"/>
        <w:outlineLvl w:val="0"/>
        <w:rPr>
          <w:rFonts w:hint="eastAsia" w:ascii="宋体" w:hAnsi="宋体" w:eastAsia="宋体" w:cs="宋体"/>
          <w:sz w:val="34"/>
          <w:szCs w:val="34"/>
          <w:highlight w:val="none"/>
          <w:lang w:eastAsia="zh-CN"/>
        </w:rPr>
      </w:pPr>
      <w:r>
        <w:rPr>
          <w:rFonts w:ascii="宋体" w:hAnsi="宋体" w:eastAsia="宋体" w:cs="宋体"/>
          <w:b/>
          <w:bCs/>
          <w:spacing w:val="8"/>
          <w:sz w:val="34"/>
          <w:szCs w:val="34"/>
          <w:highlight w:val="none"/>
        </w:rPr>
        <w:t>第一部分招标公告</w:t>
      </w:r>
      <w:bookmarkEnd w:id="7"/>
      <w:r>
        <w:rPr>
          <w:rFonts w:hint="eastAsia" w:ascii="宋体" w:hAnsi="宋体" w:eastAsia="宋体" w:cs="宋体"/>
          <w:b/>
          <w:bCs/>
          <w:spacing w:val="8"/>
          <w:sz w:val="34"/>
          <w:szCs w:val="34"/>
          <w:highlight w:val="none"/>
          <w:lang w:eastAsia="zh-CN"/>
        </w:rPr>
        <w:t>（</w:t>
      </w:r>
      <w:r>
        <w:rPr>
          <w:rFonts w:hint="eastAsia" w:ascii="宋体" w:hAnsi="宋体" w:eastAsia="宋体" w:cs="宋体"/>
          <w:b/>
          <w:bCs/>
          <w:spacing w:val="8"/>
          <w:sz w:val="34"/>
          <w:szCs w:val="34"/>
          <w:highlight w:val="none"/>
          <w:lang w:val="en-US" w:eastAsia="zh-CN"/>
        </w:rPr>
        <w:t>二次</w:t>
      </w:r>
      <w:r>
        <w:rPr>
          <w:rFonts w:hint="eastAsia" w:ascii="宋体" w:hAnsi="宋体" w:eastAsia="宋体" w:cs="宋体"/>
          <w:b/>
          <w:bCs/>
          <w:spacing w:val="8"/>
          <w:sz w:val="34"/>
          <w:szCs w:val="34"/>
          <w:highlight w:val="none"/>
          <w:lang w:eastAsia="zh-CN"/>
        </w:rPr>
        <w:t>）</w:t>
      </w:r>
    </w:p>
    <w:p w14:paraId="3D41AD1A">
      <w:pPr>
        <w:spacing w:before="135" w:line="271" w:lineRule="auto"/>
        <w:ind w:left="3177" w:right="359" w:hanging="2948"/>
        <w:jc w:val="center"/>
        <w:outlineLvl w:val="9"/>
        <w:rPr>
          <w:rFonts w:hint="eastAsia" w:ascii="宋体" w:hAnsi="宋体" w:eastAsia="宋体" w:cs="宋体"/>
          <w:sz w:val="28"/>
          <w:szCs w:val="28"/>
          <w:highlight w:val="none"/>
          <w:lang w:eastAsia="zh-CN"/>
        </w:rPr>
      </w:pPr>
      <w:r>
        <w:rPr>
          <w:rFonts w:hint="eastAsia" w:ascii="宋体" w:hAnsi="宋体" w:eastAsia="宋体" w:cs="宋体"/>
          <w:b/>
          <w:bCs/>
          <w:spacing w:val="-6"/>
          <w:sz w:val="28"/>
          <w:szCs w:val="28"/>
          <w:highlight w:val="none"/>
          <w:lang w:eastAsia="zh-CN"/>
        </w:rPr>
        <w:t>采购2026年困难群众冬季取暖煤</w:t>
      </w:r>
      <w:r>
        <w:rPr>
          <w:rFonts w:hint="eastAsia" w:ascii="宋体" w:hAnsi="宋体" w:eastAsia="宋体" w:cs="宋体"/>
          <w:b/>
          <w:bCs/>
          <w:spacing w:val="-6"/>
          <w:sz w:val="28"/>
          <w:szCs w:val="28"/>
          <w:highlight w:val="none"/>
          <w:lang w:val="en-US" w:eastAsia="zh-CN"/>
        </w:rPr>
        <w:t>项目</w:t>
      </w:r>
      <w:r>
        <w:rPr>
          <w:rFonts w:ascii="宋体" w:hAnsi="宋体" w:eastAsia="宋体" w:cs="宋体"/>
          <w:b/>
          <w:bCs/>
          <w:spacing w:val="-6"/>
          <w:sz w:val="28"/>
          <w:szCs w:val="28"/>
          <w:highlight w:val="none"/>
        </w:rPr>
        <w:t>的</w:t>
      </w:r>
      <w:bookmarkStart w:id="8" w:name="bookmark2"/>
      <w:bookmarkEnd w:id="8"/>
      <w:r>
        <w:rPr>
          <w:rFonts w:ascii="宋体" w:hAnsi="宋体" w:eastAsia="宋体" w:cs="宋体"/>
          <w:b/>
          <w:bCs/>
          <w:spacing w:val="-6"/>
          <w:sz w:val="28"/>
          <w:szCs w:val="28"/>
          <w:highlight w:val="none"/>
        </w:rPr>
        <w:t>公开招标公告</w:t>
      </w:r>
      <w:r>
        <w:rPr>
          <w:rFonts w:hint="eastAsia" w:ascii="宋体" w:hAnsi="宋体" w:eastAsia="宋体" w:cs="宋体"/>
          <w:b/>
          <w:bCs/>
          <w:spacing w:val="-6"/>
          <w:sz w:val="28"/>
          <w:szCs w:val="28"/>
          <w:highlight w:val="none"/>
          <w:lang w:eastAsia="zh-CN"/>
        </w:rPr>
        <w:t>（</w:t>
      </w:r>
      <w:r>
        <w:rPr>
          <w:rFonts w:hint="eastAsia" w:ascii="宋体" w:hAnsi="宋体" w:eastAsia="宋体" w:cs="宋体"/>
          <w:b/>
          <w:bCs/>
          <w:spacing w:val="-6"/>
          <w:sz w:val="28"/>
          <w:szCs w:val="28"/>
          <w:highlight w:val="none"/>
          <w:lang w:val="en-US" w:eastAsia="zh-CN"/>
        </w:rPr>
        <w:t>二次</w:t>
      </w:r>
      <w:r>
        <w:rPr>
          <w:rFonts w:hint="eastAsia" w:ascii="宋体" w:hAnsi="宋体" w:eastAsia="宋体" w:cs="宋体"/>
          <w:b/>
          <w:bCs/>
          <w:spacing w:val="-6"/>
          <w:sz w:val="28"/>
          <w:szCs w:val="28"/>
          <w:highlight w:val="none"/>
          <w:lang w:eastAsia="zh-CN"/>
        </w:rPr>
        <w:t>）</w:t>
      </w:r>
    </w:p>
    <w:p w14:paraId="7536513C">
      <w:pPr>
        <w:spacing w:before="28" w:line="229" w:lineRule="auto"/>
        <w:ind w:left="45"/>
        <w:outlineLvl w:val="9"/>
        <w:rPr>
          <w:rFonts w:ascii="仿宋" w:hAnsi="仿宋" w:eastAsia="仿宋" w:cs="仿宋"/>
          <w:sz w:val="25"/>
          <w:szCs w:val="25"/>
          <w:highlight w:val="none"/>
        </w:rPr>
      </w:pPr>
      <w:r>
        <w:rPr>
          <w:rFonts w:ascii="仿宋" w:hAnsi="仿宋" w:eastAsia="仿宋" w:cs="仿宋"/>
          <w:spacing w:val="8"/>
          <w:sz w:val="25"/>
          <w:szCs w:val="25"/>
          <w:highlight w:val="none"/>
        </w:rPr>
        <w:t>项目概况</w:t>
      </w:r>
    </w:p>
    <w:p w14:paraId="7A2B761A">
      <w:pPr>
        <w:spacing w:before="241" w:line="228" w:lineRule="auto"/>
        <w:ind w:left="36"/>
        <w:outlineLvl w:val="9"/>
        <w:rPr>
          <w:rFonts w:ascii="仿宋" w:hAnsi="仿宋" w:eastAsia="仿宋" w:cs="仿宋"/>
          <w:spacing w:val="17"/>
          <w:sz w:val="25"/>
          <w:szCs w:val="25"/>
          <w:highlight w:val="none"/>
        </w:rPr>
      </w:pPr>
      <w:r>
        <w:rPr>
          <w:rFonts w:hint="eastAsia" w:ascii="仿宋" w:hAnsi="仿宋" w:eastAsia="仿宋" w:cs="仿宋"/>
          <w:spacing w:val="9"/>
          <w:sz w:val="25"/>
          <w:szCs w:val="25"/>
          <w:highlight w:val="none"/>
          <w:lang w:eastAsia="zh-CN"/>
        </w:rPr>
        <w:t>采购2026年困难群众冬季取暖煤</w:t>
      </w:r>
      <w:r>
        <w:rPr>
          <w:rFonts w:hint="eastAsia" w:ascii="仿宋" w:hAnsi="仿宋" w:eastAsia="仿宋" w:cs="仿宋"/>
          <w:spacing w:val="9"/>
          <w:sz w:val="25"/>
          <w:szCs w:val="25"/>
          <w:highlight w:val="none"/>
          <w:lang w:val="en-US" w:eastAsia="zh-CN"/>
        </w:rPr>
        <w:t>项目</w:t>
      </w:r>
      <w:r>
        <w:rPr>
          <w:rFonts w:ascii="仿宋" w:hAnsi="仿宋" w:eastAsia="仿宋" w:cs="仿宋"/>
          <w:spacing w:val="17"/>
          <w:sz w:val="25"/>
          <w:szCs w:val="25"/>
          <w:highlight w:val="none"/>
          <w:lang w:val="en-US" w:eastAsia="en-US"/>
        </w:rPr>
        <w:t>的潜在投标人应在政采云</w:t>
      </w:r>
      <w:r>
        <w:rPr>
          <w:rFonts w:ascii="仿宋" w:hAnsi="仿宋" w:eastAsia="仿宋" w:cs="仿宋"/>
          <w:spacing w:val="17"/>
          <w:sz w:val="25"/>
          <w:szCs w:val="25"/>
          <w:highlight w:val="none"/>
        </w:rPr>
        <w:t>平台线上</w:t>
      </w:r>
      <w:r>
        <w:rPr>
          <w:rFonts w:hint="eastAsia" w:ascii="仿宋" w:hAnsi="仿宋" w:eastAsia="仿宋" w:cs="仿宋"/>
          <w:spacing w:val="17"/>
          <w:sz w:val="25"/>
          <w:szCs w:val="25"/>
          <w:highlight w:val="none"/>
          <w:lang w:eastAsia="zh-CN"/>
        </w:rPr>
        <w:t>获取</w:t>
      </w:r>
      <w:r>
        <w:rPr>
          <w:rFonts w:ascii="仿宋" w:hAnsi="仿宋" w:eastAsia="仿宋" w:cs="仿宋"/>
          <w:spacing w:val="17"/>
          <w:sz w:val="25"/>
          <w:szCs w:val="25"/>
          <w:highlight w:val="none"/>
        </w:rPr>
        <w:t>招标文件，并于</w:t>
      </w:r>
      <w:r>
        <w:rPr>
          <w:rFonts w:hint="eastAsia" w:ascii="仿宋" w:hAnsi="仿宋" w:eastAsia="仿宋" w:cs="仿宋"/>
          <w:spacing w:val="15"/>
          <w:sz w:val="25"/>
          <w:szCs w:val="25"/>
          <w:highlight w:val="none"/>
          <w:u w:val="single"/>
          <w:shd w:val="clear" w:color="auto" w:fill="auto"/>
          <w:lang w:eastAsia="zh-CN"/>
        </w:rPr>
        <w:t>2026年10月22日11点00分</w:t>
      </w:r>
      <w:r>
        <w:rPr>
          <w:rFonts w:ascii="仿宋" w:hAnsi="仿宋" w:eastAsia="仿宋" w:cs="仿宋"/>
          <w:spacing w:val="17"/>
          <w:sz w:val="25"/>
          <w:szCs w:val="25"/>
          <w:highlight w:val="none"/>
          <w:u w:val="single"/>
        </w:rPr>
        <w:t>（北京时间）</w:t>
      </w:r>
      <w:r>
        <w:rPr>
          <w:rFonts w:ascii="仿宋" w:hAnsi="仿宋" w:eastAsia="仿宋" w:cs="仿宋"/>
          <w:spacing w:val="17"/>
          <w:sz w:val="25"/>
          <w:szCs w:val="25"/>
          <w:highlight w:val="none"/>
        </w:rPr>
        <w:t>前递交投标文件。</w:t>
      </w:r>
    </w:p>
    <w:p w14:paraId="595C0094">
      <w:pPr>
        <w:spacing w:before="241" w:line="228" w:lineRule="auto"/>
        <w:ind w:left="36"/>
        <w:outlineLvl w:val="9"/>
        <w:rPr>
          <w:rFonts w:ascii="仿宋" w:hAnsi="仿宋" w:eastAsia="仿宋" w:cs="仿宋"/>
          <w:spacing w:val="9"/>
          <w:sz w:val="25"/>
          <w:szCs w:val="25"/>
          <w:highlight w:val="none"/>
        </w:rPr>
      </w:pPr>
      <w:r>
        <w:rPr>
          <w:rFonts w:ascii="黑体" w:hAnsi="黑体" w:eastAsia="黑体" w:cs="黑体"/>
          <w:b/>
          <w:bCs/>
          <w:spacing w:val="12"/>
          <w:sz w:val="25"/>
          <w:szCs w:val="25"/>
          <w:highlight w:val="none"/>
        </w:rPr>
        <w:t>一、项目基本情况</w:t>
      </w:r>
    </w:p>
    <w:p w14:paraId="0D8F239E">
      <w:pPr>
        <w:spacing w:before="38" w:line="228" w:lineRule="auto"/>
        <w:ind w:left="41"/>
        <w:outlineLvl w:val="9"/>
        <w:rPr>
          <w:rFonts w:hint="default" w:ascii="仿宋" w:hAnsi="仿宋" w:eastAsia="仿宋" w:cs="仿宋"/>
          <w:spacing w:val="9"/>
          <w:sz w:val="25"/>
          <w:szCs w:val="25"/>
          <w:highlight w:val="none"/>
          <w:lang w:val="en-US"/>
        </w:rPr>
      </w:pPr>
      <w:r>
        <w:rPr>
          <w:rFonts w:ascii="仿宋" w:hAnsi="仿宋" w:eastAsia="仿宋" w:cs="仿宋"/>
          <w:spacing w:val="9"/>
          <w:sz w:val="25"/>
          <w:szCs w:val="25"/>
          <w:highlight w:val="none"/>
        </w:rPr>
        <w:t>项目编号：</w:t>
      </w:r>
      <w:r>
        <w:rPr>
          <w:rFonts w:hint="eastAsia" w:ascii="仿宋" w:hAnsi="仿宋" w:eastAsia="仿宋" w:cs="仿宋"/>
          <w:spacing w:val="9"/>
          <w:sz w:val="25"/>
          <w:szCs w:val="25"/>
          <w:highlight w:val="none"/>
          <w:lang w:val="en-US" w:eastAsia="zh-CN"/>
        </w:rPr>
        <w:t>20260818</w:t>
      </w:r>
    </w:p>
    <w:p w14:paraId="0653E6D3">
      <w:pPr>
        <w:spacing w:before="38" w:line="228" w:lineRule="auto"/>
        <w:ind w:left="41"/>
        <w:outlineLvl w:val="9"/>
        <w:rPr>
          <w:rFonts w:ascii="仿宋" w:hAnsi="仿宋" w:eastAsia="仿宋" w:cs="仿宋"/>
          <w:spacing w:val="9"/>
          <w:sz w:val="25"/>
          <w:szCs w:val="25"/>
          <w:highlight w:val="none"/>
        </w:rPr>
      </w:pPr>
      <w:r>
        <w:rPr>
          <w:rFonts w:ascii="仿宋" w:hAnsi="仿宋" w:eastAsia="仿宋" w:cs="仿宋"/>
          <w:spacing w:val="9"/>
          <w:sz w:val="25"/>
          <w:szCs w:val="25"/>
          <w:highlight w:val="none"/>
        </w:rPr>
        <w:t>项目名称：</w:t>
      </w:r>
      <w:r>
        <w:rPr>
          <w:rFonts w:hint="eastAsia" w:ascii="仿宋" w:hAnsi="仿宋" w:eastAsia="仿宋" w:cs="仿宋"/>
          <w:spacing w:val="9"/>
          <w:sz w:val="25"/>
          <w:szCs w:val="25"/>
          <w:highlight w:val="none"/>
          <w:lang w:eastAsia="zh-CN"/>
        </w:rPr>
        <w:t>采购2026年困难群众冬季取暖煤</w:t>
      </w:r>
      <w:r>
        <w:rPr>
          <w:rFonts w:hint="eastAsia" w:ascii="仿宋" w:hAnsi="仿宋" w:eastAsia="仿宋" w:cs="仿宋"/>
          <w:spacing w:val="9"/>
          <w:sz w:val="25"/>
          <w:szCs w:val="25"/>
          <w:highlight w:val="none"/>
          <w:lang w:val="en-US" w:eastAsia="zh-CN"/>
        </w:rPr>
        <w:t>项目（二次）</w:t>
      </w:r>
    </w:p>
    <w:p w14:paraId="5E77B2DB">
      <w:pPr>
        <w:spacing w:before="43" w:line="229" w:lineRule="auto"/>
        <w:ind w:left="41"/>
        <w:outlineLvl w:val="9"/>
        <w:rPr>
          <w:rFonts w:ascii="仿宋" w:hAnsi="仿宋" w:eastAsia="仿宋" w:cs="仿宋"/>
          <w:sz w:val="25"/>
          <w:szCs w:val="25"/>
          <w:highlight w:val="none"/>
        </w:rPr>
      </w:pPr>
      <w:r>
        <w:rPr>
          <w:rFonts w:ascii="仿宋" w:hAnsi="仿宋" w:eastAsia="仿宋" w:cs="仿宋"/>
          <w:spacing w:val="14"/>
          <w:sz w:val="25"/>
          <w:szCs w:val="25"/>
          <w:highlight w:val="none"/>
        </w:rPr>
        <w:t>采购方式：公开招标</w:t>
      </w:r>
    </w:p>
    <w:p w14:paraId="4195D696">
      <w:pPr>
        <w:spacing w:before="38" w:line="228" w:lineRule="auto"/>
        <w:ind w:left="41"/>
        <w:outlineLvl w:val="9"/>
        <w:rPr>
          <w:rFonts w:ascii="仿宋" w:hAnsi="仿宋" w:eastAsia="仿宋" w:cs="仿宋"/>
          <w:sz w:val="25"/>
          <w:szCs w:val="25"/>
          <w:highlight w:val="none"/>
        </w:rPr>
      </w:pPr>
      <w:r>
        <w:rPr>
          <w:rFonts w:ascii="仿宋" w:hAnsi="仿宋" w:eastAsia="仿宋" w:cs="仿宋"/>
          <w:spacing w:val="9"/>
          <w:sz w:val="25"/>
          <w:szCs w:val="25"/>
          <w:highlight w:val="none"/>
        </w:rPr>
        <w:t>预算金额（元</w:t>
      </w:r>
      <w:r>
        <w:rPr>
          <w:rFonts w:ascii="仿宋" w:hAnsi="仿宋" w:eastAsia="仿宋" w:cs="仿宋"/>
          <w:spacing w:val="6"/>
          <w:sz w:val="25"/>
          <w:szCs w:val="25"/>
          <w:highlight w:val="none"/>
        </w:rPr>
        <w:t>）：</w:t>
      </w:r>
      <w:r>
        <w:rPr>
          <w:rFonts w:hint="eastAsia" w:ascii="仿宋" w:hAnsi="仿宋" w:eastAsia="仿宋" w:cs="仿宋"/>
          <w:spacing w:val="9"/>
          <w:sz w:val="25"/>
          <w:szCs w:val="25"/>
          <w:highlight w:val="none"/>
          <w:lang w:val="en-US" w:eastAsia="zh-CN"/>
        </w:rPr>
        <w:t>170</w:t>
      </w:r>
      <w:r>
        <w:rPr>
          <w:rFonts w:ascii="仿宋" w:hAnsi="仿宋" w:eastAsia="仿宋" w:cs="仿宋"/>
          <w:spacing w:val="9"/>
          <w:sz w:val="25"/>
          <w:szCs w:val="25"/>
          <w:highlight w:val="none"/>
        </w:rPr>
        <w:t>0000.00元</w:t>
      </w:r>
    </w:p>
    <w:p w14:paraId="29E2A71D">
      <w:pPr>
        <w:spacing w:before="42" w:line="229" w:lineRule="auto"/>
        <w:ind w:left="46"/>
        <w:outlineLvl w:val="9"/>
        <w:rPr>
          <w:rFonts w:ascii="仿宋" w:hAnsi="仿宋" w:eastAsia="仿宋" w:cs="仿宋"/>
          <w:sz w:val="25"/>
          <w:szCs w:val="25"/>
          <w:highlight w:val="none"/>
        </w:rPr>
      </w:pPr>
      <w:r>
        <w:rPr>
          <w:rFonts w:ascii="仿宋" w:hAnsi="仿宋" w:eastAsia="仿宋" w:cs="仿宋"/>
          <w:spacing w:val="9"/>
          <w:sz w:val="25"/>
          <w:szCs w:val="25"/>
          <w:highlight w:val="none"/>
        </w:rPr>
        <w:t>最高限价（元</w:t>
      </w:r>
      <w:r>
        <w:rPr>
          <w:rFonts w:ascii="仿宋" w:hAnsi="仿宋" w:eastAsia="仿宋" w:cs="仿宋"/>
          <w:spacing w:val="3"/>
          <w:sz w:val="25"/>
          <w:szCs w:val="25"/>
          <w:highlight w:val="none"/>
        </w:rPr>
        <w:t>）：</w:t>
      </w:r>
      <w:r>
        <w:rPr>
          <w:rFonts w:hint="eastAsia" w:ascii="仿宋" w:hAnsi="仿宋" w:eastAsia="仿宋" w:cs="仿宋"/>
          <w:spacing w:val="9"/>
          <w:sz w:val="25"/>
          <w:szCs w:val="25"/>
          <w:highlight w:val="none"/>
          <w:lang w:val="en-US" w:eastAsia="zh-CN"/>
        </w:rPr>
        <w:t>170</w:t>
      </w:r>
      <w:r>
        <w:rPr>
          <w:rFonts w:ascii="仿宋" w:hAnsi="仿宋" w:eastAsia="仿宋" w:cs="仿宋"/>
          <w:spacing w:val="9"/>
          <w:sz w:val="25"/>
          <w:szCs w:val="25"/>
          <w:highlight w:val="none"/>
        </w:rPr>
        <w:t>0000.00元</w:t>
      </w:r>
    </w:p>
    <w:p w14:paraId="5AAEEF15">
      <w:pPr>
        <w:spacing w:before="37" w:line="229" w:lineRule="auto"/>
        <w:ind w:left="41"/>
        <w:outlineLvl w:val="9"/>
        <w:rPr>
          <w:rFonts w:ascii="仿宋" w:hAnsi="仿宋" w:eastAsia="仿宋" w:cs="仿宋"/>
          <w:sz w:val="25"/>
          <w:szCs w:val="25"/>
          <w:highlight w:val="none"/>
        </w:rPr>
      </w:pPr>
      <w:r>
        <w:rPr>
          <w:rFonts w:ascii="仿宋" w:hAnsi="仿宋" w:eastAsia="仿宋" w:cs="仿宋"/>
          <w:spacing w:val="6"/>
          <w:sz w:val="25"/>
          <w:szCs w:val="25"/>
          <w:highlight w:val="none"/>
        </w:rPr>
        <w:t>采购需求：</w:t>
      </w:r>
    </w:p>
    <w:p w14:paraId="284A4A02">
      <w:pPr>
        <w:spacing w:before="38" w:line="228" w:lineRule="auto"/>
        <w:ind w:left="41"/>
        <w:outlineLvl w:val="9"/>
        <w:rPr>
          <w:rFonts w:ascii="仿宋" w:hAnsi="仿宋" w:eastAsia="仿宋" w:cs="仿宋"/>
          <w:sz w:val="25"/>
          <w:szCs w:val="25"/>
          <w:highlight w:val="none"/>
        </w:rPr>
      </w:pPr>
      <w:r>
        <w:rPr>
          <w:rFonts w:ascii="仿宋" w:hAnsi="仿宋" w:eastAsia="仿宋" w:cs="仿宋"/>
          <w:spacing w:val="19"/>
          <w:sz w:val="25"/>
          <w:szCs w:val="25"/>
          <w:highlight w:val="none"/>
        </w:rPr>
        <w:t>标项名称:</w:t>
      </w:r>
      <w:r>
        <w:rPr>
          <w:rFonts w:hint="eastAsia" w:ascii="仿宋" w:hAnsi="仿宋" w:eastAsia="仿宋" w:cs="仿宋"/>
          <w:spacing w:val="9"/>
          <w:sz w:val="25"/>
          <w:szCs w:val="25"/>
          <w:highlight w:val="none"/>
          <w:lang w:eastAsia="zh-CN"/>
        </w:rPr>
        <w:t>采购2026年困难群众冬季取暖煤</w:t>
      </w:r>
      <w:r>
        <w:rPr>
          <w:rFonts w:hint="eastAsia" w:ascii="仿宋" w:hAnsi="仿宋" w:eastAsia="仿宋" w:cs="仿宋"/>
          <w:spacing w:val="9"/>
          <w:sz w:val="25"/>
          <w:szCs w:val="25"/>
          <w:highlight w:val="none"/>
          <w:lang w:val="en-US" w:eastAsia="zh-CN"/>
        </w:rPr>
        <w:t>项目（二次）</w:t>
      </w:r>
    </w:p>
    <w:p w14:paraId="67B39371">
      <w:pPr>
        <w:spacing w:before="70" w:line="230" w:lineRule="auto"/>
        <w:ind w:left="38"/>
        <w:outlineLvl w:val="9"/>
        <w:rPr>
          <w:rFonts w:ascii="仿宋" w:hAnsi="仿宋" w:eastAsia="仿宋" w:cs="仿宋"/>
          <w:sz w:val="25"/>
          <w:szCs w:val="25"/>
          <w:highlight w:val="none"/>
        </w:rPr>
      </w:pPr>
      <w:r>
        <w:rPr>
          <w:rFonts w:ascii="仿宋" w:hAnsi="仿宋" w:eastAsia="仿宋" w:cs="仿宋"/>
          <w:spacing w:val="8"/>
          <w:sz w:val="25"/>
          <w:szCs w:val="25"/>
          <w:highlight w:val="none"/>
        </w:rPr>
        <w:t>数量:</w:t>
      </w:r>
      <w:r>
        <w:rPr>
          <w:rFonts w:hint="eastAsia" w:ascii="仿宋" w:hAnsi="仿宋" w:eastAsia="仿宋" w:cs="仿宋"/>
          <w:spacing w:val="8"/>
          <w:sz w:val="25"/>
          <w:szCs w:val="25"/>
          <w:highlight w:val="none"/>
          <w:lang w:val="en-US" w:eastAsia="zh-CN"/>
        </w:rPr>
        <w:t>3400</w:t>
      </w:r>
    </w:p>
    <w:p w14:paraId="3080309B">
      <w:pPr>
        <w:spacing w:before="25" w:line="228" w:lineRule="auto"/>
        <w:ind w:left="41"/>
        <w:outlineLvl w:val="9"/>
        <w:rPr>
          <w:rFonts w:ascii="仿宋" w:hAnsi="仿宋" w:eastAsia="仿宋" w:cs="仿宋"/>
          <w:spacing w:val="4"/>
          <w:sz w:val="25"/>
          <w:szCs w:val="25"/>
          <w:highlight w:val="none"/>
        </w:rPr>
      </w:pPr>
      <w:r>
        <w:rPr>
          <w:rFonts w:ascii="仿宋" w:hAnsi="仿宋" w:eastAsia="仿宋" w:cs="仿宋"/>
          <w:spacing w:val="4"/>
          <w:sz w:val="25"/>
          <w:szCs w:val="25"/>
          <w:highlight w:val="none"/>
        </w:rPr>
        <w:t>预算金额（元）:</w:t>
      </w:r>
      <w:r>
        <w:rPr>
          <w:rFonts w:hint="eastAsia" w:ascii="仿宋" w:hAnsi="仿宋" w:eastAsia="仿宋" w:cs="仿宋"/>
          <w:spacing w:val="4"/>
          <w:sz w:val="25"/>
          <w:szCs w:val="25"/>
          <w:highlight w:val="none"/>
          <w:lang w:val="en-US" w:eastAsia="zh-CN"/>
        </w:rPr>
        <w:t>170</w:t>
      </w:r>
      <w:r>
        <w:rPr>
          <w:rFonts w:ascii="仿宋" w:hAnsi="仿宋" w:eastAsia="仿宋" w:cs="仿宋"/>
          <w:spacing w:val="4"/>
          <w:sz w:val="25"/>
          <w:szCs w:val="25"/>
          <w:highlight w:val="none"/>
        </w:rPr>
        <w:t>0000.00元</w:t>
      </w:r>
    </w:p>
    <w:p w14:paraId="350947D2">
      <w:pPr>
        <w:spacing w:before="25" w:line="228" w:lineRule="auto"/>
        <w:ind w:left="41"/>
        <w:outlineLvl w:val="9"/>
        <w:rPr>
          <w:rFonts w:ascii="仿宋" w:hAnsi="仿宋" w:eastAsia="仿宋" w:cs="仿宋"/>
          <w:spacing w:val="4"/>
          <w:sz w:val="25"/>
          <w:szCs w:val="25"/>
          <w:highlight w:val="none"/>
        </w:rPr>
      </w:pPr>
      <w:r>
        <w:rPr>
          <w:rFonts w:ascii="仿宋" w:hAnsi="仿宋" w:eastAsia="仿宋" w:cs="仿宋"/>
          <w:spacing w:val="9"/>
          <w:sz w:val="25"/>
          <w:szCs w:val="25"/>
          <w:highlight w:val="none"/>
        </w:rPr>
        <w:t>单位： </w:t>
      </w:r>
      <w:r>
        <w:rPr>
          <w:rFonts w:hint="eastAsia" w:ascii="仿宋" w:hAnsi="仿宋" w:eastAsia="仿宋" w:cs="仿宋"/>
          <w:spacing w:val="9"/>
          <w:sz w:val="25"/>
          <w:szCs w:val="25"/>
          <w:highlight w:val="none"/>
          <w:lang w:val="en-US" w:eastAsia="zh-CN"/>
        </w:rPr>
        <w:t>吨</w:t>
      </w:r>
      <w:r>
        <w:rPr>
          <w:rFonts w:ascii="仿宋" w:hAnsi="仿宋" w:eastAsia="仿宋" w:cs="仿宋"/>
          <w:spacing w:val="9"/>
          <w:sz w:val="25"/>
          <w:szCs w:val="25"/>
          <w:highlight w:val="none"/>
        </w:rPr>
        <w:t> </w:t>
      </w:r>
    </w:p>
    <w:p w14:paraId="5B9D4E5B">
      <w:pPr>
        <w:spacing w:before="17" w:line="239" w:lineRule="auto"/>
        <w:ind w:left="40" w:right="275" w:firstLine="13"/>
        <w:outlineLvl w:val="9"/>
        <w:rPr>
          <w:rFonts w:ascii="仿宋" w:hAnsi="仿宋" w:eastAsia="仿宋" w:cs="仿宋"/>
          <w:sz w:val="25"/>
          <w:szCs w:val="25"/>
          <w:highlight w:val="none"/>
        </w:rPr>
      </w:pPr>
      <w:r>
        <w:rPr>
          <w:rFonts w:ascii="仿宋" w:hAnsi="仿宋" w:eastAsia="仿宋" w:cs="仿宋"/>
          <w:spacing w:val="14"/>
          <w:sz w:val="25"/>
          <w:szCs w:val="25"/>
          <w:highlight w:val="none"/>
        </w:rPr>
        <w:t>简要规格描述或项目基本概况介绍、用途：采购冬季取暖煤</w:t>
      </w:r>
      <w:r>
        <w:rPr>
          <w:rFonts w:hint="eastAsia" w:ascii="仿宋" w:hAnsi="仿宋" w:eastAsia="仿宋" w:cs="仿宋"/>
          <w:spacing w:val="14"/>
          <w:sz w:val="25"/>
          <w:szCs w:val="25"/>
          <w:highlight w:val="none"/>
          <w:lang w:val="en-US" w:eastAsia="zh-CN"/>
        </w:rPr>
        <w:t>3400</w:t>
      </w:r>
      <w:r>
        <w:rPr>
          <w:rFonts w:ascii="仿宋" w:hAnsi="仿宋" w:eastAsia="仿宋" w:cs="仿宋"/>
          <w:spacing w:val="14"/>
          <w:sz w:val="25"/>
          <w:szCs w:val="25"/>
          <w:highlight w:val="none"/>
        </w:rPr>
        <w:t>吨(</w:t>
      </w:r>
      <w:r>
        <w:rPr>
          <w:rFonts w:ascii="仿宋" w:hAnsi="仿宋" w:eastAsia="仿宋" w:cs="仿宋"/>
          <w:spacing w:val="13"/>
          <w:sz w:val="25"/>
          <w:szCs w:val="25"/>
          <w:highlight w:val="none"/>
        </w:rPr>
        <w:t>详见采购需求）</w:t>
      </w:r>
    </w:p>
    <w:p w14:paraId="4EC689EB">
      <w:pPr>
        <w:spacing w:before="4" w:line="231" w:lineRule="auto"/>
        <w:ind w:left="41"/>
        <w:outlineLvl w:val="9"/>
        <w:rPr>
          <w:rFonts w:ascii="仿宋" w:hAnsi="仿宋" w:eastAsia="仿宋" w:cs="仿宋"/>
          <w:sz w:val="25"/>
          <w:szCs w:val="25"/>
          <w:highlight w:val="none"/>
        </w:rPr>
      </w:pPr>
      <w:r>
        <w:rPr>
          <w:rFonts w:ascii="仿宋" w:hAnsi="仿宋" w:eastAsia="仿宋" w:cs="仿宋"/>
          <w:spacing w:val="-1"/>
          <w:sz w:val="25"/>
          <w:szCs w:val="25"/>
          <w:highlight w:val="none"/>
        </w:rPr>
        <w:t>备注：</w:t>
      </w:r>
    </w:p>
    <w:p w14:paraId="2DA82ACF">
      <w:pPr>
        <w:spacing w:before="47" w:line="259" w:lineRule="auto"/>
        <w:ind w:left="43" w:right="273" w:firstLine="3"/>
        <w:outlineLvl w:val="9"/>
        <w:rPr>
          <w:rFonts w:ascii="仿宋" w:hAnsi="仿宋" w:eastAsia="仿宋" w:cs="仿宋"/>
          <w:sz w:val="25"/>
          <w:szCs w:val="25"/>
          <w:highlight w:val="none"/>
        </w:rPr>
      </w:pPr>
      <w:r>
        <w:rPr>
          <w:rFonts w:ascii="仿宋" w:hAnsi="仿宋" w:eastAsia="仿宋" w:cs="仿宋"/>
          <w:spacing w:val="10"/>
          <w:sz w:val="25"/>
          <w:szCs w:val="25"/>
          <w:highlight w:val="none"/>
        </w:rPr>
        <w:t>合同履约期限：2026年10月</w:t>
      </w:r>
      <w:r>
        <w:rPr>
          <w:rFonts w:hint="eastAsia" w:ascii="仿宋" w:hAnsi="仿宋" w:eastAsia="仿宋" w:cs="仿宋"/>
          <w:spacing w:val="10"/>
          <w:sz w:val="25"/>
          <w:szCs w:val="25"/>
          <w:highlight w:val="none"/>
          <w:lang w:val="en-US" w:eastAsia="zh-CN"/>
        </w:rPr>
        <w:t>下</w:t>
      </w:r>
      <w:r>
        <w:rPr>
          <w:rFonts w:ascii="仿宋" w:hAnsi="仿宋" w:eastAsia="仿宋" w:cs="仿宋"/>
          <w:spacing w:val="10"/>
          <w:sz w:val="25"/>
          <w:szCs w:val="25"/>
          <w:highlight w:val="none"/>
        </w:rPr>
        <w:t>旬左右</w:t>
      </w:r>
      <w:r>
        <w:rPr>
          <w:rFonts w:hint="eastAsia" w:ascii="仿宋" w:hAnsi="仿宋" w:eastAsia="仿宋" w:cs="仿宋"/>
          <w:spacing w:val="10"/>
          <w:sz w:val="25"/>
          <w:szCs w:val="25"/>
          <w:highlight w:val="none"/>
          <w:lang w:eastAsia="zh-CN"/>
        </w:rPr>
        <w:t>，</w:t>
      </w:r>
      <w:r>
        <w:rPr>
          <w:rFonts w:ascii="仿宋" w:hAnsi="仿宋" w:eastAsia="仿宋" w:cs="仿宋"/>
          <w:spacing w:val="10"/>
          <w:sz w:val="25"/>
          <w:szCs w:val="25"/>
          <w:highlight w:val="none"/>
        </w:rPr>
        <w:t>供货期限为10日历天(具体时间以采购人通知为准)。</w:t>
      </w:r>
    </w:p>
    <w:p w14:paraId="3E0E485C">
      <w:pPr>
        <w:spacing w:line="229" w:lineRule="auto"/>
        <w:ind w:left="40"/>
        <w:outlineLvl w:val="9"/>
        <w:rPr>
          <w:rFonts w:ascii="仿宋" w:hAnsi="仿宋" w:eastAsia="仿宋" w:cs="仿宋"/>
          <w:sz w:val="25"/>
          <w:szCs w:val="25"/>
          <w:highlight w:val="none"/>
        </w:rPr>
      </w:pPr>
      <w:r>
        <w:rPr>
          <w:rFonts w:ascii="仿宋" w:hAnsi="仿宋" w:eastAsia="仿宋" w:cs="仿宋"/>
          <w:spacing w:val="15"/>
          <w:sz w:val="25"/>
          <w:szCs w:val="25"/>
          <w:highlight w:val="none"/>
        </w:rPr>
        <w:t>本项目（否）接受联合体投标。</w:t>
      </w:r>
    </w:p>
    <w:p w14:paraId="0CB2D472">
      <w:pPr>
        <w:spacing w:before="38" w:line="228" w:lineRule="auto"/>
        <w:ind w:left="36"/>
        <w:outlineLvl w:val="9"/>
        <w:rPr>
          <w:rFonts w:ascii="黑体" w:hAnsi="黑体" w:eastAsia="黑体" w:cs="黑体"/>
          <w:sz w:val="25"/>
          <w:szCs w:val="25"/>
          <w:highlight w:val="none"/>
        </w:rPr>
      </w:pPr>
      <w:r>
        <w:rPr>
          <w:rFonts w:ascii="黑体" w:hAnsi="黑体" w:eastAsia="黑体" w:cs="黑体"/>
          <w:b/>
          <w:bCs/>
          <w:spacing w:val="10"/>
          <w:sz w:val="25"/>
          <w:szCs w:val="25"/>
          <w:highlight w:val="none"/>
        </w:rPr>
        <w:t>二、申请人的资格要求：</w:t>
      </w:r>
    </w:p>
    <w:p w14:paraId="601619D3">
      <w:pPr>
        <w:pStyle w:val="5"/>
        <w:keepNext w:val="0"/>
        <w:keepLines w:val="0"/>
        <w:widowControl/>
        <w:suppressLineNumbers w:val="0"/>
        <w:wordWrap w:val="0"/>
        <w:spacing w:before="75" w:beforeAutospacing="0" w:after="75" w:afterAutospacing="0"/>
        <w:ind w:left="0" w:right="0" w:firstLine="420"/>
        <w:rPr>
          <w:rFonts w:ascii="仿宋" w:hAnsi="仿宋" w:eastAsia="仿宋" w:cs="仿宋"/>
          <w:i w:val="0"/>
          <w:iCs w:val="0"/>
          <w:caps w:val="0"/>
          <w:color w:val="000000"/>
          <w:spacing w:val="0"/>
          <w:sz w:val="27"/>
          <w:szCs w:val="27"/>
          <w:highlight w:val="none"/>
        </w:rPr>
      </w:pPr>
      <w:r>
        <w:rPr>
          <w:rFonts w:hint="eastAsia" w:ascii="仿宋" w:hAnsi="仿宋" w:eastAsia="仿宋" w:cs="仿宋"/>
          <w:i w:val="0"/>
          <w:iCs w:val="0"/>
          <w:caps w:val="0"/>
          <w:color w:val="000000"/>
          <w:spacing w:val="0"/>
          <w:sz w:val="27"/>
          <w:szCs w:val="27"/>
          <w:highlight w:val="none"/>
        </w:rPr>
        <w:t>1.满足《中华人民共和国政府采购法》第二十二条规定；</w:t>
      </w:r>
    </w:p>
    <w:p w14:paraId="51319570">
      <w:pPr>
        <w:pStyle w:val="5"/>
        <w:keepNext w:val="0"/>
        <w:keepLines w:val="0"/>
        <w:widowControl/>
        <w:suppressLineNumbers w:val="0"/>
        <w:wordWrap w:val="0"/>
        <w:spacing w:before="75" w:beforeAutospacing="0" w:after="75" w:afterAutospacing="0"/>
        <w:ind w:left="0" w:right="0" w:firstLine="420"/>
        <w:rPr>
          <w:rFonts w:ascii="仿宋" w:hAnsi="仿宋" w:eastAsia="仿宋" w:cs="仿宋"/>
          <w:sz w:val="25"/>
          <w:szCs w:val="25"/>
          <w:highlight w:val="none"/>
        </w:rPr>
      </w:pPr>
      <w:r>
        <w:rPr>
          <w:rFonts w:hint="eastAsia" w:ascii="仿宋" w:hAnsi="仿宋" w:eastAsia="仿宋" w:cs="仿宋"/>
          <w:i w:val="0"/>
          <w:iCs w:val="0"/>
          <w:caps w:val="0"/>
          <w:color w:val="000000"/>
          <w:spacing w:val="0"/>
          <w:sz w:val="27"/>
          <w:szCs w:val="27"/>
          <w:highlight w:val="none"/>
        </w:rPr>
        <w:t>2.落实政府采购政策需满足的资格要求：标项1：本项目专门面向</w:t>
      </w:r>
      <w:r>
        <w:rPr>
          <w:rFonts w:hint="eastAsia" w:ascii="仿宋" w:hAnsi="仿宋" w:eastAsia="仿宋" w:cs="仿宋"/>
          <w:i w:val="0"/>
          <w:iCs w:val="0"/>
          <w:caps w:val="0"/>
          <w:color w:val="000000"/>
          <w:spacing w:val="0"/>
          <w:sz w:val="27"/>
          <w:szCs w:val="27"/>
          <w:highlight w:val="none"/>
          <w:lang w:val="en-US" w:eastAsia="zh-CN"/>
        </w:rPr>
        <w:t>中小</w:t>
      </w:r>
      <w:r>
        <w:rPr>
          <w:rFonts w:hint="eastAsia" w:ascii="仿宋" w:hAnsi="仿宋" w:eastAsia="仿宋" w:cs="仿宋"/>
          <w:i w:val="0"/>
          <w:iCs w:val="0"/>
          <w:caps w:val="0"/>
          <w:color w:val="000000"/>
          <w:spacing w:val="0"/>
          <w:sz w:val="27"/>
          <w:szCs w:val="27"/>
          <w:highlight w:val="none"/>
        </w:rPr>
        <w:t>企业</w:t>
      </w:r>
    </w:p>
    <w:p w14:paraId="318F3782">
      <w:pPr>
        <w:spacing w:before="2" w:line="253" w:lineRule="auto"/>
        <w:ind w:left="37" w:right="155" w:firstLine="422"/>
        <w:outlineLvl w:val="9"/>
        <w:rPr>
          <w:rFonts w:ascii="仿宋" w:hAnsi="仿宋" w:eastAsia="仿宋" w:cs="仿宋"/>
          <w:spacing w:val="15"/>
          <w:sz w:val="25"/>
          <w:szCs w:val="25"/>
          <w:highlight w:val="none"/>
        </w:rPr>
      </w:pPr>
      <w:r>
        <w:rPr>
          <w:rFonts w:ascii="仿宋" w:hAnsi="仿宋" w:eastAsia="仿宋" w:cs="仿宋"/>
          <w:spacing w:val="15"/>
          <w:sz w:val="25"/>
          <w:szCs w:val="25"/>
          <w:highlight w:val="none"/>
        </w:rPr>
        <w:t>3.本项目的特定资格要求：无。</w:t>
      </w:r>
    </w:p>
    <w:p w14:paraId="32DBDB55">
      <w:pPr>
        <w:spacing w:before="39" w:line="228" w:lineRule="auto"/>
        <w:ind w:left="455"/>
        <w:outlineLvl w:val="9"/>
        <w:rPr>
          <w:rFonts w:ascii="黑体" w:hAnsi="黑体" w:eastAsia="黑体" w:cs="黑体"/>
          <w:sz w:val="25"/>
          <w:szCs w:val="25"/>
          <w:highlight w:val="none"/>
        </w:rPr>
      </w:pPr>
      <w:r>
        <w:rPr>
          <w:rFonts w:ascii="黑体" w:hAnsi="黑体" w:eastAsia="黑体" w:cs="黑体"/>
          <w:b/>
          <w:bCs/>
          <w:spacing w:val="12"/>
          <w:sz w:val="25"/>
          <w:szCs w:val="25"/>
          <w:highlight w:val="none"/>
        </w:rPr>
        <w:t>三、获取招标文件</w:t>
      </w:r>
    </w:p>
    <w:p w14:paraId="0AA2CD70">
      <w:pPr>
        <w:spacing w:before="2" w:line="253" w:lineRule="auto"/>
        <w:ind w:left="37" w:right="155" w:firstLine="422"/>
        <w:outlineLvl w:val="9"/>
        <w:rPr>
          <w:rFonts w:ascii="仿宋" w:hAnsi="仿宋" w:eastAsia="仿宋" w:cs="仿宋"/>
          <w:spacing w:val="15"/>
          <w:sz w:val="25"/>
          <w:szCs w:val="25"/>
          <w:highlight w:val="none"/>
          <w:shd w:val="clear" w:color="auto" w:fill="auto"/>
        </w:rPr>
      </w:pPr>
      <w:r>
        <w:rPr>
          <w:rFonts w:ascii="仿宋" w:hAnsi="仿宋" w:eastAsia="仿宋" w:cs="仿宋"/>
          <w:spacing w:val="15"/>
          <w:sz w:val="25"/>
          <w:szCs w:val="25"/>
          <w:highlight w:val="none"/>
          <w:shd w:val="clear" w:color="auto" w:fill="auto"/>
        </w:rPr>
        <w:t>时间：2026年</w:t>
      </w:r>
      <w:r>
        <w:rPr>
          <w:rFonts w:hint="eastAsia" w:ascii="仿宋" w:hAnsi="仿宋" w:eastAsia="仿宋" w:cs="仿宋"/>
          <w:spacing w:val="15"/>
          <w:sz w:val="25"/>
          <w:szCs w:val="25"/>
          <w:highlight w:val="none"/>
          <w:shd w:val="clear" w:color="auto" w:fill="auto"/>
          <w:lang w:val="en-US" w:eastAsia="zh-CN"/>
        </w:rPr>
        <w:t>10</w:t>
      </w:r>
      <w:r>
        <w:rPr>
          <w:rFonts w:ascii="仿宋" w:hAnsi="仿宋" w:eastAsia="仿宋" w:cs="仿宋"/>
          <w:spacing w:val="15"/>
          <w:sz w:val="25"/>
          <w:szCs w:val="25"/>
          <w:highlight w:val="none"/>
          <w:shd w:val="clear" w:color="auto" w:fill="auto"/>
        </w:rPr>
        <w:t>月</w:t>
      </w:r>
      <w:r>
        <w:rPr>
          <w:rFonts w:hint="eastAsia" w:ascii="仿宋" w:hAnsi="仿宋" w:eastAsia="仿宋" w:cs="仿宋"/>
          <w:spacing w:val="15"/>
          <w:sz w:val="25"/>
          <w:szCs w:val="25"/>
          <w:highlight w:val="none"/>
          <w:shd w:val="clear" w:color="auto" w:fill="auto"/>
          <w:lang w:val="en-US" w:eastAsia="zh-CN"/>
        </w:rPr>
        <w:t>01</w:t>
      </w:r>
      <w:r>
        <w:rPr>
          <w:rFonts w:ascii="仿宋" w:hAnsi="仿宋" w:eastAsia="仿宋" w:cs="仿宋"/>
          <w:spacing w:val="15"/>
          <w:sz w:val="25"/>
          <w:szCs w:val="25"/>
          <w:highlight w:val="none"/>
          <w:shd w:val="clear" w:color="auto" w:fill="auto"/>
        </w:rPr>
        <w:t>日至2026年</w:t>
      </w:r>
      <w:r>
        <w:rPr>
          <w:rFonts w:hint="eastAsia" w:ascii="仿宋" w:hAnsi="仿宋" w:eastAsia="仿宋" w:cs="仿宋"/>
          <w:spacing w:val="15"/>
          <w:sz w:val="25"/>
          <w:szCs w:val="25"/>
          <w:highlight w:val="none"/>
          <w:shd w:val="clear" w:color="auto" w:fill="auto"/>
          <w:lang w:val="en-US" w:eastAsia="zh-CN"/>
        </w:rPr>
        <w:t>10</w:t>
      </w:r>
      <w:r>
        <w:rPr>
          <w:rFonts w:ascii="仿宋" w:hAnsi="仿宋" w:eastAsia="仿宋" w:cs="仿宋"/>
          <w:spacing w:val="15"/>
          <w:sz w:val="25"/>
          <w:szCs w:val="25"/>
          <w:highlight w:val="none"/>
          <w:shd w:val="clear" w:color="auto" w:fill="auto"/>
        </w:rPr>
        <w:t>月</w:t>
      </w:r>
      <w:r>
        <w:rPr>
          <w:rFonts w:hint="eastAsia" w:ascii="仿宋" w:hAnsi="仿宋" w:eastAsia="仿宋" w:cs="仿宋"/>
          <w:spacing w:val="15"/>
          <w:sz w:val="25"/>
          <w:szCs w:val="25"/>
          <w:highlight w:val="none"/>
          <w:shd w:val="clear" w:color="auto" w:fill="auto"/>
          <w:lang w:val="en-US" w:eastAsia="zh-CN"/>
        </w:rPr>
        <w:t>16</w:t>
      </w:r>
      <w:r>
        <w:rPr>
          <w:rFonts w:ascii="仿宋" w:hAnsi="仿宋" w:eastAsia="仿宋" w:cs="仿宋"/>
          <w:spacing w:val="15"/>
          <w:sz w:val="25"/>
          <w:szCs w:val="25"/>
          <w:highlight w:val="none"/>
          <w:shd w:val="clear" w:color="auto" w:fill="auto"/>
        </w:rPr>
        <w:t>日，每天上午</w:t>
      </w:r>
      <w:r>
        <w:rPr>
          <w:rFonts w:hint="eastAsia" w:ascii="仿宋" w:hAnsi="仿宋" w:eastAsia="仿宋" w:cs="仿宋"/>
          <w:spacing w:val="15"/>
          <w:sz w:val="25"/>
          <w:szCs w:val="25"/>
          <w:highlight w:val="none"/>
          <w:shd w:val="clear" w:color="auto" w:fill="auto"/>
          <w:lang w:val="en-US" w:eastAsia="zh-CN"/>
        </w:rPr>
        <w:t>0</w:t>
      </w:r>
      <w:r>
        <w:rPr>
          <w:rFonts w:ascii="仿宋" w:hAnsi="仿宋" w:eastAsia="仿宋" w:cs="仿宋"/>
          <w:spacing w:val="15"/>
          <w:sz w:val="25"/>
          <w:szCs w:val="25"/>
          <w:highlight w:val="none"/>
          <w:shd w:val="clear" w:color="auto" w:fill="auto"/>
        </w:rPr>
        <w:t>0:00至14:00，下午1</w:t>
      </w:r>
      <w:r>
        <w:rPr>
          <w:rFonts w:hint="eastAsia" w:ascii="仿宋" w:hAnsi="仿宋" w:eastAsia="仿宋" w:cs="仿宋"/>
          <w:spacing w:val="15"/>
          <w:sz w:val="25"/>
          <w:szCs w:val="25"/>
          <w:highlight w:val="none"/>
          <w:shd w:val="clear" w:color="auto" w:fill="auto"/>
          <w:lang w:val="en-US" w:eastAsia="zh-CN"/>
        </w:rPr>
        <w:t>4</w:t>
      </w:r>
      <w:r>
        <w:rPr>
          <w:rFonts w:ascii="仿宋" w:hAnsi="仿宋" w:eastAsia="仿宋" w:cs="仿宋"/>
          <w:spacing w:val="15"/>
          <w:sz w:val="25"/>
          <w:szCs w:val="25"/>
          <w:highlight w:val="none"/>
          <w:shd w:val="clear" w:color="auto" w:fill="auto"/>
        </w:rPr>
        <w:t>:00至</w:t>
      </w:r>
      <w:r>
        <w:rPr>
          <w:rFonts w:hint="eastAsia" w:ascii="仿宋" w:hAnsi="仿宋" w:eastAsia="仿宋" w:cs="仿宋"/>
          <w:spacing w:val="15"/>
          <w:sz w:val="25"/>
          <w:szCs w:val="25"/>
          <w:highlight w:val="none"/>
          <w:shd w:val="clear" w:color="auto" w:fill="auto"/>
          <w:lang w:val="en-US" w:eastAsia="zh-CN"/>
        </w:rPr>
        <w:t>23</w:t>
      </w:r>
      <w:r>
        <w:rPr>
          <w:rFonts w:ascii="仿宋" w:hAnsi="仿宋" w:eastAsia="仿宋" w:cs="仿宋"/>
          <w:spacing w:val="15"/>
          <w:sz w:val="25"/>
          <w:szCs w:val="25"/>
          <w:highlight w:val="none"/>
          <w:shd w:val="clear" w:color="auto" w:fill="auto"/>
        </w:rPr>
        <w:t>:</w:t>
      </w:r>
      <w:r>
        <w:rPr>
          <w:rFonts w:hint="eastAsia" w:ascii="仿宋" w:hAnsi="仿宋" w:eastAsia="仿宋" w:cs="仿宋"/>
          <w:spacing w:val="15"/>
          <w:sz w:val="25"/>
          <w:szCs w:val="25"/>
          <w:highlight w:val="none"/>
          <w:shd w:val="clear" w:color="auto" w:fill="auto"/>
          <w:lang w:val="en-US" w:eastAsia="zh-CN"/>
        </w:rPr>
        <w:t>59</w:t>
      </w:r>
      <w:r>
        <w:rPr>
          <w:rFonts w:ascii="仿宋" w:hAnsi="仿宋" w:eastAsia="仿宋" w:cs="仿宋"/>
          <w:spacing w:val="15"/>
          <w:sz w:val="25"/>
          <w:szCs w:val="25"/>
          <w:highlight w:val="none"/>
          <w:shd w:val="clear" w:color="auto" w:fill="auto"/>
        </w:rPr>
        <w:t>（北京时间，法定节假日除外）</w:t>
      </w:r>
    </w:p>
    <w:p w14:paraId="3BABB853">
      <w:pPr>
        <w:spacing w:before="2" w:line="253" w:lineRule="auto"/>
        <w:ind w:left="37" w:right="155" w:firstLine="422"/>
        <w:outlineLvl w:val="9"/>
        <w:rPr>
          <w:rFonts w:ascii="仿宋" w:hAnsi="仿宋" w:eastAsia="仿宋" w:cs="仿宋"/>
          <w:spacing w:val="15"/>
          <w:sz w:val="25"/>
          <w:szCs w:val="25"/>
          <w:highlight w:val="none"/>
          <w:shd w:val="clear" w:color="auto" w:fill="auto"/>
        </w:rPr>
      </w:pPr>
      <w:r>
        <w:rPr>
          <w:rFonts w:ascii="仿宋" w:hAnsi="仿宋" w:eastAsia="仿宋" w:cs="仿宋"/>
          <w:spacing w:val="15"/>
          <w:sz w:val="25"/>
          <w:szCs w:val="25"/>
          <w:highlight w:val="none"/>
          <w:shd w:val="clear" w:color="auto" w:fill="auto"/>
        </w:rPr>
        <w:t>地点：政采云平台线上获取</w:t>
      </w:r>
    </w:p>
    <w:p w14:paraId="79B3CB31">
      <w:pPr>
        <w:spacing w:before="2" w:line="253" w:lineRule="auto"/>
        <w:ind w:left="37" w:right="155" w:firstLine="422"/>
        <w:outlineLvl w:val="9"/>
        <w:rPr>
          <w:rFonts w:ascii="仿宋" w:hAnsi="仿宋" w:eastAsia="仿宋" w:cs="仿宋"/>
          <w:spacing w:val="15"/>
          <w:sz w:val="25"/>
          <w:szCs w:val="25"/>
          <w:highlight w:val="none"/>
          <w:shd w:val="clear" w:color="auto" w:fill="auto"/>
        </w:rPr>
      </w:pPr>
      <w:r>
        <w:rPr>
          <w:rFonts w:ascii="仿宋" w:hAnsi="仿宋" w:eastAsia="仿宋" w:cs="仿宋"/>
          <w:spacing w:val="15"/>
          <w:sz w:val="25"/>
          <w:szCs w:val="25"/>
          <w:highlight w:val="none"/>
          <w:shd w:val="clear" w:color="auto" w:fill="auto"/>
        </w:rPr>
        <w:t>方式：供应商登录政采云平台</w:t>
      </w:r>
      <w:r>
        <w:rPr>
          <w:rFonts w:ascii="仿宋" w:hAnsi="仿宋" w:eastAsia="仿宋" w:cs="仿宋"/>
          <w:spacing w:val="15"/>
          <w:sz w:val="25"/>
          <w:szCs w:val="25"/>
          <w:highlight w:val="none"/>
          <w:shd w:val="clear" w:color="auto" w:fill="auto"/>
        </w:rPr>
        <w:fldChar w:fldCharType="begin"/>
      </w:r>
      <w:r>
        <w:rPr>
          <w:rFonts w:ascii="仿宋" w:hAnsi="仿宋" w:eastAsia="仿宋" w:cs="仿宋"/>
          <w:spacing w:val="15"/>
          <w:sz w:val="25"/>
          <w:szCs w:val="25"/>
          <w:highlight w:val="none"/>
          <w:shd w:val="clear" w:color="auto" w:fill="auto"/>
        </w:rPr>
        <w:instrText xml:space="preserve"> HYPERLINK "https://www.zcygov.cn/" </w:instrText>
      </w:r>
      <w:r>
        <w:rPr>
          <w:rFonts w:ascii="仿宋" w:hAnsi="仿宋" w:eastAsia="仿宋" w:cs="仿宋"/>
          <w:spacing w:val="15"/>
          <w:sz w:val="25"/>
          <w:szCs w:val="25"/>
          <w:highlight w:val="none"/>
          <w:shd w:val="clear" w:color="auto" w:fill="auto"/>
        </w:rPr>
        <w:fldChar w:fldCharType="separate"/>
      </w:r>
      <w:r>
        <w:rPr>
          <w:rFonts w:ascii="仿宋" w:hAnsi="仿宋" w:eastAsia="仿宋" w:cs="仿宋"/>
          <w:spacing w:val="15"/>
          <w:sz w:val="25"/>
          <w:szCs w:val="25"/>
          <w:highlight w:val="none"/>
          <w:shd w:val="clear" w:color="auto" w:fill="auto"/>
        </w:rPr>
        <w:t>https://www.zcygov.cn/</w:t>
      </w:r>
      <w:r>
        <w:rPr>
          <w:rFonts w:ascii="仿宋" w:hAnsi="仿宋" w:eastAsia="仿宋" w:cs="仿宋"/>
          <w:spacing w:val="15"/>
          <w:sz w:val="25"/>
          <w:szCs w:val="25"/>
          <w:highlight w:val="none"/>
          <w:shd w:val="clear" w:color="auto" w:fill="auto"/>
        </w:rPr>
        <w:fldChar w:fldCharType="end"/>
      </w:r>
      <w:r>
        <w:rPr>
          <w:rFonts w:ascii="仿宋" w:hAnsi="仿宋" w:eastAsia="仿宋" w:cs="仿宋"/>
          <w:spacing w:val="15"/>
          <w:sz w:val="25"/>
          <w:szCs w:val="25"/>
          <w:highlight w:val="none"/>
          <w:shd w:val="clear" w:color="auto" w:fill="auto"/>
        </w:rPr>
        <w:t>在线申请获取采购文件（进入“项目采购”应用，在获取采购文件菜单中选择项目，申请获取采购文件）</w:t>
      </w:r>
    </w:p>
    <w:p w14:paraId="2E4AB007">
      <w:pPr>
        <w:spacing w:before="2" w:line="253" w:lineRule="auto"/>
        <w:ind w:left="37" w:right="155" w:firstLine="422"/>
        <w:outlineLvl w:val="9"/>
        <w:rPr>
          <w:rFonts w:ascii="仿宋" w:hAnsi="仿宋" w:eastAsia="仿宋" w:cs="仿宋"/>
          <w:spacing w:val="15"/>
          <w:sz w:val="25"/>
          <w:szCs w:val="25"/>
          <w:highlight w:val="none"/>
          <w:shd w:val="clear" w:color="auto" w:fill="auto"/>
        </w:rPr>
      </w:pPr>
      <w:r>
        <w:rPr>
          <w:rFonts w:ascii="仿宋" w:hAnsi="仿宋" w:eastAsia="仿宋" w:cs="仿宋"/>
          <w:spacing w:val="15"/>
          <w:sz w:val="25"/>
          <w:szCs w:val="25"/>
          <w:highlight w:val="none"/>
          <w:shd w:val="clear" w:color="auto" w:fill="auto"/>
        </w:rPr>
        <w:t>售价（元）：0</w:t>
      </w:r>
    </w:p>
    <w:p w14:paraId="510F7E64">
      <w:pPr>
        <w:spacing w:before="297" w:line="227" w:lineRule="auto"/>
        <w:ind w:left="57"/>
        <w:outlineLvl w:val="9"/>
        <w:rPr>
          <w:rFonts w:ascii="黑体" w:hAnsi="黑体" w:eastAsia="黑体" w:cs="黑体"/>
          <w:sz w:val="25"/>
          <w:szCs w:val="25"/>
          <w:highlight w:val="none"/>
        </w:rPr>
      </w:pPr>
      <w:r>
        <w:rPr>
          <w:rFonts w:ascii="黑体" w:hAnsi="黑体" w:eastAsia="黑体" w:cs="黑体"/>
          <w:b/>
          <w:bCs/>
          <w:spacing w:val="14"/>
          <w:sz w:val="25"/>
          <w:szCs w:val="25"/>
          <w:highlight w:val="none"/>
        </w:rPr>
        <w:t>四、提交投标文件截止时间、开标时间和地点</w:t>
      </w:r>
    </w:p>
    <w:p w14:paraId="5BECCCFB">
      <w:pPr>
        <w:spacing w:before="2" w:line="253" w:lineRule="auto"/>
        <w:ind w:left="37" w:right="155" w:firstLine="422"/>
        <w:outlineLvl w:val="9"/>
        <w:rPr>
          <w:rFonts w:ascii="仿宋" w:hAnsi="仿宋" w:eastAsia="仿宋" w:cs="仿宋"/>
          <w:spacing w:val="15"/>
          <w:sz w:val="25"/>
          <w:szCs w:val="25"/>
          <w:highlight w:val="none"/>
          <w:shd w:val="clear" w:color="auto" w:fill="auto"/>
        </w:rPr>
      </w:pPr>
      <w:r>
        <w:rPr>
          <w:rFonts w:ascii="仿宋" w:hAnsi="仿宋" w:eastAsia="仿宋" w:cs="仿宋"/>
          <w:spacing w:val="15"/>
          <w:sz w:val="25"/>
          <w:szCs w:val="25"/>
          <w:highlight w:val="none"/>
          <w:shd w:val="clear" w:color="auto" w:fill="auto"/>
        </w:rPr>
        <w:t>提交投标文件截止时间：</w:t>
      </w:r>
      <w:r>
        <w:rPr>
          <w:rFonts w:hint="eastAsia" w:ascii="仿宋" w:hAnsi="仿宋" w:eastAsia="仿宋" w:cs="仿宋"/>
          <w:spacing w:val="15"/>
          <w:sz w:val="25"/>
          <w:szCs w:val="25"/>
          <w:highlight w:val="none"/>
          <w:shd w:val="clear" w:color="auto" w:fill="auto"/>
          <w:lang w:eastAsia="zh-CN"/>
        </w:rPr>
        <w:t>2026年10月22日11点00分</w:t>
      </w:r>
      <w:r>
        <w:rPr>
          <w:rFonts w:ascii="仿宋" w:hAnsi="仿宋" w:eastAsia="仿宋" w:cs="仿宋"/>
          <w:spacing w:val="15"/>
          <w:sz w:val="25"/>
          <w:szCs w:val="25"/>
          <w:highlight w:val="none"/>
          <w:shd w:val="clear" w:color="auto" w:fill="auto"/>
        </w:rPr>
        <w:t>（北京时间）</w:t>
      </w:r>
    </w:p>
    <w:p w14:paraId="3EE6DB9F">
      <w:pPr>
        <w:spacing w:before="2" w:line="253" w:lineRule="auto"/>
        <w:ind w:left="37" w:right="155" w:firstLine="422"/>
        <w:outlineLvl w:val="9"/>
        <w:rPr>
          <w:rFonts w:ascii="仿宋" w:hAnsi="仿宋" w:eastAsia="仿宋" w:cs="仿宋"/>
          <w:spacing w:val="15"/>
          <w:sz w:val="25"/>
          <w:szCs w:val="25"/>
          <w:highlight w:val="none"/>
          <w:shd w:val="clear" w:color="auto" w:fill="auto"/>
        </w:rPr>
      </w:pPr>
      <w:r>
        <w:rPr>
          <w:rFonts w:ascii="仿宋" w:hAnsi="仿宋" w:eastAsia="仿宋" w:cs="仿宋"/>
          <w:spacing w:val="15"/>
          <w:sz w:val="25"/>
          <w:szCs w:val="25"/>
          <w:highlight w:val="none"/>
          <w:shd w:val="clear" w:color="auto" w:fill="auto"/>
        </w:rPr>
        <w:t>投标地点：请登录政采云投标客户端投标</w:t>
      </w:r>
    </w:p>
    <w:p w14:paraId="00ED8C7E">
      <w:pPr>
        <w:spacing w:before="2" w:line="253" w:lineRule="auto"/>
        <w:ind w:left="37" w:right="155" w:firstLine="422"/>
        <w:outlineLvl w:val="9"/>
        <w:rPr>
          <w:rFonts w:ascii="仿宋" w:hAnsi="仿宋" w:eastAsia="仿宋" w:cs="仿宋"/>
          <w:spacing w:val="15"/>
          <w:sz w:val="25"/>
          <w:szCs w:val="25"/>
          <w:highlight w:val="none"/>
          <w:shd w:val="clear" w:color="auto" w:fill="auto"/>
        </w:rPr>
      </w:pPr>
      <w:r>
        <w:rPr>
          <w:rFonts w:ascii="仿宋" w:hAnsi="仿宋" w:eastAsia="仿宋" w:cs="仿宋"/>
          <w:spacing w:val="15"/>
          <w:sz w:val="25"/>
          <w:szCs w:val="25"/>
          <w:highlight w:val="none"/>
          <w:shd w:val="clear" w:color="auto" w:fill="auto"/>
        </w:rPr>
        <w:t>开标时间：</w:t>
      </w:r>
      <w:r>
        <w:rPr>
          <w:rFonts w:hint="eastAsia" w:ascii="仿宋" w:hAnsi="仿宋" w:eastAsia="仿宋" w:cs="仿宋"/>
          <w:spacing w:val="15"/>
          <w:sz w:val="25"/>
          <w:szCs w:val="25"/>
          <w:highlight w:val="none"/>
          <w:shd w:val="clear" w:color="auto" w:fill="auto"/>
          <w:lang w:eastAsia="zh-CN"/>
        </w:rPr>
        <w:t>2026年10月22日11点00分</w:t>
      </w:r>
      <w:r>
        <w:rPr>
          <w:rFonts w:ascii="仿宋" w:hAnsi="仿宋" w:eastAsia="仿宋" w:cs="仿宋"/>
          <w:spacing w:val="15"/>
          <w:sz w:val="25"/>
          <w:szCs w:val="25"/>
          <w:highlight w:val="none"/>
          <w:shd w:val="clear" w:color="auto" w:fill="auto"/>
        </w:rPr>
        <w:t>（北京时间）</w:t>
      </w:r>
    </w:p>
    <w:p w14:paraId="7FE560D9">
      <w:pPr>
        <w:spacing w:before="2" w:line="253" w:lineRule="auto"/>
        <w:ind w:left="37" w:right="155" w:firstLine="422"/>
        <w:outlineLvl w:val="9"/>
        <w:rPr>
          <w:rFonts w:ascii="仿宋" w:hAnsi="仿宋" w:eastAsia="仿宋" w:cs="仿宋"/>
          <w:spacing w:val="15"/>
          <w:sz w:val="25"/>
          <w:szCs w:val="25"/>
          <w:highlight w:val="none"/>
          <w:shd w:val="clear" w:color="auto" w:fill="auto"/>
        </w:rPr>
      </w:pPr>
      <w:r>
        <w:rPr>
          <w:rFonts w:ascii="仿宋" w:hAnsi="仿宋" w:eastAsia="仿宋" w:cs="仿宋"/>
          <w:spacing w:val="15"/>
          <w:sz w:val="25"/>
          <w:szCs w:val="25"/>
          <w:highlight w:val="none"/>
          <w:shd w:val="clear" w:color="auto" w:fill="auto"/>
        </w:rPr>
        <w:t>开标地点：政采云网上不见面开评标系统</w:t>
      </w:r>
    </w:p>
    <w:p w14:paraId="6032F62F">
      <w:pPr>
        <w:spacing w:before="300" w:line="230" w:lineRule="auto"/>
        <w:ind w:left="39"/>
        <w:outlineLvl w:val="9"/>
        <w:rPr>
          <w:rFonts w:ascii="黑体" w:hAnsi="黑体" w:eastAsia="黑体" w:cs="黑体"/>
          <w:sz w:val="25"/>
          <w:szCs w:val="25"/>
          <w:highlight w:val="none"/>
        </w:rPr>
      </w:pPr>
      <w:r>
        <w:rPr>
          <w:rFonts w:ascii="黑体" w:hAnsi="黑体" w:eastAsia="黑体" w:cs="黑体"/>
          <w:b/>
          <w:bCs/>
          <w:spacing w:val="9"/>
          <w:sz w:val="25"/>
          <w:szCs w:val="25"/>
          <w:highlight w:val="none"/>
        </w:rPr>
        <w:t>五、公告期限</w:t>
      </w:r>
    </w:p>
    <w:p w14:paraId="56E1EB71">
      <w:pPr>
        <w:spacing w:before="291" w:line="227" w:lineRule="auto"/>
        <w:ind w:left="558"/>
        <w:outlineLvl w:val="9"/>
        <w:rPr>
          <w:rFonts w:ascii="仿宋" w:hAnsi="仿宋" w:eastAsia="仿宋" w:cs="仿宋"/>
          <w:sz w:val="25"/>
          <w:szCs w:val="25"/>
          <w:highlight w:val="none"/>
        </w:rPr>
      </w:pPr>
      <w:r>
        <w:rPr>
          <w:rFonts w:ascii="仿宋" w:hAnsi="仿宋" w:eastAsia="仿宋" w:cs="仿宋"/>
          <w:spacing w:val="1"/>
          <w:sz w:val="25"/>
          <w:szCs w:val="25"/>
          <w:highlight w:val="none"/>
        </w:rPr>
        <w:t>自本公告发布之日起5个工作日。</w:t>
      </w:r>
    </w:p>
    <w:p w14:paraId="644B791C">
      <w:pPr>
        <w:spacing w:before="297" w:line="229" w:lineRule="auto"/>
        <w:ind w:left="40"/>
        <w:outlineLvl w:val="9"/>
        <w:rPr>
          <w:rFonts w:ascii="黑体" w:hAnsi="黑体" w:eastAsia="黑体" w:cs="黑体"/>
          <w:sz w:val="25"/>
          <w:szCs w:val="25"/>
          <w:highlight w:val="none"/>
        </w:rPr>
      </w:pPr>
      <w:r>
        <w:rPr>
          <w:rFonts w:ascii="黑体" w:hAnsi="黑体" w:eastAsia="黑体" w:cs="黑体"/>
          <w:b/>
          <w:bCs/>
          <w:spacing w:val="11"/>
          <w:sz w:val="25"/>
          <w:szCs w:val="25"/>
          <w:highlight w:val="none"/>
        </w:rPr>
        <w:t>六、其他补充事宜</w:t>
      </w:r>
    </w:p>
    <w:p w14:paraId="5A462A2A">
      <w:pPr>
        <w:spacing w:before="291" w:line="227" w:lineRule="auto"/>
        <w:ind w:left="558"/>
        <w:outlineLvl w:val="9"/>
        <w:rPr>
          <w:rFonts w:ascii="仿宋" w:hAnsi="仿宋" w:eastAsia="仿宋" w:cs="仿宋"/>
          <w:spacing w:val="1"/>
          <w:sz w:val="25"/>
          <w:szCs w:val="25"/>
          <w:highlight w:val="none"/>
        </w:rPr>
      </w:pPr>
      <w:r>
        <w:rPr>
          <w:rFonts w:ascii="仿宋" w:hAnsi="仿宋" w:eastAsia="仿宋" w:cs="仿宋"/>
          <w:spacing w:val="1"/>
          <w:sz w:val="25"/>
          <w:szCs w:val="25"/>
          <w:highlight w:val="none"/>
        </w:rPr>
        <w:t>1、本项目实行电子招投标，供应商须登录政采云平台申请获取招标文件,并通过政采云电子投标客户端制作响应文件，同时自行承担与投标有关的一切费用。2、各供应商应在开标前确保成为新疆维吾尔自治区政府采购网正式注册入库供应商，并完成CA数字证书申领。因未注册入库、未办理CA数字证书等原因造成无法投标或投标失败等后果由供应商自行承担。3、供应商可前往新疆政府采购网(</w:t>
      </w:r>
    </w:p>
    <w:p w14:paraId="5C0A769F">
      <w:pPr>
        <w:spacing w:line="240" w:lineRule="auto"/>
        <w:outlineLvl w:val="9"/>
        <w:rPr>
          <w:rFonts w:ascii="仿宋" w:hAnsi="仿宋" w:eastAsia="仿宋" w:cs="仿宋"/>
          <w:spacing w:val="1"/>
          <w:sz w:val="25"/>
          <w:szCs w:val="25"/>
          <w:highlight w:val="none"/>
        </w:rPr>
        <w:sectPr>
          <w:footerReference r:id="rId7" w:type="default"/>
          <w:pgSz w:w="11850" w:h="16781"/>
          <w:pgMar w:top="1426" w:right="1777" w:bottom="1011" w:left="1777" w:header="0" w:footer="766" w:gutter="0"/>
          <w:pgNumType w:fmt="decimal"/>
          <w:cols w:space="720" w:num="1"/>
        </w:sectPr>
      </w:pPr>
    </w:p>
    <w:p w14:paraId="3524EBE0">
      <w:pPr>
        <w:spacing w:before="291" w:line="227" w:lineRule="auto"/>
        <w:ind w:left="558"/>
        <w:outlineLvl w:val="9"/>
        <w:rPr>
          <w:rFonts w:ascii="仿宋" w:hAnsi="仿宋" w:eastAsia="仿宋" w:cs="仿宋"/>
          <w:spacing w:val="1"/>
          <w:sz w:val="25"/>
          <w:szCs w:val="25"/>
          <w:highlight w:val="none"/>
        </w:rPr>
      </w:pPr>
      <w:r>
        <w:rPr>
          <w:rFonts w:ascii="仿宋" w:hAnsi="仿宋" w:eastAsia="仿宋" w:cs="仿宋"/>
          <w:spacing w:val="1"/>
          <w:sz w:val="25"/>
          <w:szCs w:val="25"/>
          <w:highlight w:val="none"/>
        </w:rPr>
        <w:fldChar w:fldCharType="begin"/>
      </w:r>
      <w:r>
        <w:rPr>
          <w:rFonts w:ascii="仿宋" w:hAnsi="仿宋" w:eastAsia="仿宋" w:cs="仿宋"/>
          <w:spacing w:val="1"/>
          <w:sz w:val="25"/>
          <w:szCs w:val="25"/>
          <w:highlight w:val="none"/>
        </w:rPr>
        <w:instrText xml:space="preserve"> HYPERLINK "http://www.ccgp-xinjiang.gov.cn/" </w:instrText>
      </w:r>
      <w:r>
        <w:rPr>
          <w:rFonts w:ascii="仿宋" w:hAnsi="仿宋" w:eastAsia="仿宋" w:cs="仿宋"/>
          <w:spacing w:val="1"/>
          <w:sz w:val="25"/>
          <w:szCs w:val="25"/>
          <w:highlight w:val="none"/>
        </w:rPr>
        <w:fldChar w:fldCharType="separate"/>
      </w:r>
      <w:r>
        <w:rPr>
          <w:rFonts w:ascii="仿宋" w:hAnsi="仿宋" w:eastAsia="仿宋" w:cs="仿宋"/>
          <w:spacing w:val="1"/>
          <w:sz w:val="25"/>
          <w:szCs w:val="25"/>
          <w:highlight w:val="none"/>
        </w:rPr>
        <w:t>http://www.ccgp-xinjiang.gov.cn/</w:t>
      </w:r>
      <w:r>
        <w:rPr>
          <w:rFonts w:ascii="仿宋" w:hAnsi="仿宋" w:eastAsia="仿宋" w:cs="仿宋"/>
          <w:spacing w:val="1"/>
          <w:sz w:val="25"/>
          <w:szCs w:val="25"/>
          <w:highlight w:val="none"/>
        </w:rPr>
        <w:fldChar w:fldCharType="end"/>
      </w:r>
      <w:r>
        <w:rPr>
          <w:rFonts w:ascii="仿宋" w:hAnsi="仿宋" w:eastAsia="仿宋" w:cs="仿宋"/>
          <w:spacing w:val="1"/>
          <w:sz w:val="25"/>
          <w:szCs w:val="25"/>
          <w:highlight w:val="none"/>
        </w:rPr>
        <w:t>）下载专区，下载政采云电子投标客户端，安装完成后，可通过账号密码或CA登录客户端进行响应文件制作。在使用政采云电子投标客户端时，建议使用WIN7及以上操作系统。如有问题可拨打政采云客户服务热线95763进行咨询。4、</w:t>
      </w:r>
    </w:p>
    <w:p w14:paraId="0F14D686">
      <w:pPr>
        <w:spacing w:before="291" w:line="227" w:lineRule="auto"/>
        <w:ind w:left="558"/>
        <w:outlineLvl w:val="9"/>
        <w:rPr>
          <w:rFonts w:ascii="仿宋" w:hAnsi="仿宋" w:eastAsia="仿宋" w:cs="仿宋"/>
          <w:spacing w:val="1"/>
          <w:sz w:val="25"/>
          <w:szCs w:val="25"/>
          <w:highlight w:val="none"/>
        </w:rPr>
      </w:pPr>
      <w:r>
        <w:rPr>
          <w:rFonts w:ascii="仿宋" w:hAnsi="仿宋" w:eastAsia="仿宋" w:cs="仿宋"/>
          <w:spacing w:val="1"/>
          <w:sz w:val="25"/>
          <w:szCs w:val="25"/>
          <w:highlight w:val="none"/>
        </w:rPr>
        <w:t>本项目采用不见面开标，供应商须在投标截止时间前通过CA在政采云平台上传加密的电子响应文件。5、供应商在开标前须提前配置好电脑浏览器（建议使用360浏览器或谷歌浏览器），开标时请使用制作加密电子响应文件的CA锁进行解密及报价确认。本项目响应文件解密时间定为30分钟，如因自身原因导致无法正常解密，后果由供应商自行承担。</w:t>
      </w:r>
    </w:p>
    <w:p w14:paraId="3F52F5B8">
      <w:pPr>
        <w:spacing w:before="291" w:line="227" w:lineRule="auto"/>
        <w:ind w:left="558"/>
        <w:outlineLvl w:val="9"/>
        <w:rPr>
          <w:rFonts w:ascii="仿宋" w:hAnsi="仿宋" w:eastAsia="仿宋" w:cs="仿宋"/>
          <w:spacing w:val="1"/>
          <w:sz w:val="25"/>
          <w:szCs w:val="25"/>
          <w:highlight w:val="none"/>
        </w:rPr>
      </w:pPr>
      <w:r>
        <w:rPr>
          <w:rFonts w:ascii="仿宋" w:hAnsi="仿宋" w:eastAsia="仿宋" w:cs="仿宋"/>
          <w:spacing w:val="1"/>
          <w:sz w:val="25"/>
          <w:szCs w:val="25"/>
          <w:highlight w:val="none"/>
        </w:rPr>
        <w:t>特别提示：</w:t>
      </w:r>
    </w:p>
    <w:p w14:paraId="65A25DCB">
      <w:pPr>
        <w:spacing w:before="291" w:line="227" w:lineRule="auto"/>
        <w:ind w:left="558"/>
        <w:outlineLvl w:val="9"/>
        <w:rPr>
          <w:rFonts w:ascii="仿宋" w:hAnsi="仿宋" w:eastAsia="仿宋" w:cs="仿宋"/>
          <w:spacing w:val="1"/>
          <w:sz w:val="25"/>
          <w:szCs w:val="25"/>
          <w:highlight w:val="none"/>
        </w:rPr>
      </w:pPr>
      <w:r>
        <w:rPr>
          <w:rFonts w:ascii="仿宋" w:hAnsi="仿宋" w:eastAsia="仿宋" w:cs="仿宋"/>
          <w:spacing w:val="1"/>
          <w:sz w:val="25"/>
          <w:szCs w:val="25"/>
          <w:highlight w:val="none"/>
        </w:rPr>
        <w:t>1、采购限额标准以上，200万元以下的货物和服务采购项目、400万元以下的工程采购项目，适宜由中小企业提供的，采购人应当专门面向中小企业采购。</w:t>
      </w:r>
    </w:p>
    <w:p w14:paraId="20596830">
      <w:pPr>
        <w:spacing w:before="291" w:line="227" w:lineRule="auto"/>
        <w:ind w:left="558"/>
        <w:outlineLvl w:val="9"/>
        <w:rPr>
          <w:rFonts w:ascii="仿宋" w:hAnsi="仿宋" w:eastAsia="仿宋" w:cs="仿宋"/>
          <w:spacing w:val="1"/>
          <w:sz w:val="25"/>
          <w:szCs w:val="25"/>
          <w:highlight w:val="none"/>
        </w:rPr>
      </w:pPr>
      <w:r>
        <w:rPr>
          <w:rFonts w:ascii="仿宋" w:hAnsi="仿宋" w:eastAsia="仿宋" w:cs="仿宋"/>
          <w:spacing w:val="1"/>
          <w:sz w:val="25"/>
          <w:szCs w:val="25"/>
          <w:highlight w:val="none"/>
        </w:rPr>
        <w:t>2、超过200万元的货物和服务采购项目、超过400万元的工程采购项目中适宜由中小企业提供的，预留该部分采购项目预算总额的30%以上专门面向中小企业采购，其中预留给小微企业的比例不低于60%。</w:t>
      </w:r>
    </w:p>
    <w:p w14:paraId="6E8590A2">
      <w:pPr>
        <w:spacing w:before="291" w:line="227" w:lineRule="auto"/>
        <w:ind w:left="558"/>
        <w:outlineLvl w:val="9"/>
        <w:rPr>
          <w:rFonts w:ascii="仿宋" w:hAnsi="仿宋" w:eastAsia="仿宋" w:cs="仿宋"/>
          <w:spacing w:val="1"/>
          <w:sz w:val="25"/>
          <w:szCs w:val="25"/>
          <w:highlight w:val="none"/>
        </w:rPr>
      </w:pPr>
      <w:r>
        <w:rPr>
          <w:rFonts w:ascii="仿宋" w:hAnsi="仿宋" w:eastAsia="仿宋" w:cs="仿宋"/>
          <w:spacing w:val="1"/>
          <w:sz w:val="25"/>
          <w:szCs w:val="25"/>
          <w:highlight w:val="none"/>
        </w:rPr>
        <w:t>3、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10702BBD">
      <w:pPr>
        <w:spacing w:before="291" w:line="227" w:lineRule="auto"/>
        <w:ind w:left="558"/>
        <w:outlineLvl w:val="9"/>
        <w:rPr>
          <w:rFonts w:ascii="仿宋" w:hAnsi="仿宋" w:eastAsia="仿宋" w:cs="仿宋"/>
          <w:spacing w:val="1"/>
          <w:sz w:val="25"/>
          <w:szCs w:val="25"/>
          <w:highlight w:val="none"/>
        </w:rPr>
      </w:pPr>
      <w:r>
        <w:rPr>
          <w:rFonts w:ascii="仿宋" w:hAnsi="仿宋" w:eastAsia="仿宋" w:cs="仿宋"/>
          <w:spacing w:val="1"/>
          <w:sz w:val="25"/>
          <w:szCs w:val="25"/>
          <w:highlight w:val="none"/>
        </w:rPr>
        <w:t>4、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22F2979C">
      <w:pPr>
        <w:spacing w:before="269" w:line="220" w:lineRule="auto"/>
        <w:ind w:left="36"/>
        <w:outlineLvl w:val="9"/>
        <w:rPr>
          <w:rFonts w:ascii="黑体" w:hAnsi="黑体" w:eastAsia="黑体" w:cs="黑体"/>
          <w:sz w:val="25"/>
          <w:szCs w:val="25"/>
          <w:highlight w:val="none"/>
        </w:rPr>
      </w:pPr>
      <w:r>
        <w:rPr>
          <w:rFonts w:ascii="黑体" w:hAnsi="黑体" w:eastAsia="黑体" w:cs="黑体"/>
          <w:b/>
          <w:bCs/>
          <w:spacing w:val="15"/>
          <w:sz w:val="25"/>
          <w:szCs w:val="25"/>
          <w:highlight w:val="none"/>
        </w:rPr>
        <w:t>七、对本次采购提出询问，请按以下方式联系</w:t>
      </w:r>
    </w:p>
    <w:p w14:paraId="214BD67C">
      <w:pPr>
        <w:spacing w:before="310" w:line="228" w:lineRule="auto"/>
        <w:ind w:left="482"/>
        <w:outlineLvl w:val="9"/>
        <w:rPr>
          <w:rFonts w:ascii="仿宋" w:hAnsi="仿宋" w:eastAsia="仿宋" w:cs="仿宋"/>
          <w:sz w:val="25"/>
          <w:szCs w:val="25"/>
          <w:highlight w:val="none"/>
        </w:rPr>
      </w:pPr>
      <w:r>
        <w:rPr>
          <w:rFonts w:ascii="仿宋" w:hAnsi="仿宋" w:eastAsia="仿宋" w:cs="仿宋"/>
          <w:spacing w:val="16"/>
          <w:sz w:val="25"/>
          <w:szCs w:val="25"/>
          <w:highlight w:val="none"/>
        </w:rPr>
        <w:t>1.采购人信息</w:t>
      </w:r>
    </w:p>
    <w:p w14:paraId="5104E95D">
      <w:pPr>
        <w:spacing w:before="319" w:line="228" w:lineRule="auto"/>
        <w:ind w:left="472"/>
        <w:outlineLvl w:val="9"/>
        <w:rPr>
          <w:rFonts w:ascii="仿宋" w:hAnsi="仿宋" w:eastAsia="仿宋" w:cs="仿宋"/>
          <w:sz w:val="25"/>
          <w:szCs w:val="25"/>
          <w:highlight w:val="none"/>
        </w:rPr>
      </w:pPr>
      <w:r>
        <w:rPr>
          <w:rFonts w:ascii="仿宋" w:hAnsi="仿宋" w:eastAsia="仿宋" w:cs="仿宋"/>
          <w:spacing w:val="11"/>
          <w:sz w:val="25"/>
          <w:szCs w:val="25"/>
          <w:highlight w:val="none"/>
        </w:rPr>
        <w:t>名称：</w:t>
      </w:r>
      <w:r>
        <w:rPr>
          <w:rFonts w:hint="eastAsia" w:ascii="仿宋" w:hAnsi="仿宋" w:eastAsia="仿宋" w:cs="仿宋"/>
          <w:spacing w:val="11"/>
          <w:sz w:val="25"/>
          <w:szCs w:val="25"/>
          <w:highlight w:val="none"/>
          <w:lang w:val="en-US" w:eastAsia="zh-CN"/>
        </w:rPr>
        <w:t>阿瓦提</w:t>
      </w:r>
      <w:r>
        <w:rPr>
          <w:rFonts w:ascii="仿宋" w:hAnsi="仿宋" w:eastAsia="仿宋" w:cs="仿宋"/>
          <w:spacing w:val="11"/>
          <w:sz w:val="25"/>
          <w:szCs w:val="25"/>
          <w:highlight w:val="none"/>
        </w:rPr>
        <w:t>县民政局</w:t>
      </w:r>
    </w:p>
    <w:p w14:paraId="7C56B225">
      <w:pPr>
        <w:spacing w:before="317" w:line="228" w:lineRule="auto"/>
        <w:ind w:left="472"/>
        <w:outlineLvl w:val="9"/>
        <w:rPr>
          <w:rFonts w:hint="default" w:ascii="仿宋" w:hAnsi="仿宋" w:eastAsia="仿宋" w:cs="仿宋"/>
          <w:sz w:val="25"/>
          <w:szCs w:val="25"/>
          <w:highlight w:val="none"/>
          <w:lang w:val="en-US" w:eastAsia="zh-CN"/>
        </w:rPr>
      </w:pPr>
      <w:r>
        <w:rPr>
          <w:rFonts w:ascii="仿宋" w:hAnsi="仿宋" w:eastAsia="仿宋" w:cs="仿宋"/>
          <w:spacing w:val="12"/>
          <w:sz w:val="25"/>
          <w:szCs w:val="25"/>
          <w:highlight w:val="none"/>
        </w:rPr>
        <w:t>地址：</w:t>
      </w:r>
      <w:r>
        <w:rPr>
          <w:rFonts w:hint="eastAsia" w:ascii="仿宋" w:hAnsi="仿宋" w:eastAsia="仿宋" w:cs="仿宋"/>
          <w:spacing w:val="12"/>
          <w:sz w:val="25"/>
          <w:szCs w:val="25"/>
          <w:highlight w:val="none"/>
          <w:lang w:val="en-US" w:eastAsia="zh-CN"/>
        </w:rPr>
        <w:t>阿瓦提县光明中路56号</w:t>
      </w:r>
    </w:p>
    <w:p w14:paraId="06E280EE">
      <w:pPr>
        <w:spacing w:line="228" w:lineRule="auto"/>
        <w:outlineLvl w:val="9"/>
        <w:rPr>
          <w:rFonts w:ascii="仿宋" w:hAnsi="仿宋" w:eastAsia="仿宋" w:cs="仿宋"/>
          <w:sz w:val="25"/>
          <w:szCs w:val="25"/>
          <w:highlight w:val="none"/>
        </w:rPr>
        <w:sectPr>
          <w:footerReference r:id="rId8" w:type="default"/>
          <w:pgSz w:w="11850" w:h="16781"/>
          <w:pgMar w:top="1426" w:right="1777" w:bottom="1011" w:left="1777" w:header="0" w:footer="766" w:gutter="0"/>
          <w:pgNumType w:fmt="decimal"/>
          <w:cols w:space="720" w:num="1"/>
        </w:sectPr>
      </w:pPr>
    </w:p>
    <w:p w14:paraId="5DB1F692">
      <w:pPr>
        <w:spacing w:before="319" w:line="228" w:lineRule="auto"/>
        <w:ind w:left="472"/>
        <w:outlineLvl w:val="9"/>
        <w:rPr>
          <w:rFonts w:ascii="仿宋" w:hAnsi="仿宋" w:eastAsia="仿宋" w:cs="仿宋"/>
          <w:spacing w:val="11"/>
          <w:sz w:val="25"/>
          <w:szCs w:val="25"/>
          <w:highlight w:val="none"/>
        </w:rPr>
      </w:pPr>
      <w:r>
        <w:rPr>
          <w:rFonts w:ascii="仿宋" w:hAnsi="仿宋" w:eastAsia="仿宋" w:cs="仿宋"/>
          <w:spacing w:val="11"/>
          <w:sz w:val="25"/>
          <w:szCs w:val="25"/>
          <w:highlight w:val="none"/>
        </w:rPr>
        <w:t>联系方式：</w:t>
      </w:r>
      <w:r>
        <w:rPr>
          <w:rFonts w:hint="eastAsia" w:ascii="仿宋" w:hAnsi="仿宋" w:eastAsia="仿宋" w:cs="仿宋"/>
          <w:spacing w:val="11"/>
          <w:sz w:val="25"/>
          <w:szCs w:val="25"/>
          <w:highlight w:val="none"/>
        </w:rPr>
        <w:t>13999079500</w:t>
      </w:r>
    </w:p>
    <w:p w14:paraId="7A110A94">
      <w:pPr>
        <w:spacing w:before="319" w:line="228" w:lineRule="auto"/>
        <w:ind w:left="472"/>
        <w:outlineLvl w:val="9"/>
        <w:rPr>
          <w:rFonts w:ascii="仿宋" w:hAnsi="仿宋" w:eastAsia="仿宋" w:cs="仿宋"/>
          <w:spacing w:val="11"/>
          <w:sz w:val="25"/>
          <w:szCs w:val="25"/>
          <w:highlight w:val="none"/>
        </w:rPr>
      </w:pPr>
      <w:r>
        <w:rPr>
          <w:rFonts w:ascii="仿宋" w:hAnsi="仿宋" w:eastAsia="仿宋" w:cs="仿宋"/>
          <w:spacing w:val="11"/>
          <w:sz w:val="25"/>
          <w:szCs w:val="25"/>
          <w:highlight w:val="none"/>
        </w:rPr>
        <w:t>2.采购代理机构信息</w:t>
      </w:r>
    </w:p>
    <w:p w14:paraId="4B160427">
      <w:pPr>
        <w:spacing w:before="319" w:line="228" w:lineRule="auto"/>
        <w:ind w:left="472"/>
        <w:outlineLvl w:val="9"/>
        <w:rPr>
          <w:rFonts w:ascii="仿宋" w:hAnsi="仿宋" w:eastAsia="仿宋" w:cs="仿宋"/>
          <w:spacing w:val="11"/>
          <w:sz w:val="25"/>
          <w:szCs w:val="25"/>
          <w:highlight w:val="none"/>
        </w:rPr>
      </w:pPr>
      <w:r>
        <w:rPr>
          <w:rFonts w:ascii="仿宋" w:hAnsi="仿宋" w:eastAsia="仿宋" w:cs="仿宋"/>
          <w:spacing w:val="11"/>
          <w:sz w:val="25"/>
          <w:szCs w:val="25"/>
          <w:highlight w:val="none"/>
        </w:rPr>
        <w:t>名称：</w:t>
      </w:r>
      <w:r>
        <w:rPr>
          <w:rFonts w:hint="eastAsia" w:ascii="仿宋" w:hAnsi="仿宋" w:eastAsia="仿宋" w:cs="仿宋"/>
          <w:spacing w:val="11"/>
          <w:sz w:val="25"/>
          <w:szCs w:val="25"/>
          <w:highlight w:val="none"/>
          <w:lang w:val="en-US" w:eastAsia="zh-CN"/>
        </w:rPr>
        <w:t>阿能（阿克苏）项目管理有限公司</w:t>
      </w:r>
    </w:p>
    <w:p w14:paraId="582025F9">
      <w:pPr>
        <w:spacing w:before="319" w:line="228" w:lineRule="auto"/>
        <w:ind w:left="472"/>
        <w:outlineLvl w:val="9"/>
        <w:rPr>
          <w:rFonts w:hint="eastAsia" w:ascii="仿宋" w:hAnsi="仿宋" w:eastAsia="仿宋" w:cs="仿宋"/>
          <w:spacing w:val="11"/>
          <w:sz w:val="25"/>
          <w:szCs w:val="25"/>
          <w:highlight w:val="none"/>
          <w:lang w:eastAsia="zh-CN"/>
        </w:rPr>
      </w:pPr>
      <w:r>
        <w:rPr>
          <w:rFonts w:ascii="仿宋" w:hAnsi="仿宋" w:eastAsia="仿宋" w:cs="仿宋"/>
          <w:spacing w:val="11"/>
          <w:sz w:val="25"/>
          <w:szCs w:val="25"/>
          <w:highlight w:val="none"/>
        </w:rPr>
        <w:t>地址：</w:t>
      </w:r>
      <w:r>
        <w:rPr>
          <w:rFonts w:hint="eastAsia" w:ascii="仿宋" w:hAnsi="仿宋" w:eastAsia="仿宋" w:cs="仿宋"/>
          <w:spacing w:val="11"/>
          <w:sz w:val="25"/>
          <w:szCs w:val="25"/>
          <w:highlight w:val="none"/>
        </w:rPr>
        <w:t>新疆阿克苏地区温宿县长兴街15号阿克苏药品集散中心（一期）办公楼2层238室</w:t>
      </w:r>
    </w:p>
    <w:p w14:paraId="616EFB95">
      <w:pPr>
        <w:spacing w:before="319" w:line="228" w:lineRule="auto"/>
        <w:ind w:left="472"/>
        <w:outlineLvl w:val="9"/>
        <w:rPr>
          <w:rFonts w:hint="eastAsia" w:ascii="仿宋" w:hAnsi="仿宋" w:eastAsia="仿宋" w:cs="仿宋"/>
          <w:spacing w:val="11"/>
          <w:sz w:val="25"/>
          <w:szCs w:val="25"/>
          <w:highlight w:val="none"/>
          <w:lang w:eastAsia="zh-CN"/>
        </w:rPr>
      </w:pPr>
      <w:r>
        <w:rPr>
          <w:rFonts w:ascii="仿宋" w:hAnsi="仿宋" w:eastAsia="仿宋" w:cs="仿宋"/>
          <w:spacing w:val="11"/>
          <w:sz w:val="25"/>
          <w:szCs w:val="25"/>
          <w:highlight w:val="none"/>
        </w:rPr>
        <w:t>联系方式：15292</w:t>
      </w:r>
      <w:r>
        <w:rPr>
          <w:rFonts w:hint="eastAsia" w:ascii="仿宋" w:hAnsi="仿宋" w:eastAsia="仿宋" w:cs="仿宋"/>
          <w:spacing w:val="11"/>
          <w:sz w:val="25"/>
          <w:szCs w:val="25"/>
          <w:highlight w:val="none"/>
          <w:lang w:val="en-US" w:eastAsia="zh-CN"/>
        </w:rPr>
        <w:t>520014</w:t>
      </w:r>
      <w:r>
        <w:rPr>
          <w:rFonts w:ascii="仿宋" w:hAnsi="仿宋" w:eastAsia="仿宋" w:cs="仿宋"/>
          <w:spacing w:val="11"/>
          <w:sz w:val="25"/>
          <w:szCs w:val="25"/>
          <w:highlight w:val="none"/>
        </w:rPr>
        <w:t>、</w:t>
      </w:r>
      <w:r>
        <w:rPr>
          <w:rFonts w:hint="eastAsia" w:ascii="仿宋" w:hAnsi="仿宋" w:eastAsia="仿宋" w:cs="仿宋"/>
          <w:spacing w:val="11"/>
          <w:sz w:val="25"/>
          <w:szCs w:val="25"/>
          <w:highlight w:val="none"/>
          <w:lang w:eastAsia="zh-CN"/>
        </w:rPr>
        <w:t>15299591234</w:t>
      </w:r>
    </w:p>
    <w:p w14:paraId="0282478E">
      <w:pPr>
        <w:spacing w:before="319" w:line="228" w:lineRule="auto"/>
        <w:ind w:left="472"/>
        <w:outlineLvl w:val="9"/>
        <w:rPr>
          <w:rFonts w:ascii="仿宋" w:hAnsi="仿宋" w:eastAsia="仿宋" w:cs="仿宋"/>
          <w:spacing w:val="11"/>
          <w:sz w:val="25"/>
          <w:szCs w:val="25"/>
          <w:highlight w:val="none"/>
        </w:rPr>
      </w:pPr>
      <w:r>
        <w:rPr>
          <w:rFonts w:ascii="仿宋" w:hAnsi="仿宋" w:eastAsia="仿宋" w:cs="仿宋"/>
          <w:spacing w:val="11"/>
          <w:sz w:val="25"/>
          <w:szCs w:val="25"/>
          <w:highlight w:val="none"/>
        </w:rPr>
        <w:t>3.项目联系方式</w:t>
      </w:r>
    </w:p>
    <w:p w14:paraId="2055EABE">
      <w:pPr>
        <w:spacing w:before="319" w:line="228" w:lineRule="auto"/>
        <w:ind w:left="472"/>
        <w:outlineLvl w:val="9"/>
        <w:rPr>
          <w:rFonts w:ascii="仿宋" w:hAnsi="仿宋" w:eastAsia="仿宋" w:cs="仿宋"/>
          <w:spacing w:val="11"/>
          <w:sz w:val="25"/>
          <w:szCs w:val="25"/>
          <w:highlight w:val="none"/>
        </w:rPr>
      </w:pPr>
      <w:r>
        <w:rPr>
          <w:rFonts w:ascii="仿宋" w:hAnsi="仿宋" w:eastAsia="仿宋" w:cs="仿宋"/>
          <w:spacing w:val="11"/>
          <w:sz w:val="25"/>
          <w:szCs w:val="25"/>
          <w:highlight w:val="none"/>
        </w:rPr>
        <w:t>项目联系人：</w:t>
      </w:r>
      <w:r>
        <w:rPr>
          <w:rFonts w:hint="eastAsia" w:ascii="仿宋" w:hAnsi="仿宋" w:eastAsia="仿宋" w:cs="仿宋"/>
          <w:spacing w:val="11"/>
          <w:sz w:val="25"/>
          <w:szCs w:val="25"/>
          <w:highlight w:val="none"/>
          <w:lang w:val="en-US" w:eastAsia="zh-CN"/>
        </w:rPr>
        <w:t>齐元鑫、张黎</w:t>
      </w:r>
    </w:p>
    <w:p w14:paraId="518CB50B">
      <w:pPr>
        <w:spacing w:before="319" w:line="228" w:lineRule="auto"/>
        <w:ind w:left="472"/>
        <w:outlineLvl w:val="9"/>
        <w:rPr>
          <w:rFonts w:hint="eastAsia" w:ascii="仿宋" w:hAnsi="仿宋" w:eastAsia="仿宋" w:cs="仿宋"/>
          <w:spacing w:val="11"/>
          <w:sz w:val="25"/>
          <w:szCs w:val="25"/>
          <w:highlight w:val="none"/>
          <w:lang w:eastAsia="zh-CN"/>
        </w:rPr>
      </w:pPr>
      <w:r>
        <w:rPr>
          <w:rFonts w:ascii="仿宋" w:hAnsi="仿宋" w:eastAsia="仿宋" w:cs="仿宋"/>
          <w:spacing w:val="11"/>
          <w:sz w:val="25"/>
          <w:szCs w:val="25"/>
          <w:highlight w:val="none"/>
        </w:rPr>
        <w:t>电话：15292</w:t>
      </w:r>
      <w:r>
        <w:rPr>
          <w:rFonts w:hint="eastAsia" w:ascii="仿宋" w:hAnsi="仿宋" w:eastAsia="仿宋" w:cs="仿宋"/>
          <w:spacing w:val="11"/>
          <w:sz w:val="25"/>
          <w:szCs w:val="25"/>
          <w:highlight w:val="none"/>
          <w:lang w:val="en-US" w:eastAsia="zh-CN"/>
        </w:rPr>
        <w:t>520014</w:t>
      </w:r>
      <w:r>
        <w:rPr>
          <w:rFonts w:ascii="仿宋" w:hAnsi="仿宋" w:eastAsia="仿宋" w:cs="仿宋"/>
          <w:spacing w:val="11"/>
          <w:sz w:val="25"/>
          <w:szCs w:val="25"/>
          <w:highlight w:val="none"/>
        </w:rPr>
        <w:t>、</w:t>
      </w:r>
      <w:r>
        <w:rPr>
          <w:rFonts w:hint="eastAsia" w:ascii="仿宋" w:hAnsi="仿宋" w:eastAsia="仿宋" w:cs="仿宋"/>
          <w:spacing w:val="11"/>
          <w:sz w:val="25"/>
          <w:szCs w:val="25"/>
          <w:highlight w:val="none"/>
          <w:lang w:eastAsia="zh-CN"/>
        </w:rPr>
        <w:t>15299591234</w:t>
      </w:r>
    </w:p>
    <w:p w14:paraId="65C6DC40">
      <w:pPr>
        <w:spacing w:before="317" w:line="230" w:lineRule="auto"/>
        <w:ind w:left="500"/>
        <w:outlineLvl w:val="9"/>
        <w:rPr>
          <w:rFonts w:ascii="仿宋" w:hAnsi="仿宋" w:eastAsia="仿宋" w:cs="仿宋"/>
          <w:sz w:val="25"/>
          <w:szCs w:val="25"/>
          <w:highlight w:val="none"/>
        </w:rPr>
      </w:pPr>
    </w:p>
    <w:p w14:paraId="3EED4792">
      <w:pPr>
        <w:spacing w:line="230" w:lineRule="auto"/>
        <w:outlineLvl w:val="9"/>
        <w:rPr>
          <w:rFonts w:ascii="仿宋" w:hAnsi="仿宋" w:eastAsia="仿宋" w:cs="仿宋"/>
          <w:sz w:val="25"/>
          <w:szCs w:val="25"/>
          <w:highlight w:val="none"/>
        </w:rPr>
        <w:sectPr>
          <w:footerReference r:id="rId9" w:type="default"/>
          <w:pgSz w:w="11850" w:h="16781"/>
          <w:pgMar w:top="1426" w:right="1777" w:bottom="954" w:left="1777" w:header="0" w:footer="786" w:gutter="0"/>
          <w:pgNumType w:fmt="decimal"/>
          <w:cols w:space="720" w:num="1"/>
        </w:sectPr>
      </w:pPr>
    </w:p>
    <w:p w14:paraId="4752E92C">
      <w:pPr>
        <w:pStyle w:val="2"/>
        <w:spacing w:line="297" w:lineRule="auto"/>
        <w:rPr>
          <w:highlight w:val="none"/>
        </w:rPr>
      </w:pPr>
    </w:p>
    <w:p w14:paraId="366FF2A3">
      <w:pPr>
        <w:spacing w:before="110" w:line="225" w:lineRule="auto"/>
        <w:ind w:left="3955"/>
        <w:outlineLvl w:val="0"/>
        <w:rPr>
          <w:rFonts w:ascii="宋体" w:hAnsi="宋体" w:eastAsia="宋体" w:cs="宋体"/>
          <w:sz w:val="34"/>
          <w:szCs w:val="34"/>
          <w:highlight w:val="none"/>
        </w:rPr>
      </w:pPr>
      <w:bookmarkStart w:id="9" w:name="_Toc9544_WPSOffice_Level1"/>
      <w:r>
        <w:rPr>
          <w:rFonts w:ascii="宋体" w:hAnsi="宋体" w:eastAsia="宋体" w:cs="宋体"/>
          <w:b/>
          <w:bCs/>
          <w:spacing w:val="9"/>
          <w:sz w:val="34"/>
          <w:szCs w:val="34"/>
          <w:highlight w:val="none"/>
        </w:rPr>
        <w:t>第二部分投标人须知</w:t>
      </w:r>
      <w:bookmarkEnd w:id="9"/>
    </w:p>
    <w:p w14:paraId="3781CA71">
      <w:pPr>
        <w:spacing w:before="229" w:line="214" w:lineRule="auto"/>
        <w:ind w:left="4640"/>
        <w:outlineLvl w:val="9"/>
        <w:rPr>
          <w:rFonts w:ascii="宋体" w:hAnsi="宋体" w:eastAsia="宋体" w:cs="宋体"/>
          <w:sz w:val="28"/>
          <w:szCs w:val="28"/>
          <w:highlight w:val="none"/>
        </w:rPr>
      </w:pPr>
      <w:r>
        <w:rPr>
          <w:rFonts w:ascii="宋体" w:hAnsi="宋体" w:eastAsia="宋体" w:cs="宋体"/>
          <w:b/>
          <w:bCs/>
          <w:spacing w:val="-7"/>
          <w:sz w:val="28"/>
          <w:szCs w:val="28"/>
          <w:highlight w:val="none"/>
        </w:rPr>
        <w:t>投标人须知前附表</w:t>
      </w:r>
    </w:p>
    <w:tbl>
      <w:tblPr>
        <w:tblStyle w:val="10"/>
        <w:tblW w:w="99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5"/>
        <w:gridCol w:w="2439"/>
        <w:gridCol w:w="6756"/>
      </w:tblGrid>
      <w:tr w14:paraId="10CD0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735" w:type="dxa"/>
            <w:vAlign w:val="top"/>
          </w:tcPr>
          <w:p w14:paraId="7661EEF7">
            <w:pPr>
              <w:pStyle w:val="11"/>
              <w:spacing w:before="98" w:line="201" w:lineRule="auto"/>
              <w:ind w:left="121"/>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7"/>
                <w:highlight w:val="none"/>
              </w:rPr>
              <w:t>序号</w:t>
            </w:r>
          </w:p>
        </w:tc>
        <w:tc>
          <w:tcPr>
            <w:tcW w:w="2439" w:type="dxa"/>
            <w:vAlign w:val="top"/>
          </w:tcPr>
          <w:p w14:paraId="1D48898A">
            <w:pPr>
              <w:pStyle w:val="11"/>
              <w:spacing w:before="96" w:line="203" w:lineRule="auto"/>
              <w:ind w:left="177"/>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22"/>
                <w:highlight w:val="none"/>
              </w:rPr>
              <w:t>内容</w:t>
            </w:r>
          </w:p>
        </w:tc>
        <w:tc>
          <w:tcPr>
            <w:tcW w:w="6756" w:type="dxa"/>
            <w:vAlign w:val="top"/>
          </w:tcPr>
          <w:p w14:paraId="0C14B6E7">
            <w:pPr>
              <w:pStyle w:val="11"/>
              <w:spacing w:before="96" w:line="203" w:lineRule="auto"/>
              <w:ind w:left="129"/>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7"/>
                <w:highlight w:val="none"/>
              </w:rPr>
              <w:t>说明与要求</w:t>
            </w:r>
          </w:p>
        </w:tc>
      </w:tr>
      <w:tr w14:paraId="57A85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1" w:hRule="atLeast"/>
        </w:trPr>
        <w:tc>
          <w:tcPr>
            <w:tcW w:w="735" w:type="dxa"/>
            <w:vAlign w:val="top"/>
          </w:tcPr>
          <w:p w14:paraId="12F1218B">
            <w:pPr>
              <w:spacing w:line="244" w:lineRule="auto"/>
              <w:outlineLvl w:val="9"/>
              <w:rPr>
                <w:rFonts w:hint="eastAsia" w:asciiTheme="minorEastAsia" w:hAnsiTheme="minorEastAsia" w:eastAsiaTheme="minorEastAsia" w:cstheme="minorEastAsia"/>
                <w:sz w:val="21"/>
                <w:highlight w:val="none"/>
              </w:rPr>
            </w:pPr>
          </w:p>
          <w:p w14:paraId="621E747D">
            <w:pPr>
              <w:spacing w:line="245" w:lineRule="auto"/>
              <w:outlineLvl w:val="9"/>
              <w:rPr>
                <w:rFonts w:hint="eastAsia" w:asciiTheme="minorEastAsia" w:hAnsiTheme="minorEastAsia" w:eastAsiaTheme="minorEastAsia" w:cstheme="minorEastAsia"/>
                <w:sz w:val="21"/>
                <w:highlight w:val="none"/>
              </w:rPr>
            </w:pPr>
          </w:p>
          <w:p w14:paraId="435C5275">
            <w:pPr>
              <w:pStyle w:val="11"/>
              <w:spacing w:before="78" w:line="241" w:lineRule="auto"/>
              <w:ind w:left="356"/>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3"/>
                <w:highlight w:val="none"/>
              </w:rPr>
              <w:t>1</w:t>
            </w:r>
          </w:p>
        </w:tc>
        <w:tc>
          <w:tcPr>
            <w:tcW w:w="2439" w:type="dxa"/>
            <w:vAlign w:val="top"/>
          </w:tcPr>
          <w:p w14:paraId="56B4B916">
            <w:pPr>
              <w:spacing w:line="470" w:lineRule="auto"/>
              <w:outlineLvl w:val="9"/>
              <w:rPr>
                <w:rFonts w:hint="eastAsia" w:asciiTheme="minorEastAsia" w:hAnsiTheme="minorEastAsia" w:eastAsiaTheme="minorEastAsia" w:cstheme="minorEastAsia"/>
                <w:sz w:val="21"/>
                <w:highlight w:val="none"/>
              </w:rPr>
            </w:pPr>
          </w:p>
          <w:p w14:paraId="3A8D7033">
            <w:pPr>
              <w:pStyle w:val="11"/>
              <w:spacing w:before="78" w:line="220" w:lineRule="auto"/>
              <w:ind w:left="869"/>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8"/>
                <w:highlight w:val="none"/>
              </w:rPr>
              <w:t>招标人</w:t>
            </w:r>
          </w:p>
        </w:tc>
        <w:tc>
          <w:tcPr>
            <w:tcW w:w="6756" w:type="dxa"/>
            <w:vAlign w:val="top"/>
          </w:tcPr>
          <w:p w14:paraId="142D21D1">
            <w:pPr>
              <w:pStyle w:val="11"/>
              <w:spacing w:before="132" w:line="219" w:lineRule="auto"/>
              <w:ind w:left="127"/>
              <w:outlineLvl w:val="9"/>
              <w:rPr>
                <w:rFonts w:hint="eastAsia" w:asciiTheme="minorEastAsia" w:hAnsiTheme="minorEastAsia" w:eastAsiaTheme="minorEastAsia" w:cstheme="minorEastAsia"/>
                <w:b w:val="0"/>
                <w:bCs w:val="0"/>
                <w:highlight w:val="none"/>
              </w:rPr>
            </w:pPr>
            <w:r>
              <w:rPr>
                <w:rFonts w:hint="eastAsia" w:asciiTheme="minorEastAsia" w:hAnsiTheme="minorEastAsia" w:eastAsiaTheme="minorEastAsia" w:cstheme="minorEastAsia"/>
                <w:b w:val="0"/>
                <w:bCs w:val="0"/>
                <w:spacing w:val="-2"/>
                <w:highlight w:val="none"/>
              </w:rPr>
              <w:t>名称：</w:t>
            </w:r>
            <w:r>
              <w:rPr>
                <w:rFonts w:hint="eastAsia" w:asciiTheme="minorEastAsia" w:hAnsiTheme="minorEastAsia" w:eastAsiaTheme="minorEastAsia" w:cstheme="minorEastAsia"/>
                <w:b w:val="0"/>
                <w:bCs w:val="0"/>
                <w:spacing w:val="-2"/>
                <w:highlight w:val="none"/>
                <w:lang w:val="en-US" w:eastAsia="zh-CN"/>
              </w:rPr>
              <w:t>阿瓦提</w:t>
            </w:r>
            <w:r>
              <w:rPr>
                <w:rFonts w:hint="eastAsia" w:asciiTheme="minorEastAsia" w:hAnsiTheme="minorEastAsia" w:eastAsiaTheme="minorEastAsia" w:cstheme="minorEastAsia"/>
                <w:b w:val="0"/>
                <w:bCs w:val="0"/>
                <w:spacing w:val="-2"/>
                <w:highlight w:val="none"/>
              </w:rPr>
              <w:t>县民政局</w:t>
            </w:r>
          </w:p>
          <w:p w14:paraId="6D2D3541">
            <w:pPr>
              <w:pStyle w:val="11"/>
              <w:spacing w:before="132" w:line="219" w:lineRule="auto"/>
              <w:ind w:left="127"/>
              <w:outlineLvl w:val="9"/>
              <w:rPr>
                <w:rFonts w:hint="eastAsia" w:asciiTheme="minorEastAsia" w:hAnsiTheme="minorEastAsia" w:eastAsiaTheme="minorEastAsia" w:cstheme="minorEastAsia"/>
                <w:b w:val="0"/>
                <w:bCs w:val="0"/>
                <w:spacing w:val="-2"/>
                <w:highlight w:val="none"/>
              </w:rPr>
            </w:pPr>
            <w:r>
              <w:rPr>
                <w:rFonts w:hint="eastAsia" w:asciiTheme="minorEastAsia" w:hAnsiTheme="minorEastAsia" w:eastAsiaTheme="minorEastAsia" w:cstheme="minorEastAsia"/>
                <w:b w:val="0"/>
                <w:bCs w:val="0"/>
                <w:spacing w:val="-2"/>
                <w:highlight w:val="none"/>
              </w:rPr>
              <w:t>地址：</w:t>
            </w:r>
            <w:r>
              <w:rPr>
                <w:rFonts w:hint="eastAsia" w:asciiTheme="minorEastAsia" w:hAnsiTheme="minorEastAsia" w:eastAsiaTheme="minorEastAsia" w:cstheme="minorEastAsia"/>
                <w:b w:val="0"/>
                <w:bCs w:val="0"/>
                <w:spacing w:val="-2"/>
                <w:highlight w:val="none"/>
                <w:lang w:val="en-US" w:eastAsia="zh-CN"/>
              </w:rPr>
              <w:t>阿瓦提县光明中路56号</w:t>
            </w:r>
          </w:p>
          <w:p w14:paraId="2134785D">
            <w:pPr>
              <w:pStyle w:val="11"/>
              <w:spacing w:before="132" w:line="219" w:lineRule="auto"/>
              <w:ind w:left="127"/>
              <w:outlineLvl w:val="9"/>
              <w:rPr>
                <w:rFonts w:hint="eastAsia" w:asciiTheme="minorEastAsia" w:hAnsiTheme="minorEastAsia" w:eastAsiaTheme="minorEastAsia" w:cstheme="minorEastAsia"/>
                <w:b w:val="0"/>
                <w:bCs w:val="0"/>
                <w:spacing w:val="-2"/>
                <w:highlight w:val="none"/>
              </w:rPr>
            </w:pPr>
            <w:r>
              <w:rPr>
                <w:rFonts w:hint="eastAsia" w:asciiTheme="minorEastAsia" w:hAnsiTheme="minorEastAsia" w:eastAsiaTheme="minorEastAsia" w:cstheme="minorEastAsia"/>
                <w:b w:val="0"/>
                <w:bCs w:val="0"/>
                <w:spacing w:val="-2"/>
                <w:highlight w:val="none"/>
              </w:rPr>
              <w:t>联系人：古丽比亚</w:t>
            </w:r>
          </w:p>
          <w:p w14:paraId="51547BAB">
            <w:pPr>
              <w:pStyle w:val="11"/>
              <w:spacing w:before="132" w:line="219" w:lineRule="auto"/>
              <w:ind w:left="127"/>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val="0"/>
                <w:bCs w:val="0"/>
                <w:spacing w:val="-2"/>
                <w:highlight w:val="none"/>
              </w:rPr>
              <w:t>联系方式：13999079500</w:t>
            </w:r>
          </w:p>
        </w:tc>
      </w:tr>
      <w:tr w14:paraId="40561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24" w:hRule="atLeast"/>
        </w:trPr>
        <w:tc>
          <w:tcPr>
            <w:tcW w:w="735" w:type="dxa"/>
            <w:vAlign w:val="top"/>
          </w:tcPr>
          <w:p w14:paraId="7D22E032">
            <w:pPr>
              <w:spacing w:line="313" w:lineRule="auto"/>
              <w:outlineLvl w:val="9"/>
              <w:rPr>
                <w:rFonts w:hint="eastAsia" w:asciiTheme="minorEastAsia" w:hAnsiTheme="minorEastAsia" w:eastAsiaTheme="minorEastAsia" w:cstheme="minorEastAsia"/>
                <w:sz w:val="21"/>
                <w:highlight w:val="none"/>
              </w:rPr>
            </w:pPr>
          </w:p>
          <w:p w14:paraId="6C325C1A">
            <w:pPr>
              <w:spacing w:line="313" w:lineRule="auto"/>
              <w:outlineLvl w:val="9"/>
              <w:rPr>
                <w:rFonts w:hint="eastAsia" w:asciiTheme="minorEastAsia" w:hAnsiTheme="minorEastAsia" w:eastAsiaTheme="minorEastAsia" w:cstheme="minorEastAsia"/>
                <w:sz w:val="21"/>
                <w:highlight w:val="none"/>
              </w:rPr>
            </w:pPr>
          </w:p>
          <w:p w14:paraId="272D6872">
            <w:pPr>
              <w:pStyle w:val="11"/>
              <w:spacing w:before="78" w:line="241" w:lineRule="auto"/>
              <w:ind w:left="327"/>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3"/>
                <w:highlight w:val="none"/>
              </w:rPr>
              <w:t>2</w:t>
            </w:r>
          </w:p>
        </w:tc>
        <w:tc>
          <w:tcPr>
            <w:tcW w:w="2439" w:type="dxa"/>
            <w:vAlign w:val="top"/>
          </w:tcPr>
          <w:p w14:paraId="38D3C91F">
            <w:pPr>
              <w:spacing w:line="303" w:lineRule="auto"/>
              <w:outlineLvl w:val="9"/>
              <w:rPr>
                <w:rFonts w:hint="eastAsia" w:asciiTheme="minorEastAsia" w:hAnsiTheme="minorEastAsia" w:eastAsiaTheme="minorEastAsia" w:cstheme="minorEastAsia"/>
                <w:sz w:val="21"/>
                <w:highlight w:val="none"/>
              </w:rPr>
            </w:pPr>
          </w:p>
          <w:p w14:paraId="0DFA15B4">
            <w:pPr>
              <w:spacing w:line="304" w:lineRule="auto"/>
              <w:outlineLvl w:val="9"/>
              <w:rPr>
                <w:rFonts w:hint="eastAsia" w:asciiTheme="minorEastAsia" w:hAnsiTheme="minorEastAsia" w:eastAsiaTheme="minorEastAsia" w:cstheme="minorEastAsia"/>
                <w:sz w:val="21"/>
                <w:highlight w:val="none"/>
              </w:rPr>
            </w:pPr>
          </w:p>
          <w:p w14:paraId="4BC88C8F">
            <w:pPr>
              <w:pStyle w:val="11"/>
              <w:spacing w:before="78" w:line="219" w:lineRule="auto"/>
              <w:ind w:left="507"/>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6"/>
                <w:highlight w:val="none"/>
              </w:rPr>
              <w:t>招标代理机构</w:t>
            </w:r>
          </w:p>
        </w:tc>
        <w:tc>
          <w:tcPr>
            <w:tcW w:w="6756" w:type="dxa"/>
            <w:vAlign w:val="top"/>
          </w:tcPr>
          <w:p w14:paraId="6EDC99FE">
            <w:pPr>
              <w:spacing w:before="76" w:line="228" w:lineRule="auto"/>
              <w:jc w:val="both"/>
              <w:outlineLvl w:val="9"/>
              <w:rPr>
                <w:rFonts w:hint="eastAsia" w:asciiTheme="minorEastAsia" w:hAnsiTheme="minorEastAsia" w:eastAsiaTheme="minorEastAsia" w:cstheme="minorEastAsia"/>
                <w:snapToGrid w:val="0"/>
                <w:color w:val="000000"/>
                <w:spacing w:val="-2"/>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2"/>
                <w:kern w:val="0"/>
                <w:sz w:val="24"/>
                <w:szCs w:val="24"/>
                <w:highlight w:val="none"/>
                <w:lang w:val="en-US" w:eastAsia="en-US" w:bidi="ar-SA"/>
              </w:rPr>
              <w:t>名称：</w:t>
            </w:r>
            <w:r>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t>阿能（阿克苏）项目管理有限公司</w:t>
            </w:r>
          </w:p>
          <w:p w14:paraId="6BC0B892">
            <w:pPr>
              <w:spacing w:before="76" w:line="228" w:lineRule="auto"/>
              <w:jc w:val="both"/>
              <w:outlineLvl w:val="9"/>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sz w:val="24"/>
                <w:szCs w:val="24"/>
                <w:highlight w:val="none"/>
                <w:lang w:val="en-US" w:eastAsia="en-US" w:bidi="ar-SA"/>
              </w:rPr>
              <w:t>地址：新疆阿克苏地区温宿县长兴街15号阿克苏药品集散中心（一期）办公楼2层238室</w:t>
            </w:r>
          </w:p>
          <w:p w14:paraId="06F31585">
            <w:pPr>
              <w:spacing w:before="76" w:line="228" w:lineRule="auto"/>
              <w:jc w:val="both"/>
              <w:outlineLvl w:val="9"/>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sz w:val="24"/>
                <w:szCs w:val="24"/>
                <w:highlight w:val="none"/>
                <w:lang w:val="en-US" w:eastAsia="en-US" w:bidi="ar-SA"/>
              </w:rPr>
              <w:t>联系人：</w:t>
            </w:r>
            <w:r>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t>齐元鑫、张黎</w:t>
            </w:r>
          </w:p>
          <w:p w14:paraId="4DA84260">
            <w:pPr>
              <w:spacing w:before="76" w:line="228" w:lineRule="auto"/>
              <w:jc w:val="both"/>
              <w:outlineLvl w:val="9"/>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sz w:val="24"/>
                <w:szCs w:val="24"/>
                <w:highlight w:val="none"/>
                <w:lang w:val="en-US" w:eastAsia="en-US" w:bidi="ar-SA"/>
              </w:rPr>
              <w:t>电话：</w:t>
            </w:r>
            <w:r>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t>15292520014、15299591234</w:t>
            </w:r>
          </w:p>
        </w:tc>
      </w:tr>
      <w:tr w14:paraId="586B5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735" w:type="dxa"/>
            <w:vAlign w:val="top"/>
          </w:tcPr>
          <w:p w14:paraId="3371082D">
            <w:pPr>
              <w:pStyle w:val="11"/>
              <w:spacing w:before="234" w:line="205" w:lineRule="auto"/>
              <w:ind w:left="329"/>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3"/>
                <w:highlight w:val="none"/>
              </w:rPr>
              <w:t>3</w:t>
            </w:r>
          </w:p>
        </w:tc>
        <w:tc>
          <w:tcPr>
            <w:tcW w:w="2439" w:type="dxa"/>
            <w:vAlign w:val="top"/>
          </w:tcPr>
          <w:p w14:paraId="2D9351DE">
            <w:pPr>
              <w:pStyle w:val="11"/>
              <w:spacing w:before="216" w:line="219" w:lineRule="auto"/>
              <w:ind w:left="749"/>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7"/>
                <w:highlight w:val="none"/>
              </w:rPr>
              <w:t>监管部门</w:t>
            </w:r>
          </w:p>
        </w:tc>
        <w:tc>
          <w:tcPr>
            <w:tcW w:w="6756" w:type="dxa"/>
            <w:vAlign w:val="top"/>
          </w:tcPr>
          <w:p w14:paraId="2C189CAA">
            <w:pPr>
              <w:pStyle w:val="11"/>
              <w:spacing w:before="149" w:line="219" w:lineRule="auto"/>
              <w:ind w:left="128"/>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2"/>
                <w:highlight w:val="none"/>
                <w:lang w:val="en-US" w:eastAsia="zh-CN"/>
              </w:rPr>
              <w:t>阿瓦提</w:t>
            </w:r>
            <w:r>
              <w:rPr>
                <w:rFonts w:hint="eastAsia" w:asciiTheme="minorEastAsia" w:hAnsiTheme="minorEastAsia" w:eastAsiaTheme="minorEastAsia" w:cstheme="minorEastAsia"/>
                <w:spacing w:val="-2"/>
                <w:highlight w:val="none"/>
              </w:rPr>
              <w:t>县财政局</w:t>
            </w:r>
          </w:p>
        </w:tc>
      </w:tr>
      <w:tr w14:paraId="3BA6C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35" w:type="dxa"/>
            <w:vAlign w:val="top"/>
          </w:tcPr>
          <w:p w14:paraId="1A07D441">
            <w:pPr>
              <w:pStyle w:val="11"/>
              <w:spacing w:before="124" w:line="206" w:lineRule="auto"/>
              <w:ind w:left="318"/>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3"/>
                <w:highlight w:val="none"/>
              </w:rPr>
              <w:t>4</w:t>
            </w:r>
          </w:p>
        </w:tc>
        <w:tc>
          <w:tcPr>
            <w:tcW w:w="2439" w:type="dxa"/>
            <w:vAlign w:val="top"/>
          </w:tcPr>
          <w:p w14:paraId="7E510CC8">
            <w:pPr>
              <w:pStyle w:val="11"/>
              <w:spacing w:before="105" w:line="220" w:lineRule="auto"/>
              <w:ind w:left="755"/>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8"/>
                <w:highlight w:val="none"/>
              </w:rPr>
              <w:t>项目名称</w:t>
            </w:r>
          </w:p>
        </w:tc>
        <w:tc>
          <w:tcPr>
            <w:tcW w:w="6756" w:type="dxa"/>
            <w:vAlign w:val="top"/>
          </w:tcPr>
          <w:p w14:paraId="644C73CB">
            <w:pPr>
              <w:pStyle w:val="11"/>
              <w:spacing w:before="102" w:line="219" w:lineRule="auto"/>
              <w:ind w:left="128"/>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2"/>
                <w:highlight w:val="none"/>
                <w:lang w:val="en-US" w:eastAsia="zh-CN"/>
              </w:rPr>
              <w:t>采购2026年困难群众冬季取暖煤</w:t>
            </w:r>
            <w:r>
              <w:rPr>
                <w:rFonts w:hint="eastAsia" w:asciiTheme="minorEastAsia" w:hAnsiTheme="minorEastAsia" w:eastAsiaTheme="minorEastAsia" w:cstheme="minorEastAsia"/>
                <w:spacing w:val="-2"/>
                <w:highlight w:val="none"/>
              </w:rPr>
              <w:t>项目</w:t>
            </w:r>
            <w:r>
              <w:rPr>
                <w:rFonts w:hint="eastAsia" w:ascii="仿宋" w:hAnsi="仿宋" w:eastAsia="仿宋" w:cs="仿宋"/>
                <w:spacing w:val="9"/>
                <w:sz w:val="25"/>
                <w:szCs w:val="25"/>
                <w:highlight w:val="none"/>
                <w:lang w:val="en-US" w:eastAsia="zh-CN"/>
              </w:rPr>
              <w:t>（二次）</w:t>
            </w:r>
          </w:p>
        </w:tc>
      </w:tr>
      <w:tr w14:paraId="0CE00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35" w:type="dxa"/>
            <w:vAlign w:val="top"/>
          </w:tcPr>
          <w:p w14:paraId="4DD4AF66">
            <w:pPr>
              <w:pStyle w:val="11"/>
              <w:spacing w:before="171" w:line="205" w:lineRule="auto"/>
              <w:ind w:left="329"/>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3"/>
                <w:highlight w:val="none"/>
              </w:rPr>
              <w:t>5</w:t>
            </w:r>
          </w:p>
        </w:tc>
        <w:tc>
          <w:tcPr>
            <w:tcW w:w="2439" w:type="dxa"/>
            <w:vAlign w:val="top"/>
          </w:tcPr>
          <w:p w14:paraId="0C160022">
            <w:pPr>
              <w:pStyle w:val="11"/>
              <w:spacing w:before="152" w:line="219" w:lineRule="auto"/>
              <w:ind w:left="768"/>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10"/>
                <w:highlight w:val="none"/>
              </w:rPr>
              <w:t>资金来源</w:t>
            </w:r>
          </w:p>
        </w:tc>
        <w:tc>
          <w:tcPr>
            <w:tcW w:w="6756" w:type="dxa"/>
            <w:vAlign w:val="top"/>
          </w:tcPr>
          <w:p w14:paraId="7512014C">
            <w:pPr>
              <w:pStyle w:val="11"/>
              <w:spacing w:before="154" w:line="218" w:lineRule="auto"/>
              <w:ind w:left="119"/>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3"/>
                <w:highlight w:val="none"/>
              </w:rPr>
              <w:t>县</w:t>
            </w:r>
            <w:r>
              <w:rPr>
                <w:rFonts w:hint="eastAsia" w:asciiTheme="minorEastAsia" w:hAnsiTheme="minorEastAsia" w:eastAsiaTheme="minorEastAsia" w:cstheme="minorEastAsia"/>
                <w:spacing w:val="-3"/>
                <w:highlight w:val="none"/>
                <w:lang w:val="en-US" w:eastAsia="zh-CN"/>
              </w:rPr>
              <w:t>本</w:t>
            </w:r>
            <w:r>
              <w:rPr>
                <w:rFonts w:hint="eastAsia" w:asciiTheme="minorEastAsia" w:hAnsiTheme="minorEastAsia" w:eastAsiaTheme="minorEastAsia" w:cstheme="minorEastAsia"/>
                <w:spacing w:val="-3"/>
                <w:highlight w:val="none"/>
              </w:rPr>
              <w:t>级配套资金</w:t>
            </w:r>
          </w:p>
        </w:tc>
      </w:tr>
      <w:tr w14:paraId="009B5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735" w:type="dxa"/>
            <w:vAlign w:val="top"/>
          </w:tcPr>
          <w:p w14:paraId="69756EB1">
            <w:pPr>
              <w:pStyle w:val="11"/>
              <w:spacing w:before="173" w:line="204" w:lineRule="auto"/>
              <w:ind w:left="326"/>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3"/>
                <w:highlight w:val="none"/>
              </w:rPr>
              <w:t>6</w:t>
            </w:r>
          </w:p>
        </w:tc>
        <w:tc>
          <w:tcPr>
            <w:tcW w:w="2439" w:type="dxa"/>
            <w:vAlign w:val="top"/>
          </w:tcPr>
          <w:p w14:paraId="0675D5A6">
            <w:pPr>
              <w:pStyle w:val="11"/>
              <w:spacing w:before="152" w:line="220" w:lineRule="auto"/>
              <w:ind w:left="526"/>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8"/>
                <w:highlight w:val="none"/>
              </w:rPr>
              <w:t>资金落实情况</w:t>
            </w:r>
          </w:p>
        </w:tc>
        <w:tc>
          <w:tcPr>
            <w:tcW w:w="6756" w:type="dxa"/>
            <w:vAlign w:val="top"/>
          </w:tcPr>
          <w:p w14:paraId="61A5C7F5">
            <w:pPr>
              <w:pStyle w:val="11"/>
              <w:spacing w:before="167" w:line="209" w:lineRule="auto"/>
              <w:ind w:left="150"/>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13"/>
                <w:highlight w:val="none"/>
              </w:rPr>
              <w:t>已落实</w:t>
            </w:r>
          </w:p>
        </w:tc>
      </w:tr>
      <w:tr w14:paraId="618BA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735" w:type="dxa"/>
            <w:vAlign w:val="top"/>
          </w:tcPr>
          <w:p w14:paraId="204A12A7">
            <w:pPr>
              <w:pStyle w:val="11"/>
              <w:spacing w:before="173"/>
              <w:ind w:left="330"/>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3"/>
                <w:highlight w:val="none"/>
              </w:rPr>
              <w:t>7</w:t>
            </w:r>
          </w:p>
        </w:tc>
        <w:tc>
          <w:tcPr>
            <w:tcW w:w="2439" w:type="dxa"/>
            <w:vAlign w:val="top"/>
          </w:tcPr>
          <w:p w14:paraId="0459B001">
            <w:pPr>
              <w:pStyle w:val="11"/>
              <w:spacing w:before="154" w:line="220" w:lineRule="auto"/>
              <w:ind w:left="519"/>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7"/>
                <w:highlight w:val="none"/>
              </w:rPr>
              <w:t>★合同履行期限</w:t>
            </w:r>
          </w:p>
        </w:tc>
        <w:tc>
          <w:tcPr>
            <w:tcW w:w="6756" w:type="dxa"/>
            <w:vAlign w:val="top"/>
          </w:tcPr>
          <w:p w14:paraId="06C65150">
            <w:pPr>
              <w:pStyle w:val="11"/>
              <w:spacing w:before="235" w:line="222" w:lineRule="auto"/>
              <w:ind w:left="124" w:right="98"/>
              <w:jc w:val="both"/>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2"/>
                <w:highlight w:val="none"/>
              </w:rPr>
              <w:t>合同履行期限:2026年10月</w:t>
            </w:r>
            <w:r>
              <w:rPr>
                <w:rFonts w:hint="eastAsia" w:asciiTheme="minorEastAsia" w:hAnsiTheme="minorEastAsia" w:eastAsiaTheme="minorEastAsia" w:cstheme="minorEastAsia"/>
                <w:spacing w:val="-2"/>
                <w:highlight w:val="none"/>
                <w:lang w:val="en-US" w:eastAsia="zh-CN"/>
              </w:rPr>
              <w:t>下</w:t>
            </w:r>
            <w:r>
              <w:rPr>
                <w:rFonts w:hint="eastAsia" w:asciiTheme="minorEastAsia" w:hAnsiTheme="minorEastAsia" w:eastAsiaTheme="minorEastAsia" w:cstheme="minorEastAsia"/>
                <w:spacing w:val="-2"/>
                <w:highlight w:val="none"/>
              </w:rPr>
              <w:t>旬左右，供货期限为10日历天(</w:t>
            </w:r>
            <w:r>
              <w:rPr>
                <w:rFonts w:hint="eastAsia" w:asciiTheme="minorEastAsia" w:hAnsiTheme="minorEastAsia" w:eastAsiaTheme="minorEastAsia" w:cstheme="minorEastAsia"/>
                <w:spacing w:val="-3"/>
                <w:highlight w:val="none"/>
              </w:rPr>
              <w:t>具体时间以采购人通知为准)。</w:t>
            </w:r>
          </w:p>
        </w:tc>
      </w:tr>
      <w:tr w14:paraId="35FA3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35" w:type="dxa"/>
            <w:vAlign w:val="top"/>
          </w:tcPr>
          <w:p w14:paraId="3F051640">
            <w:pPr>
              <w:pStyle w:val="11"/>
              <w:spacing w:before="166"/>
              <w:ind w:left="323"/>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3"/>
                <w:highlight w:val="none"/>
              </w:rPr>
              <w:t>8</w:t>
            </w:r>
          </w:p>
        </w:tc>
        <w:tc>
          <w:tcPr>
            <w:tcW w:w="2439" w:type="dxa"/>
            <w:vAlign w:val="top"/>
          </w:tcPr>
          <w:p w14:paraId="0603E682">
            <w:pPr>
              <w:pStyle w:val="11"/>
              <w:spacing w:before="148" w:line="220" w:lineRule="auto"/>
              <w:ind w:left="755"/>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8"/>
                <w:highlight w:val="none"/>
              </w:rPr>
              <w:t>项目地点</w:t>
            </w:r>
          </w:p>
        </w:tc>
        <w:tc>
          <w:tcPr>
            <w:tcW w:w="6756" w:type="dxa"/>
            <w:vAlign w:val="top"/>
          </w:tcPr>
          <w:p w14:paraId="2330859E">
            <w:pPr>
              <w:pStyle w:val="11"/>
              <w:spacing w:before="154" w:line="219" w:lineRule="auto"/>
              <w:ind w:left="123"/>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3"/>
                <w:highlight w:val="none"/>
              </w:rPr>
              <w:t>采购人指定地点（送货上门</w:t>
            </w:r>
            <w:r>
              <w:rPr>
                <w:rFonts w:hint="eastAsia" w:asciiTheme="minorEastAsia" w:hAnsiTheme="minorEastAsia" w:eastAsiaTheme="minorEastAsia" w:cstheme="minorEastAsia"/>
                <w:spacing w:val="4"/>
                <w:highlight w:val="none"/>
              </w:rPr>
              <w:t>），</w:t>
            </w:r>
            <w:r>
              <w:rPr>
                <w:rFonts w:hint="eastAsia" w:asciiTheme="minorEastAsia" w:hAnsiTheme="minorEastAsia" w:eastAsiaTheme="minorEastAsia" w:cstheme="minorEastAsia"/>
                <w:spacing w:val="-3"/>
                <w:highlight w:val="none"/>
              </w:rPr>
              <w:t>合同另有规定除外</w:t>
            </w:r>
          </w:p>
        </w:tc>
      </w:tr>
      <w:tr w14:paraId="3BE26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0" w:hRule="atLeast"/>
        </w:trPr>
        <w:tc>
          <w:tcPr>
            <w:tcW w:w="735" w:type="dxa"/>
            <w:vAlign w:val="top"/>
          </w:tcPr>
          <w:p w14:paraId="0D6F3EF0">
            <w:pPr>
              <w:pStyle w:val="11"/>
              <w:spacing w:before="236"/>
              <w:ind w:left="323"/>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3"/>
                <w:highlight w:val="none"/>
              </w:rPr>
              <w:t>9</w:t>
            </w:r>
          </w:p>
        </w:tc>
        <w:tc>
          <w:tcPr>
            <w:tcW w:w="2439" w:type="dxa"/>
            <w:vAlign w:val="top"/>
          </w:tcPr>
          <w:p w14:paraId="187DD0A0">
            <w:pPr>
              <w:pStyle w:val="11"/>
              <w:spacing w:before="217" w:line="220" w:lineRule="auto"/>
              <w:ind w:left="749"/>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7"/>
                <w:highlight w:val="none"/>
              </w:rPr>
              <w:t>质量要求</w:t>
            </w:r>
          </w:p>
        </w:tc>
        <w:tc>
          <w:tcPr>
            <w:tcW w:w="6756" w:type="dxa"/>
            <w:vAlign w:val="top"/>
          </w:tcPr>
          <w:p w14:paraId="148177BD">
            <w:pPr>
              <w:pStyle w:val="11"/>
              <w:spacing w:before="137" w:line="228" w:lineRule="auto"/>
              <w:ind w:left="128" w:right="108" w:hanging="3"/>
              <w:jc w:val="both"/>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10"/>
                <w:highlight w:val="none"/>
              </w:rPr>
              <w:t>质保期详见清单，满足采购需求所要求的内容，满足国家及</w:t>
            </w:r>
            <w:r>
              <w:rPr>
                <w:rFonts w:hint="eastAsia" w:asciiTheme="minorEastAsia" w:hAnsiTheme="minorEastAsia" w:eastAsiaTheme="minorEastAsia" w:cstheme="minorEastAsia"/>
                <w:spacing w:val="5"/>
                <w:highlight w:val="none"/>
              </w:rPr>
              <w:t>地方规范要求，并能通过当地主管部门及委托方审查验收(必</w:t>
            </w:r>
            <w:r>
              <w:rPr>
                <w:rFonts w:hint="eastAsia" w:asciiTheme="minorEastAsia" w:hAnsiTheme="minorEastAsia" w:eastAsiaTheme="minorEastAsia" w:cstheme="minorEastAsia"/>
                <w:highlight w:val="none"/>
              </w:rPr>
              <w:t>须是无烟煤、块煤)。</w:t>
            </w:r>
          </w:p>
        </w:tc>
      </w:tr>
      <w:tr w14:paraId="77504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735" w:type="dxa"/>
            <w:vAlign w:val="top"/>
          </w:tcPr>
          <w:p w14:paraId="478B0AD1">
            <w:pPr>
              <w:pStyle w:val="11"/>
              <w:spacing w:before="258"/>
              <w:ind w:left="296"/>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17"/>
                <w:highlight w:val="none"/>
              </w:rPr>
              <w:t>10</w:t>
            </w:r>
          </w:p>
        </w:tc>
        <w:tc>
          <w:tcPr>
            <w:tcW w:w="2439" w:type="dxa"/>
            <w:vAlign w:val="top"/>
          </w:tcPr>
          <w:p w14:paraId="1EDBFC78">
            <w:pPr>
              <w:pStyle w:val="11"/>
              <w:spacing w:before="239" w:line="219" w:lineRule="auto"/>
              <w:ind w:left="745"/>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6"/>
                <w:highlight w:val="none"/>
              </w:rPr>
              <w:t>采购内容</w:t>
            </w:r>
          </w:p>
        </w:tc>
        <w:tc>
          <w:tcPr>
            <w:tcW w:w="6756" w:type="dxa"/>
            <w:vAlign w:val="top"/>
          </w:tcPr>
          <w:p w14:paraId="43F53F70">
            <w:pPr>
              <w:pStyle w:val="11"/>
              <w:spacing w:before="231" w:line="219" w:lineRule="auto"/>
              <w:ind w:left="123"/>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2"/>
                <w:highlight w:val="none"/>
              </w:rPr>
              <w:t>采购冬季取暖煤</w:t>
            </w:r>
            <w:r>
              <w:rPr>
                <w:rFonts w:hint="eastAsia" w:asciiTheme="minorEastAsia" w:hAnsiTheme="minorEastAsia" w:eastAsiaTheme="minorEastAsia" w:cstheme="minorEastAsia"/>
                <w:spacing w:val="-2"/>
                <w:highlight w:val="none"/>
                <w:lang w:val="en-US" w:eastAsia="zh-CN"/>
              </w:rPr>
              <w:t>3400</w:t>
            </w:r>
            <w:r>
              <w:rPr>
                <w:rFonts w:hint="eastAsia" w:asciiTheme="minorEastAsia" w:hAnsiTheme="minorEastAsia" w:eastAsiaTheme="minorEastAsia" w:cstheme="minorEastAsia"/>
                <w:spacing w:val="-2"/>
                <w:highlight w:val="none"/>
              </w:rPr>
              <w:t>吨（详见采购需求）</w:t>
            </w:r>
          </w:p>
        </w:tc>
      </w:tr>
      <w:tr w14:paraId="34688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7" w:hRule="atLeast"/>
        </w:trPr>
        <w:tc>
          <w:tcPr>
            <w:tcW w:w="735" w:type="dxa"/>
            <w:vAlign w:val="top"/>
          </w:tcPr>
          <w:p w14:paraId="6691DA16">
            <w:pPr>
              <w:spacing w:line="257" w:lineRule="auto"/>
              <w:outlineLvl w:val="9"/>
              <w:rPr>
                <w:rFonts w:hint="eastAsia" w:asciiTheme="minorEastAsia" w:hAnsiTheme="minorEastAsia" w:eastAsiaTheme="minorEastAsia" w:cstheme="minorEastAsia"/>
                <w:sz w:val="21"/>
                <w:highlight w:val="none"/>
              </w:rPr>
            </w:pPr>
          </w:p>
          <w:p w14:paraId="6E92C87C">
            <w:pPr>
              <w:spacing w:line="257" w:lineRule="auto"/>
              <w:outlineLvl w:val="9"/>
              <w:rPr>
                <w:rFonts w:hint="eastAsia" w:asciiTheme="minorEastAsia" w:hAnsiTheme="minorEastAsia" w:eastAsiaTheme="minorEastAsia" w:cstheme="minorEastAsia"/>
                <w:sz w:val="21"/>
                <w:highlight w:val="none"/>
              </w:rPr>
            </w:pPr>
          </w:p>
          <w:p w14:paraId="4825A932">
            <w:pPr>
              <w:spacing w:line="257" w:lineRule="auto"/>
              <w:outlineLvl w:val="9"/>
              <w:rPr>
                <w:rFonts w:hint="eastAsia" w:asciiTheme="minorEastAsia" w:hAnsiTheme="minorEastAsia" w:eastAsiaTheme="minorEastAsia" w:cstheme="minorEastAsia"/>
                <w:sz w:val="21"/>
                <w:highlight w:val="none"/>
              </w:rPr>
            </w:pPr>
          </w:p>
          <w:p w14:paraId="0CD43322">
            <w:pPr>
              <w:spacing w:line="258" w:lineRule="auto"/>
              <w:outlineLvl w:val="9"/>
              <w:rPr>
                <w:rFonts w:hint="eastAsia" w:asciiTheme="minorEastAsia" w:hAnsiTheme="minorEastAsia" w:eastAsiaTheme="minorEastAsia" w:cstheme="minorEastAsia"/>
                <w:sz w:val="21"/>
                <w:highlight w:val="none"/>
              </w:rPr>
            </w:pPr>
          </w:p>
          <w:p w14:paraId="1985DF47">
            <w:pPr>
              <w:spacing w:line="258" w:lineRule="auto"/>
              <w:outlineLvl w:val="9"/>
              <w:rPr>
                <w:rFonts w:hint="eastAsia" w:asciiTheme="minorEastAsia" w:hAnsiTheme="minorEastAsia" w:eastAsiaTheme="minorEastAsia" w:cstheme="minorEastAsia"/>
                <w:sz w:val="21"/>
                <w:highlight w:val="none"/>
              </w:rPr>
            </w:pPr>
          </w:p>
          <w:p w14:paraId="442A7657">
            <w:pPr>
              <w:spacing w:line="258" w:lineRule="auto"/>
              <w:outlineLvl w:val="9"/>
              <w:rPr>
                <w:rFonts w:hint="eastAsia" w:asciiTheme="minorEastAsia" w:hAnsiTheme="minorEastAsia" w:eastAsiaTheme="minorEastAsia" w:cstheme="minorEastAsia"/>
                <w:sz w:val="21"/>
                <w:highlight w:val="none"/>
              </w:rPr>
            </w:pPr>
          </w:p>
          <w:p w14:paraId="3B78F9B0">
            <w:pPr>
              <w:spacing w:line="258" w:lineRule="auto"/>
              <w:outlineLvl w:val="9"/>
              <w:rPr>
                <w:rFonts w:hint="eastAsia" w:asciiTheme="minorEastAsia" w:hAnsiTheme="minorEastAsia" w:eastAsiaTheme="minorEastAsia" w:cstheme="minorEastAsia"/>
                <w:sz w:val="21"/>
                <w:highlight w:val="none"/>
              </w:rPr>
            </w:pPr>
          </w:p>
          <w:p w14:paraId="60DFD8B9">
            <w:pPr>
              <w:spacing w:line="258" w:lineRule="auto"/>
              <w:outlineLvl w:val="9"/>
              <w:rPr>
                <w:rFonts w:hint="eastAsia" w:asciiTheme="minorEastAsia" w:hAnsiTheme="minorEastAsia" w:eastAsiaTheme="minorEastAsia" w:cstheme="minorEastAsia"/>
                <w:sz w:val="21"/>
                <w:highlight w:val="none"/>
              </w:rPr>
            </w:pPr>
          </w:p>
          <w:p w14:paraId="71176FE3">
            <w:pPr>
              <w:spacing w:line="258" w:lineRule="auto"/>
              <w:outlineLvl w:val="9"/>
              <w:rPr>
                <w:rFonts w:hint="eastAsia" w:asciiTheme="minorEastAsia" w:hAnsiTheme="minorEastAsia" w:eastAsiaTheme="minorEastAsia" w:cstheme="minorEastAsia"/>
                <w:sz w:val="21"/>
                <w:highlight w:val="none"/>
              </w:rPr>
            </w:pPr>
          </w:p>
          <w:p w14:paraId="1555B796">
            <w:pPr>
              <w:pStyle w:val="11"/>
              <w:spacing w:before="78" w:line="204" w:lineRule="auto"/>
              <w:ind w:left="296"/>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17"/>
                <w:highlight w:val="none"/>
              </w:rPr>
              <w:t>11</w:t>
            </w:r>
          </w:p>
        </w:tc>
        <w:tc>
          <w:tcPr>
            <w:tcW w:w="2439" w:type="dxa"/>
            <w:vAlign w:val="top"/>
          </w:tcPr>
          <w:p w14:paraId="7CAB51F7">
            <w:pPr>
              <w:spacing w:line="252" w:lineRule="auto"/>
              <w:outlineLvl w:val="9"/>
              <w:rPr>
                <w:rFonts w:hint="eastAsia" w:asciiTheme="minorEastAsia" w:hAnsiTheme="minorEastAsia" w:eastAsiaTheme="minorEastAsia" w:cstheme="minorEastAsia"/>
                <w:sz w:val="21"/>
                <w:highlight w:val="none"/>
              </w:rPr>
            </w:pPr>
          </w:p>
          <w:p w14:paraId="4121B706">
            <w:pPr>
              <w:spacing w:line="252" w:lineRule="auto"/>
              <w:outlineLvl w:val="9"/>
              <w:rPr>
                <w:rFonts w:hint="eastAsia" w:asciiTheme="minorEastAsia" w:hAnsiTheme="minorEastAsia" w:eastAsiaTheme="minorEastAsia" w:cstheme="minorEastAsia"/>
                <w:sz w:val="21"/>
                <w:highlight w:val="none"/>
              </w:rPr>
            </w:pPr>
          </w:p>
          <w:p w14:paraId="50A4DDF5">
            <w:pPr>
              <w:spacing w:line="252" w:lineRule="auto"/>
              <w:outlineLvl w:val="9"/>
              <w:rPr>
                <w:rFonts w:hint="eastAsia" w:asciiTheme="minorEastAsia" w:hAnsiTheme="minorEastAsia" w:eastAsiaTheme="minorEastAsia" w:cstheme="minorEastAsia"/>
                <w:sz w:val="21"/>
                <w:highlight w:val="none"/>
              </w:rPr>
            </w:pPr>
          </w:p>
          <w:p w14:paraId="69424973">
            <w:pPr>
              <w:spacing w:line="252" w:lineRule="auto"/>
              <w:outlineLvl w:val="9"/>
              <w:rPr>
                <w:rFonts w:hint="eastAsia" w:asciiTheme="minorEastAsia" w:hAnsiTheme="minorEastAsia" w:eastAsiaTheme="minorEastAsia" w:cstheme="minorEastAsia"/>
                <w:sz w:val="21"/>
                <w:highlight w:val="none"/>
              </w:rPr>
            </w:pPr>
          </w:p>
          <w:p w14:paraId="22B41DEC">
            <w:pPr>
              <w:spacing w:line="253" w:lineRule="auto"/>
              <w:outlineLvl w:val="9"/>
              <w:rPr>
                <w:rFonts w:hint="eastAsia" w:asciiTheme="minorEastAsia" w:hAnsiTheme="minorEastAsia" w:eastAsiaTheme="minorEastAsia" w:cstheme="minorEastAsia"/>
                <w:sz w:val="21"/>
                <w:highlight w:val="none"/>
              </w:rPr>
            </w:pPr>
          </w:p>
          <w:p w14:paraId="7DA79B07">
            <w:pPr>
              <w:spacing w:line="253" w:lineRule="auto"/>
              <w:outlineLvl w:val="9"/>
              <w:rPr>
                <w:rFonts w:hint="eastAsia" w:asciiTheme="minorEastAsia" w:hAnsiTheme="minorEastAsia" w:eastAsiaTheme="minorEastAsia" w:cstheme="minorEastAsia"/>
                <w:sz w:val="21"/>
                <w:highlight w:val="none"/>
              </w:rPr>
            </w:pPr>
          </w:p>
          <w:p w14:paraId="61E695C5">
            <w:pPr>
              <w:spacing w:line="253" w:lineRule="auto"/>
              <w:outlineLvl w:val="9"/>
              <w:rPr>
                <w:rFonts w:hint="eastAsia" w:asciiTheme="minorEastAsia" w:hAnsiTheme="minorEastAsia" w:eastAsiaTheme="minorEastAsia" w:cstheme="minorEastAsia"/>
                <w:sz w:val="21"/>
                <w:highlight w:val="none"/>
              </w:rPr>
            </w:pPr>
          </w:p>
          <w:p w14:paraId="01813C13">
            <w:pPr>
              <w:spacing w:line="253" w:lineRule="auto"/>
              <w:outlineLvl w:val="9"/>
              <w:rPr>
                <w:rFonts w:hint="eastAsia" w:asciiTheme="minorEastAsia" w:hAnsiTheme="minorEastAsia" w:eastAsiaTheme="minorEastAsia" w:cstheme="minorEastAsia"/>
                <w:sz w:val="21"/>
                <w:highlight w:val="none"/>
              </w:rPr>
            </w:pPr>
          </w:p>
          <w:p w14:paraId="7FCA15DF">
            <w:pPr>
              <w:pStyle w:val="11"/>
              <w:spacing w:before="91" w:line="223" w:lineRule="auto"/>
              <w:ind w:left="13"/>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6"/>
                <w:sz w:val="28"/>
                <w:szCs w:val="28"/>
                <w:highlight w:val="none"/>
              </w:rPr>
              <w:t>★</w:t>
            </w:r>
            <w:r>
              <w:rPr>
                <w:rFonts w:hint="eastAsia" w:asciiTheme="minorEastAsia" w:hAnsiTheme="minorEastAsia" w:eastAsiaTheme="minorEastAsia" w:cstheme="minorEastAsia"/>
                <w:b/>
                <w:bCs/>
                <w:spacing w:val="-6"/>
                <w:highlight w:val="none"/>
              </w:rPr>
              <w:t>投标人资格要求</w:t>
            </w:r>
          </w:p>
        </w:tc>
        <w:tc>
          <w:tcPr>
            <w:tcW w:w="6756" w:type="dxa"/>
            <w:vAlign w:val="top"/>
          </w:tcPr>
          <w:p w14:paraId="1810C2F0">
            <w:pPr>
              <w:pStyle w:val="11"/>
              <w:spacing w:before="117" w:line="219" w:lineRule="auto"/>
              <w:ind w:left="158"/>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b/>
                <w:bCs/>
                <w:spacing w:val="-5"/>
                <w:highlight w:val="none"/>
              </w:rPr>
              <w:t>1.满足《中华人民共和国政府采购法》第二十二条规定。</w:t>
            </w:r>
          </w:p>
          <w:p w14:paraId="7E29685F">
            <w:pPr>
              <w:pStyle w:val="11"/>
              <w:spacing w:before="111" w:line="219" w:lineRule="auto"/>
              <w:ind w:left="120"/>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2"/>
                <w:highlight w:val="none"/>
              </w:rPr>
              <w:t>对应提交材料：</w:t>
            </w:r>
          </w:p>
          <w:p w14:paraId="0534BF30">
            <w:pPr>
              <w:pStyle w:val="11"/>
              <w:spacing w:before="107" w:line="219" w:lineRule="auto"/>
              <w:ind w:left="130"/>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3"/>
                <w:highlight w:val="none"/>
              </w:rPr>
              <w:t>一、具有独立承担民事责任的能力：</w:t>
            </w:r>
          </w:p>
          <w:p w14:paraId="13C383BA">
            <w:pPr>
              <w:pStyle w:val="11"/>
              <w:spacing w:before="43" w:line="233" w:lineRule="auto"/>
              <w:ind w:left="120" w:right="113" w:firstLine="37"/>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1.供应商为法人的，提供营业执照或法人登记证或批准文</w:t>
            </w:r>
            <w:r>
              <w:rPr>
                <w:rFonts w:hint="eastAsia" w:asciiTheme="minorEastAsia" w:hAnsiTheme="minorEastAsia" w:eastAsiaTheme="minorEastAsia" w:cstheme="minorEastAsia"/>
                <w:spacing w:val="-1"/>
                <w:highlight w:val="none"/>
              </w:rPr>
              <w:t>件原</w:t>
            </w:r>
            <w:r>
              <w:rPr>
                <w:rFonts w:hint="eastAsia" w:asciiTheme="minorEastAsia" w:hAnsiTheme="minorEastAsia" w:eastAsiaTheme="minorEastAsia" w:cstheme="minorEastAsia"/>
                <w:spacing w:val="-3"/>
                <w:highlight w:val="none"/>
              </w:rPr>
              <w:t>件扫描件；</w:t>
            </w:r>
          </w:p>
          <w:p w14:paraId="45752B60">
            <w:pPr>
              <w:pStyle w:val="11"/>
              <w:spacing w:before="15" w:line="219" w:lineRule="auto"/>
              <w:ind w:left="129"/>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1"/>
                <w:highlight w:val="none"/>
              </w:rPr>
              <w:t>2.供应商为其他组织的，提供依法登记证书原件扫描件；</w:t>
            </w:r>
          </w:p>
          <w:p w14:paraId="1D61557D">
            <w:pPr>
              <w:pStyle w:val="11"/>
              <w:spacing w:before="44" w:line="219" w:lineRule="auto"/>
              <w:ind w:left="131"/>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3.供应商为个体工商户的，提供个体工商户营业执照原件扫描</w:t>
            </w:r>
          </w:p>
        </w:tc>
      </w:tr>
    </w:tbl>
    <w:p w14:paraId="3918FDAC">
      <w:pPr>
        <w:pStyle w:val="2"/>
        <w:outlineLvl w:val="9"/>
        <w:rPr>
          <w:highlight w:val="none"/>
        </w:rPr>
      </w:pPr>
    </w:p>
    <w:p w14:paraId="7D0030DB">
      <w:pPr>
        <w:outlineLvl w:val="9"/>
        <w:rPr>
          <w:highlight w:val="none"/>
        </w:rPr>
        <w:sectPr>
          <w:footerReference r:id="rId10" w:type="default"/>
          <w:pgSz w:w="11850" w:h="16781"/>
          <w:pgMar w:top="1426" w:right="957" w:bottom="1011" w:left="956" w:header="0" w:footer="766" w:gutter="0"/>
          <w:pgNumType w:fmt="decimal"/>
          <w:cols w:space="720" w:num="1"/>
        </w:sectPr>
      </w:pPr>
    </w:p>
    <w:p w14:paraId="7E3066D7">
      <w:pPr>
        <w:spacing w:line="142" w:lineRule="auto"/>
        <w:outlineLvl w:val="9"/>
        <w:rPr>
          <w:rFonts w:ascii="Arial"/>
          <w:sz w:val="2"/>
          <w:highlight w:val="none"/>
        </w:rPr>
      </w:pPr>
    </w:p>
    <w:tbl>
      <w:tblPr>
        <w:tblStyle w:val="10"/>
        <w:tblW w:w="99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5"/>
        <w:gridCol w:w="2439"/>
        <w:gridCol w:w="6756"/>
      </w:tblGrid>
      <w:tr w14:paraId="65664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36" w:hRule="atLeast"/>
        </w:trPr>
        <w:tc>
          <w:tcPr>
            <w:tcW w:w="735" w:type="dxa"/>
            <w:vAlign w:val="top"/>
          </w:tcPr>
          <w:p w14:paraId="5F4B5539">
            <w:pPr>
              <w:outlineLvl w:val="9"/>
              <w:rPr>
                <w:rFonts w:hint="eastAsia" w:asciiTheme="minorEastAsia" w:hAnsiTheme="minorEastAsia" w:eastAsiaTheme="minorEastAsia" w:cstheme="minorEastAsia"/>
                <w:sz w:val="21"/>
                <w:highlight w:val="none"/>
              </w:rPr>
            </w:pPr>
          </w:p>
        </w:tc>
        <w:tc>
          <w:tcPr>
            <w:tcW w:w="2439" w:type="dxa"/>
            <w:vAlign w:val="top"/>
          </w:tcPr>
          <w:p w14:paraId="134B4AC7">
            <w:pPr>
              <w:outlineLvl w:val="9"/>
              <w:rPr>
                <w:rFonts w:hint="eastAsia" w:asciiTheme="minorEastAsia" w:hAnsiTheme="minorEastAsia" w:eastAsiaTheme="minorEastAsia" w:cstheme="minorEastAsia"/>
                <w:sz w:val="21"/>
                <w:highlight w:val="none"/>
              </w:rPr>
            </w:pPr>
          </w:p>
        </w:tc>
        <w:tc>
          <w:tcPr>
            <w:tcW w:w="6756" w:type="dxa"/>
            <w:vAlign w:val="top"/>
          </w:tcPr>
          <w:p w14:paraId="79FCDCAB">
            <w:pPr>
              <w:pStyle w:val="11"/>
              <w:spacing w:before="27" w:line="219" w:lineRule="auto"/>
              <w:ind w:left="120"/>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5"/>
                <w:highlight w:val="none"/>
              </w:rPr>
              <w:t>件。</w:t>
            </w:r>
          </w:p>
          <w:p w14:paraId="3E14405F">
            <w:pPr>
              <w:pStyle w:val="11"/>
              <w:spacing w:before="35" w:line="219" w:lineRule="auto"/>
              <w:ind w:left="130"/>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2"/>
                <w:highlight w:val="none"/>
              </w:rPr>
              <w:t>二、具有良好的商业信誉和健全的财务会计制度：</w:t>
            </w:r>
          </w:p>
          <w:p w14:paraId="4F6C04F6">
            <w:pPr>
              <w:pStyle w:val="11"/>
              <w:spacing w:before="51" w:line="242" w:lineRule="auto"/>
              <w:ind w:left="123" w:right="108" w:firstLine="1"/>
              <w:jc w:val="both"/>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1"/>
                <w:highlight w:val="none"/>
              </w:rPr>
              <w:t>提供2025年财务审计报告或财务报表(成立不足一年提供成立</w:t>
            </w:r>
            <w:r>
              <w:rPr>
                <w:rFonts w:hint="eastAsia" w:asciiTheme="minorEastAsia" w:hAnsiTheme="minorEastAsia" w:eastAsiaTheme="minorEastAsia" w:cstheme="minorEastAsia"/>
                <w:spacing w:val="1"/>
                <w:highlight w:val="none"/>
              </w:rPr>
              <w:t>至今财务报表，至少包含资产负债表）或提供其基本开户银行在投标截止日前</w:t>
            </w:r>
            <w:r>
              <w:rPr>
                <w:rFonts w:hint="eastAsia" w:asciiTheme="minorEastAsia" w:hAnsiTheme="minorEastAsia" w:eastAsiaTheme="minorEastAsia" w:cstheme="minorEastAsia"/>
                <w:spacing w:val="-1"/>
                <w:highlight w:val="none"/>
              </w:rPr>
              <w:t>。</w:t>
            </w:r>
          </w:p>
          <w:p w14:paraId="0D60F7C7">
            <w:pPr>
              <w:pStyle w:val="11"/>
              <w:spacing w:before="2" w:line="226" w:lineRule="auto"/>
              <w:ind w:left="124" w:right="161"/>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1"/>
                <w:highlight w:val="none"/>
              </w:rPr>
              <w:t>三、具有履行合同所必需的设备和专业技术能力：《供应商具有履行合同所必需的设备和专业技术能力提供声明函》</w:t>
            </w:r>
          </w:p>
          <w:p w14:paraId="7981D481">
            <w:pPr>
              <w:pStyle w:val="11"/>
              <w:spacing w:before="105" w:line="219" w:lineRule="auto"/>
              <w:ind w:left="149"/>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5"/>
                <w:highlight w:val="none"/>
              </w:rPr>
              <w:t>四、有依法缴纳税收和社会保障资金的良好</w:t>
            </w:r>
            <w:r>
              <w:rPr>
                <w:rFonts w:hint="eastAsia" w:asciiTheme="minorEastAsia" w:hAnsiTheme="minorEastAsia" w:eastAsiaTheme="minorEastAsia" w:cstheme="minorEastAsia"/>
                <w:spacing w:val="-6"/>
                <w:highlight w:val="none"/>
              </w:rPr>
              <w:t>记录：</w:t>
            </w:r>
          </w:p>
          <w:p w14:paraId="25A748AD">
            <w:pPr>
              <w:pStyle w:val="11"/>
              <w:spacing w:before="179" w:line="287" w:lineRule="auto"/>
              <w:ind w:left="141" w:right="141" w:firstLine="2"/>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5"/>
                <w:highlight w:val="none"/>
              </w:rPr>
              <w:t>1、提供投标截止日前近半年任意一个月完税证明；依法免税的</w:t>
            </w:r>
            <w:r>
              <w:rPr>
                <w:rFonts w:hint="eastAsia" w:asciiTheme="minorEastAsia" w:hAnsiTheme="minorEastAsia" w:eastAsiaTheme="minorEastAsia" w:cstheme="minorEastAsia"/>
                <w:spacing w:val="-8"/>
                <w:highlight w:val="none"/>
              </w:rPr>
              <w:t>,应提供相应文件（扫描件）证明其依法免税。</w:t>
            </w:r>
          </w:p>
          <w:p w14:paraId="6AC8D5E2">
            <w:pPr>
              <w:pStyle w:val="11"/>
              <w:spacing w:before="91" w:line="286" w:lineRule="auto"/>
              <w:ind w:left="119" w:right="141" w:firstLine="9"/>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5"/>
                <w:highlight w:val="none"/>
              </w:rPr>
              <w:t>2、提供投标截止日前近半年任意一个月盖有社保局公章的社保</w:t>
            </w:r>
            <w:r>
              <w:rPr>
                <w:rFonts w:hint="eastAsia" w:asciiTheme="minorEastAsia" w:hAnsiTheme="minorEastAsia" w:eastAsiaTheme="minorEastAsia" w:cstheme="minorEastAsia"/>
                <w:spacing w:val="-4"/>
                <w:highlight w:val="none"/>
              </w:rPr>
              <w:t>缴纳证明（社保缴纳证明中含法定代表人或授权委托</w:t>
            </w:r>
            <w:r>
              <w:rPr>
                <w:rFonts w:hint="eastAsia" w:asciiTheme="minorEastAsia" w:hAnsiTheme="minorEastAsia" w:eastAsiaTheme="minorEastAsia" w:cstheme="minorEastAsia"/>
                <w:spacing w:val="-5"/>
                <w:highlight w:val="none"/>
              </w:rPr>
              <w:t>人的社保明细</w:t>
            </w:r>
            <w:r>
              <w:rPr>
                <w:rFonts w:hint="eastAsia" w:asciiTheme="minorEastAsia" w:hAnsiTheme="minorEastAsia" w:eastAsiaTheme="minorEastAsia" w:cstheme="minorEastAsia"/>
                <w:spacing w:val="6"/>
                <w:highlight w:val="none"/>
              </w:rPr>
              <w:t>）；</w:t>
            </w:r>
            <w:r>
              <w:rPr>
                <w:rFonts w:hint="eastAsia" w:asciiTheme="minorEastAsia" w:hAnsiTheme="minorEastAsia" w:eastAsiaTheme="minorEastAsia" w:cstheme="minorEastAsia"/>
                <w:spacing w:val="-5"/>
                <w:highlight w:val="none"/>
              </w:rPr>
              <w:t>依法不需要缴纳社会保险的，应提供相应文件（扫描</w:t>
            </w:r>
            <w:r>
              <w:rPr>
                <w:rFonts w:hint="eastAsia" w:asciiTheme="minorEastAsia" w:hAnsiTheme="minorEastAsia" w:eastAsiaTheme="minorEastAsia" w:cstheme="minorEastAsia"/>
                <w:spacing w:val="-4"/>
                <w:highlight w:val="none"/>
              </w:rPr>
              <w:t>件）证明其依法不需要缴纳社会保险。</w:t>
            </w:r>
          </w:p>
          <w:p w14:paraId="11CB0536">
            <w:pPr>
              <w:pStyle w:val="11"/>
              <w:spacing w:before="90" w:line="286" w:lineRule="auto"/>
              <w:ind w:left="120" w:right="257" w:firstLine="9"/>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5"/>
                <w:highlight w:val="none"/>
              </w:rPr>
              <w:t>五、参加政府采购活动前三年内，在经营活动中没有重大违法</w:t>
            </w:r>
            <w:r>
              <w:rPr>
                <w:rFonts w:hint="eastAsia" w:asciiTheme="minorEastAsia" w:hAnsiTheme="minorEastAsia" w:eastAsiaTheme="minorEastAsia" w:cstheme="minorEastAsia"/>
                <w:spacing w:val="-4"/>
                <w:highlight w:val="none"/>
              </w:rPr>
              <w:t>记录：提供书面声明。</w:t>
            </w:r>
          </w:p>
          <w:p w14:paraId="6E588B94">
            <w:pPr>
              <w:pStyle w:val="11"/>
              <w:spacing w:before="90" w:line="288" w:lineRule="auto"/>
              <w:ind w:left="124" w:right="259" w:firstLine="3"/>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5"/>
                <w:highlight w:val="none"/>
              </w:rPr>
              <w:t>六、符合法律、行政法规规定的其他条件：提供①单位负责人为同一人或者存在直接控股、管理关系的不同供应商不得参加同一合同项下的政府采购活动的《声明函》；提供②为采购项目提供整体设计、规范编制或者项目管理、监理、检测等服务的供应商，不得再参加该采购项目的其他采购活动的《声明函</w:t>
            </w:r>
            <w:r>
              <w:rPr>
                <w:rFonts w:hint="eastAsia" w:asciiTheme="minorEastAsia" w:hAnsiTheme="minorEastAsia" w:eastAsiaTheme="minorEastAsia" w:cstheme="minorEastAsia"/>
                <w:highlight w:val="none"/>
              </w:rPr>
              <w:t>》</w:t>
            </w:r>
          </w:p>
          <w:p w14:paraId="4C70CC12">
            <w:pPr>
              <w:pStyle w:val="11"/>
              <w:spacing w:before="73" w:line="219" w:lineRule="auto"/>
              <w:ind w:left="125"/>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6"/>
                <w:highlight w:val="none"/>
              </w:rPr>
              <w:t>七、其他要求：供应商存在“信用中国”</w:t>
            </w:r>
          </w:p>
          <w:p w14:paraId="457B755D">
            <w:pPr>
              <w:pStyle w:val="11"/>
              <w:spacing w:before="50" w:line="287" w:lineRule="auto"/>
              <w:ind w:left="123" w:right="173" w:firstLine="16"/>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7"/>
                <w:highlight w:val="none"/>
              </w:rPr>
              <w:t>网站（</w:t>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HYPERLINK "https://www.creditchina.gov.cn"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spacing w:val="-7"/>
                <w:highlight w:val="none"/>
              </w:rPr>
              <w:t>www.creditchina.gov.cn</w:t>
            </w:r>
            <w:r>
              <w:rPr>
                <w:rFonts w:hint="eastAsia" w:asciiTheme="minorEastAsia" w:hAnsiTheme="minorEastAsia" w:eastAsiaTheme="minorEastAsia" w:cstheme="minorEastAsia"/>
                <w:spacing w:val="-7"/>
                <w:highlight w:val="none"/>
              </w:rPr>
              <w:fldChar w:fldCharType="end"/>
            </w:r>
            <w:r>
              <w:rPr>
                <w:rFonts w:hint="eastAsia" w:asciiTheme="minorEastAsia" w:hAnsiTheme="minorEastAsia" w:eastAsiaTheme="minorEastAsia" w:cstheme="minorEastAsia"/>
                <w:spacing w:val="-7"/>
                <w:highlight w:val="none"/>
              </w:rPr>
              <w:t>）、中国政府采购</w:t>
            </w:r>
            <w:r>
              <w:rPr>
                <w:rFonts w:hint="eastAsia" w:asciiTheme="minorEastAsia" w:hAnsiTheme="minorEastAsia" w:eastAsiaTheme="minorEastAsia" w:cstheme="minorEastAsia"/>
                <w:spacing w:val="-4"/>
                <w:highlight w:val="none"/>
              </w:rPr>
              <w:t>网（</w:t>
            </w:r>
            <w:r>
              <w:rPr>
                <w:rFonts w:hint="eastAsia" w:asciiTheme="minorEastAsia" w:hAnsiTheme="minorEastAsia" w:eastAsiaTheme="minorEastAsia" w:cstheme="minorEastAsia"/>
                <w:highlight w:val="none"/>
              </w:rPr>
              <w:fldChar w:fldCharType="begin"/>
            </w:r>
            <w:r>
              <w:rPr>
                <w:rFonts w:hint="eastAsia" w:asciiTheme="minorEastAsia" w:hAnsiTheme="minorEastAsia" w:eastAsiaTheme="minorEastAsia" w:cstheme="minorEastAsia"/>
                <w:highlight w:val="none"/>
              </w:rPr>
              <w:instrText xml:space="preserve"> HYPERLINK "https://www.ccgp.gov.cn" </w:instrText>
            </w:r>
            <w:r>
              <w:rPr>
                <w:rFonts w:hint="eastAsia" w:asciiTheme="minorEastAsia" w:hAnsiTheme="minorEastAsia" w:eastAsiaTheme="minorEastAsia" w:cstheme="minorEastAsia"/>
                <w:highlight w:val="none"/>
              </w:rPr>
              <w:fldChar w:fldCharType="separate"/>
            </w:r>
            <w:r>
              <w:rPr>
                <w:rFonts w:hint="eastAsia" w:asciiTheme="minorEastAsia" w:hAnsiTheme="minorEastAsia" w:eastAsiaTheme="minorEastAsia" w:cstheme="minorEastAsia"/>
                <w:spacing w:val="-4"/>
                <w:highlight w:val="none"/>
              </w:rPr>
              <w:t>www.ccgp.gov.cn</w:t>
            </w:r>
            <w:r>
              <w:rPr>
                <w:rFonts w:hint="eastAsia" w:asciiTheme="minorEastAsia" w:hAnsiTheme="minorEastAsia" w:eastAsiaTheme="minorEastAsia" w:cstheme="minorEastAsia"/>
                <w:spacing w:val="-4"/>
                <w:highlight w:val="none"/>
              </w:rPr>
              <w:fldChar w:fldCharType="end"/>
            </w:r>
            <w:r>
              <w:rPr>
                <w:rFonts w:hint="eastAsia" w:asciiTheme="minorEastAsia" w:hAnsiTheme="minorEastAsia" w:eastAsiaTheme="minorEastAsia" w:cstheme="minorEastAsia"/>
                <w:spacing w:val="-4"/>
                <w:highlight w:val="none"/>
              </w:rPr>
              <w:t>）中被列入失信被执行人</w:t>
            </w:r>
            <w:r>
              <w:rPr>
                <w:rFonts w:hint="eastAsia" w:asciiTheme="minorEastAsia" w:hAnsiTheme="minorEastAsia" w:eastAsiaTheme="minorEastAsia" w:cstheme="minorEastAsia"/>
                <w:spacing w:val="-5"/>
                <w:highlight w:val="none"/>
              </w:rPr>
              <w:t>、重大税收违法</w:t>
            </w:r>
            <w:r>
              <w:rPr>
                <w:rFonts w:hint="eastAsia" w:asciiTheme="minorEastAsia" w:hAnsiTheme="minorEastAsia" w:eastAsiaTheme="minorEastAsia" w:cstheme="minorEastAsia"/>
                <w:spacing w:val="-4"/>
                <w:highlight w:val="none"/>
              </w:rPr>
              <w:t>案件当事人名单、政府采购严重违法失信行</w:t>
            </w:r>
            <w:r>
              <w:rPr>
                <w:rFonts w:hint="eastAsia" w:asciiTheme="minorEastAsia" w:hAnsiTheme="minorEastAsia" w:eastAsiaTheme="minorEastAsia" w:cstheme="minorEastAsia"/>
                <w:spacing w:val="-5"/>
                <w:highlight w:val="none"/>
              </w:rPr>
              <w:t>为记录名单的禁止</w:t>
            </w:r>
            <w:r>
              <w:rPr>
                <w:rFonts w:hint="eastAsia" w:asciiTheme="minorEastAsia" w:hAnsiTheme="minorEastAsia" w:eastAsiaTheme="minorEastAsia" w:cstheme="minorEastAsia"/>
                <w:spacing w:val="-4"/>
                <w:highlight w:val="none"/>
              </w:rPr>
              <w:t>参与参与本项目，响应文件无效。（由代理</w:t>
            </w:r>
            <w:r>
              <w:rPr>
                <w:rFonts w:hint="eastAsia" w:asciiTheme="minorEastAsia" w:hAnsiTheme="minorEastAsia" w:eastAsiaTheme="minorEastAsia" w:cstheme="minorEastAsia"/>
                <w:spacing w:val="-5"/>
                <w:highlight w:val="none"/>
              </w:rPr>
              <w:t>机构或采购人自行</w:t>
            </w:r>
            <w:r>
              <w:rPr>
                <w:rFonts w:hint="eastAsia" w:asciiTheme="minorEastAsia" w:hAnsiTheme="minorEastAsia" w:eastAsiaTheme="minorEastAsia" w:cstheme="minorEastAsia"/>
                <w:spacing w:val="-6"/>
                <w:highlight w:val="none"/>
              </w:rPr>
              <w:t>查询）</w:t>
            </w:r>
          </w:p>
          <w:p w14:paraId="5BBCA392">
            <w:pPr>
              <w:pStyle w:val="11"/>
              <w:spacing w:before="123" w:line="286" w:lineRule="auto"/>
              <w:ind w:left="123" w:right="259" w:firstLine="6"/>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5"/>
                <w:highlight w:val="none"/>
              </w:rPr>
              <w:t>八、法定代表人身份证明及授权委托书（格式见附件三</w:t>
            </w:r>
            <w:r>
              <w:rPr>
                <w:rFonts w:hint="eastAsia" w:asciiTheme="minorEastAsia" w:hAnsiTheme="minorEastAsia" w:eastAsiaTheme="minorEastAsia" w:cstheme="minorEastAsia"/>
                <w:spacing w:val="2"/>
                <w:highlight w:val="none"/>
              </w:rPr>
              <w:t>），</w:t>
            </w:r>
            <w:r>
              <w:rPr>
                <w:rFonts w:hint="eastAsia" w:asciiTheme="minorEastAsia" w:hAnsiTheme="minorEastAsia" w:eastAsiaTheme="minorEastAsia" w:cstheme="minorEastAsia"/>
                <w:spacing w:val="-5"/>
                <w:highlight w:val="none"/>
              </w:rPr>
              <w:t>法</w:t>
            </w:r>
            <w:r>
              <w:rPr>
                <w:rFonts w:hint="eastAsia" w:asciiTheme="minorEastAsia" w:hAnsiTheme="minorEastAsia" w:eastAsiaTheme="minorEastAsia" w:cstheme="minorEastAsia"/>
                <w:spacing w:val="-4"/>
                <w:highlight w:val="none"/>
              </w:rPr>
              <w:t>人代表或其委托代理人应提交本人身份证，</w:t>
            </w:r>
            <w:r>
              <w:rPr>
                <w:rFonts w:hint="eastAsia" w:asciiTheme="minorEastAsia" w:hAnsiTheme="minorEastAsia" w:eastAsiaTheme="minorEastAsia" w:cstheme="minorEastAsia"/>
                <w:spacing w:val="-5"/>
                <w:highlight w:val="none"/>
              </w:rPr>
              <w:t>委托代理人还应提交《法人代表授权委托书》</w:t>
            </w:r>
          </w:p>
          <w:p w14:paraId="4969DAE8">
            <w:pPr>
              <w:pStyle w:val="11"/>
              <w:spacing w:before="178" w:line="273" w:lineRule="auto"/>
              <w:ind w:left="213" w:right="180" w:firstLine="7"/>
              <w:jc w:val="both"/>
              <w:outlineLvl w:val="9"/>
              <w:rPr>
                <w:rFonts w:hint="eastAsia" w:asciiTheme="minorEastAsia" w:hAnsiTheme="minorEastAsia" w:eastAsiaTheme="minorEastAsia" w:cstheme="minorEastAsia"/>
                <w:spacing w:val="-21"/>
                <w:highlight w:val="none"/>
              </w:rPr>
            </w:pPr>
            <w:r>
              <w:rPr>
                <w:rFonts w:hint="eastAsia" w:asciiTheme="minorEastAsia" w:hAnsiTheme="minorEastAsia" w:eastAsiaTheme="minorEastAsia" w:cstheme="minorEastAsia"/>
                <w:spacing w:val="-4"/>
                <w:highlight w:val="none"/>
              </w:rPr>
              <w:t>2.</w:t>
            </w:r>
            <w:r>
              <w:rPr>
                <w:rFonts w:hint="eastAsia" w:asciiTheme="minorEastAsia" w:hAnsiTheme="minorEastAsia" w:eastAsiaTheme="minorEastAsia" w:cstheme="minorEastAsia"/>
                <w:b/>
                <w:bCs/>
                <w:spacing w:val="-4"/>
                <w:highlight w:val="none"/>
              </w:rPr>
              <w:t>落实政府采购政策需满足的资格要求</w:t>
            </w:r>
            <w:r>
              <w:rPr>
                <w:rFonts w:hint="eastAsia" w:asciiTheme="minorEastAsia" w:hAnsiTheme="minorEastAsia" w:eastAsiaTheme="minorEastAsia" w:cstheme="minorEastAsia"/>
                <w:spacing w:val="-21"/>
                <w:highlight w:val="none"/>
              </w:rPr>
              <w:t>：</w:t>
            </w:r>
          </w:p>
          <w:p w14:paraId="0FA2F5B0">
            <w:pPr>
              <w:pStyle w:val="11"/>
              <w:spacing w:before="178" w:line="273" w:lineRule="auto"/>
              <w:ind w:left="213" w:right="180" w:firstLine="7"/>
              <w:jc w:val="both"/>
              <w:outlineLvl w:val="9"/>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21"/>
                <w:highlight w:val="none"/>
              </w:rPr>
              <w:t>（</w:t>
            </w:r>
            <w:r>
              <w:rPr>
                <w:rFonts w:hint="eastAsia" w:asciiTheme="minorEastAsia" w:hAnsiTheme="minorEastAsia" w:eastAsiaTheme="minorEastAsia" w:cstheme="minorEastAsia"/>
                <w:spacing w:val="-4"/>
                <w:highlight w:val="none"/>
              </w:rPr>
              <w:t>1）</w:t>
            </w:r>
            <w:r>
              <w:rPr>
                <w:rFonts w:hint="eastAsia" w:asciiTheme="minorEastAsia" w:hAnsiTheme="minorEastAsia" w:eastAsiaTheme="minorEastAsia" w:cstheme="minorEastAsia"/>
                <w:spacing w:val="-5"/>
                <w:highlight w:val="none"/>
              </w:rPr>
              <w:t>《政府采购促</w:t>
            </w:r>
            <w:r>
              <w:rPr>
                <w:rFonts w:hint="eastAsia" w:asciiTheme="minorEastAsia" w:hAnsiTheme="minorEastAsia" w:eastAsiaTheme="minorEastAsia" w:cstheme="minorEastAsia"/>
                <w:spacing w:val="-4"/>
                <w:highlight w:val="none"/>
              </w:rPr>
              <w:t>进中小企业发展管理办法》（财库〔2020〕46号）及</w:t>
            </w:r>
            <w:r>
              <w:rPr>
                <w:rFonts w:hint="eastAsia" w:asciiTheme="minorEastAsia" w:hAnsiTheme="minorEastAsia" w:eastAsiaTheme="minorEastAsia" w:cstheme="minorEastAsia"/>
                <w:spacing w:val="-5"/>
                <w:highlight w:val="none"/>
              </w:rPr>
              <w:t>《关于进</w:t>
            </w:r>
            <w:r>
              <w:rPr>
                <w:rFonts w:hint="eastAsia" w:asciiTheme="minorEastAsia" w:hAnsiTheme="minorEastAsia" w:eastAsiaTheme="minorEastAsia" w:cstheme="minorEastAsia"/>
                <w:spacing w:val="-6"/>
                <w:highlight w:val="none"/>
              </w:rPr>
              <w:t>一步加大政府采购支持中小企业力度的通知》（财库〔2022〕</w:t>
            </w:r>
          </w:p>
        </w:tc>
      </w:tr>
    </w:tbl>
    <w:p w14:paraId="33B115F0">
      <w:pPr>
        <w:pStyle w:val="2"/>
        <w:outlineLvl w:val="9"/>
        <w:rPr>
          <w:highlight w:val="none"/>
        </w:rPr>
      </w:pPr>
    </w:p>
    <w:p w14:paraId="44FAEB98">
      <w:pPr>
        <w:outlineLvl w:val="9"/>
        <w:rPr>
          <w:highlight w:val="none"/>
        </w:rPr>
        <w:sectPr>
          <w:footerReference r:id="rId11" w:type="default"/>
          <w:pgSz w:w="11850" w:h="16781"/>
          <w:pgMar w:top="1426" w:right="957" w:bottom="1011" w:left="956" w:header="0" w:footer="766" w:gutter="0"/>
          <w:pgNumType w:fmt="decimal"/>
          <w:cols w:space="720" w:num="1"/>
        </w:sectPr>
      </w:pPr>
    </w:p>
    <w:p w14:paraId="08608B74">
      <w:pPr>
        <w:spacing w:line="142" w:lineRule="auto"/>
        <w:outlineLvl w:val="9"/>
        <w:rPr>
          <w:rFonts w:ascii="Arial"/>
          <w:sz w:val="2"/>
          <w:highlight w:val="none"/>
        </w:rPr>
      </w:pPr>
    </w:p>
    <w:tbl>
      <w:tblPr>
        <w:tblStyle w:val="10"/>
        <w:tblW w:w="99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5"/>
        <w:gridCol w:w="2439"/>
        <w:gridCol w:w="6756"/>
      </w:tblGrid>
      <w:tr w14:paraId="1CFD3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88" w:hRule="atLeast"/>
        </w:trPr>
        <w:tc>
          <w:tcPr>
            <w:tcW w:w="735" w:type="dxa"/>
            <w:vAlign w:val="top"/>
          </w:tcPr>
          <w:p w14:paraId="2059B573">
            <w:pPr>
              <w:outlineLvl w:val="9"/>
              <w:rPr>
                <w:rFonts w:ascii="Arial"/>
                <w:sz w:val="21"/>
                <w:highlight w:val="none"/>
              </w:rPr>
            </w:pPr>
          </w:p>
        </w:tc>
        <w:tc>
          <w:tcPr>
            <w:tcW w:w="2439" w:type="dxa"/>
            <w:vAlign w:val="top"/>
          </w:tcPr>
          <w:p w14:paraId="2F177651">
            <w:pPr>
              <w:outlineLvl w:val="9"/>
              <w:rPr>
                <w:rFonts w:ascii="Arial"/>
                <w:sz w:val="21"/>
                <w:highlight w:val="none"/>
              </w:rPr>
            </w:pPr>
          </w:p>
        </w:tc>
        <w:tc>
          <w:tcPr>
            <w:tcW w:w="6756" w:type="dxa"/>
            <w:vAlign w:val="top"/>
          </w:tcPr>
          <w:p w14:paraId="65133EFB">
            <w:pPr>
              <w:pStyle w:val="11"/>
              <w:spacing w:before="27" w:line="286" w:lineRule="auto"/>
              <w:ind w:left="214" w:right="168" w:firstLine="18"/>
              <w:outlineLvl w:val="9"/>
              <w:rPr>
                <w:highlight w:val="none"/>
              </w:rPr>
            </w:pPr>
            <w:r>
              <w:rPr>
                <w:spacing w:val="-4"/>
                <w:highlight w:val="none"/>
              </w:rPr>
              <w:t>19号</w:t>
            </w:r>
            <w:r>
              <w:rPr>
                <w:spacing w:val="-12"/>
                <w:highlight w:val="none"/>
              </w:rPr>
              <w:t>）；（</w:t>
            </w:r>
            <w:r>
              <w:rPr>
                <w:spacing w:val="-4"/>
                <w:highlight w:val="none"/>
              </w:rPr>
              <w:t>2）《财政部、司法部关于政府采购支持监狱企业</w:t>
            </w:r>
            <w:r>
              <w:rPr>
                <w:spacing w:val="-3"/>
                <w:highlight w:val="none"/>
              </w:rPr>
              <w:t>发展有关问题的通知》（财库〔2014〕68号</w:t>
            </w:r>
            <w:r>
              <w:rPr>
                <w:spacing w:val="-16"/>
                <w:highlight w:val="none"/>
              </w:rPr>
              <w:t>）；（</w:t>
            </w:r>
            <w:r>
              <w:rPr>
                <w:spacing w:val="-3"/>
                <w:highlight w:val="none"/>
              </w:rPr>
              <w:t>3）《财</w:t>
            </w:r>
            <w:r>
              <w:rPr>
                <w:spacing w:val="-4"/>
                <w:highlight w:val="none"/>
              </w:rPr>
              <w:t>政部民政部中国残疾人联合会关于促进残疾人</w:t>
            </w:r>
            <w:r>
              <w:rPr>
                <w:spacing w:val="-5"/>
                <w:highlight w:val="none"/>
              </w:rPr>
              <w:t>就业政府采购</w:t>
            </w:r>
            <w:r>
              <w:rPr>
                <w:spacing w:val="-4"/>
                <w:highlight w:val="none"/>
              </w:rPr>
              <w:t>政策的通知》财库〔2017〕141号。（4）财政</w:t>
            </w:r>
            <w:r>
              <w:rPr>
                <w:spacing w:val="-5"/>
                <w:highlight w:val="none"/>
              </w:rPr>
              <w:t>部、国家发展</w:t>
            </w:r>
            <w:r>
              <w:rPr>
                <w:spacing w:val="-4"/>
                <w:highlight w:val="none"/>
              </w:rPr>
              <w:t>改革委、生态环境部、市场监管总局《关于调整优</w:t>
            </w:r>
            <w:r>
              <w:rPr>
                <w:spacing w:val="-5"/>
                <w:highlight w:val="none"/>
              </w:rPr>
              <w:t>化节能产品</w:t>
            </w:r>
            <w:r>
              <w:rPr>
                <w:spacing w:val="-4"/>
                <w:highlight w:val="none"/>
              </w:rPr>
              <w:t>、环境标志产品政府采购执行机制的通知》（财库[</w:t>
            </w:r>
            <w:r>
              <w:rPr>
                <w:highlight w:val="none"/>
              </w:rPr>
              <w:fldChar w:fldCharType="begin"/>
            </w:r>
            <w:r>
              <w:rPr>
                <w:highlight w:val="none"/>
              </w:rPr>
              <w:instrText xml:space="preserve"> HYPERLINK \l "bookmark13" </w:instrText>
            </w:r>
            <w:r>
              <w:rPr>
                <w:highlight w:val="none"/>
              </w:rPr>
              <w:fldChar w:fldCharType="separate"/>
            </w:r>
            <w:r>
              <w:rPr>
                <w:spacing w:val="-4"/>
                <w:highlight w:val="none"/>
              </w:rPr>
              <w:t>20</w:t>
            </w:r>
            <w:r>
              <w:rPr>
                <w:spacing w:val="-5"/>
                <w:highlight w:val="none"/>
              </w:rPr>
              <w:t>19</w:t>
            </w:r>
            <w:r>
              <w:rPr>
                <w:spacing w:val="-5"/>
                <w:highlight w:val="none"/>
              </w:rPr>
              <w:fldChar w:fldCharType="end"/>
            </w:r>
            <w:r>
              <w:rPr>
                <w:spacing w:val="-5"/>
                <w:highlight w:val="none"/>
              </w:rPr>
              <w:t>]9号</w:t>
            </w:r>
            <w:r>
              <w:rPr>
                <w:spacing w:val="-3"/>
                <w:highlight w:val="none"/>
              </w:rPr>
              <w:t>文</w:t>
            </w:r>
            <w:r>
              <w:rPr>
                <w:spacing w:val="-14"/>
                <w:highlight w:val="none"/>
              </w:rPr>
              <w:t>）；（</w:t>
            </w:r>
            <w:r>
              <w:rPr>
                <w:spacing w:val="-3"/>
                <w:highlight w:val="none"/>
              </w:rPr>
              <w:t>5）财政部、生态环境部《关于印发环境标志产品政府采购品目清单的通知》（财库[</w:t>
            </w:r>
            <w:r>
              <w:rPr>
                <w:highlight w:val="none"/>
              </w:rPr>
              <w:fldChar w:fldCharType="begin"/>
            </w:r>
            <w:r>
              <w:rPr>
                <w:highlight w:val="none"/>
              </w:rPr>
              <w:instrText xml:space="preserve"> HYPERLINK \l "bookmark14" </w:instrText>
            </w:r>
            <w:r>
              <w:rPr>
                <w:highlight w:val="none"/>
              </w:rPr>
              <w:fldChar w:fldCharType="separate"/>
            </w:r>
            <w:r>
              <w:rPr>
                <w:spacing w:val="-3"/>
                <w:highlight w:val="none"/>
              </w:rPr>
              <w:t>2019</w:t>
            </w:r>
            <w:r>
              <w:rPr>
                <w:spacing w:val="-3"/>
                <w:highlight w:val="none"/>
              </w:rPr>
              <w:fldChar w:fldCharType="end"/>
            </w:r>
            <w:r>
              <w:rPr>
                <w:spacing w:val="-3"/>
                <w:highlight w:val="none"/>
              </w:rPr>
              <w:t>]18号文</w:t>
            </w:r>
            <w:r>
              <w:rPr>
                <w:spacing w:val="-15"/>
                <w:highlight w:val="none"/>
              </w:rPr>
              <w:t>）；（</w:t>
            </w:r>
            <w:r>
              <w:rPr>
                <w:spacing w:val="-3"/>
                <w:highlight w:val="none"/>
              </w:rPr>
              <w:t>6）财政</w:t>
            </w:r>
            <w:r>
              <w:rPr>
                <w:spacing w:val="-4"/>
                <w:highlight w:val="none"/>
              </w:rPr>
              <w:t>部、发展改革委《关于印发节能产品政府采购品目</w:t>
            </w:r>
            <w:r>
              <w:rPr>
                <w:spacing w:val="-5"/>
                <w:highlight w:val="none"/>
              </w:rPr>
              <w:t>清单的通知</w:t>
            </w:r>
            <w:r>
              <w:rPr>
                <w:spacing w:val="-3"/>
                <w:highlight w:val="none"/>
              </w:rPr>
              <w:t>》（财库[</w:t>
            </w:r>
            <w:r>
              <w:rPr>
                <w:highlight w:val="none"/>
              </w:rPr>
              <w:fldChar w:fldCharType="begin"/>
            </w:r>
            <w:r>
              <w:rPr>
                <w:highlight w:val="none"/>
              </w:rPr>
              <w:instrText xml:space="preserve"> HYPERLINK \l "bookmark15" </w:instrText>
            </w:r>
            <w:r>
              <w:rPr>
                <w:highlight w:val="none"/>
              </w:rPr>
              <w:fldChar w:fldCharType="separate"/>
            </w:r>
            <w:r>
              <w:rPr>
                <w:spacing w:val="-3"/>
                <w:highlight w:val="none"/>
              </w:rPr>
              <w:t>2019</w:t>
            </w:r>
            <w:r>
              <w:rPr>
                <w:spacing w:val="-3"/>
                <w:highlight w:val="none"/>
              </w:rPr>
              <w:fldChar w:fldCharType="end"/>
            </w:r>
            <w:r>
              <w:rPr>
                <w:spacing w:val="-3"/>
                <w:highlight w:val="none"/>
              </w:rPr>
              <w:t>]19号文</w:t>
            </w:r>
            <w:r>
              <w:rPr>
                <w:spacing w:val="-15"/>
                <w:highlight w:val="none"/>
              </w:rPr>
              <w:t>）；（</w:t>
            </w:r>
            <w:r>
              <w:rPr>
                <w:spacing w:val="-3"/>
                <w:highlight w:val="none"/>
              </w:rPr>
              <w:t>7）市场监管总局《市场监管</w:t>
            </w:r>
            <w:r>
              <w:rPr>
                <w:spacing w:val="-4"/>
                <w:highlight w:val="none"/>
              </w:rPr>
              <w:t>总局关于发布参与实施政府采购节能产品、环境标</w:t>
            </w:r>
            <w:r>
              <w:rPr>
                <w:spacing w:val="-5"/>
                <w:highlight w:val="none"/>
              </w:rPr>
              <w:t>志产品认证机构名录的公告》（2019年第16号</w:t>
            </w:r>
            <w:r>
              <w:rPr>
                <w:highlight w:val="none"/>
              </w:rPr>
              <w:t>）；</w:t>
            </w:r>
          </w:p>
          <w:p w14:paraId="23A59469">
            <w:pPr>
              <w:pStyle w:val="11"/>
              <w:spacing w:before="92" w:line="286" w:lineRule="auto"/>
              <w:ind w:left="139" w:right="264" w:firstLine="218"/>
              <w:outlineLvl w:val="9"/>
              <w:rPr>
                <w:highlight w:val="none"/>
              </w:rPr>
            </w:pPr>
            <w:r>
              <w:rPr>
                <w:spacing w:val="-5"/>
                <w:highlight w:val="none"/>
              </w:rPr>
              <w:t>支持中小企业发展，《政府采购促进中小企业发展管理办法</w:t>
            </w:r>
            <w:r>
              <w:rPr>
                <w:spacing w:val="-6"/>
                <w:highlight w:val="none"/>
              </w:rPr>
              <w:t>》（财库[</w:t>
            </w:r>
            <w:r>
              <w:rPr>
                <w:highlight w:val="none"/>
              </w:rPr>
              <w:fldChar w:fldCharType="begin"/>
            </w:r>
            <w:r>
              <w:rPr>
                <w:highlight w:val="none"/>
              </w:rPr>
              <w:instrText xml:space="preserve"> HYPERLINK \l "bookmark16" </w:instrText>
            </w:r>
            <w:r>
              <w:rPr>
                <w:highlight w:val="none"/>
              </w:rPr>
              <w:fldChar w:fldCharType="separate"/>
            </w:r>
            <w:r>
              <w:rPr>
                <w:spacing w:val="-6"/>
                <w:highlight w:val="none"/>
              </w:rPr>
              <w:t>2020</w:t>
            </w:r>
            <w:r>
              <w:rPr>
                <w:spacing w:val="-6"/>
                <w:highlight w:val="none"/>
              </w:rPr>
              <w:fldChar w:fldCharType="end"/>
            </w:r>
            <w:r>
              <w:rPr>
                <w:spacing w:val="-6"/>
                <w:highlight w:val="none"/>
              </w:rPr>
              <w:t>]46号</w:t>
            </w:r>
            <w:r>
              <w:rPr>
                <w:highlight w:val="none"/>
              </w:rPr>
              <w:t>）：</w:t>
            </w:r>
          </w:p>
          <w:p w14:paraId="36A2F8DB">
            <w:pPr>
              <w:pStyle w:val="11"/>
              <w:spacing w:before="89" w:line="288" w:lineRule="auto"/>
              <w:ind w:left="130" w:right="259" w:firstLine="20"/>
              <w:outlineLvl w:val="9"/>
              <w:rPr>
                <w:highlight w:val="none"/>
              </w:rPr>
            </w:pPr>
            <w:r>
              <w:rPr>
                <w:rFonts w:hint="eastAsia"/>
                <w:spacing w:val="-5"/>
                <w:highlight w:val="none"/>
                <w:lang w:eastAsia="zh-CN"/>
              </w:rPr>
              <w:t>☑</w:t>
            </w:r>
            <w:r>
              <w:rPr>
                <w:b/>
                <w:bCs/>
                <w:spacing w:val="-5"/>
                <w:highlight w:val="none"/>
              </w:rPr>
              <w:t>本项目专门面向中小企业采购，投标人为中小</w:t>
            </w:r>
            <w:r>
              <w:rPr>
                <w:b/>
                <w:bCs/>
                <w:spacing w:val="-6"/>
                <w:highlight w:val="none"/>
              </w:rPr>
              <w:t>企业，不再执</w:t>
            </w:r>
            <w:r>
              <w:rPr>
                <w:b/>
                <w:bCs/>
                <w:spacing w:val="-5"/>
                <w:highlight w:val="none"/>
              </w:rPr>
              <w:t>行价格评审优惠政策。</w:t>
            </w:r>
          </w:p>
          <w:p w14:paraId="6BBB5BB0">
            <w:pPr>
              <w:pStyle w:val="11"/>
              <w:spacing w:before="86" w:line="288" w:lineRule="auto"/>
              <w:ind w:left="130" w:right="238" w:firstLine="5"/>
              <w:outlineLvl w:val="9"/>
              <w:rPr>
                <w:highlight w:val="none"/>
              </w:rPr>
            </w:pPr>
            <w:r>
              <w:rPr>
                <w:rFonts w:hint="eastAsia" w:ascii="MS Gothic" w:hAnsi="MS Gothic" w:cs="MS Gothic"/>
                <w:spacing w:val="-6"/>
                <w:highlight w:val="none"/>
                <w:lang w:eastAsia="zh-CN"/>
              </w:rPr>
              <w:t>□</w:t>
            </w:r>
            <w:r>
              <w:rPr>
                <w:b w:val="0"/>
                <w:bCs w:val="0"/>
                <w:spacing w:val="-6"/>
                <w:highlight w:val="none"/>
              </w:rPr>
              <w:t>不专门面向中小企业采购，给予符合规定</w:t>
            </w:r>
            <w:r>
              <w:rPr>
                <w:b w:val="0"/>
                <w:bCs w:val="0"/>
                <w:spacing w:val="-7"/>
                <w:highlight w:val="none"/>
              </w:rPr>
              <w:t>的小微企业、监狱</w:t>
            </w:r>
            <w:r>
              <w:rPr>
                <w:b w:val="0"/>
                <w:bCs w:val="0"/>
                <w:spacing w:val="-6"/>
                <w:highlight w:val="none"/>
              </w:rPr>
              <w:t>企业或残疾人福利性单位的报价扣除10%后参与评审。</w:t>
            </w:r>
          </w:p>
          <w:p w14:paraId="5F7C5D48">
            <w:pPr>
              <w:pStyle w:val="11"/>
              <w:spacing w:before="90" w:line="265" w:lineRule="auto"/>
              <w:ind w:left="130" w:right="272" w:hanging="4"/>
              <w:outlineLvl w:val="9"/>
              <w:rPr>
                <w:highlight w:val="none"/>
              </w:rPr>
            </w:pPr>
            <w:r>
              <w:rPr>
                <w:b/>
                <w:bCs/>
                <w:spacing w:val="-5"/>
                <w:highlight w:val="none"/>
              </w:rPr>
              <w:t>注</w:t>
            </w:r>
            <w:r>
              <w:rPr>
                <w:b/>
                <w:bCs/>
                <w:spacing w:val="-37"/>
                <w:highlight w:val="none"/>
              </w:rPr>
              <w:t>：（</w:t>
            </w:r>
            <w:r>
              <w:rPr>
                <w:b/>
                <w:bCs/>
                <w:spacing w:val="-5"/>
                <w:highlight w:val="none"/>
              </w:rPr>
              <w:t>监狱企业、残疾人福利性单位视同小型、微型企业）。</w:t>
            </w:r>
            <w:r>
              <w:rPr>
                <w:b/>
                <w:bCs/>
                <w:spacing w:val="-4"/>
                <w:highlight w:val="none"/>
              </w:rPr>
              <w:t>3.本项目的特定资格要求</w:t>
            </w:r>
            <w:r>
              <w:rPr>
                <w:spacing w:val="-4"/>
                <w:highlight w:val="none"/>
              </w:rPr>
              <w:t>：无。</w:t>
            </w:r>
          </w:p>
        </w:tc>
      </w:tr>
      <w:tr w14:paraId="5AFCF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735" w:type="dxa"/>
            <w:vAlign w:val="top"/>
          </w:tcPr>
          <w:p w14:paraId="6234CA33">
            <w:pPr>
              <w:pStyle w:val="11"/>
              <w:spacing w:before="163" w:line="241" w:lineRule="auto"/>
              <w:ind w:left="296"/>
              <w:outlineLvl w:val="9"/>
              <w:rPr>
                <w:highlight w:val="none"/>
              </w:rPr>
            </w:pPr>
            <w:r>
              <w:rPr>
                <w:b/>
                <w:bCs/>
                <w:spacing w:val="-17"/>
                <w:highlight w:val="none"/>
              </w:rPr>
              <w:t>12</w:t>
            </w:r>
          </w:p>
        </w:tc>
        <w:tc>
          <w:tcPr>
            <w:tcW w:w="2439" w:type="dxa"/>
            <w:vAlign w:val="top"/>
          </w:tcPr>
          <w:p w14:paraId="1C7285F1">
            <w:pPr>
              <w:pStyle w:val="11"/>
              <w:spacing w:before="145" w:line="219" w:lineRule="auto"/>
              <w:ind w:left="150"/>
              <w:outlineLvl w:val="9"/>
              <w:rPr>
                <w:highlight w:val="none"/>
              </w:rPr>
            </w:pPr>
            <w:r>
              <w:rPr>
                <w:b/>
                <w:bCs/>
                <w:spacing w:val="-5"/>
                <w:highlight w:val="none"/>
              </w:rPr>
              <w:t>是否允许联合体投标</w:t>
            </w:r>
          </w:p>
        </w:tc>
        <w:tc>
          <w:tcPr>
            <w:tcW w:w="6756" w:type="dxa"/>
            <w:vAlign w:val="top"/>
          </w:tcPr>
          <w:p w14:paraId="46484BFB">
            <w:pPr>
              <w:pStyle w:val="11"/>
              <w:spacing w:before="144" w:line="220" w:lineRule="auto"/>
              <w:ind w:left="138"/>
              <w:outlineLvl w:val="9"/>
              <w:rPr>
                <w:highlight w:val="none"/>
              </w:rPr>
            </w:pPr>
            <w:r>
              <w:rPr>
                <w:highlight w:val="none"/>
              </w:rPr>
              <w:t>否</w:t>
            </w:r>
          </w:p>
        </w:tc>
      </w:tr>
      <w:tr w14:paraId="73781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5" w:hRule="atLeast"/>
        </w:trPr>
        <w:tc>
          <w:tcPr>
            <w:tcW w:w="735" w:type="dxa"/>
            <w:vAlign w:val="top"/>
          </w:tcPr>
          <w:p w14:paraId="5ACCD23C">
            <w:pPr>
              <w:spacing w:line="317" w:lineRule="auto"/>
              <w:outlineLvl w:val="9"/>
              <w:rPr>
                <w:rFonts w:ascii="Arial"/>
                <w:sz w:val="21"/>
                <w:highlight w:val="none"/>
              </w:rPr>
            </w:pPr>
          </w:p>
          <w:p w14:paraId="437400F3">
            <w:pPr>
              <w:pStyle w:val="11"/>
              <w:spacing w:before="78"/>
              <w:ind w:left="296"/>
              <w:outlineLvl w:val="9"/>
              <w:rPr>
                <w:highlight w:val="none"/>
              </w:rPr>
            </w:pPr>
            <w:r>
              <w:rPr>
                <w:b/>
                <w:bCs/>
                <w:spacing w:val="-17"/>
                <w:highlight w:val="none"/>
              </w:rPr>
              <w:t>13</w:t>
            </w:r>
          </w:p>
        </w:tc>
        <w:tc>
          <w:tcPr>
            <w:tcW w:w="2439" w:type="dxa"/>
            <w:vAlign w:val="top"/>
          </w:tcPr>
          <w:p w14:paraId="520C714D">
            <w:pPr>
              <w:pStyle w:val="11"/>
              <w:spacing w:before="218" w:line="219" w:lineRule="auto"/>
              <w:ind w:left="150"/>
              <w:outlineLvl w:val="9"/>
              <w:rPr>
                <w:highlight w:val="none"/>
              </w:rPr>
            </w:pPr>
            <w:r>
              <w:rPr>
                <w:b/>
                <w:bCs/>
                <w:spacing w:val="-5"/>
                <w:highlight w:val="none"/>
              </w:rPr>
              <w:t>是否允许投报进口产</w:t>
            </w:r>
          </w:p>
          <w:p w14:paraId="00E5FDE8">
            <w:pPr>
              <w:pStyle w:val="11"/>
              <w:spacing w:before="38" w:line="224" w:lineRule="auto"/>
              <w:ind w:left="1150"/>
              <w:outlineLvl w:val="9"/>
              <w:rPr>
                <w:highlight w:val="none"/>
              </w:rPr>
            </w:pPr>
            <w:r>
              <w:rPr>
                <w:b/>
                <w:bCs/>
                <w:spacing w:val="-3"/>
                <w:highlight w:val="none"/>
              </w:rPr>
              <w:t>品</w:t>
            </w:r>
          </w:p>
        </w:tc>
        <w:tc>
          <w:tcPr>
            <w:tcW w:w="6756" w:type="dxa"/>
            <w:vAlign w:val="top"/>
          </w:tcPr>
          <w:p w14:paraId="29F71F15">
            <w:pPr>
              <w:pStyle w:val="11"/>
              <w:spacing w:before="61" w:line="220" w:lineRule="auto"/>
              <w:ind w:left="143"/>
              <w:outlineLvl w:val="9"/>
              <w:rPr>
                <w:highlight w:val="none"/>
              </w:rPr>
            </w:pPr>
            <w:r>
              <w:rPr>
                <w:rFonts w:ascii="MS Gothic" w:hAnsi="MS Gothic" w:eastAsia="MS Gothic" w:cs="MS Gothic"/>
                <w:spacing w:val="-12"/>
                <w:highlight w:val="none"/>
              </w:rPr>
              <w:t>☑</w:t>
            </w:r>
            <w:r>
              <w:rPr>
                <w:spacing w:val="-12"/>
                <w:highlight w:val="none"/>
              </w:rPr>
              <w:t>否</w:t>
            </w:r>
          </w:p>
          <w:p w14:paraId="71865887">
            <w:pPr>
              <w:pStyle w:val="11"/>
              <w:spacing w:before="35" w:line="227" w:lineRule="auto"/>
              <w:ind w:left="124" w:right="110" w:firstLine="48"/>
              <w:outlineLvl w:val="9"/>
              <w:rPr>
                <w:highlight w:val="none"/>
              </w:rPr>
            </w:pPr>
            <w:r>
              <w:rPr>
                <w:spacing w:val="-1"/>
                <w:highlight w:val="none"/>
              </w:rPr>
              <w:t>□是：优先向我国企业转让技术、与我国企业签订消化吸收再创新方案的供应商的进口产品</w:t>
            </w:r>
          </w:p>
        </w:tc>
      </w:tr>
      <w:tr w14:paraId="079E0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735" w:type="dxa"/>
            <w:vAlign w:val="top"/>
          </w:tcPr>
          <w:p w14:paraId="085622B5">
            <w:pPr>
              <w:pStyle w:val="11"/>
              <w:spacing w:before="150" w:line="241" w:lineRule="auto"/>
              <w:ind w:left="296"/>
              <w:outlineLvl w:val="9"/>
              <w:rPr>
                <w:highlight w:val="none"/>
              </w:rPr>
            </w:pPr>
            <w:r>
              <w:rPr>
                <w:b/>
                <w:bCs/>
                <w:spacing w:val="-17"/>
                <w:highlight w:val="none"/>
              </w:rPr>
              <w:t>14</w:t>
            </w:r>
          </w:p>
        </w:tc>
        <w:tc>
          <w:tcPr>
            <w:tcW w:w="2439" w:type="dxa"/>
            <w:vAlign w:val="top"/>
          </w:tcPr>
          <w:p w14:paraId="76F45DBD">
            <w:pPr>
              <w:pStyle w:val="11"/>
              <w:spacing w:before="129" w:line="219" w:lineRule="auto"/>
              <w:ind w:left="512"/>
              <w:outlineLvl w:val="9"/>
              <w:rPr>
                <w:highlight w:val="none"/>
              </w:rPr>
            </w:pPr>
            <w:r>
              <w:rPr>
                <w:b/>
                <w:bCs/>
                <w:spacing w:val="-6"/>
                <w:highlight w:val="none"/>
              </w:rPr>
              <w:t>是否踏勘现场</w:t>
            </w:r>
          </w:p>
        </w:tc>
        <w:tc>
          <w:tcPr>
            <w:tcW w:w="6756" w:type="dxa"/>
            <w:vAlign w:val="top"/>
          </w:tcPr>
          <w:p w14:paraId="3EB02A43">
            <w:pPr>
              <w:pStyle w:val="11"/>
              <w:spacing w:before="129" w:line="220" w:lineRule="auto"/>
              <w:ind w:left="138"/>
              <w:outlineLvl w:val="9"/>
              <w:rPr>
                <w:highlight w:val="none"/>
              </w:rPr>
            </w:pPr>
            <w:r>
              <w:rPr>
                <w:highlight w:val="none"/>
              </w:rPr>
              <w:t>否</w:t>
            </w:r>
          </w:p>
        </w:tc>
      </w:tr>
      <w:tr w14:paraId="1AD9B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735" w:type="dxa"/>
            <w:vAlign w:val="top"/>
          </w:tcPr>
          <w:p w14:paraId="1BD5B449">
            <w:pPr>
              <w:pStyle w:val="11"/>
              <w:spacing w:before="147"/>
              <w:ind w:left="296"/>
              <w:outlineLvl w:val="9"/>
              <w:rPr>
                <w:highlight w:val="none"/>
              </w:rPr>
            </w:pPr>
            <w:r>
              <w:rPr>
                <w:b/>
                <w:bCs/>
                <w:spacing w:val="-17"/>
                <w:highlight w:val="none"/>
              </w:rPr>
              <w:t>15</w:t>
            </w:r>
          </w:p>
        </w:tc>
        <w:tc>
          <w:tcPr>
            <w:tcW w:w="2439" w:type="dxa"/>
            <w:vAlign w:val="top"/>
          </w:tcPr>
          <w:p w14:paraId="33BFEB87">
            <w:pPr>
              <w:pStyle w:val="11"/>
              <w:spacing w:before="129" w:line="219" w:lineRule="auto"/>
              <w:ind w:left="512"/>
              <w:outlineLvl w:val="9"/>
              <w:rPr>
                <w:highlight w:val="none"/>
              </w:rPr>
            </w:pPr>
            <w:r>
              <w:rPr>
                <w:b/>
                <w:bCs/>
                <w:spacing w:val="-6"/>
                <w:highlight w:val="none"/>
              </w:rPr>
              <w:t>是否允许分包</w:t>
            </w:r>
          </w:p>
        </w:tc>
        <w:tc>
          <w:tcPr>
            <w:tcW w:w="6756" w:type="dxa"/>
            <w:vAlign w:val="top"/>
          </w:tcPr>
          <w:p w14:paraId="53B751CF">
            <w:pPr>
              <w:pStyle w:val="11"/>
              <w:spacing w:before="128" w:line="220" w:lineRule="auto"/>
              <w:ind w:left="138"/>
              <w:outlineLvl w:val="9"/>
              <w:rPr>
                <w:highlight w:val="none"/>
              </w:rPr>
            </w:pPr>
            <w:r>
              <w:rPr>
                <w:highlight w:val="none"/>
              </w:rPr>
              <w:t>否</w:t>
            </w:r>
          </w:p>
        </w:tc>
      </w:tr>
      <w:tr w14:paraId="4B2C8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35" w:type="dxa"/>
            <w:vAlign w:val="top"/>
          </w:tcPr>
          <w:p w14:paraId="7591AE84">
            <w:pPr>
              <w:pStyle w:val="11"/>
              <w:spacing w:before="240"/>
              <w:ind w:left="296"/>
              <w:outlineLvl w:val="9"/>
              <w:rPr>
                <w:highlight w:val="none"/>
              </w:rPr>
            </w:pPr>
            <w:r>
              <w:rPr>
                <w:b/>
                <w:bCs/>
                <w:spacing w:val="-17"/>
                <w:highlight w:val="none"/>
              </w:rPr>
              <w:t>16</w:t>
            </w:r>
          </w:p>
        </w:tc>
        <w:tc>
          <w:tcPr>
            <w:tcW w:w="2439" w:type="dxa"/>
            <w:vAlign w:val="top"/>
          </w:tcPr>
          <w:p w14:paraId="67E5A497">
            <w:pPr>
              <w:pStyle w:val="11"/>
              <w:spacing w:before="66" w:line="214" w:lineRule="auto"/>
              <w:ind w:left="869" w:right="146" w:hanging="720"/>
              <w:outlineLvl w:val="9"/>
              <w:rPr>
                <w:highlight w:val="none"/>
              </w:rPr>
            </w:pPr>
            <w:r>
              <w:rPr>
                <w:b/>
                <w:bCs/>
                <w:spacing w:val="-5"/>
                <w:highlight w:val="none"/>
              </w:rPr>
              <w:t>投标人提出问题的截</w:t>
            </w:r>
            <w:r>
              <w:rPr>
                <w:b/>
                <w:bCs/>
                <w:spacing w:val="-8"/>
                <w:highlight w:val="none"/>
              </w:rPr>
              <w:t>止时间</w:t>
            </w:r>
          </w:p>
        </w:tc>
        <w:tc>
          <w:tcPr>
            <w:tcW w:w="6756" w:type="dxa"/>
            <w:vAlign w:val="top"/>
          </w:tcPr>
          <w:p w14:paraId="7C7C71D3">
            <w:pPr>
              <w:pStyle w:val="11"/>
              <w:spacing w:before="221" w:line="220" w:lineRule="auto"/>
              <w:ind w:left="129"/>
              <w:outlineLvl w:val="9"/>
              <w:rPr>
                <w:highlight w:val="none"/>
              </w:rPr>
            </w:pPr>
            <w:r>
              <w:rPr>
                <w:spacing w:val="-7"/>
                <w:highlight w:val="none"/>
              </w:rPr>
              <w:t>投标截止时间前</w:t>
            </w:r>
            <w:r>
              <w:rPr>
                <w:rFonts w:ascii="Calibri" w:hAnsi="Calibri" w:eastAsia="Calibri" w:cs="Calibri"/>
                <w:spacing w:val="-7"/>
                <w:highlight w:val="none"/>
              </w:rPr>
              <w:t>10</w:t>
            </w:r>
            <w:r>
              <w:rPr>
                <w:spacing w:val="-7"/>
                <w:highlight w:val="none"/>
              </w:rPr>
              <w:t>天</w:t>
            </w:r>
          </w:p>
        </w:tc>
      </w:tr>
      <w:tr w14:paraId="76EE0F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35" w:type="dxa"/>
            <w:vAlign w:val="top"/>
          </w:tcPr>
          <w:p w14:paraId="243B59EB">
            <w:pPr>
              <w:pStyle w:val="11"/>
              <w:spacing w:before="235"/>
              <w:ind w:left="296"/>
              <w:outlineLvl w:val="9"/>
              <w:rPr>
                <w:highlight w:val="none"/>
              </w:rPr>
            </w:pPr>
            <w:r>
              <w:rPr>
                <w:b/>
                <w:bCs/>
                <w:spacing w:val="-17"/>
                <w:highlight w:val="none"/>
              </w:rPr>
              <w:t>17</w:t>
            </w:r>
          </w:p>
        </w:tc>
        <w:tc>
          <w:tcPr>
            <w:tcW w:w="2439" w:type="dxa"/>
            <w:vAlign w:val="top"/>
          </w:tcPr>
          <w:p w14:paraId="4492C643">
            <w:pPr>
              <w:pStyle w:val="11"/>
              <w:spacing w:before="55" w:line="219" w:lineRule="auto"/>
              <w:ind w:left="144"/>
              <w:outlineLvl w:val="9"/>
              <w:rPr>
                <w:highlight w:val="none"/>
              </w:rPr>
            </w:pPr>
            <w:r>
              <w:rPr>
                <w:b/>
                <w:bCs/>
                <w:spacing w:val="-5"/>
                <w:highlight w:val="none"/>
              </w:rPr>
              <w:t>招标人书面澄清的时</w:t>
            </w:r>
          </w:p>
          <w:p w14:paraId="7AD8C753">
            <w:pPr>
              <w:pStyle w:val="11"/>
              <w:spacing w:before="22" w:line="196" w:lineRule="auto"/>
              <w:ind w:left="1146"/>
              <w:outlineLvl w:val="9"/>
              <w:rPr>
                <w:highlight w:val="none"/>
              </w:rPr>
            </w:pPr>
            <w:r>
              <w:rPr>
                <w:b/>
                <w:bCs/>
                <w:spacing w:val="-3"/>
                <w:highlight w:val="none"/>
              </w:rPr>
              <w:t>间</w:t>
            </w:r>
          </w:p>
        </w:tc>
        <w:tc>
          <w:tcPr>
            <w:tcW w:w="6756" w:type="dxa"/>
            <w:vAlign w:val="top"/>
          </w:tcPr>
          <w:p w14:paraId="62CA045F">
            <w:pPr>
              <w:pStyle w:val="11"/>
              <w:spacing w:before="217" w:line="220" w:lineRule="auto"/>
              <w:ind w:left="129"/>
              <w:outlineLvl w:val="9"/>
              <w:rPr>
                <w:highlight w:val="none"/>
              </w:rPr>
            </w:pPr>
            <w:r>
              <w:rPr>
                <w:spacing w:val="-7"/>
                <w:highlight w:val="none"/>
              </w:rPr>
              <w:t>投标截止时间前</w:t>
            </w:r>
            <w:r>
              <w:rPr>
                <w:rFonts w:ascii="Calibri" w:hAnsi="Calibri" w:eastAsia="Calibri" w:cs="Calibri"/>
                <w:spacing w:val="-7"/>
                <w:highlight w:val="none"/>
              </w:rPr>
              <w:t>15</w:t>
            </w:r>
            <w:r>
              <w:rPr>
                <w:spacing w:val="-7"/>
                <w:highlight w:val="none"/>
              </w:rPr>
              <w:t>天</w:t>
            </w:r>
          </w:p>
        </w:tc>
      </w:tr>
      <w:tr w14:paraId="09179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35" w:type="dxa"/>
            <w:vAlign w:val="top"/>
          </w:tcPr>
          <w:p w14:paraId="1560626E">
            <w:pPr>
              <w:pStyle w:val="11"/>
              <w:spacing w:before="236"/>
              <w:ind w:left="296"/>
              <w:outlineLvl w:val="9"/>
              <w:rPr>
                <w:highlight w:val="none"/>
              </w:rPr>
            </w:pPr>
            <w:r>
              <w:rPr>
                <w:b/>
                <w:bCs/>
                <w:spacing w:val="-17"/>
                <w:highlight w:val="none"/>
              </w:rPr>
              <w:t>18</w:t>
            </w:r>
          </w:p>
        </w:tc>
        <w:tc>
          <w:tcPr>
            <w:tcW w:w="2439" w:type="dxa"/>
            <w:vAlign w:val="top"/>
          </w:tcPr>
          <w:p w14:paraId="06EA7A47">
            <w:pPr>
              <w:pStyle w:val="11"/>
              <w:spacing w:before="65" w:line="213" w:lineRule="auto"/>
              <w:ind w:left="750" w:right="146" w:hanging="601"/>
              <w:outlineLvl w:val="9"/>
              <w:rPr>
                <w:highlight w:val="none"/>
              </w:rPr>
            </w:pPr>
            <w:r>
              <w:rPr>
                <w:b/>
                <w:bCs/>
                <w:spacing w:val="-5"/>
                <w:highlight w:val="none"/>
              </w:rPr>
              <w:t>投标人确认收到招标</w:t>
            </w:r>
            <w:r>
              <w:rPr>
                <w:b/>
                <w:bCs/>
                <w:spacing w:val="-8"/>
                <w:highlight w:val="none"/>
              </w:rPr>
              <w:t>文件澄清</w:t>
            </w:r>
          </w:p>
        </w:tc>
        <w:tc>
          <w:tcPr>
            <w:tcW w:w="6756" w:type="dxa"/>
            <w:vAlign w:val="top"/>
          </w:tcPr>
          <w:p w14:paraId="7280AA57">
            <w:pPr>
              <w:pStyle w:val="11"/>
              <w:spacing w:before="59" w:line="219" w:lineRule="auto"/>
              <w:ind w:left="145"/>
              <w:outlineLvl w:val="9"/>
              <w:rPr>
                <w:highlight w:val="none"/>
              </w:rPr>
            </w:pPr>
            <w:r>
              <w:rPr>
                <w:spacing w:val="-3"/>
                <w:highlight w:val="none"/>
              </w:rPr>
              <w:t>时间：在收到相应澄清文件后</w:t>
            </w:r>
            <w:r>
              <w:rPr>
                <w:rFonts w:ascii="Calibri" w:hAnsi="Calibri" w:eastAsia="Calibri" w:cs="Calibri"/>
                <w:spacing w:val="-3"/>
                <w:highlight w:val="none"/>
              </w:rPr>
              <w:t>48</w:t>
            </w:r>
            <w:r>
              <w:rPr>
                <w:spacing w:val="-3"/>
                <w:highlight w:val="none"/>
              </w:rPr>
              <w:t>小时内</w:t>
            </w:r>
          </w:p>
          <w:p w14:paraId="54A00B83">
            <w:pPr>
              <w:pStyle w:val="11"/>
              <w:spacing w:before="19" w:line="196" w:lineRule="auto"/>
              <w:ind w:left="129"/>
              <w:outlineLvl w:val="9"/>
              <w:rPr>
                <w:highlight w:val="none"/>
              </w:rPr>
            </w:pPr>
            <w:r>
              <w:rPr>
                <w:spacing w:val="-3"/>
                <w:highlight w:val="none"/>
              </w:rPr>
              <w:t>形式：书面形式</w:t>
            </w:r>
          </w:p>
        </w:tc>
      </w:tr>
      <w:tr w14:paraId="240CA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35" w:type="dxa"/>
            <w:vAlign w:val="top"/>
          </w:tcPr>
          <w:p w14:paraId="0FFAE730">
            <w:pPr>
              <w:pStyle w:val="11"/>
              <w:spacing w:before="313" w:line="201" w:lineRule="auto"/>
              <w:ind w:left="296"/>
              <w:outlineLvl w:val="9"/>
              <w:rPr>
                <w:highlight w:val="none"/>
              </w:rPr>
            </w:pPr>
            <w:r>
              <w:rPr>
                <w:b/>
                <w:bCs/>
                <w:spacing w:val="-17"/>
                <w:highlight w:val="none"/>
              </w:rPr>
              <w:t>19</w:t>
            </w:r>
          </w:p>
        </w:tc>
        <w:tc>
          <w:tcPr>
            <w:tcW w:w="2439" w:type="dxa"/>
            <w:vAlign w:val="top"/>
          </w:tcPr>
          <w:p w14:paraId="0CABFB5D">
            <w:pPr>
              <w:pStyle w:val="11"/>
              <w:spacing w:before="155" w:line="219" w:lineRule="auto"/>
              <w:ind w:left="149"/>
              <w:outlineLvl w:val="9"/>
              <w:rPr>
                <w:highlight w:val="none"/>
              </w:rPr>
            </w:pPr>
            <w:r>
              <w:rPr>
                <w:b/>
                <w:bCs/>
                <w:spacing w:val="-5"/>
                <w:highlight w:val="none"/>
              </w:rPr>
              <w:t>投标人确认收到招标</w:t>
            </w:r>
          </w:p>
        </w:tc>
        <w:tc>
          <w:tcPr>
            <w:tcW w:w="6756" w:type="dxa"/>
            <w:vAlign w:val="top"/>
          </w:tcPr>
          <w:p w14:paraId="62F8C97B">
            <w:pPr>
              <w:pStyle w:val="11"/>
              <w:spacing w:before="136" w:line="219" w:lineRule="auto"/>
              <w:ind w:left="145"/>
              <w:outlineLvl w:val="9"/>
              <w:rPr>
                <w:highlight w:val="none"/>
              </w:rPr>
            </w:pPr>
            <w:r>
              <w:rPr>
                <w:spacing w:val="-3"/>
                <w:highlight w:val="none"/>
              </w:rPr>
              <w:t>时间：在收到相应澄清文件后</w:t>
            </w:r>
            <w:r>
              <w:rPr>
                <w:rFonts w:ascii="Calibri" w:hAnsi="Calibri" w:eastAsia="Calibri" w:cs="Calibri"/>
                <w:spacing w:val="-3"/>
                <w:highlight w:val="none"/>
              </w:rPr>
              <w:t>48</w:t>
            </w:r>
            <w:r>
              <w:rPr>
                <w:spacing w:val="-3"/>
                <w:highlight w:val="none"/>
              </w:rPr>
              <w:t>小时内</w:t>
            </w:r>
          </w:p>
        </w:tc>
      </w:tr>
    </w:tbl>
    <w:p w14:paraId="3E0D1C5C">
      <w:pPr>
        <w:pStyle w:val="2"/>
        <w:outlineLvl w:val="9"/>
        <w:rPr>
          <w:highlight w:val="none"/>
        </w:rPr>
      </w:pPr>
    </w:p>
    <w:p w14:paraId="2E574934">
      <w:pPr>
        <w:outlineLvl w:val="9"/>
        <w:rPr>
          <w:highlight w:val="none"/>
        </w:rPr>
        <w:sectPr>
          <w:footerReference r:id="rId12" w:type="default"/>
          <w:pgSz w:w="11850" w:h="16781"/>
          <w:pgMar w:top="1426" w:right="957" w:bottom="1011" w:left="956" w:header="0" w:footer="766" w:gutter="0"/>
          <w:pgNumType w:fmt="decimal"/>
          <w:cols w:space="720" w:num="1"/>
        </w:sectPr>
      </w:pPr>
    </w:p>
    <w:p w14:paraId="5EBAD0F4">
      <w:pPr>
        <w:spacing w:line="142" w:lineRule="auto"/>
        <w:outlineLvl w:val="9"/>
        <w:rPr>
          <w:rFonts w:ascii="Arial"/>
          <w:sz w:val="2"/>
          <w:highlight w:val="none"/>
        </w:rPr>
      </w:pPr>
    </w:p>
    <w:tbl>
      <w:tblPr>
        <w:tblStyle w:val="10"/>
        <w:tblW w:w="993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735"/>
        <w:gridCol w:w="2437"/>
        <w:gridCol w:w="2"/>
        <w:gridCol w:w="6754"/>
        <w:gridCol w:w="2"/>
        <w:gridCol w:w="6"/>
      </w:tblGrid>
      <w:tr w14:paraId="2191B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6" w:type="dxa"/>
          <w:trHeight w:val="321" w:hRule="atLeast"/>
        </w:trPr>
        <w:tc>
          <w:tcPr>
            <w:tcW w:w="735" w:type="dxa"/>
            <w:vAlign w:val="top"/>
          </w:tcPr>
          <w:p w14:paraId="75DDE33F">
            <w:pPr>
              <w:outlineLvl w:val="9"/>
              <w:rPr>
                <w:rFonts w:ascii="Arial"/>
                <w:sz w:val="21"/>
                <w:highlight w:val="none"/>
              </w:rPr>
            </w:pPr>
          </w:p>
        </w:tc>
        <w:tc>
          <w:tcPr>
            <w:tcW w:w="2439" w:type="dxa"/>
            <w:gridSpan w:val="2"/>
            <w:vAlign w:val="top"/>
          </w:tcPr>
          <w:p w14:paraId="1E595D95">
            <w:pPr>
              <w:pStyle w:val="11"/>
              <w:spacing w:before="34" w:line="213" w:lineRule="auto"/>
              <w:ind w:left="750"/>
              <w:outlineLvl w:val="9"/>
              <w:rPr>
                <w:highlight w:val="none"/>
              </w:rPr>
            </w:pPr>
            <w:r>
              <w:rPr>
                <w:b/>
                <w:bCs/>
                <w:spacing w:val="-8"/>
                <w:highlight w:val="none"/>
              </w:rPr>
              <w:t>文件修改</w:t>
            </w:r>
          </w:p>
        </w:tc>
        <w:tc>
          <w:tcPr>
            <w:tcW w:w="6756" w:type="dxa"/>
            <w:gridSpan w:val="2"/>
            <w:vAlign w:val="top"/>
          </w:tcPr>
          <w:p w14:paraId="538CDF28">
            <w:pPr>
              <w:pStyle w:val="11"/>
              <w:spacing w:before="47" w:line="203" w:lineRule="auto"/>
              <w:ind w:left="129"/>
              <w:outlineLvl w:val="9"/>
              <w:rPr>
                <w:highlight w:val="none"/>
              </w:rPr>
            </w:pPr>
            <w:r>
              <w:rPr>
                <w:spacing w:val="-3"/>
                <w:highlight w:val="none"/>
              </w:rPr>
              <w:t>形式：书面形式</w:t>
            </w:r>
          </w:p>
        </w:tc>
      </w:tr>
      <w:tr w14:paraId="7E614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6" w:type="dxa"/>
          <w:trHeight w:val="685" w:hRule="atLeast"/>
        </w:trPr>
        <w:tc>
          <w:tcPr>
            <w:tcW w:w="735" w:type="dxa"/>
            <w:vAlign w:val="top"/>
          </w:tcPr>
          <w:p w14:paraId="34BD8521">
            <w:pPr>
              <w:pStyle w:val="11"/>
              <w:spacing w:before="279"/>
              <w:ind w:left="267"/>
              <w:outlineLvl w:val="9"/>
              <w:rPr>
                <w:highlight w:val="none"/>
              </w:rPr>
            </w:pPr>
            <w:r>
              <w:rPr>
                <w:b/>
                <w:bCs/>
                <w:spacing w:val="-9"/>
                <w:highlight w:val="none"/>
              </w:rPr>
              <w:t>20</w:t>
            </w:r>
          </w:p>
        </w:tc>
        <w:tc>
          <w:tcPr>
            <w:tcW w:w="2439" w:type="dxa"/>
            <w:gridSpan w:val="2"/>
            <w:vAlign w:val="top"/>
          </w:tcPr>
          <w:p w14:paraId="06BAD73A">
            <w:pPr>
              <w:pStyle w:val="11"/>
              <w:spacing w:before="241" w:line="223" w:lineRule="auto"/>
              <w:ind w:left="618"/>
              <w:outlineLvl w:val="9"/>
              <w:rPr>
                <w:highlight w:val="none"/>
              </w:rPr>
            </w:pPr>
            <w:r>
              <w:rPr>
                <w:spacing w:val="-8"/>
                <w:sz w:val="28"/>
                <w:szCs w:val="28"/>
                <w:highlight w:val="none"/>
              </w:rPr>
              <w:t>★</w:t>
            </w:r>
            <w:r>
              <w:rPr>
                <w:b/>
                <w:bCs/>
                <w:spacing w:val="-8"/>
                <w:highlight w:val="none"/>
              </w:rPr>
              <w:t>预算金额</w:t>
            </w:r>
          </w:p>
        </w:tc>
        <w:tc>
          <w:tcPr>
            <w:tcW w:w="6756" w:type="dxa"/>
            <w:gridSpan w:val="2"/>
            <w:vAlign w:val="top"/>
          </w:tcPr>
          <w:p w14:paraId="7B0B6693">
            <w:pPr>
              <w:pStyle w:val="11"/>
              <w:spacing w:before="97" w:line="222" w:lineRule="auto"/>
              <w:ind w:left="129" w:right="1626"/>
              <w:outlineLvl w:val="9"/>
              <w:rPr>
                <w:b/>
                <w:bCs/>
                <w:spacing w:val="-4"/>
                <w:highlight w:val="none"/>
              </w:rPr>
            </w:pPr>
            <w:r>
              <w:rPr>
                <w:b/>
                <w:bCs/>
                <w:spacing w:val="-3"/>
                <w:highlight w:val="none"/>
              </w:rPr>
              <w:t>最高限价：</w:t>
            </w:r>
            <w:r>
              <w:rPr>
                <w:rFonts w:hint="eastAsia" w:ascii="Times New Roman" w:hAnsi="Times New Roman" w:cs="Times New Roman"/>
                <w:b/>
                <w:bCs/>
                <w:spacing w:val="-3"/>
                <w:highlight w:val="none"/>
                <w:lang w:val="en-US" w:eastAsia="zh-CN"/>
              </w:rPr>
              <w:t>170</w:t>
            </w:r>
            <w:r>
              <w:rPr>
                <w:rFonts w:ascii="Times New Roman" w:hAnsi="Times New Roman" w:eastAsia="Times New Roman" w:cs="Times New Roman"/>
                <w:b/>
                <w:bCs/>
                <w:spacing w:val="-3"/>
                <w:highlight w:val="none"/>
              </w:rPr>
              <w:t>0000.00</w:t>
            </w:r>
            <w:r>
              <w:rPr>
                <w:b/>
                <w:bCs/>
                <w:spacing w:val="-3"/>
                <w:highlight w:val="none"/>
              </w:rPr>
              <w:t>元（</w:t>
            </w:r>
            <w:r>
              <w:rPr>
                <w:rFonts w:hint="eastAsia"/>
                <w:b/>
                <w:bCs/>
                <w:spacing w:val="-3"/>
                <w:highlight w:val="none"/>
                <w:lang w:val="en-US" w:eastAsia="zh-CN"/>
              </w:rPr>
              <w:t>壹</w:t>
            </w:r>
            <w:r>
              <w:rPr>
                <w:b/>
                <w:bCs/>
                <w:spacing w:val="-3"/>
                <w:highlight w:val="none"/>
              </w:rPr>
              <w:t>佰</w:t>
            </w:r>
            <w:r>
              <w:rPr>
                <w:rFonts w:hint="eastAsia"/>
                <w:b/>
                <w:bCs/>
                <w:spacing w:val="-3"/>
                <w:highlight w:val="none"/>
                <w:lang w:val="en-US" w:eastAsia="zh-CN"/>
              </w:rPr>
              <w:t>柒</w:t>
            </w:r>
            <w:r>
              <w:rPr>
                <w:b/>
                <w:bCs/>
                <w:spacing w:val="-4"/>
                <w:highlight w:val="none"/>
              </w:rPr>
              <w:t>拾万元整）</w:t>
            </w:r>
          </w:p>
          <w:p w14:paraId="6AB3261C">
            <w:pPr>
              <w:pStyle w:val="11"/>
              <w:spacing w:before="97" w:line="222" w:lineRule="auto"/>
              <w:ind w:left="129" w:right="1626"/>
              <w:outlineLvl w:val="9"/>
              <w:rPr>
                <w:highlight w:val="none"/>
              </w:rPr>
            </w:pPr>
            <w:r>
              <w:rPr>
                <w:b/>
                <w:bCs/>
                <w:spacing w:val="-6"/>
                <w:highlight w:val="none"/>
              </w:rPr>
              <w:t>投标人投标报价高于总预算金额的为无效投标。</w:t>
            </w:r>
          </w:p>
        </w:tc>
      </w:tr>
      <w:tr w14:paraId="43D3D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6" w:type="dxa"/>
          <w:trHeight w:val="709" w:hRule="atLeast"/>
        </w:trPr>
        <w:tc>
          <w:tcPr>
            <w:tcW w:w="735" w:type="dxa"/>
            <w:vAlign w:val="center"/>
          </w:tcPr>
          <w:p w14:paraId="21F8B9C1">
            <w:pPr>
              <w:jc w:val="center"/>
              <w:outlineLvl w:val="9"/>
              <w:rPr>
                <w:rFonts w:hint="default" w:ascii="宋体" w:hAnsi="宋体" w:eastAsia="宋体" w:cs="宋体"/>
                <w:b/>
                <w:bCs/>
                <w:snapToGrid w:val="0"/>
                <w:color w:val="000000"/>
                <w:spacing w:val="-7"/>
                <w:kern w:val="0"/>
                <w:sz w:val="24"/>
                <w:szCs w:val="24"/>
                <w:highlight w:val="none"/>
                <w:lang w:val="en-US" w:eastAsia="zh-CN" w:bidi="ar-SA"/>
              </w:rPr>
            </w:pPr>
            <w:r>
              <w:rPr>
                <w:rFonts w:hint="eastAsia" w:ascii="宋体" w:hAnsi="宋体" w:eastAsia="宋体" w:cs="宋体"/>
                <w:b/>
                <w:bCs/>
                <w:snapToGrid w:val="0"/>
                <w:color w:val="000000"/>
                <w:spacing w:val="-7"/>
                <w:kern w:val="0"/>
                <w:sz w:val="24"/>
                <w:szCs w:val="24"/>
                <w:highlight w:val="none"/>
                <w:lang w:val="en-US" w:eastAsia="zh-CN" w:bidi="ar-SA"/>
              </w:rPr>
              <w:t>21</w:t>
            </w:r>
          </w:p>
        </w:tc>
        <w:tc>
          <w:tcPr>
            <w:tcW w:w="2439" w:type="dxa"/>
            <w:gridSpan w:val="2"/>
            <w:vAlign w:val="center"/>
          </w:tcPr>
          <w:p w14:paraId="5BD3E2C1">
            <w:pPr>
              <w:jc w:val="center"/>
              <w:outlineLvl w:val="9"/>
              <w:rPr>
                <w:rFonts w:ascii="宋体" w:hAnsi="宋体" w:eastAsia="宋体" w:cs="宋体"/>
                <w:b/>
                <w:bCs/>
                <w:snapToGrid w:val="0"/>
                <w:color w:val="000000"/>
                <w:spacing w:val="-7"/>
                <w:kern w:val="0"/>
                <w:sz w:val="24"/>
                <w:szCs w:val="24"/>
                <w:highlight w:val="none"/>
                <w:lang w:val="en-US" w:eastAsia="en-US" w:bidi="ar-SA"/>
              </w:rPr>
            </w:pPr>
            <w:r>
              <w:rPr>
                <w:rFonts w:hint="eastAsia" w:ascii="宋体" w:hAnsi="宋体" w:eastAsia="宋体" w:cs="宋体"/>
                <w:b/>
                <w:bCs/>
                <w:snapToGrid w:val="0"/>
                <w:color w:val="000000"/>
                <w:spacing w:val="-7"/>
                <w:kern w:val="0"/>
                <w:sz w:val="24"/>
                <w:szCs w:val="24"/>
                <w:highlight w:val="none"/>
                <w:lang w:val="en-US" w:eastAsia="zh-CN" w:bidi="ar-SA"/>
              </w:rPr>
              <w:t>投标保证金</w:t>
            </w:r>
          </w:p>
        </w:tc>
        <w:tc>
          <w:tcPr>
            <w:tcW w:w="6756" w:type="dxa"/>
            <w:gridSpan w:val="2"/>
            <w:vAlign w:val="top"/>
          </w:tcPr>
          <w:p w14:paraId="07B4A21B">
            <w:pPr>
              <w:pStyle w:val="11"/>
              <w:spacing w:before="206" w:line="287" w:lineRule="auto"/>
              <w:ind w:left="100" w:right="25" w:firstLine="44"/>
              <w:outlineLvl w:val="9"/>
              <w:rPr>
                <w:highlight w:val="none"/>
              </w:rPr>
            </w:pPr>
            <w:r>
              <w:rPr>
                <w:rFonts w:hint="eastAsia"/>
                <w:highlight w:val="none"/>
                <w:lang w:val="en-US" w:eastAsia="zh-CN"/>
              </w:rPr>
              <w:t>本项目不收取投标保证金，投标人无需提交保证金相关凭证。</w:t>
            </w:r>
          </w:p>
        </w:tc>
      </w:tr>
      <w:tr w14:paraId="3F8DD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6" w:type="dxa"/>
          <w:trHeight w:val="520" w:hRule="atLeast"/>
        </w:trPr>
        <w:tc>
          <w:tcPr>
            <w:tcW w:w="735" w:type="dxa"/>
            <w:vAlign w:val="top"/>
          </w:tcPr>
          <w:p w14:paraId="5173411E">
            <w:pPr>
              <w:pStyle w:val="11"/>
              <w:spacing w:before="242" w:line="206" w:lineRule="auto"/>
              <w:ind w:left="267"/>
              <w:outlineLvl w:val="9"/>
              <w:rPr>
                <w:highlight w:val="none"/>
              </w:rPr>
            </w:pPr>
            <w:r>
              <w:rPr>
                <w:b/>
                <w:bCs/>
                <w:spacing w:val="-9"/>
                <w:highlight w:val="none"/>
              </w:rPr>
              <w:t>22</w:t>
            </w:r>
          </w:p>
        </w:tc>
        <w:tc>
          <w:tcPr>
            <w:tcW w:w="2439" w:type="dxa"/>
            <w:gridSpan w:val="2"/>
            <w:vAlign w:val="top"/>
          </w:tcPr>
          <w:p w14:paraId="11332870">
            <w:pPr>
              <w:pStyle w:val="11"/>
              <w:spacing w:before="205" w:line="201" w:lineRule="auto"/>
              <w:ind w:left="498"/>
              <w:outlineLvl w:val="9"/>
              <w:rPr>
                <w:highlight w:val="none"/>
              </w:rPr>
            </w:pPr>
            <w:r>
              <w:rPr>
                <w:spacing w:val="-7"/>
                <w:sz w:val="28"/>
                <w:szCs w:val="28"/>
                <w:highlight w:val="none"/>
              </w:rPr>
              <w:t>★</w:t>
            </w:r>
            <w:r>
              <w:rPr>
                <w:b/>
                <w:bCs/>
                <w:spacing w:val="-7"/>
                <w:highlight w:val="none"/>
              </w:rPr>
              <w:t>投标有效期</w:t>
            </w:r>
          </w:p>
        </w:tc>
        <w:tc>
          <w:tcPr>
            <w:tcW w:w="6756" w:type="dxa"/>
            <w:gridSpan w:val="2"/>
            <w:vAlign w:val="top"/>
          </w:tcPr>
          <w:p w14:paraId="60FBC4F4">
            <w:pPr>
              <w:pStyle w:val="11"/>
              <w:spacing w:before="219" w:line="219" w:lineRule="auto"/>
              <w:ind w:left="129"/>
              <w:outlineLvl w:val="9"/>
              <w:rPr>
                <w:highlight w:val="none"/>
              </w:rPr>
            </w:pPr>
            <w:r>
              <w:rPr>
                <w:spacing w:val="-6"/>
                <w:highlight w:val="none"/>
              </w:rPr>
              <w:t>从提交投标文件的截止之日起90日历天。</w:t>
            </w:r>
          </w:p>
        </w:tc>
      </w:tr>
      <w:tr w14:paraId="159AF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6" w:type="dxa"/>
          <w:trHeight w:val="435" w:hRule="atLeast"/>
        </w:trPr>
        <w:tc>
          <w:tcPr>
            <w:tcW w:w="735" w:type="dxa"/>
            <w:vAlign w:val="top"/>
          </w:tcPr>
          <w:p w14:paraId="0152A525">
            <w:pPr>
              <w:pStyle w:val="11"/>
              <w:spacing w:before="162" w:line="202" w:lineRule="auto"/>
              <w:ind w:left="267"/>
              <w:outlineLvl w:val="9"/>
              <w:rPr>
                <w:highlight w:val="none"/>
              </w:rPr>
            </w:pPr>
            <w:r>
              <w:rPr>
                <w:b/>
                <w:bCs/>
                <w:spacing w:val="-9"/>
                <w:highlight w:val="none"/>
              </w:rPr>
              <w:t>23</w:t>
            </w:r>
          </w:p>
        </w:tc>
        <w:tc>
          <w:tcPr>
            <w:tcW w:w="2439" w:type="dxa"/>
            <w:gridSpan w:val="2"/>
            <w:vAlign w:val="top"/>
          </w:tcPr>
          <w:p w14:paraId="7299B567">
            <w:pPr>
              <w:pStyle w:val="11"/>
              <w:spacing w:before="142" w:line="217" w:lineRule="auto"/>
              <w:ind w:left="511"/>
              <w:outlineLvl w:val="9"/>
              <w:rPr>
                <w:highlight w:val="none"/>
              </w:rPr>
            </w:pPr>
            <w:r>
              <w:rPr>
                <w:b/>
                <w:bCs/>
                <w:spacing w:val="-6"/>
                <w:highlight w:val="none"/>
              </w:rPr>
              <w:t>投标截止时间</w:t>
            </w:r>
          </w:p>
        </w:tc>
        <w:tc>
          <w:tcPr>
            <w:tcW w:w="6756" w:type="dxa"/>
            <w:gridSpan w:val="2"/>
            <w:vAlign w:val="top"/>
          </w:tcPr>
          <w:p w14:paraId="0F70D680">
            <w:pPr>
              <w:pStyle w:val="11"/>
              <w:spacing w:before="116" w:line="219" w:lineRule="auto"/>
              <w:ind w:left="115"/>
              <w:outlineLvl w:val="9"/>
              <w:rPr>
                <w:highlight w:val="none"/>
              </w:rPr>
            </w:pPr>
            <w:r>
              <w:rPr>
                <w:rFonts w:hint="eastAsia"/>
                <w:spacing w:val="-1"/>
                <w:highlight w:val="none"/>
                <w:lang w:eastAsia="zh-CN"/>
              </w:rPr>
              <w:t>2026年10月22日11点00分</w:t>
            </w:r>
            <w:r>
              <w:rPr>
                <w:spacing w:val="-1"/>
                <w:highlight w:val="none"/>
              </w:rPr>
              <w:t>（北京时间）</w:t>
            </w:r>
          </w:p>
        </w:tc>
      </w:tr>
      <w:tr w14:paraId="2B3C0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6" w:type="dxa"/>
          <w:trHeight w:val="437" w:hRule="atLeast"/>
        </w:trPr>
        <w:tc>
          <w:tcPr>
            <w:tcW w:w="735" w:type="dxa"/>
            <w:vAlign w:val="top"/>
          </w:tcPr>
          <w:p w14:paraId="66D7E157">
            <w:pPr>
              <w:pStyle w:val="11"/>
              <w:spacing w:before="163" w:line="203" w:lineRule="auto"/>
              <w:ind w:left="267"/>
              <w:outlineLvl w:val="9"/>
              <w:rPr>
                <w:highlight w:val="none"/>
              </w:rPr>
            </w:pPr>
            <w:r>
              <w:rPr>
                <w:b/>
                <w:bCs/>
                <w:spacing w:val="-9"/>
                <w:highlight w:val="none"/>
              </w:rPr>
              <w:t>24</w:t>
            </w:r>
          </w:p>
        </w:tc>
        <w:tc>
          <w:tcPr>
            <w:tcW w:w="2439" w:type="dxa"/>
            <w:gridSpan w:val="2"/>
            <w:vAlign w:val="top"/>
          </w:tcPr>
          <w:p w14:paraId="3EE5A680">
            <w:pPr>
              <w:pStyle w:val="11"/>
              <w:spacing w:before="142" w:line="219" w:lineRule="auto"/>
              <w:ind w:left="144"/>
              <w:outlineLvl w:val="9"/>
              <w:rPr>
                <w:highlight w:val="none"/>
              </w:rPr>
            </w:pPr>
            <w:r>
              <w:rPr>
                <w:b/>
                <w:bCs/>
                <w:spacing w:val="-5"/>
                <w:highlight w:val="none"/>
              </w:rPr>
              <w:t>递交投标文件的地点</w:t>
            </w:r>
          </w:p>
        </w:tc>
        <w:tc>
          <w:tcPr>
            <w:tcW w:w="6756" w:type="dxa"/>
            <w:gridSpan w:val="2"/>
            <w:vAlign w:val="top"/>
          </w:tcPr>
          <w:p w14:paraId="01777A09">
            <w:pPr>
              <w:pStyle w:val="11"/>
              <w:spacing w:before="126" w:line="231" w:lineRule="auto"/>
              <w:ind w:left="120"/>
              <w:outlineLvl w:val="9"/>
              <w:rPr>
                <w:highlight w:val="none"/>
              </w:rPr>
            </w:pPr>
            <w:r>
              <w:rPr>
                <w:highlight w:val="none"/>
              </w:rPr>
              <w:t>政采云一站式政府采购云平台（</w:t>
            </w:r>
            <w:r>
              <w:rPr>
                <w:highlight w:val="none"/>
              </w:rPr>
              <w:fldChar w:fldCharType="begin"/>
            </w:r>
            <w:r>
              <w:rPr>
                <w:highlight w:val="none"/>
              </w:rPr>
              <w:instrText xml:space="preserve"> HYPERLINK "http://www.zcygov.cn/" </w:instrText>
            </w:r>
            <w:r>
              <w:rPr>
                <w:highlight w:val="none"/>
              </w:rPr>
              <w:fldChar w:fldCharType="separate"/>
            </w:r>
            <w:r>
              <w:rPr>
                <w:highlight w:val="none"/>
              </w:rPr>
              <w:t>http://www.zcygov.cn/</w:t>
            </w:r>
            <w:r>
              <w:rPr>
                <w:highlight w:val="none"/>
              </w:rPr>
              <w:fldChar w:fldCharType="end"/>
            </w:r>
            <w:r>
              <w:rPr>
                <w:highlight w:val="none"/>
              </w:rPr>
              <w:t>）</w:t>
            </w:r>
          </w:p>
        </w:tc>
      </w:tr>
      <w:tr w14:paraId="5514B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6" w:type="dxa"/>
          <w:trHeight w:val="3602" w:hRule="atLeast"/>
        </w:trPr>
        <w:tc>
          <w:tcPr>
            <w:tcW w:w="735" w:type="dxa"/>
            <w:vAlign w:val="center"/>
          </w:tcPr>
          <w:p w14:paraId="76EBDF6B">
            <w:pPr>
              <w:pStyle w:val="11"/>
              <w:spacing w:before="113"/>
              <w:ind w:left="267"/>
              <w:jc w:val="center"/>
              <w:outlineLvl w:val="9"/>
              <w:rPr>
                <w:highlight w:val="none"/>
              </w:rPr>
            </w:pPr>
            <w:r>
              <w:rPr>
                <w:b/>
                <w:bCs/>
                <w:spacing w:val="-9"/>
                <w:highlight w:val="none"/>
              </w:rPr>
              <w:t>25</w:t>
            </w:r>
          </w:p>
        </w:tc>
        <w:tc>
          <w:tcPr>
            <w:tcW w:w="2439" w:type="dxa"/>
            <w:gridSpan w:val="2"/>
            <w:vAlign w:val="center"/>
          </w:tcPr>
          <w:p w14:paraId="4239753D">
            <w:pPr>
              <w:pStyle w:val="11"/>
              <w:spacing w:before="92" w:line="219" w:lineRule="auto"/>
              <w:ind w:left="511"/>
              <w:jc w:val="both"/>
              <w:outlineLvl w:val="9"/>
              <w:rPr>
                <w:highlight w:val="none"/>
              </w:rPr>
            </w:pPr>
            <w:r>
              <w:rPr>
                <w:b/>
                <w:bCs/>
                <w:spacing w:val="-6"/>
                <w:highlight w:val="none"/>
              </w:rPr>
              <w:t>投标文件份数</w:t>
            </w:r>
          </w:p>
        </w:tc>
        <w:tc>
          <w:tcPr>
            <w:tcW w:w="6756" w:type="dxa"/>
            <w:gridSpan w:val="2"/>
            <w:vAlign w:val="top"/>
          </w:tcPr>
          <w:p w14:paraId="33F91196">
            <w:pPr>
              <w:pStyle w:val="11"/>
              <w:spacing w:before="156" w:line="369" w:lineRule="auto"/>
              <w:ind w:left="125" w:right="26" w:firstLine="5"/>
              <w:outlineLvl w:val="9"/>
              <w:rPr>
                <w:spacing w:val="4"/>
                <w:highlight w:val="none"/>
              </w:rPr>
            </w:pPr>
            <w:r>
              <w:rPr>
                <w:spacing w:val="4"/>
                <w:highlight w:val="none"/>
              </w:rPr>
              <w:t>不分册装订，应采用A4纸印刷，装订（胶装）成册</w:t>
            </w:r>
            <w:r>
              <w:rPr>
                <w:spacing w:val="3"/>
                <w:highlight w:val="none"/>
              </w:rPr>
              <w:t>，编制目</w:t>
            </w:r>
            <w:r>
              <w:rPr>
                <w:spacing w:val="4"/>
                <w:highlight w:val="none"/>
              </w:rPr>
              <w:t>录和页码，不得采用活页装订。纸质投标文件应一式肆份：其</w:t>
            </w:r>
          </w:p>
          <w:p w14:paraId="3D53F479">
            <w:pPr>
              <w:spacing w:before="76" w:line="228" w:lineRule="auto"/>
              <w:jc w:val="both"/>
              <w:outlineLvl w:val="9"/>
              <w:rPr>
                <w:rFonts w:hint="eastAsia" w:ascii="宋体" w:hAnsi="宋体" w:eastAsia="宋体" w:cs="宋体"/>
                <w:snapToGrid w:val="0"/>
                <w:color w:val="000000"/>
                <w:spacing w:val="-2"/>
                <w:kern w:val="0"/>
                <w:sz w:val="24"/>
                <w:szCs w:val="24"/>
                <w:highlight w:val="none"/>
                <w:lang w:val="en-US" w:eastAsia="en-US" w:bidi="ar-SA"/>
              </w:rPr>
            </w:pPr>
            <w:r>
              <w:rPr>
                <w:spacing w:val="3"/>
                <w:highlight w:val="none"/>
              </w:rPr>
              <w:t>中正本壹份，副本贰份，U盘3个（正本盖章扫描件，</w:t>
            </w:r>
            <w:r>
              <w:rPr>
                <w:highlight w:val="none"/>
              </w:rPr>
              <w:t>PDF</w:t>
            </w:r>
            <w:r>
              <w:rPr>
                <w:spacing w:val="3"/>
                <w:highlight w:val="none"/>
              </w:rPr>
              <w:t>格</w:t>
            </w:r>
            <w:r>
              <w:rPr>
                <w:spacing w:val="4"/>
                <w:highlight w:val="none"/>
              </w:rPr>
              <w:t>式）。所有纸质版投标文件需投标单位在公示期结束后提供纸质版（或是</w:t>
            </w:r>
            <w:r>
              <w:rPr>
                <w:rFonts w:hint="eastAsia" w:ascii="宋体" w:hAnsi="宋体" w:eastAsia="宋体" w:cs="宋体"/>
                <w:snapToGrid w:val="0"/>
                <w:color w:val="000000"/>
                <w:spacing w:val="-2"/>
                <w:kern w:val="0"/>
                <w:sz w:val="24"/>
                <w:szCs w:val="24"/>
                <w:highlight w:val="none"/>
                <w:lang w:val="en-US" w:eastAsia="en-US" w:bidi="ar-SA"/>
              </w:rPr>
              <w:t>新疆阿克苏地区温宿县长兴街15号阿克苏药品集散中心（一期）办公楼2层238室</w:t>
            </w:r>
          </w:p>
          <w:p w14:paraId="00F94490">
            <w:pPr>
              <w:spacing w:before="76" w:line="228" w:lineRule="auto"/>
              <w:ind w:firstLine="236" w:firstLineChars="100"/>
              <w:jc w:val="both"/>
              <w:outlineLvl w:val="9"/>
              <w:rPr>
                <w:rFonts w:hint="eastAsia" w:ascii="宋体" w:hAnsi="宋体" w:eastAsia="宋体" w:cs="宋体"/>
                <w:snapToGrid w:val="0"/>
                <w:color w:val="000000"/>
                <w:spacing w:val="-2"/>
                <w:kern w:val="0"/>
                <w:sz w:val="24"/>
                <w:szCs w:val="24"/>
                <w:highlight w:val="none"/>
                <w:lang w:val="en-US" w:eastAsia="zh-CN" w:bidi="ar-SA"/>
              </w:rPr>
            </w:pPr>
            <w:r>
              <w:rPr>
                <w:rFonts w:hint="eastAsia" w:ascii="宋体" w:hAnsi="宋体" w:eastAsia="宋体" w:cs="宋体"/>
                <w:snapToGrid w:val="0"/>
                <w:color w:val="000000"/>
                <w:spacing w:val="-2"/>
                <w:kern w:val="0"/>
                <w:sz w:val="24"/>
                <w:szCs w:val="24"/>
                <w:highlight w:val="none"/>
                <w:lang w:val="en-US" w:eastAsia="zh-CN" w:bidi="ar-SA"/>
              </w:rPr>
              <w:t>联</w:t>
            </w:r>
            <w:r>
              <w:rPr>
                <w:rFonts w:ascii="宋体" w:hAnsi="宋体" w:eastAsia="宋体" w:cs="宋体"/>
                <w:snapToGrid w:val="0"/>
                <w:color w:val="000000"/>
                <w:spacing w:val="-2"/>
                <w:kern w:val="0"/>
                <w:sz w:val="24"/>
                <w:szCs w:val="24"/>
                <w:highlight w:val="none"/>
                <w:lang w:val="en-US" w:eastAsia="en-US" w:bidi="ar-SA"/>
              </w:rPr>
              <w:t>系人：</w:t>
            </w:r>
            <w:r>
              <w:rPr>
                <w:rFonts w:hint="eastAsia" w:ascii="宋体" w:hAnsi="宋体" w:eastAsia="宋体" w:cs="宋体"/>
                <w:snapToGrid w:val="0"/>
                <w:color w:val="000000"/>
                <w:spacing w:val="-2"/>
                <w:kern w:val="0"/>
                <w:sz w:val="24"/>
                <w:szCs w:val="24"/>
                <w:highlight w:val="none"/>
                <w:lang w:val="en-US" w:eastAsia="zh-CN" w:bidi="ar-SA"/>
              </w:rPr>
              <w:t>齐元鑫、张黎</w:t>
            </w:r>
          </w:p>
          <w:p w14:paraId="1925F8D3">
            <w:pPr>
              <w:pStyle w:val="11"/>
              <w:spacing w:before="37" w:line="361" w:lineRule="auto"/>
              <w:ind w:left="125" w:right="28" w:firstLine="21"/>
              <w:outlineLvl w:val="9"/>
              <w:rPr>
                <w:highlight w:val="none"/>
              </w:rPr>
            </w:pPr>
            <w:r>
              <w:rPr>
                <w:rFonts w:ascii="宋体" w:hAnsi="宋体" w:eastAsia="宋体" w:cs="宋体"/>
                <w:snapToGrid w:val="0"/>
                <w:color w:val="000000"/>
                <w:spacing w:val="-2"/>
                <w:kern w:val="0"/>
                <w:sz w:val="24"/>
                <w:szCs w:val="24"/>
                <w:highlight w:val="none"/>
                <w:lang w:val="en-US" w:eastAsia="en-US" w:bidi="ar-SA"/>
              </w:rPr>
              <w:t>电话：</w:t>
            </w:r>
            <w:r>
              <w:rPr>
                <w:rFonts w:hint="eastAsia" w:ascii="宋体" w:hAnsi="宋体" w:eastAsia="宋体" w:cs="宋体"/>
                <w:snapToGrid w:val="0"/>
                <w:color w:val="000000"/>
                <w:spacing w:val="-2"/>
                <w:kern w:val="0"/>
                <w:sz w:val="24"/>
                <w:szCs w:val="24"/>
                <w:highlight w:val="none"/>
                <w:lang w:val="en-US" w:eastAsia="zh-CN" w:bidi="ar-SA"/>
              </w:rPr>
              <w:t>15292520014、</w:t>
            </w:r>
            <w:r>
              <w:rPr>
                <w:rFonts w:hint="eastAsia" w:cs="宋体"/>
                <w:snapToGrid w:val="0"/>
                <w:color w:val="000000"/>
                <w:spacing w:val="-2"/>
                <w:kern w:val="0"/>
                <w:sz w:val="24"/>
                <w:szCs w:val="24"/>
                <w:highlight w:val="none"/>
                <w:lang w:val="en-US" w:eastAsia="zh-CN" w:bidi="ar-SA"/>
              </w:rPr>
              <w:t>15299591234</w:t>
            </w:r>
            <w:r>
              <w:rPr>
                <w:highlight w:val="none"/>
              </w:rPr>
              <w:t>。</w:t>
            </w:r>
          </w:p>
          <w:p w14:paraId="02CB2B97">
            <w:pPr>
              <w:pStyle w:val="11"/>
              <w:spacing w:before="37" w:line="361" w:lineRule="auto"/>
              <w:ind w:left="125" w:right="28" w:firstLine="21"/>
              <w:outlineLvl w:val="9"/>
              <w:rPr>
                <w:rFonts w:hint="default" w:eastAsia="宋体"/>
                <w:highlight w:val="none"/>
                <w:lang w:val="en-US" w:eastAsia="zh-CN"/>
              </w:rPr>
            </w:pPr>
            <w:r>
              <w:rPr>
                <w:rFonts w:hint="eastAsia"/>
                <w:highlight w:val="none"/>
                <w:lang w:val="en-US" w:eastAsia="zh-CN"/>
              </w:rPr>
              <w:t>备注：投标结束后7个工作日内送达</w:t>
            </w:r>
          </w:p>
        </w:tc>
      </w:tr>
      <w:tr w14:paraId="2B88F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6" w:type="dxa"/>
          <w:trHeight w:val="6269" w:hRule="atLeast"/>
        </w:trPr>
        <w:tc>
          <w:tcPr>
            <w:tcW w:w="735" w:type="dxa"/>
            <w:vAlign w:val="top"/>
          </w:tcPr>
          <w:p w14:paraId="76921F2F">
            <w:pPr>
              <w:spacing w:line="249" w:lineRule="auto"/>
              <w:outlineLvl w:val="9"/>
              <w:rPr>
                <w:rFonts w:ascii="Arial"/>
                <w:sz w:val="21"/>
                <w:highlight w:val="none"/>
              </w:rPr>
            </w:pPr>
          </w:p>
          <w:p w14:paraId="77DFAFAB">
            <w:pPr>
              <w:spacing w:line="249" w:lineRule="auto"/>
              <w:outlineLvl w:val="9"/>
              <w:rPr>
                <w:rFonts w:ascii="Arial"/>
                <w:sz w:val="21"/>
                <w:highlight w:val="none"/>
              </w:rPr>
            </w:pPr>
          </w:p>
          <w:p w14:paraId="57CD8158">
            <w:pPr>
              <w:spacing w:line="250" w:lineRule="auto"/>
              <w:outlineLvl w:val="9"/>
              <w:rPr>
                <w:rFonts w:ascii="Arial"/>
                <w:sz w:val="21"/>
                <w:highlight w:val="none"/>
              </w:rPr>
            </w:pPr>
          </w:p>
          <w:p w14:paraId="1C134B2E">
            <w:pPr>
              <w:spacing w:line="250" w:lineRule="auto"/>
              <w:outlineLvl w:val="9"/>
              <w:rPr>
                <w:rFonts w:ascii="Arial"/>
                <w:sz w:val="21"/>
                <w:highlight w:val="none"/>
              </w:rPr>
            </w:pPr>
          </w:p>
          <w:p w14:paraId="3C816B51">
            <w:pPr>
              <w:spacing w:line="250" w:lineRule="auto"/>
              <w:outlineLvl w:val="9"/>
              <w:rPr>
                <w:rFonts w:ascii="Arial"/>
                <w:sz w:val="21"/>
                <w:highlight w:val="none"/>
              </w:rPr>
            </w:pPr>
          </w:p>
          <w:p w14:paraId="04ADF070">
            <w:pPr>
              <w:spacing w:line="250" w:lineRule="auto"/>
              <w:outlineLvl w:val="9"/>
              <w:rPr>
                <w:rFonts w:ascii="Arial"/>
                <w:sz w:val="21"/>
                <w:highlight w:val="none"/>
              </w:rPr>
            </w:pPr>
          </w:p>
          <w:p w14:paraId="181A60B5">
            <w:pPr>
              <w:spacing w:line="250" w:lineRule="auto"/>
              <w:outlineLvl w:val="9"/>
              <w:rPr>
                <w:rFonts w:ascii="Arial"/>
                <w:sz w:val="21"/>
                <w:highlight w:val="none"/>
              </w:rPr>
            </w:pPr>
          </w:p>
          <w:p w14:paraId="09D22BA1">
            <w:pPr>
              <w:spacing w:line="250" w:lineRule="auto"/>
              <w:outlineLvl w:val="9"/>
              <w:rPr>
                <w:rFonts w:ascii="Arial"/>
                <w:sz w:val="21"/>
                <w:highlight w:val="none"/>
              </w:rPr>
            </w:pPr>
          </w:p>
          <w:p w14:paraId="0B7C3A4C">
            <w:pPr>
              <w:spacing w:line="250" w:lineRule="auto"/>
              <w:outlineLvl w:val="9"/>
              <w:rPr>
                <w:rFonts w:ascii="Arial"/>
                <w:sz w:val="21"/>
                <w:highlight w:val="none"/>
              </w:rPr>
            </w:pPr>
          </w:p>
          <w:p w14:paraId="7E211528">
            <w:pPr>
              <w:spacing w:line="250" w:lineRule="auto"/>
              <w:outlineLvl w:val="9"/>
              <w:rPr>
                <w:rFonts w:ascii="Arial"/>
                <w:sz w:val="21"/>
                <w:highlight w:val="none"/>
              </w:rPr>
            </w:pPr>
          </w:p>
          <w:p w14:paraId="0E7AC2FF">
            <w:pPr>
              <w:spacing w:line="250" w:lineRule="auto"/>
              <w:outlineLvl w:val="9"/>
              <w:rPr>
                <w:rFonts w:ascii="Arial"/>
                <w:sz w:val="21"/>
                <w:highlight w:val="none"/>
              </w:rPr>
            </w:pPr>
          </w:p>
          <w:p w14:paraId="4F97953A">
            <w:pPr>
              <w:spacing w:line="250" w:lineRule="auto"/>
              <w:outlineLvl w:val="9"/>
              <w:rPr>
                <w:rFonts w:ascii="Arial"/>
                <w:sz w:val="21"/>
                <w:highlight w:val="none"/>
              </w:rPr>
            </w:pPr>
          </w:p>
          <w:p w14:paraId="7F454A85">
            <w:pPr>
              <w:pStyle w:val="11"/>
              <w:spacing w:before="78"/>
              <w:ind w:left="267"/>
              <w:outlineLvl w:val="9"/>
              <w:rPr>
                <w:highlight w:val="none"/>
              </w:rPr>
            </w:pPr>
            <w:r>
              <w:rPr>
                <w:b/>
                <w:bCs/>
                <w:spacing w:val="-9"/>
                <w:highlight w:val="none"/>
              </w:rPr>
              <w:t>26</w:t>
            </w:r>
          </w:p>
        </w:tc>
        <w:tc>
          <w:tcPr>
            <w:tcW w:w="2439" w:type="dxa"/>
            <w:gridSpan w:val="2"/>
            <w:vAlign w:val="top"/>
          </w:tcPr>
          <w:p w14:paraId="41BD48E5">
            <w:pPr>
              <w:spacing w:line="248" w:lineRule="auto"/>
              <w:outlineLvl w:val="9"/>
              <w:rPr>
                <w:rFonts w:ascii="Arial"/>
                <w:sz w:val="21"/>
                <w:highlight w:val="none"/>
              </w:rPr>
            </w:pPr>
          </w:p>
          <w:p w14:paraId="36795164">
            <w:pPr>
              <w:spacing w:line="248" w:lineRule="auto"/>
              <w:outlineLvl w:val="9"/>
              <w:rPr>
                <w:rFonts w:ascii="Arial"/>
                <w:sz w:val="21"/>
                <w:highlight w:val="none"/>
              </w:rPr>
            </w:pPr>
          </w:p>
          <w:p w14:paraId="2955EE8D">
            <w:pPr>
              <w:spacing w:line="248" w:lineRule="auto"/>
              <w:outlineLvl w:val="9"/>
              <w:rPr>
                <w:rFonts w:ascii="Arial"/>
                <w:sz w:val="21"/>
                <w:highlight w:val="none"/>
              </w:rPr>
            </w:pPr>
          </w:p>
          <w:p w14:paraId="6249A2C0">
            <w:pPr>
              <w:spacing w:line="248" w:lineRule="auto"/>
              <w:outlineLvl w:val="9"/>
              <w:rPr>
                <w:rFonts w:ascii="Arial"/>
                <w:sz w:val="21"/>
                <w:highlight w:val="none"/>
              </w:rPr>
            </w:pPr>
          </w:p>
          <w:p w14:paraId="53EC9392">
            <w:pPr>
              <w:spacing w:line="248" w:lineRule="auto"/>
              <w:outlineLvl w:val="9"/>
              <w:rPr>
                <w:rFonts w:ascii="Arial"/>
                <w:sz w:val="21"/>
                <w:highlight w:val="none"/>
              </w:rPr>
            </w:pPr>
          </w:p>
          <w:p w14:paraId="5D9704C8">
            <w:pPr>
              <w:spacing w:line="248" w:lineRule="auto"/>
              <w:outlineLvl w:val="9"/>
              <w:rPr>
                <w:rFonts w:ascii="Arial"/>
                <w:sz w:val="21"/>
                <w:highlight w:val="none"/>
              </w:rPr>
            </w:pPr>
          </w:p>
          <w:p w14:paraId="29CCB3AF">
            <w:pPr>
              <w:spacing w:line="248" w:lineRule="auto"/>
              <w:outlineLvl w:val="9"/>
              <w:rPr>
                <w:rFonts w:ascii="Arial"/>
                <w:sz w:val="21"/>
                <w:highlight w:val="none"/>
              </w:rPr>
            </w:pPr>
          </w:p>
          <w:p w14:paraId="77A28F19">
            <w:pPr>
              <w:spacing w:line="248" w:lineRule="auto"/>
              <w:outlineLvl w:val="9"/>
              <w:rPr>
                <w:rFonts w:ascii="Arial"/>
                <w:sz w:val="21"/>
                <w:highlight w:val="none"/>
              </w:rPr>
            </w:pPr>
          </w:p>
          <w:p w14:paraId="76FD496B">
            <w:pPr>
              <w:spacing w:line="249" w:lineRule="auto"/>
              <w:outlineLvl w:val="9"/>
              <w:rPr>
                <w:rFonts w:ascii="Arial"/>
                <w:sz w:val="21"/>
                <w:highlight w:val="none"/>
              </w:rPr>
            </w:pPr>
          </w:p>
          <w:p w14:paraId="424F2BF7">
            <w:pPr>
              <w:spacing w:line="249" w:lineRule="auto"/>
              <w:outlineLvl w:val="9"/>
              <w:rPr>
                <w:rFonts w:ascii="Arial"/>
                <w:sz w:val="21"/>
                <w:highlight w:val="none"/>
              </w:rPr>
            </w:pPr>
          </w:p>
          <w:p w14:paraId="421B3DED">
            <w:pPr>
              <w:spacing w:line="249" w:lineRule="auto"/>
              <w:outlineLvl w:val="9"/>
              <w:rPr>
                <w:rFonts w:ascii="Arial"/>
                <w:sz w:val="21"/>
                <w:highlight w:val="none"/>
              </w:rPr>
            </w:pPr>
          </w:p>
          <w:p w14:paraId="788A6E4E">
            <w:pPr>
              <w:spacing w:line="249" w:lineRule="auto"/>
              <w:outlineLvl w:val="9"/>
              <w:rPr>
                <w:rFonts w:ascii="Arial"/>
                <w:sz w:val="21"/>
                <w:highlight w:val="none"/>
              </w:rPr>
            </w:pPr>
          </w:p>
          <w:p w14:paraId="75C80A1C">
            <w:pPr>
              <w:pStyle w:val="11"/>
              <w:spacing w:before="78" w:line="219" w:lineRule="auto"/>
              <w:ind w:left="269"/>
              <w:outlineLvl w:val="9"/>
              <w:rPr>
                <w:highlight w:val="none"/>
              </w:rPr>
            </w:pPr>
            <w:r>
              <w:rPr>
                <w:b/>
                <w:bCs/>
                <w:spacing w:val="-5"/>
                <w:highlight w:val="none"/>
              </w:rPr>
              <w:t>投标文件文件编制</w:t>
            </w:r>
          </w:p>
        </w:tc>
        <w:tc>
          <w:tcPr>
            <w:tcW w:w="6756" w:type="dxa"/>
            <w:gridSpan w:val="2"/>
            <w:vAlign w:val="top"/>
          </w:tcPr>
          <w:p w14:paraId="4F0305A8">
            <w:pPr>
              <w:pStyle w:val="11"/>
              <w:spacing w:before="151" w:line="355" w:lineRule="auto"/>
              <w:ind w:left="125" w:right="105" w:firstLine="33"/>
              <w:outlineLvl w:val="9"/>
              <w:rPr>
                <w:highlight w:val="none"/>
              </w:rPr>
            </w:pPr>
            <w:r>
              <w:rPr>
                <w:spacing w:val="8"/>
                <w:highlight w:val="none"/>
              </w:rPr>
              <w:t>1.本项目采用电子交易方式，供应商可前往新疆政府采购网</w:t>
            </w:r>
            <w:r>
              <w:rPr>
                <w:highlight w:val="none"/>
              </w:rPr>
              <w:t>(</w:t>
            </w:r>
            <w:r>
              <w:rPr>
                <w:highlight w:val="none"/>
              </w:rPr>
              <w:fldChar w:fldCharType="begin"/>
            </w:r>
            <w:r>
              <w:rPr>
                <w:highlight w:val="none"/>
              </w:rPr>
              <w:instrText xml:space="preserve"> HYPERLINK "http://www.ccgp-xinjiang.gov.cn/" </w:instrText>
            </w:r>
            <w:r>
              <w:rPr>
                <w:highlight w:val="none"/>
              </w:rPr>
              <w:fldChar w:fldCharType="separate"/>
            </w:r>
            <w:r>
              <w:rPr>
                <w:highlight w:val="none"/>
              </w:rPr>
              <w:t>http://www.ccgp-xinjiang.gov.cn/</w:t>
            </w:r>
            <w:r>
              <w:rPr>
                <w:highlight w:val="none"/>
              </w:rPr>
              <w:fldChar w:fldCharType="end"/>
            </w:r>
            <w:r>
              <w:rPr>
                <w:highlight w:val="none"/>
              </w:rPr>
              <w:t>)下载专区，下载政采云</w:t>
            </w:r>
            <w:r>
              <w:rPr>
                <w:spacing w:val="-5"/>
                <w:highlight w:val="none"/>
              </w:rPr>
              <w:t>电子投标客户端，安装完成后，可通过账号密码或CA登录客户</w:t>
            </w:r>
            <w:r>
              <w:rPr>
                <w:spacing w:val="1"/>
                <w:highlight w:val="none"/>
              </w:rPr>
              <w:t>端进行投标文件制作。在使用政采云电子投标客户端时，建议</w:t>
            </w:r>
            <w:r>
              <w:rPr>
                <w:spacing w:val="-2"/>
                <w:highlight w:val="none"/>
              </w:rPr>
              <w:t>使用WIN7及以上操作系统。如有问题可拨打政采云客户服务热</w:t>
            </w:r>
            <w:r>
              <w:rPr>
                <w:spacing w:val="-1"/>
                <w:highlight w:val="none"/>
              </w:rPr>
              <w:t>线</w:t>
            </w:r>
            <w:r>
              <w:rPr>
                <w:rFonts w:ascii="仿宋" w:hAnsi="仿宋" w:eastAsia="仿宋" w:cs="仿宋"/>
                <w:spacing w:val="-1"/>
                <w:sz w:val="25"/>
                <w:szCs w:val="25"/>
                <w:highlight w:val="none"/>
              </w:rPr>
              <w:t>95763</w:t>
            </w:r>
            <w:r>
              <w:rPr>
                <w:spacing w:val="-1"/>
                <w:highlight w:val="none"/>
              </w:rPr>
              <w:t>进行咨询。</w:t>
            </w:r>
          </w:p>
          <w:p w14:paraId="434FE9A5">
            <w:pPr>
              <w:pStyle w:val="11"/>
              <w:spacing w:before="206" w:line="219" w:lineRule="auto"/>
              <w:ind w:left="129"/>
              <w:outlineLvl w:val="9"/>
              <w:rPr>
                <w:highlight w:val="none"/>
              </w:rPr>
            </w:pPr>
            <w:r>
              <w:rPr>
                <w:spacing w:val="-1"/>
                <w:highlight w:val="none"/>
              </w:rPr>
              <w:t>2.投标文件分资格证明文件、商务技术文件、其他文件。</w:t>
            </w:r>
          </w:p>
          <w:p w14:paraId="78796C95">
            <w:pPr>
              <w:pStyle w:val="11"/>
              <w:spacing w:before="211" w:line="318" w:lineRule="auto"/>
              <w:ind w:left="120" w:right="110" w:firstLine="10"/>
              <w:outlineLvl w:val="9"/>
              <w:rPr>
                <w:highlight w:val="none"/>
              </w:rPr>
            </w:pPr>
            <w:r>
              <w:rPr>
                <w:highlight w:val="none"/>
              </w:rPr>
              <w:t>3.投标文件内容供应商应按照招标文件的要求编写投标文件；</w:t>
            </w:r>
            <w:r>
              <w:rPr>
                <w:spacing w:val="1"/>
                <w:highlight w:val="none"/>
              </w:rPr>
              <w:t>对招标文件要求填写的表格或者资料不得缺少或者留空，投标</w:t>
            </w:r>
            <w:r>
              <w:rPr>
                <w:spacing w:val="-2"/>
                <w:highlight w:val="none"/>
              </w:rPr>
              <w:t>文件不得加行。</w:t>
            </w:r>
          </w:p>
          <w:p w14:paraId="47AC1C27">
            <w:pPr>
              <w:pStyle w:val="11"/>
              <w:spacing w:before="186" w:line="305" w:lineRule="auto"/>
              <w:ind w:left="120" w:right="108"/>
              <w:outlineLvl w:val="9"/>
              <w:rPr>
                <w:highlight w:val="none"/>
              </w:rPr>
            </w:pPr>
            <w:r>
              <w:rPr>
                <w:spacing w:val="-3"/>
                <w:highlight w:val="none"/>
              </w:rPr>
              <w:t>4.投标文件应编制目录，目录、内容标注连续页码，页码从目</w:t>
            </w:r>
            <w:r>
              <w:rPr>
                <w:spacing w:val="1"/>
                <w:highlight w:val="none"/>
              </w:rPr>
              <w:t>录编起，标注于页面底部居中位置。供应商中标后应按要求提</w:t>
            </w:r>
            <w:r>
              <w:rPr>
                <w:spacing w:val="-3"/>
                <w:highlight w:val="none"/>
              </w:rPr>
              <w:t>供纸质投标文件。</w:t>
            </w:r>
          </w:p>
        </w:tc>
      </w:tr>
      <w:tr w14:paraId="08378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6" w:type="dxa"/>
          <w:trHeight w:val="3259" w:hRule="atLeast"/>
        </w:trPr>
        <w:tc>
          <w:tcPr>
            <w:tcW w:w="735" w:type="dxa"/>
            <w:vAlign w:val="top"/>
          </w:tcPr>
          <w:p w14:paraId="051D3B4F">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outlineLvl w:val="9"/>
              <w:rPr>
                <w:rFonts w:ascii="Arial"/>
                <w:sz w:val="21"/>
                <w:highlight w:val="none"/>
              </w:rPr>
            </w:pPr>
          </w:p>
          <w:p w14:paraId="632F62FF">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outlineLvl w:val="9"/>
              <w:rPr>
                <w:rFonts w:ascii="Arial"/>
                <w:sz w:val="21"/>
                <w:highlight w:val="none"/>
              </w:rPr>
            </w:pPr>
          </w:p>
          <w:p w14:paraId="36587E9C">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outlineLvl w:val="9"/>
              <w:rPr>
                <w:rFonts w:ascii="Arial"/>
                <w:sz w:val="21"/>
                <w:highlight w:val="none"/>
              </w:rPr>
            </w:pPr>
          </w:p>
          <w:p w14:paraId="20F4108B">
            <w:pPr>
              <w:keepNext w:val="0"/>
              <w:keepLines w:val="0"/>
              <w:pageBreakBefore w:val="0"/>
              <w:widowControl w:val="0"/>
              <w:kinsoku w:val="0"/>
              <w:wordWrap/>
              <w:overflowPunct/>
              <w:topLinePunct w:val="0"/>
              <w:autoSpaceDE w:val="0"/>
              <w:autoSpaceDN w:val="0"/>
              <w:bidi w:val="0"/>
              <w:adjustRightInd w:val="0"/>
              <w:snapToGrid w:val="0"/>
              <w:spacing w:line="250" w:lineRule="auto"/>
              <w:textAlignment w:val="baseline"/>
              <w:outlineLvl w:val="9"/>
              <w:rPr>
                <w:rFonts w:ascii="Arial"/>
                <w:sz w:val="21"/>
                <w:highlight w:val="none"/>
              </w:rPr>
            </w:pPr>
          </w:p>
          <w:p w14:paraId="2F20FE8C">
            <w:pPr>
              <w:keepNext w:val="0"/>
              <w:keepLines w:val="0"/>
              <w:pageBreakBefore w:val="0"/>
              <w:widowControl w:val="0"/>
              <w:kinsoku w:val="0"/>
              <w:wordWrap/>
              <w:overflowPunct/>
              <w:topLinePunct w:val="0"/>
              <w:autoSpaceDE w:val="0"/>
              <w:autoSpaceDN w:val="0"/>
              <w:bidi w:val="0"/>
              <w:adjustRightInd w:val="0"/>
              <w:snapToGrid w:val="0"/>
              <w:spacing w:line="251" w:lineRule="auto"/>
              <w:textAlignment w:val="baseline"/>
              <w:outlineLvl w:val="9"/>
              <w:rPr>
                <w:rFonts w:ascii="Arial"/>
                <w:sz w:val="21"/>
                <w:highlight w:val="none"/>
              </w:rPr>
            </w:pPr>
          </w:p>
          <w:p w14:paraId="6F5D00B3">
            <w:pPr>
              <w:keepNext w:val="0"/>
              <w:keepLines w:val="0"/>
              <w:pageBreakBefore w:val="0"/>
              <w:widowControl w:val="0"/>
              <w:kinsoku w:val="0"/>
              <w:wordWrap/>
              <w:overflowPunct/>
              <w:topLinePunct w:val="0"/>
              <w:autoSpaceDE w:val="0"/>
              <w:autoSpaceDN w:val="0"/>
              <w:bidi w:val="0"/>
              <w:adjustRightInd w:val="0"/>
              <w:snapToGrid w:val="0"/>
              <w:spacing w:line="251" w:lineRule="auto"/>
              <w:textAlignment w:val="baseline"/>
              <w:outlineLvl w:val="9"/>
              <w:rPr>
                <w:rFonts w:ascii="Arial"/>
                <w:sz w:val="21"/>
                <w:highlight w:val="none"/>
              </w:rPr>
            </w:pPr>
          </w:p>
          <w:p w14:paraId="41974785">
            <w:pPr>
              <w:pStyle w:val="11"/>
              <w:keepNext w:val="0"/>
              <w:keepLines w:val="0"/>
              <w:pageBreakBefore w:val="0"/>
              <w:widowControl w:val="0"/>
              <w:kinsoku w:val="0"/>
              <w:wordWrap/>
              <w:overflowPunct/>
              <w:topLinePunct w:val="0"/>
              <w:autoSpaceDE w:val="0"/>
              <w:autoSpaceDN w:val="0"/>
              <w:bidi w:val="0"/>
              <w:adjustRightInd w:val="0"/>
              <w:snapToGrid w:val="0"/>
              <w:spacing w:before="78"/>
              <w:ind w:left="267"/>
              <w:textAlignment w:val="baseline"/>
              <w:outlineLvl w:val="9"/>
              <w:rPr>
                <w:highlight w:val="none"/>
              </w:rPr>
            </w:pPr>
            <w:r>
              <w:rPr>
                <w:b/>
                <w:bCs/>
                <w:spacing w:val="-9"/>
                <w:highlight w:val="none"/>
              </w:rPr>
              <w:t>27</w:t>
            </w:r>
          </w:p>
        </w:tc>
        <w:tc>
          <w:tcPr>
            <w:tcW w:w="2439" w:type="dxa"/>
            <w:gridSpan w:val="2"/>
            <w:vAlign w:val="top"/>
          </w:tcPr>
          <w:p w14:paraId="6F7BA6FE">
            <w:pPr>
              <w:keepNext w:val="0"/>
              <w:keepLines w:val="0"/>
              <w:pageBreakBefore w:val="0"/>
              <w:widowControl w:val="0"/>
              <w:kinsoku w:val="0"/>
              <w:wordWrap/>
              <w:overflowPunct/>
              <w:topLinePunct w:val="0"/>
              <w:autoSpaceDE w:val="0"/>
              <w:autoSpaceDN w:val="0"/>
              <w:bidi w:val="0"/>
              <w:adjustRightInd w:val="0"/>
              <w:snapToGrid w:val="0"/>
              <w:spacing w:line="264" w:lineRule="auto"/>
              <w:textAlignment w:val="baseline"/>
              <w:outlineLvl w:val="9"/>
              <w:rPr>
                <w:rFonts w:ascii="Arial"/>
                <w:sz w:val="21"/>
                <w:highlight w:val="none"/>
              </w:rPr>
            </w:pPr>
          </w:p>
          <w:p w14:paraId="5676BDAF">
            <w:pPr>
              <w:keepNext w:val="0"/>
              <w:keepLines w:val="0"/>
              <w:pageBreakBefore w:val="0"/>
              <w:widowControl w:val="0"/>
              <w:kinsoku w:val="0"/>
              <w:wordWrap/>
              <w:overflowPunct/>
              <w:topLinePunct w:val="0"/>
              <w:autoSpaceDE w:val="0"/>
              <w:autoSpaceDN w:val="0"/>
              <w:bidi w:val="0"/>
              <w:adjustRightInd w:val="0"/>
              <w:snapToGrid w:val="0"/>
              <w:spacing w:line="264" w:lineRule="auto"/>
              <w:textAlignment w:val="baseline"/>
              <w:outlineLvl w:val="9"/>
              <w:rPr>
                <w:rFonts w:ascii="Arial"/>
                <w:sz w:val="21"/>
                <w:highlight w:val="none"/>
              </w:rPr>
            </w:pPr>
          </w:p>
          <w:p w14:paraId="1F08B940">
            <w:pPr>
              <w:keepNext w:val="0"/>
              <w:keepLines w:val="0"/>
              <w:pageBreakBefore w:val="0"/>
              <w:widowControl w:val="0"/>
              <w:kinsoku w:val="0"/>
              <w:wordWrap/>
              <w:overflowPunct/>
              <w:topLinePunct w:val="0"/>
              <w:autoSpaceDE w:val="0"/>
              <w:autoSpaceDN w:val="0"/>
              <w:bidi w:val="0"/>
              <w:adjustRightInd w:val="0"/>
              <w:snapToGrid w:val="0"/>
              <w:spacing w:line="265" w:lineRule="auto"/>
              <w:textAlignment w:val="baseline"/>
              <w:outlineLvl w:val="9"/>
              <w:rPr>
                <w:rFonts w:ascii="Arial"/>
                <w:sz w:val="21"/>
                <w:highlight w:val="none"/>
              </w:rPr>
            </w:pPr>
          </w:p>
          <w:p w14:paraId="787D9C26">
            <w:pPr>
              <w:keepNext w:val="0"/>
              <w:keepLines w:val="0"/>
              <w:pageBreakBefore w:val="0"/>
              <w:widowControl w:val="0"/>
              <w:kinsoku w:val="0"/>
              <w:wordWrap/>
              <w:overflowPunct/>
              <w:topLinePunct w:val="0"/>
              <w:autoSpaceDE w:val="0"/>
              <w:autoSpaceDN w:val="0"/>
              <w:bidi w:val="0"/>
              <w:adjustRightInd w:val="0"/>
              <w:snapToGrid w:val="0"/>
              <w:spacing w:line="265" w:lineRule="auto"/>
              <w:textAlignment w:val="baseline"/>
              <w:outlineLvl w:val="9"/>
              <w:rPr>
                <w:rFonts w:ascii="Arial"/>
                <w:sz w:val="21"/>
                <w:highlight w:val="none"/>
              </w:rPr>
            </w:pPr>
          </w:p>
          <w:p w14:paraId="475A95F2">
            <w:pPr>
              <w:keepNext w:val="0"/>
              <w:keepLines w:val="0"/>
              <w:pageBreakBefore w:val="0"/>
              <w:widowControl w:val="0"/>
              <w:kinsoku w:val="0"/>
              <w:wordWrap/>
              <w:overflowPunct/>
              <w:topLinePunct w:val="0"/>
              <w:autoSpaceDE w:val="0"/>
              <w:autoSpaceDN w:val="0"/>
              <w:bidi w:val="0"/>
              <w:adjustRightInd w:val="0"/>
              <w:snapToGrid w:val="0"/>
              <w:spacing w:line="265" w:lineRule="auto"/>
              <w:textAlignment w:val="baseline"/>
              <w:outlineLvl w:val="9"/>
              <w:rPr>
                <w:rFonts w:ascii="Arial"/>
                <w:sz w:val="21"/>
                <w:highlight w:val="none"/>
              </w:rPr>
            </w:pPr>
          </w:p>
          <w:p w14:paraId="77DE59B9">
            <w:pPr>
              <w:pStyle w:val="11"/>
              <w:keepNext w:val="0"/>
              <w:keepLines w:val="0"/>
              <w:pageBreakBefore w:val="0"/>
              <w:widowControl w:val="0"/>
              <w:kinsoku w:val="0"/>
              <w:wordWrap/>
              <w:overflowPunct/>
              <w:topLinePunct w:val="0"/>
              <w:autoSpaceDE w:val="0"/>
              <w:autoSpaceDN w:val="0"/>
              <w:bidi w:val="0"/>
              <w:adjustRightInd w:val="0"/>
              <w:snapToGrid w:val="0"/>
              <w:spacing w:before="78" w:line="219" w:lineRule="auto"/>
              <w:ind w:left="149"/>
              <w:textAlignment w:val="baseline"/>
              <w:outlineLvl w:val="9"/>
              <w:rPr>
                <w:highlight w:val="none"/>
              </w:rPr>
            </w:pPr>
            <w:r>
              <w:rPr>
                <w:b/>
                <w:bCs/>
                <w:spacing w:val="-5"/>
                <w:highlight w:val="none"/>
              </w:rPr>
              <w:t>投标文件签字或盖章</w:t>
            </w:r>
          </w:p>
          <w:p w14:paraId="693E6914">
            <w:pPr>
              <w:pStyle w:val="11"/>
              <w:keepNext w:val="0"/>
              <w:keepLines w:val="0"/>
              <w:pageBreakBefore w:val="0"/>
              <w:widowControl w:val="0"/>
              <w:kinsoku w:val="0"/>
              <w:wordWrap/>
              <w:overflowPunct/>
              <w:topLinePunct w:val="0"/>
              <w:autoSpaceDE w:val="0"/>
              <w:autoSpaceDN w:val="0"/>
              <w:bidi w:val="0"/>
              <w:adjustRightInd w:val="0"/>
              <w:snapToGrid w:val="0"/>
              <w:spacing w:before="34" w:line="221" w:lineRule="auto"/>
              <w:ind w:left="992"/>
              <w:textAlignment w:val="baseline"/>
              <w:outlineLvl w:val="9"/>
              <w:rPr>
                <w:highlight w:val="none"/>
              </w:rPr>
            </w:pPr>
            <w:r>
              <w:rPr>
                <w:b/>
                <w:bCs/>
                <w:spacing w:val="-8"/>
                <w:highlight w:val="none"/>
              </w:rPr>
              <w:t>要求</w:t>
            </w:r>
          </w:p>
        </w:tc>
        <w:tc>
          <w:tcPr>
            <w:tcW w:w="6756" w:type="dxa"/>
            <w:gridSpan w:val="2"/>
            <w:vAlign w:val="top"/>
          </w:tcPr>
          <w:p w14:paraId="4C5C5EAC">
            <w:pPr>
              <w:pStyle w:val="11"/>
              <w:keepNext w:val="0"/>
              <w:keepLines w:val="0"/>
              <w:pageBreakBefore w:val="0"/>
              <w:widowControl w:val="0"/>
              <w:kinsoku w:val="0"/>
              <w:wordWrap/>
              <w:overflowPunct/>
              <w:topLinePunct w:val="0"/>
              <w:autoSpaceDE w:val="0"/>
              <w:autoSpaceDN w:val="0"/>
              <w:bidi w:val="0"/>
              <w:adjustRightInd w:val="0"/>
              <w:snapToGrid w:val="0"/>
              <w:spacing w:before="161" w:line="293" w:lineRule="auto"/>
              <w:ind w:left="130" w:right="115" w:firstLine="25"/>
              <w:textAlignment w:val="baseline"/>
              <w:outlineLvl w:val="9"/>
              <w:rPr>
                <w:highlight w:val="none"/>
              </w:rPr>
            </w:pPr>
            <w:r>
              <w:rPr>
                <w:highlight w:val="none"/>
              </w:rPr>
              <w:t>1.招标文件要求供应商法定代表人或者被授权代表签字处</w:t>
            </w:r>
            <w:r>
              <w:rPr>
                <w:spacing w:val="-1"/>
                <w:highlight w:val="none"/>
              </w:rPr>
              <w:t>，均须加盖其个人电子印章，并逐页加盖单位公章的电子印章。</w:t>
            </w:r>
          </w:p>
          <w:p w14:paraId="3B940944">
            <w:pPr>
              <w:pStyle w:val="11"/>
              <w:keepNext w:val="0"/>
              <w:keepLines w:val="0"/>
              <w:pageBreakBefore w:val="0"/>
              <w:widowControl w:val="0"/>
              <w:kinsoku w:val="0"/>
              <w:wordWrap/>
              <w:overflowPunct/>
              <w:topLinePunct w:val="0"/>
              <w:autoSpaceDE w:val="0"/>
              <w:autoSpaceDN w:val="0"/>
              <w:bidi w:val="0"/>
              <w:adjustRightInd w:val="0"/>
              <w:snapToGrid w:val="0"/>
              <w:spacing w:before="165" w:line="219" w:lineRule="auto"/>
              <w:ind w:left="129"/>
              <w:textAlignment w:val="baseline"/>
              <w:outlineLvl w:val="9"/>
              <w:rPr>
                <w:highlight w:val="none"/>
              </w:rPr>
            </w:pPr>
            <w:r>
              <w:rPr>
                <w:spacing w:val="-1"/>
                <w:highlight w:val="none"/>
              </w:rPr>
              <w:t>2.被授权代表人签章的，投标文件应附法人授权委托书。</w:t>
            </w:r>
          </w:p>
          <w:p w14:paraId="251AEEE8">
            <w:pPr>
              <w:pStyle w:val="11"/>
              <w:keepNext w:val="0"/>
              <w:keepLines w:val="0"/>
              <w:pageBreakBefore w:val="0"/>
              <w:widowControl w:val="0"/>
              <w:kinsoku w:val="0"/>
              <w:wordWrap/>
              <w:overflowPunct/>
              <w:topLinePunct w:val="0"/>
              <w:autoSpaceDE w:val="0"/>
              <w:autoSpaceDN w:val="0"/>
              <w:bidi w:val="0"/>
              <w:adjustRightInd w:val="0"/>
              <w:snapToGrid w:val="0"/>
              <w:spacing w:before="211" w:line="320" w:lineRule="auto"/>
              <w:ind w:left="128" w:right="93" w:firstLine="2"/>
              <w:textAlignment w:val="baseline"/>
              <w:outlineLvl w:val="9"/>
              <w:rPr>
                <w:highlight w:val="none"/>
              </w:rPr>
            </w:pPr>
            <w:r>
              <w:rPr>
                <w:spacing w:val="5"/>
                <w:highlight w:val="none"/>
              </w:rPr>
              <w:t>3.供应商在投标文件以及相关书面文件中的单位盖章(包括印</w:t>
            </w:r>
            <w:r>
              <w:rPr>
                <w:spacing w:val="-4"/>
                <w:highlight w:val="none"/>
              </w:rPr>
              <w:t>章、公章等)均指与供应商名称全称相一致的标准公章，不得使</w:t>
            </w:r>
            <w:r>
              <w:rPr>
                <w:spacing w:val="-17"/>
                <w:highlight w:val="none"/>
              </w:rPr>
              <w:t>用其他形式(如带有“专用章”、“合同章”、“财务章”、“业</w:t>
            </w:r>
            <w:r>
              <w:rPr>
                <w:spacing w:val="-8"/>
                <w:highlight w:val="none"/>
              </w:rPr>
              <w:t>务章”等)的印章。</w:t>
            </w:r>
          </w:p>
        </w:tc>
      </w:tr>
      <w:tr w14:paraId="59A0C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6" w:type="dxa"/>
          <w:trHeight w:val="1831" w:hRule="atLeast"/>
        </w:trPr>
        <w:tc>
          <w:tcPr>
            <w:tcW w:w="735" w:type="dxa"/>
            <w:vAlign w:val="top"/>
          </w:tcPr>
          <w:p w14:paraId="3F7A972F">
            <w:pPr>
              <w:pStyle w:val="11"/>
              <w:keepNext w:val="0"/>
              <w:keepLines w:val="0"/>
              <w:pageBreakBefore w:val="0"/>
              <w:widowControl w:val="0"/>
              <w:kinsoku w:val="0"/>
              <w:wordWrap/>
              <w:overflowPunct/>
              <w:topLinePunct w:val="0"/>
              <w:autoSpaceDE w:val="0"/>
              <w:autoSpaceDN w:val="0"/>
              <w:bidi w:val="0"/>
              <w:adjustRightInd w:val="0"/>
              <w:snapToGrid w:val="0"/>
              <w:spacing w:before="159"/>
              <w:ind w:left="267"/>
              <w:textAlignment w:val="baseline"/>
              <w:outlineLvl w:val="9"/>
              <w:rPr>
                <w:highlight w:val="none"/>
              </w:rPr>
            </w:pPr>
            <w:r>
              <w:rPr>
                <w:b/>
                <w:bCs/>
                <w:spacing w:val="-9"/>
                <w:highlight w:val="none"/>
              </w:rPr>
              <w:t>28</w:t>
            </w:r>
          </w:p>
        </w:tc>
        <w:tc>
          <w:tcPr>
            <w:tcW w:w="2439" w:type="dxa"/>
            <w:gridSpan w:val="2"/>
            <w:vAlign w:val="top"/>
          </w:tcPr>
          <w:p w14:paraId="7C1EB58C">
            <w:pPr>
              <w:pStyle w:val="11"/>
              <w:keepNext w:val="0"/>
              <w:keepLines w:val="0"/>
              <w:pageBreakBefore w:val="0"/>
              <w:widowControl w:val="0"/>
              <w:kinsoku w:val="0"/>
              <w:wordWrap/>
              <w:overflowPunct/>
              <w:topLinePunct w:val="0"/>
              <w:autoSpaceDE w:val="0"/>
              <w:autoSpaceDN w:val="0"/>
              <w:bidi w:val="0"/>
              <w:adjustRightInd w:val="0"/>
              <w:snapToGrid w:val="0"/>
              <w:spacing w:before="140" w:line="219" w:lineRule="auto"/>
              <w:ind w:left="149"/>
              <w:textAlignment w:val="baseline"/>
              <w:outlineLvl w:val="9"/>
              <w:rPr>
                <w:highlight w:val="none"/>
              </w:rPr>
            </w:pPr>
            <w:r>
              <w:rPr>
                <w:b/>
                <w:bCs/>
                <w:spacing w:val="-6"/>
                <w:highlight w:val="none"/>
              </w:rPr>
              <w:t>投标文件加密、上传</w:t>
            </w:r>
          </w:p>
        </w:tc>
        <w:tc>
          <w:tcPr>
            <w:tcW w:w="6756" w:type="dxa"/>
            <w:gridSpan w:val="2"/>
            <w:vAlign w:val="top"/>
          </w:tcPr>
          <w:p w14:paraId="699F3789">
            <w:pPr>
              <w:pStyle w:val="11"/>
              <w:keepNext w:val="0"/>
              <w:keepLines w:val="0"/>
              <w:pageBreakBefore w:val="0"/>
              <w:widowControl w:val="0"/>
              <w:kinsoku w:val="0"/>
              <w:wordWrap/>
              <w:overflowPunct/>
              <w:topLinePunct w:val="0"/>
              <w:autoSpaceDE w:val="0"/>
              <w:autoSpaceDN w:val="0"/>
              <w:bidi w:val="0"/>
              <w:adjustRightInd w:val="0"/>
              <w:snapToGrid w:val="0"/>
              <w:spacing w:before="144" w:line="215" w:lineRule="auto"/>
              <w:ind w:left="124" w:right="100"/>
              <w:textAlignment w:val="baseline"/>
              <w:outlineLvl w:val="9"/>
              <w:rPr>
                <w:highlight w:val="none"/>
              </w:rPr>
            </w:pPr>
            <w:r>
              <w:rPr>
                <w:highlight w:val="none"/>
              </w:rPr>
              <w:t>本项目采用不见面开标，供应商须在投标截止时间前，将生成的“电子加密投标文件”上传递交至“政府采购云平台”，投标截止时间以后上传递交的投标文件将被“政府采购云平台”拒收。备注：供应商对不见面开评标系统技术操作咨询，可通过</w:t>
            </w:r>
            <w:r>
              <w:rPr>
                <w:highlight w:val="none"/>
              </w:rPr>
              <w:fldChar w:fldCharType="begin"/>
            </w:r>
            <w:r>
              <w:rPr>
                <w:highlight w:val="none"/>
              </w:rPr>
              <w:instrText xml:space="preserve"> HYPERLINK "https://edu.zcygov.cn/luban/xinjiang-e-biding" </w:instrText>
            </w:r>
            <w:r>
              <w:rPr>
                <w:highlight w:val="none"/>
              </w:rPr>
              <w:fldChar w:fldCharType="separate"/>
            </w:r>
            <w:r>
              <w:rPr>
                <w:highlight w:val="none"/>
              </w:rPr>
              <w:t>https://edu.zcygov.cn/luban/xinjiang-e-biding</w:t>
            </w:r>
            <w:r>
              <w:rPr>
                <w:highlight w:val="none"/>
              </w:rPr>
              <w:fldChar w:fldCharType="end"/>
            </w:r>
            <w:r>
              <w:rPr>
                <w:highlight w:val="none"/>
              </w:rPr>
              <w:t>自助查询，也可在政采云帮助中心常见问题解答和操作流程讲解视频中自助查询，网址为：</w:t>
            </w:r>
            <w:r>
              <w:rPr>
                <w:highlight w:val="none"/>
              </w:rPr>
              <w:fldChar w:fldCharType="begin"/>
            </w:r>
            <w:r>
              <w:rPr>
                <w:highlight w:val="none"/>
              </w:rPr>
              <w:instrText xml:space="preserve"> HYPERLINK "https://service.zcygov.cn/" </w:instrText>
            </w:r>
            <w:r>
              <w:rPr>
                <w:highlight w:val="none"/>
              </w:rPr>
              <w:fldChar w:fldCharType="separate"/>
            </w:r>
            <w:r>
              <w:rPr>
                <w:highlight w:val="none"/>
              </w:rPr>
              <w:t>https://service.zcygov.cn/#/help</w:t>
            </w:r>
            <w:r>
              <w:rPr>
                <w:highlight w:val="none"/>
              </w:rPr>
              <w:fldChar w:fldCharType="end"/>
            </w:r>
            <w:r>
              <w:rPr>
                <w:highlight w:val="none"/>
              </w:rPr>
              <w:t>,“项目采购”—“操作流程-电子招投标”—“政府采购项目电子交易管理操作指南-供应商”版面获取操作指南，同时对自助查询无法解决的问题可通过钉钉群及政采云在线客服获取服务支持。</w:t>
            </w:r>
          </w:p>
        </w:tc>
      </w:tr>
      <w:tr w14:paraId="6FA37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2388" w:hRule="atLeast"/>
        </w:trPr>
        <w:tc>
          <w:tcPr>
            <w:tcW w:w="737" w:type="dxa"/>
            <w:gridSpan w:val="2"/>
            <w:tcBorders>
              <w:top w:val="single" w:color="auto" w:sz="4" w:space="0"/>
              <w:left w:val="single" w:color="auto" w:sz="4" w:space="0"/>
              <w:bottom w:val="single" w:color="auto" w:sz="4" w:space="0"/>
            </w:tcBorders>
            <w:shd w:val="clear" w:color="auto" w:fill="auto"/>
            <w:vAlign w:val="top"/>
          </w:tcPr>
          <w:p w14:paraId="08E2A63A">
            <w:pPr>
              <w:pStyle w:val="11"/>
              <w:keepNext w:val="0"/>
              <w:keepLines w:val="0"/>
              <w:pageBreakBefore w:val="0"/>
              <w:widowControl w:val="0"/>
              <w:kinsoku w:val="0"/>
              <w:wordWrap/>
              <w:overflowPunct/>
              <w:topLinePunct w:val="0"/>
              <w:autoSpaceDE w:val="0"/>
              <w:autoSpaceDN w:val="0"/>
              <w:bidi w:val="0"/>
              <w:adjustRightInd w:val="0"/>
              <w:snapToGrid w:val="0"/>
              <w:spacing w:before="155"/>
              <w:ind w:left="267" w:leftChars="0"/>
              <w:textAlignment w:val="baseline"/>
              <w:outlineLvl w:val="9"/>
              <w:rPr>
                <w:rFonts w:ascii="宋体" w:hAnsi="宋体" w:eastAsia="宋体" w:cs="宋体"/>
                <w:snapToGrid w:val="0"/>
                <w:color w:val="000000"/>
                <w:kern w:val="0"/>
                <w:sz w:val="24"/>
                <w:szCs w:val="24"/>
                <w:highlight w:val="none"/>
                <w:lang w:val="en-US" w:eastAsia="en-US" w:bidi="ar-SA"/>
              </w:rPr>
            </w:pPr>
            <w:r>
              <w:rPr>
                <w:b/>
                <w:bCs/>
                <w:spacing w:val="-9"/>
                <w:highlight w:val="none"/>
              </w:rPr>
              <w:t>29</w:t>
            </w:r>
          </w:p>
        </w:tc>
        <w:tc>
          <w:tcPr>
            <w:tcW w:w="2437" w:type="dxa"/>
            <w:tcBorders>
              <w:top w:val="single" w:color="auto" w:sz="4" w:space="0"/>
              <w:bottom w:val="single" w:color="auto" w:sz="4" w:space="0"/>
              <w:right w:val="single" w:color="auto" w:sz="4" w:space="0"/>
            </w:tcBorders>
            <w:vAlign w:val="top"/>
          </w:tcPr>
          <w:p w14:paraId="2C14200A">
            <w:pPr>
              <w:keepNext w:val="0"/>
              <w:keepLines w:val="0"/>
              <w:pageBreakBefore w:val="0"/>
              <w:widowControl w:val="0"/>
              <w:kinsoku w:val="0"/>
              <w:wordWrap/>
              <w:overflowPunct/>
              <w:topLinePunct w:val="0"/>
              <w:autoSpaceDE w:val="0"/>
              <w:autoSpaceDN w:val="0"/>
              <w:bidi w:val="0"/>
              <w:adjustRightInd w:val="0"/>
              <w:snapToGrid w:val="0"/>
              <w:spacing w:line="287" w:lineRule="auto"/>
              <w:textAlignment w:val="baseline"/>
              <w:outlineLvl w:val="9"/>
              <w:rPr>
                <w:rFonts w:ascii="Arial"/>
                <w:sz w:val="21"/>
                <w:highlight w:val="none"/>
              </w:rPr>
            </w:pPr>
          </w:p>
          <w:p w14:paraId="0E0A670D">
            <w:pPr>
              <w:keepNext w:val="0"/>
              <w:keepLines w:val="0"/>
              <w:pageBreakBefore w:val="0"/>
              <w:widowControl w:val="0"/>
              <w:kinsoku w:val="0"/>
              <w:wordWrap/>
              <w:overflowPunct/>
              <w:topLinePunct w:val="0"/>
              <w:autoSpaceDE w:val="0"/>
              <w:autoSpaceDN w:val="0"/>
              <w:bidi w:val="0"/>
              <w:adjustRightInd w:val="0"/>
              <w:snapToGrid w:val="0"/>
              <w:spacing w:line="288" w:lineRule="auto"/>
              <w:textAlignment w:val="baseline"/>
              <w:outlineLvl w:val="9"/>
              <w:rPr>
                <w:rFonts w:ascii="Arial"/>
                <w:sz w:val="21"/>
                <w:highlight w:val="none"/>
              </w:rPr>
            </w:pPr>
          </w:p>
          <w:p w14:paraId="5134918D">
            <w:pPr>
              <w:keepNext w:val="0"/>
              <w:keepLines w:val="0"/>
              <w:pageBreakBefore w:val="0"/>
              <w:widowControl w:val="0"/>
              <w:kinsoku w:val="0"/>
              <w:wordWrap/>
              <w:overflowPunct/>
              <w:topLinePunct w:val="0"/>
              <w:autoSpaceDE w:val="0"/>
              <w:autoSpaceDN w:val="0"/>
              <w:bidi w:val="0"/>
              <w:adjustRightInd w:val="0"/>
              <w:snapToGrid w:val="0"/>
              <w:spacing w:line="288" w:lineRule="auto"/>
              <w:textAlignment w:val="baseline"/>
              <w:outlineLvl w:val="9"/>
              <w:rPr>
                <w:rFonts w:ascii="Arial"/>
                <w:sz w:val="21"/>
                <w:highlight w:val="none"/>
              </w:rPr>
            </w:pPr>
          </w:p>
          <w:p w14:paraId="618F8715">
            <w:pPr>
              <w:pStyle w:val="11"/>
              <w:keepNext w:val="0"/>
              <w:keepLines w:val="0"/>
              <w:pageBreakBefore w:val="0"/>
              <w:widowControl w:val="0"/>
              <w:kinsoku w:val="0"/>
              <w:wordWrap/>
              <w:overflowPunct/>
              <w:topLinePunct w:val="0"/>
              <w:autoSpaceDE w:val="0"/>
              <w:autoSpaceDN w:val="0"/>
              <w:bidi w:val="0"/>
              <w:adjustRightInd w:val="0"/>
              <w:snapToGrid w:val="0"/>
              <w:spacing w:before="78" w:line="248" w:lineRule="auto"/>
              <w:ind w:left="563" w:right="151" w:hanging="422"/>
              <w:textAlignment w:val="baseline"/>
              <w:outlineLvl w:val="9"/>
              <w:rPr>
                <w:highlight w:val="none"/>
              </w:rPr>
            </w:pPr>
            <w:r>
              <w:rPr>
                <w:b/>
                <w:bCs/>
                <w:spacing w:val="-5"/>
                <w:highlight w:val="none"/>
              </w:rPr>
              <w:t>供应商签到及电子响</w:t>
            </w:r>
            <w:r>
              <w:rPr>
                <w:b/>
                <w:bCs/>
                <w:spacing w:val="-9"/>
                <w:highlight w:val="none"/>
              </w:rPr>
              <w:t>应文件解密</w:t>
            </w:r>
          </w:p>
        </w:tc>
        <w:tc>
          <w:tcPr>
            <w:tcW w:w="6756" w:type="dxa"/>
            <w:gridSpan w:val="2"/>
            <w:tcBorders>
              <w:left w:val="single" w:color="auto" w:sz="4" w:space="0"/>
            </w:tcBorders>
            <w:vAlign w:val="top"/>
          </w:tcPr>
          <w:p w14:paraId="4BAA2653">
            <w:pPr>
              <w:pStyle w:val="11"/>
              <w:keepNext w:val="0"/>
              <w:keepLines w:val="0"/>
              <w:pageBreakBefore w:val="0"/>
              <w:widowControl w:val="0"/>
              <w:kinsoku w:val="0"/>
              <w:wordWrap/>
              <w:overflowPunct/>
              <w:topLinePunct w:val="0"/>
              <w:autoSpaceDE w:val="0"/>
              <w:autoSpaceDN w:val="0"/>
              <w:bidi w:val="0"/>
              <w:adjustRightInd w:val="0"/>
              <w:snapToGrid w:val="0"/>
              <w:spacing w:before="148" w:line="343" w:lineRule="auto"/>
              <w:ind w:left="124" w:right="103"/>
              <w:jc w:val="both"/>
              <w:textAlignment w:val="baseline"/>
              <w:outlineLvl w:val="9"/>
              <w:rPr>
                <w:highlight w:val="none"/>
              </w:rPr>
            </w:pPr>
            <w:r>
              <w:rPr>
                <w:spacing w:val="11"/>
                <w:highlight w:val="none"/>
              </w:rPr>
              <w:t>供应商登录政采云平台，在投标截止时间前必须完</w:t>
            </w:r>
            <w:r>
              <w:rPr>
                <w:spacing w:val="10"/>
                <w:highlight w:val="none"/>
              </w:rPr>
              <w:t>成签到，</w:t>
            </w:r>
            <w:r>
              <w:rPr>
                <w:spacing w:val="4"/>
                <w:highlight w:val="none"/>
              </w:rPr>
              <w:t>(</w:t>
            </w:r>
            <w:r>
              <w:rPr>
                <w:b/>
                <w:bCs/>
                <w:spacing w:val="4"/>
                <w:highlight w:val="none"/>
              </w:rPr>
              <w:t>本项目解密时长为：30分钟，签名时长为：10分钟</w:t>
            </w:r>
            <w:r>
              <w:rPr>
                <w:spacing w:val="4"/>
                <w:highlight w:val="none"/>
              </w:rPr>
              <w:t>)开标</w:t>
            </w:r>
            <w:r>
              <w:rPr>
                <w:spacing w:val="-7"/>
                <w:highlight w:val="none"/>
              </w:rPr>
              <w:t>时间后30分钟内(用“项目采购-开标评标”功能进行解密投</w:t>
            </w:r>
            <w:r>
              <w:rPr>
                <w:spacing w:val="1"/>
                <w:highlight w:val="none"/>
              </w:rPr>
              <w:t>标文件。若供应商在规定时间内未按时签到或解密的，视为无</w:t>
            </w:r>
            <w:r>
              <w:rPr>
                <w:spacing w:val="-3"/>
                <w:highlight w:val="none"/>
              </w:rPr>
              <w:t>效投标。</w:t>
            </w:r>
            <w:r>
              <w:rPr>
                <w:b/>
                <w:bCs/>
                <w:spacing w:val="-3"/>
                <w:highlight w:val="none"/>
              </w:rPr>
              <w:t>解密与加密投标文件须为同一个CA</w:t>
            </w:r>
            <w:r>
              <w:rPr>
                <w:spacing w:val="-3"/>
                <w:highlight w:val="none"/>
              </w:rPr>
              <w:t>。</w:t>
            </w:r>
          </w:p>
        </w:tc>
      </w:tr>
      <w:tr w14:paraId="7821E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485" w:hRule="atLeast"/>
        </w:trPr>
        <w:tc>
          <w:tcPr>
            <w:tcW w:w="737" w:type="dxa"/>
            <w:gridSpan w:val="2"/>
            <w:tcBorders>
              <w:top w:val="single" w:color="auto" w:sz="4" w:space="0"/>
            </w:tcBorders>
            <w:shd w:val="clear" w:color="auto" w:fill="auto"/>
            <w:vAlign w:val="top"/>
          </w:tcPr>
          <w:p w14:paraId="79AC2C0F">
            <w:pPr>
              <w:keepNext w:val="0"/>
              <w:keepLines w:val="0"/>
              <w:pageBreakBefore w:val="0"/>
              <w:widowControl w:val="0"/>
              <w:kinsoku w:val="0"/>
              <w:wordWrap/>
              <w:overflowPunct/>
              <w:topLinePunct w:val="0"/>
              <w:autoSpaceDE w:val="0"/>
              <w:autoSpaceDN w:val="0"/>
              <w:bidi w:val="0"/>
              <w:adjustRightInd w:val="0"/>
              <w:snapToGrid w:val="0"/>
              <w:spacing w:line="312" w:lineRule="auto"/>
              <w:textAlignment w:val="baseline"/>
              <w:outlineLvl w:val="9"/>
              <w:rPr>
                <w:rFonts w:ascii="Arial"/>
                <w:sz w:val="21"/>
                <w:highlight w:val="none"/>
              </w:rPr>
            </w:pPr>
          </w:p>
          <w:p w14:paraId="1968552E">
            <w:pPr>
              <w:pStyle w:val="11"/>
              <w:keepNext w:val="0"/>
              <w:keepLines w:val="0"/>
              <w:pageBreakBefore w:val="0"/>
              <w:widowControl w:val="0"/>
              <w:kinsoku w:val="0"/>
              <w:wordWrap/>
              <w:overflowPunct/>
              <w:topLinePunct w:val="0"/>
              <w:autoSpaceDE w:val="0"/>
              <w:autoSpaceDN w:val="0"/>
              <w:bidi w:val="0"/>
              <w:adjustRightInd w:val="0"/>
              <w:snapToGrid w:val="0"/>
              <w:spacing w:before="78"/>
              <w:ind w:left="269" w:leftChars="0"/>
              <w:textAlignment w:val="baseline"/>
              <w:outlineLvl w:val="9"/>
              <w:rPr>
                <w:rFonts w:ascii="宋体" w:hAnsi="宋体" w:eastAsia="宋体" w:cs="宋体"/>
                <w:snapToGrid w:val="0"/>
                <w:color w:val="000000"/>
                <w:kern w:val="0"/>
                <w:sz w:val="24"/>
                <w:szCs w:val="24"/>
                <w:highlight w:val="none"/>
                <w:lang w:val="en-US" w:eastAsia="en-US" w:bidi="ar-SA"/>
              </w:rPr>
            </w:pPr>
            <w:r>
              <w:rPr>
                <w:b/>
                <w:bCs/>
                <w:spacing w:val="-10"/>
                <w:highlight w:val="none"/>
              </w:rPr>
              <w:t>30</w:t>
            </w:r>
          </w:p>
        </w:tc>
        <w:tc>
          <w:tcPr>
            <w:tcW w:w="2437" w:type="dxa"/>
            <w:tcBorders>
              <w:top w:val="single" w:color="auto" w:sz="4" w:space="0"/>
            </w:tcBorders>
            <w:vAlign w:val="top"/>
          </w:tcPr>
          <w:p w14:paraId="4EE6A0F8">
            <w:pPr>
              <w:pStyle w:val="11"/>
              <w:keepNext w:val="0"/>
              <w:keepLines w:val="0"/>
              <w:pageBreakBefore w:val="0"/>
              <w:widowControl w:val="0"/>
              <w:kinsoku w:val="0"/>
              <w:wordWrap/>
              <w:overflowPunct/>
              <w:topLinePunct w:val="0"/>
              <w:autoSpaceDE w:val="0"/>
              <w:autoSpaceDN w:val="0"/>
              <w:bidi w:val="0"/>
              <w:adjustRightInd w:val="0"/>
              <w:snapToGrid w:val="0"/>
              <w:spacing w:before="136" w:line="219" w:lineRule="auto"/>
              <w:ind w:left="269"/>
              <w:textAlignment w:val="baseline"/>
              <w:outlineLvl w:val="9"/>
              <w:rPr>
                <w:highlight w:val="none"/>
              </w:rPr>
            </w:pPr>
            <w:r>
              <w:rPr>
                <w:b/>
                <w:bCs/>
                <w:spacing w:val="-5"/>
                <w:highlight w:val="none"/>
              </w:rPr>
              <w:t>投标文件是否退还</w:t>
            </w:r>
          </w:p>
        </w:tc>
        <w:tc>
          <w:tcPr>
            <w:tcW w:w="6756" w:type="dxa"/>
            <w:gridSpan w:val="2"/>
            <w:vAlign w:val="top"/>
          </w:tcPr>
          <w:p w14:paraId="685ED534">
            <w:pPr>
              <w:pStyle w:val="11"/>
              <w:keepNext w:val="0"/>
              <w:keepLines w:val="0"/>
              <w:pageBreakBefore w:val="0"/>
              <w:widowControl w:val="0"/>
              <w:kinsoku w:val="0"/>
              <w:wordWrap/>
              <w:overflowPunct/>
              <w:topLinePunct w:val="0"/>
              <w:autoSpaceDE w:val="0"/>
              <w:autoSpaceDN w:val="0"/>
              <w:bidi w:val="0"/>
              <w:adjustRightInd w:val="0"/>
              <w:snapToGrid w:val="0"/>
              <w:spacing w:before="136" w:line="220" w:lineRule="auto"/>
              <w:ind w:left="138"/>
              <w:textAlignment w:val="baseline"/>
              <w:outlineLvl w:val="9"/>
              <w:rPr>
                <w:highlight w:val="none"/>
              </w:rPr>
            </w:pPr>
            <w:r>
              <w:rPr>
                <w:highlight w:val="none"/>
              </w:rPr>
              <w:t>否</w:t>
            </w:r>
          </w:p>
        </w:tc>
      </w:tr>
      <w:tr w14:paraId="07A7E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957" w:hRule="atLeast"/>
        </w:trPr>
        <w:tc>
          <w:tcPr>
            <w:tcW w:w="737" w:type="dxa"/>
            <w:gridSpan w:val="2"/>
            <w:shd w:val="clear" w:color="auto" w:fill="auto"/>
            <w:vAlign w:val="top"/>
          </w:tcPr>
          <w:p w14:paraId="4E21B536">
            <w:pPr>
              <w:keepNext w:val="0"/>
              <w:keepLines w:val="0"/>
              <w:pageBreakBefore w:val="0"/>
              <w:widowControl w:val="0"/>
              <w:kinsoku w:val="0"/>
              <w:wordWrap/>
              <w:overflowPunct/>
              <w:topLinePunct w:val="0"/>
              <w:autoSpaceDE w:val="0"/>
              <w:autoSpaceDN w:val="0"/>
              <w:bidi w:val="0"/>
              <w:adjustRightInd w:val="0"/>
              <w:snapToGrid w:val="0"/>
              <w:spacing w:line="315" w:lineRule="auto"/>
              <w:textAlignment w:val="baseline"/>
              <w:outlineLvl w:val="9"/>
              <w:rPr>
                <w:rFonts w:ascii="Arial"/>
                <w:sz w:val="21"/>
                <w:highlight w:val="none"/>
              </w:rPr>
            </w:pPr>
          </w:p>
          <w:p w14:paraId="6CE1BA61">
            <w:pPr>
              <w:pStyle w:val="11"/>
              <w:keepNext w:val="0"/>
              <w:keepLines w:val="0"/>
              <w:pageBreakBefore w:val="0"/>
              <w:widowControl w:val="0"/>
              <w:kinsoku w:val="0"/>
              <w:wordWrap/>
              <w:overflowPunct/>
              <w:topLinePunct w:val="0"/>
              <w:autoSpaceDE w:val="0"/>
              <w:autoSpaceDN w:val="0"/>
              <w:bidi w:val="0"/>
              <w:adjustRightInd w:val="0"/>
              <w:snapToGrid w:val="0"/>
              <w:spacing w:before="78"/>
              <w:ind w:left="269" w:leftChars="0"/>
              <w:textAlignment w:val="baseline"/>
              <w:outlineLvl w:val="9"/>
              <w:rPr>
                <w:rFonts w:ascii="宋体" w:hAnsi="宋体" w:eastAsia="宋体" w:cs="宋体"/>
                <w:snapToGrid w:val="0"/>
                <w:color w:val="000000"/>
                <w:kern w:val="0"/>
                <w:sz w:val="24"/>
                <w:szCs w:val="24"/>
                <w:highlight w:val="none"/>
                <w:lang w:val="en-US" w:eastAsia="en-US" w:bidi="ar-SA"/>
              </w:rPr>
            </w:pPr>
            <w:r>
              <w:rPr>
                <w:b/>
                <w:bCs/>
                <w:spacing w:val="-10"/>
                <w:highlight w:val="none"/>
              </w:rPr>
              <w:t>31</w:t>
            </w:r>
          </w:p>
        </w:tc>
        <w:tc>
          <w:tcPr>
            <w:tcW w:w="2437" w:type="dxa"/>
            <w:vAlign w:val="top"/>
          </w:tcPr>
          <w:p w14:paraId="688B984B">
            <w:pPr>
              <w:keepNext w:val="0"/>
              <w:keepLines w:val="0"/>
              <w:pageBreakBefore w:val="0"/>
              <w:widowControl w:val="0"/>
              <w:kinsoku w:val="0"/>
              <w:wordWrap/>
              <w:overflowPunct/>
              <w:topLinePunct w:val="0"/>
              <w:autoSpaceDE w:val="0"/>
              <w:autoSpaceDN w:val="0"/>
              <w:bidi w:val="0"/>
              <w:adjustRightInd w:val="0"/>
              <w:snapToGrid w:val="0"/>
              <w:spacing w:line="293" w:lineRule="auto"/>
              <w:textAlignment w:val="baseline"/>
              <w:outlineLvl w:val="9"/>
              <w:rPr>
                <w:rFonts w:ascii="Arial"/>
                <w:sz w:val="21"/>
                <w:highlight w:val="none"/>
              </w:rPr>
            </w:pPr>
          </w:p>
          <w:p w14:paraId="5564446C">
            <w:pPr>
              <w:pStyle w:val="11"/>
              <w:keepNext w:val="0"/>
              <w:keepLines w:val="0"/>
              <w:pageBreakBefore w:val="0"/>
              <w:widowControl w:val="0"/>
              <w:kinsoku w:val="0"/>
              <w:wordWrap/>
              <w:overflowPunct/>
              <w:topLinePunct w:val="0"/>
              <w:autoSpaceDE w:val="0"/>
              <w:autoSpaceDN w:val="0"/>
              <w:bidi w:val="0"/>
              <w:adjustRightInd w:val="0"/>
              <w:snapToGrid w:val="0"/>
              <w:spacing w:before="78" w:line="220" w:lineRule="auto"/>
              <w:ind w:left="384"/>
              <w:textAlignment w:val="baseline"/>
              <w:outlineLvl w:val="9"/>
              <w:rPr>
                <w:highlight w:val="none"/>
              </w:rPr>
            </w:pPr>
            <w:r>
              <w:rPr>
                <w:b/>
                <w:bCs/>
                <w:spacing w:val="-5"/>
                <w:highlight w:val="none"/>
              </w:rPr>
              <w:t>开标时间及地点</w:t>
            </w:r>
          </w:p>
        </w:tc>
        <w:tc>
          <w:tcPr>
            <w:tcW w:w="6756" w:type="dxa"/>
            <w:gridSpan w:val="2"/>
            <w:vAlign w:val="top"/>
          </w:tcPr>
          <w:p w14:paraId="7985ECD5">
            <w:pPr>
              <w:pStyle w:val="11"/>
              <w:keepNext w:val="0"/>
              <w:keepLines w:val="0"/>
              <w:pageBreakBefore w:val="0"/>
              <w:widowControl w:val="0"/>
              <w:kinsoku w:val="0"/>
              <w:wordWrap/>
              <w:overflowPunct/>
              <w:topLinePunct w:val="0"/>
              <w:autoSpaceDE w:val="0"/>
              <w:autoSpaceDN w:val="0"/>
              <w:bidi w:val="0"/>
              <w:adjustRightInd w:val="0"/>
              <w:snapToGrid w:val="0"/>
              <w:spacing w:before="38" w:line="209" w:lineRule="auto"/>
              <w:ind w:left="125"/>
              <w:textAlignment w:val="baseline"/>
              <w:outlineLvl w:val="9"/>
              <w:rPr>
                <w:spacing w:val="-10"/>
                <w:highlight w:val="none"/>
              </w:rPr>
            </w:pPr>
            <w:r>
              <w:rPr>
                <w:rFonts w:hint="eastAsia"/>
                <w:spacing w:val="-10"/>
                <w:highlight w:val="none"/>
                <w:lang w:eastAsia="zh-CN"/>
              </w:rPr>
              <w:t>2026年10月22日11点00分</w:t>
            </w:r>
            <w:r>
              <w:rPr>
                <w:spacing w:val="-10"/>
                <w:highlight w:val="none"/>
              </w:rPr>
              <w:t>（北京时间）</w:t>
            </w:r>
          </w:p>
          <w:p w14:paraId="06D8519C">
            <w:pPr>
              <w:pStyle w:val="11"/>
              <w:keepNext w:val="0"/>
              <w:keepLines w:val="0"/>
              <w:pageBreakBefore w:val="0"/>
              <w:widowControl w:val="0"/>
              <w:kinsoku w:val="0"/>
              <w:wordWrap/>
              <w:overflowPunct/>
              <w:topLinePunct w:val="0"/>
              <w:autoSpaceDE w:val="0"/>
              <w:autoSpaceDN w:val="0"/>
              <w:bidi w:val="0"/>
              <w:adjustRightInd w:val="0"/>
              <w:snapToGrid w:val="0"/>
              <w:spacing w:before="38" w:line="209" w:lineRule="auto"/>
              <w:ind w:left="125"/>
              <w:textAlignment w:val="baseline"/>
              <w:outlineLvl w:val="9"/>
              <w:rPr>
                <w:highlight w:val="none"/>
              </w:rPr>
            </w:pPr>
            <w:r>
              <w:rPr>
                <w:spacing w:val="-10"/>
                <w:highlight w:val="none"/>
              </w:rPr>
              <w:t>开标地点：政采云一站式政府采购云平台</w:t>
            </w:r>
          </w:p>
          <w:p w14:paraId="1565F353">
            <w:pPr>
              <w:pStyle w:val="11"/>
              <w:keepNext w:val="0"/>
              <w:keepLines w:val="0"/>
              <w:pageBreakBefore w:val="0"/>
              <w:widowControl w:val="0"/>
              <w:kinsoku w:val="0"/>
              <w:wordWrap/>
              <w:overflowPunct/>
              <w:topLinePunct w:val="0"/>
              <w:autoSpaceDE w:val="0"/>
              <w:autoSpaceDN w:val="0"/>
              <w:bidi w:val="0"/>
              <w:adjustRightInd w:val="0"/>
              <w:snapToGrid w:val="0"/>
              <w:spacing w:line="224" w:lineRule="auto"/>
              <w:ind w:left="145"/>
              <w:textAlignment w:val="baseline"/>
              <w:outlineLvl w:val="9"/>
              <w:rPr>
                <w:highlight w:val="none"/>
              </w:rPr>
            </w:pPr>
            <w:r>
              <w:rPr>
                <w:spacing w:val="-2"/>
                <w:highlight w:val="none"/>
              </w:rPr>
              <w:t>（</w:t>
            </w:r>
            <w:r>
              <w:rPr>
                <w:highlight w:val="none"/>
              </w:rPr>
              <w:fldChar w:fldCharType="begin"/>
            </w:r>
            <w:r>
              <w:rPr>
                <w:highlight w:val="none"/>
              </w:rPr>
              <w:instrText xml:space="preserve"> HYPERLINK "http://www.zcygov.cn/" </w:instrText>
            </w:r>
            <w:r>
              <w:rPr>
                <w:highlight w:val="none"/>
              </w:rPr>
              <w:fldChar w:fldCharType="separate"/>
            </w:r>
            <w:r>
              <w:rPr>
                <w:spacing w:val="-2"/>
                <w:highlight w:val="none"/>
              </w:rPr>
              <w:t>http://www.zcygov.cn/</w:t>
            </w:r>
            <w:r>
              <w:rPr>
                <w:spacing w:val="-2"/>
                <w:highlight w:val="none"/>
              </w:rPr>
              <w:fldChar w:fldCharType="end"/>
            </w:r>
            <w:r>
              <w:rPr>
                <w:spacing w:val="-2"/>
                <w:highlight w:val="none"/>
              </w:rPr>
              <w:t>）</w:t>
            </w:r>
          </w:p>
        </w:tc>
      </w:tr>
      <w:tr w14:paraId="25C2D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957" w:hRule="atLeast"/>
        </w:trPr>
        <w:tc>
          <w:tcPr>
            <w:tcW w:w="737" w:type="dxa"/>
            <w:gridSpan w:val="2"/>
            <w:shd w:val="clear" w:color="auto" w:fill="auto"/>
            <w:vAlign w:val="top"/>
          </w:tcPr>
          <w:p w14:paraId="6CAA755A">
            <w:pPr>
              <w:pStyle w:val="11"/>
              <w:keepNext w:val="0"/>
              <w:keepLines w:val="0"/>
              <w:pageBreakBefore w:val="0"/>
              <w:widowControl w:val="0"/>
              <w:kinsoku w:val="0"/>
              <w:wordWrap/>
              <w:overflowPunct/>
              <w:topLinePunct w:val="0"/>
              <w:autoSpaceDE w:val="0"/>
              <w:autoSpaceDN w:val="0"/>
              <w:bidi w:val="0"/>
              <w:adjustRightInd w:val="0"/>
              <w:snapToGrid w:val="0"/>
              <w:spacing w:before="237"/>
              <w:ind w:left="269" w:leftChars="0"/>
              <w:textAlignment w:val="baseline"/>
              <w:outlineLvl w:val="9"/>
              <w:rPr>
                <w:rFonts w:ascii="宋体" w:hAnsi="宋体" w:eastAsia="宋体" w:cs="宋体"/>
                <w:snapToGrid w:val="0"/>
                <w:color w:val="000000"/>
                <w:kern w:val="0"/>
                <w:sz w:val="24"/>
                <w:szCs w:val="24"/>
                <w:highlight w:val="none"/>
                <w:lang w:val="en-US" w:eastAsia="en-US" w:bidi="ar-SA"/>
              </w:rPr>
            </w:pPr>
            <w:r>
              <w:rPr>
                <w:b/>
                <w:bCs/>
                <w:spacing w:val="-10"/>
                <w:highlight w:val="none"/>
              </w:rPr>
              <w:t>32</w:t>
            </w:r>
          </w:p>
        </w:tc>
        <w:tc>
          <w:tcPr>
            <w:tcW w:w="2437" w:type="dxa"/>
            <w:vAlign w:val="top"/>
          </w:tcPr>
          <w:p w14:paraId="2235E542">
            <w:pPr>
              <w:keepNext w:val="0"/>
              <w:keepLines w:val="0"/>
              <w:pageBreakBefore w:val="0"/>
              <w:widowControl w:val="0"/>
              <w:kinsoku w:val="0"/>
              <w:wordWrap/>
              <w:overflowPunct/>
              <w:topLinePunct w:val="0"/>
              <w:autoSpaceDE w:val="0"/>
              <w:autoSpaceDN w:val="0"/>
              <w:bidi w:val="0"/>
              <w:adjustRightInd w:val="0"/>
              <w:snapToGrid w:val="0"/>
              <w:spacing w:line="293" w:lineRule="auto"/>
              <w:textAlignment w:val="baseline"/>
              <w:outlineLvl w:val="9"/>
              <w:rPr>
                <w:rFonts w:ascii="Arial"/>
                <w:sz w:val="21"/>
                <w:highlight w:val="none"/>
              </w:rPr>
            </w:pPr>
          </w:p>
          <w:p w14:paraId="1BA6DE50">
            <w:pPr>
              <w:pStyle w:val="11"/>
              <w:keepNext w:val="0"/>
              <w:keepLines w:val="0"/>
              <w:pageBreakBefore w:val="0"/>
              <w:widowControl w:val="0"/>
              <w:kinsoku w:val="0"/>
              <w:wordWrap/>
              <w:overflowPunct/>
              <w:topLinePunct w:val="0"/>
              <w:autoSpaceDE w:val="0"/>
              <w:autoSpaceDN w:val="0"/>
              <w:bidi w:val="0"/>
              <w:adjustRightInd w:val="0"/>
              <w:snapToGrid w:val="0"/>
              <w:spacing w:before="78" w:line="219" w:lineRule="auto"/>
              <w:ind w:left="260"/>
              <w:textAlignment w:val="baseline"/>
              <w:outlineLvl w:val="9"/>
              <w:rPr>
                <w:highlight w:val="none"/>
              </w:rPr>
            </w:pPr>
            <w:r>
              <w:rPr>
                <w:b/>
                <w:bCs/>
                <w:spacing w:val="-5"/>
                <w:highlight w:val="none"/>
              </w:rPr>
              <w:t>评标委员会的组成</w:t>
            </w:r>
          </w:p>
        </w:tc>
        <w:tc>
          <w:tcPr>
            <w:tcW w:w="6756" w:type="dxa"/>
            <w:gridSpan w:val="2"/>
            <w:vAlign w:val="top"/>
          </w:tcPr>
          <w:p w14:paraId="6712022F">
            <w:pPr>
              <w:pStyle w:val="11"/>
              <w:keepNext w:val="0"/>
              <w:keepLines w:val="0"/>
              <w:pageBreakBefore w:val="0"/>
              <w:widowControl w:val="0"/>
              <w:kinsoku w:val="0"/>
              <w:wordWrap/>
              <w:overflowPunct/>
              <w:topLinePunct w:val="0"/>
              <w:autoSpaceDE w:val="0"/>
              <w:autoSpaceDN w:val="0"/>
              <w:bidi w:val="0"/>
              <w:adjustRightInd w:val="0"/>
              <w:snapToGrid w:val="0"/>
              <w:spacing w:before="77" w:line="213" w:lineRule="auto"/>
              <w:ind w:left="120" w:right="56"/>
              <w:textAlignment w:val="baseline"/>
              <w:outlineLvl w:val="9"/>
              <w:rPr>
                <w:highlight w:val="none"/>
              </w:rPr>
            </w:pPr>
            <w:r>
              <w:rPr>
                <w:spacing w:val="-1"/>
                <w:highlight w:val="none"/>
              </w:rPr>
              <w:t>评标委员会由专业评委和业主评委组成其中专业评委：5人，</w:t>
            </w:r>
            <w:r>
              <w:rPr>
                <w:spacing w:val="-3"/>
                <w:highlight w:val="none"/>
              </w:rPr>
              <w:t>业主评委0人。</w:t>
            </w:r>
          </w:p>
          <w:p w14:paraId="3272E775">
            <w:pPr>
              <w:pStyle w:val="11"/>
              <w:keepNext w:val="0"/>
              <w:keepLines w:val="0"/>
              <w:pageBreakBefore w:val="0"/>
              <w:widowControl w:val="0"/>
              <w:kinsoku w:val="0"/>
              <w:wordWrap/>
              <w:overflowPunct/>
              <w:topLinePunct w:val="0"/>
              <w:autoSpaceDE w:val="0"/>
              <w:autoSpaceDN w:val="0"/>
              <w:bidi w:val="0"/>
              <w:adjustRightInd w:val="0"/>
              <w:snapToGrid w:val="0"/>
              <w:spacing w:before="13" w:line="219" w:lineRule="auto"/>
              <w:ind w:left="120"/>
              <w:textAlignment w:val="baseline"/>
              <w:outlineLvl w:val="9"/>
              <w:rPr>
                <w:highlight w:val="none"/>
              </w:rPr>
            </w:pPr>
            <w:r>
              <w:rPr>
                <w:spacing w:val="-1"/>
                <w:highlight w:val="none"/>
              </w:rPr>
              <w:t>评委确定方式：政府采购云平台线上随机抽取</w:t>
            </w:r>
          </w:p>
        </w:tc>
      </w:tr>
      <w:tr w14:paraId="7FA40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641" w:hRule="atLeast"/>
        </w:trPr>
        <w:tc>
          <w:tcPr>
            <w:tcW w:w="737" w:type="dxa"/>
            <w:gridSpan w:val="2"/>
            <w:shd w:val="clear" w:color="auto" w:fill="auto"/>
            <w:vAlign w:val="top"/>
          </w:tcPr>
          <w:p w14:paraId="3FE00BAC">
            <w:pPr>
              <w:pStyle w:val="11"/>
              <w:spacing w:before="157"/>
              <w:ind w:left="269" w:leftChars="0"/>
              <w:outlineLvl w:val="9"/>
              <w:rPr>
                <w:rFonts w:ascii="宋体" w:hAnsi="宋体" w:eastAsia="宋体" w:cs="宋体"/>
                <w:snapToGrid w:val="0"/>
                <w:color w:val="000000"/>
                <w:kern w:val="0"/>
                <w:sz w:val="24"/>
                <w:szCs w:val="24"/>
                <w:highlight w:val="none"/>
                <w:lang w:val="en-US" w:eastAsia="en-US" w:bidi="ar-SA"/>
              </w:rPr>
            </w:pPr>
            <w:r>
              <w:rPr>
                <w:b/>
                <w:bCs/>
                <w:spacing w:val="-10"/>
                <w:highlight w:val="none"/>
              </w:rPr>
              <w:t>33</w:t>
            </w:r>
          </w:p>
        </w:tc>
        <w:tc>
          <w:tcPr>
            <w:tcW w:w="2437" w:type="dxa"/>
            <w:vAlign w:val="top"/>
          </w:tcPr>
          <w:p w14:paraId="3490D797">
            <w:pPr>
              <w:pStyle w:val="11"/>
              <w:keepNext w:val="0"/>
              <w:keepLines w:val="0"/>
              <w:pageBreakBefore w:val="0"/>
              <w:widowControl w:val="0"/>
              <w:kinsoku w:val="0"/>
              <w:wordWrap/>
              <w:overflowPunct/>
              <w:topLinePunct w:val="0"/>
              <w:autoSpaceDE w:val="0"/>
              <w:autoSpaceDN w:val="0"/>
              <w:bidi w:val="0"/>
              <w:adjustRightInd w:val="0"/>
              <w:snapToGrid w:val="0"/>
              <w:spacing w:before="64" w:line="218" w:lineRule="auto"/>
              <w:ind w:left="623" w:right="146" w:hanging="473"/>
              <w:textAlignment w:val="baseline"/>
              <w:outlineLvl w:val="9"/>
              <w:rPr>
                <w:highlight w:val="none"/>
              </w:rPr>
            </w:pPr>
            <w:r>
              <w:rPr>
                <w:b/>
                <w:bCs/>
                <w:spacing w:val="-6"/>
                <w:highlight w:val="none"/>
              </w:rPr>
              <w:t>是否授权评标委员会确定中标人</w:t>
            </w:r>
          </w:p>
        </w:tc>
        <w:tc>
          <w:tcPr>
            <w:tcW w:w="6756" w:type="dxa"/>
            <w:gridSpan w:val="2"/>
            <w:vAlign w:val="top"/>
          </w:tcPr>
          <w:p w14:paraId="5E70F309">
            <w:pPr>
              <w:pStyle w:val="11"/>
              <w:keepNext w:val="0"/>
              <w:keepLines w:val="0"/>
              <w:pageBreakBefore w:val="0"/>
              <w:widowControl w:val="0"/>
              <w:kinsoku w:val="0"/>
              <w:wordWrap/>
              <w:overflowPunct/>
              <w:topLinePunct w:val="0"/>
              <w:autoSpaceDE w:val="0"/>
              <w:autoSpaceDN w:val="0"/>
              <w:bidi w:val="0"/>
              <w:adjustRightInd w:val="0"/>
              <w:snapToGrid w:val="0"/>
              <w:spacing w:before="217" w:line="219" w:lineRule="auto"/>
              <w:ind w:left="138"/>
              <w:textAlignment w:val="baseline"/>
              <w:outlineLvl w:val="9"/>
              <w:rPr>
                <w:highlight w:val="none"/>
              </w:rPr>
            </w:pPr>
            <w:r>
              <w:rPr>
                <w:spacing w:val="-1"/>
                <w:highlight w:val="none"/>
              </w:rPr>
              <w:t>否，推荐中标候选人数：3人</w:t>
            </w:r>
          </w:p>
        </w:tc>
      </w:tr>
      <w:tr w14:paraId="2E058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482" w:hRule="atLeast"/>
        </w:trPr>
        <w:tc>
          <w:tcPr>
            <w:tcW w:w="737" w:type="dxa"/>
            <w:gridSpan w:val="2"/>
            <w:shd w:val="clear" w:color="auto" w:fill="auto"/>
            <w:vAlign w:val="center"/>
          </w:tcPr>
          <w:p w14:paraId="32CF2B52">
            <w:pPr>
              <w:pStyle w:val="11"/>
              <w:spacing w:before="78"/>
              <w:jc w:val="center"/>
              <w:outlineLvl w:val="9"/>
              <w:rPr>
                <w:rFonts w:ascii="宋体" w:hAnsi="宋体" w:eastAsia="宋体" w:cs="宋体"/>
                <w:snapToGrid w:val="0"/>
                <w:color w:val="000000"/>
                <w:kern w:val="0"/>
                <w:sz w:val="24"/>
                <w:szCs w:val="24"/>
                <w:highlight w:val="none"/>
                <w:lang w:val="en-US" w:eastAsia="en-US" w:bidi="ar-SA"/>
              </w:rPr>
            </w:pPr>
            <w:r>
              <w:rPr>
                <w:b/>
                <w:bCs/>
                <w:spacing w:val="-10"/>
                <w:highlight w:val="none"/>
              </w:rPr>
              <w:t>34</w:t>
            </w:r>
          </w:p>
        </w:tc>
        <w:tc>
          <w:tcPr>
            <w:tcW w:w="2437" w:type="dxa"/>
            <w:vAlign w:val="top"/>
          </w:tcPr>
          <w:p w14:paraId="101BF58C">
            <w:pPr>
              <w:pStyle w:val="11"/>
              <w:spacing w:before="138" w:line="219" w:lineRule="auto"/>
              <w:ind w:left="428"/>
              <w:outlineLvl w:val="9"/>
              <w:rPr>
                <w:highlight w:val="none"/>
              </w:rPr>
            </w:pPr>
            <w:r>
              <w:rPr>
                <w:b/>
                <w:bCs/>
                <w:spacing w:val="-11"/>
                <w:highlight w:val="none"/>
              </w:rPr>
              <w:t>中标公示的媒介</w:t>
            </w:r>
          </w:p>
        </w:tc>
        <w:tc>
          <w:tcPr>
            <w:tcW w:w="6756" w:type="dxa"/>
            <w:gridSpan w:val="2"/>
            <w:vAlign w:val="top"/>
          </w:tcPr>
          <w:p w14:paraId="44D363FF">
            <w:pPr>
              <w:pStyle w:val="11"/>
              <w:spacing w:before="138" w:line="219" w:lineRule="auto"/>
              <w:ind w:left="138"/>
              <w:outlineLvl w:val="9"/>
              <w:rPr>
                <w:highlight w:val="none"/>
              </w:rPr>
            </w:pPr>
            <w:r>
              <w:rPr>
                <w:spacing w:val="-1"/>
                <w:highlight w:val="none"/>
              </w:rPr>
              <w:t>公示媒介：新疆政府采购网、阿克苏地区行政公署网</w:t>
            </w:r>
          </w:p>
        </w:tc>
      </w:tr>
      <w:tr w14:paraId="64480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2051" w:hRule="atLeast"/>
        </w:trPr>
        <w:tc>
          <w:tcPr>
            <w:tcW w:w="737" w:type="dxa"/>
            <w:gridSpan w:val="2"/>
            <w:shd w:val="clear" w:color="auto" w:fill="auto"/>
            <w:vAlign w:val="top"/>
          </w:tcPr>
          <w:p w14:paraId="38EC229A">
            <w:pPr>
              <w:pStyle w:val="11"/>
              <w:spacing w:before="240"/>
              <w:ind w:left="269" w:leftChars="0"/>
              <w:outlineLvl w:val="9"/>
              <w:rPr>
                <w:rFonts w:ascii="宋体" w:hAnsi="宋体" w:eastAsia="宋体" w:cs="宋体"/>
                <w:snapToGrid w:val="0"/>
                <w:color w:val="000000"/>
                <w:kern w:val="0"/>
                <w:sz w:val="24"/>
                <w:szCs w:val="24"/>
                <w:highlight w:val="none"/>
                <w:lang w:val="en-US" w:eastAsia="en-US" w:bidi="ar-SA"/>
              </w:rPr>
            </w:pPr>
            <w:r>
              <w:rPr>
                <w:b/>
                <w:bCs/>
                <w:spacing w:val="-10"/>
                <w:highlight w:val="none"/>
              </w:rPr>
              <w:t>35</w:t>
            </w:r>
          </w:p>
        </w:tc>
        <w:tc>
          <w:tcPr>
            <w:tcW w:w="2437" w:type="dxa"/>
            <w:vAlign w:val="top"/>
          </w:tcPr>
          <w:p w14:paraId="1C404D4A">
            <w:pPr>
              <w:spacing w:line="271" w:lineRule="auto"/>
              <w:outlineLvl w:val="9"/>
              <w:rPr>
                <w:rFonts w:ascii="Arial"/>
                <w:sz w:val="21"/>
                <w:highlight w:val="none"/>
              </w:rPr>
            </w:pPr>
          </w:p>
          <w:p w14:paraId="69C6D2B0">
            <w:pPr>
              <w:spacing w:line="271" w:lineRule="auto"/>
              <w:outlineLvl w:val="9"/>
              <w:rPr>
                <w:rFonts w:ascii="Arial"/>
                <w:sz w:val="21"/>
                <w:highlight w:val="none"/>
              </w:rPr>
            </w:pPr>
          </w:p>
          <w:p w14:paraId="78D6CF6F">
            <w:pPr>
              <w:spacing w:line="272" w:lineRule="auto"/>
              <w:outlineLvl w:val="9"/>
              <w:rPr>
                <w:rFonts w:ascii="Arial"/>
                <w:sz w:val="21"/>
                <w:highlight w:val="none"/>
              </w:rPr>
            </w:pPr>
          </w:p>
          <w:p w14:paraId="72522EFC">
            <w:pPr>
              <w:pStyle w:val="11"/>
              <w:spacing w:before="78" w:line="220" w:lineRule="auto"/>
              <w:ind w:left="409"/>
              <w:outlineLvl w:val="9"/>
              <w:rPr>
                <w:highlight w:val="none"/>
              </w:rPr>
            </w:pPr>
            <w:r>
              <w:rPr>
                <w:b/>
                <w:bCs/>
                <w:spacing w:val="-9"/>
                <w:highlight w:val="none"/>
              </w:rPr>
              <w:t>履约保证金</w:t>
            </w:r>
          </w:p>
        </w:tc>
        <w:tc>
          <w:tcPr>
            <w:tcW w:w="6756" w:type="dxa"/>
            <w:gridSpan w:val="2"/>
            <w:vAlign w:val="top"/>
          </w:tcPr>
          <w:p w14:paraId="11E1CD30">
            <w:pPr>
              <w:pStyle w:val="11"/>
              <w:spacing w:before="78" w:line="245" w:lineRule="auto"/>
              <w:ind w:left="125" w:right="66" w:firstLine="32"/>
              <w:outlineLvl w:val="9"/>
              <w:rPr>
                <w:highlight w:val="none"/>
              </w:rPr>
            </w:pPr>
            <w:r>
              <w:rPr>
                <w:rFonts w:ascii="MS Gothic" w:hAnsi="MS Gothic" w:eastAsia="MS Gothic" w:cs="MS Gothic"/>
                <w:spacing w:val="-7"/>
                <w:highlight w:val="none"/>
              </w:rPr>
              <w:t>☑</w:t>
            </w:r>
            <w:r>
              <w:rPr>
                <w:spacing w:val="-7"/>
                <w:highlight w:val="none"/>
              </w:rPr>
              <w:t>要求，履约保证金的形式：支票、汇票、本票或者金融机构、</w:t>
            </w:r>
            <w:r>
              <w:rPr>
                <w:spacing w:val="-1"/>
                <w:highlight w:val="none"/>
              </w:rPr>
              <w:t>担保机构出具的保函等非现金形式提交。</w:t>
            </w:r>
          </w:p>
          <w:p w14:paraId="42C653D2">
            <w:pPr>
              <w:pStyle w:val="11"/>
              <w:spacing w:before="1" w:line="234" w:lineRule="auto"/>
              <w:ind w:left="128" w:right="141" w:firstLine="1"/>
              <w:outlineLvl w:val="9"/>
              <w:rPr>
                <w:highlight w:val="none"/>
              </w:rPr>
            </w:pPr>
            <w:r>
              <w:rPr>
                <w:spacing w:val="-2"/>
                <w:highlight w:val="none"/>
              </w:rPr>
              <w:t>履约保证金的金额：</w:t>
            </w:r>
            <w:r>
              <w:rPr>
                <w:b/>
                <w:bCs/>
                <w:spacing w:val="-2"/>
                <w:highlight w:val="none"/>
              </w:rPr>
              <w:t>以中标价的</w:t>
            </w:r>
            <w:r>
              <w:rPr>
                <w:rFonts w:hint="eastAsia"/>
                <w:b/>
                <w:bCs/>
                <w:spacing w:val="-2"/>
                <w:highlight w:val="none"/>
                <w:lang w:val="en-US" w:eastAsia="zh-CN"/>
              </w:rPr>
              <w:t>5</w:t>
            </w:r>
            <w:r>
              <w:rPr>
                <w:b/>
                <w:bCs/>
                <w:spacing w:val="-2"/>
                <w:highlight w:val="none"/>
              </w:rPr>
              <w:t>%以内收取，确定中标单位</w:t>
            </w:r>
            <w:r>
              <w:rPr>
                <w:b/>
                <w:bCs/>
                <w:spacing w:val="-3"/>
                <w:highlight w:val="none"/>
              </w:rPr>
              <w:t>后具体金额与采购人商议后确定；未按要求足额缴纳履约</w:t>
            </w:r>
            <w:r>
              <w:rPr>
                <w:b/>
                <w:bCs/>
                <w:spacing w:val="-4"/>
                <w:highlight w:val="none"/>
              </w:rPr>
              <w:t>保证</w:t>
            </w:r>
            <w:r>
              <w:rPr>
                <w:b/>
                <w:bCs/>
                <w:spacing w:val="-5"/>
                <w:highlight w:val="none"/>
              </w:rPr>
              <w:t>金的视为放弃第一中标候选人资格。</w:t>
            </w:r>
          </w:p>
          <w:p w14:paraId="658BF084">
            <w:pPr>
              <w:pStyle w:val="11"/>
              <w:spacing w:before="1" w:line="220" w:lineRule="auto"/>
              <w:ind w:left="158"/>
              <w:outlineLvl w:val="9"/>
              <w:rPr>
                <w:highlight w:val="none"/>
              </w:rPr>
            </w:pPr>
            <w:r>
              <w:rPr>
                <w:spacing w:val="-12"/>
                <w:highlight w:val="none"/>
              </w:rPr>
              <w:t>□不要求</w:t>
            </w:r>
          </w:p>
        </w:tc>
      </w:tr>
      <w:tr w14:paraId="08729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641" w:hRule="atLeast"/>
        </w:trPr>
        <w:tc>
          <w:tcPr>
            <w:tcW w:w="737" w:type="dxa"/>
            <w:gridSpan w:val="2"/>
            <w:shd w:val="clear" w:color="auto" w:fill="auto"/>
            <w:vAlign w:val="top"/>
          </w:tcPr>
          <w:p w14:paraId="70EE27BF">
            <w:pPr>
              <w:pStyle w:val="11"/>
              <w:spacing w:before="115" w:line="210" w:lineRule="auto"/>
              <w:ind w:left="269" w:leftChars="0"/>
              <w:outlineLvl w:val="9"/>
              <w:rPr>
                <w:rFonts w:ascii="宋体" w:hAnsi="宋体" w:eastAsia="宋体" w:cs="宋体"/>
                <w:snapToGrid w:val="0"/>
                <w:color w:val="000000"/>
                <w:kern w:val="0"/>
                <w:sz w:val="24"/>
                <w:szCs w:val="24"/>
                <w:highlight w:val="none"/>
                <w:lang w:val="en-US" w:eastAsia="en-US" w:bidi="ar-SA"/>
              </w:rPr>
            </w:pPr>
            <w:r>
              <w:rPr>
                <w:b/>
                <w:bCs/>
                <w:spacing w:val="-10"/>
                <w:highlight w:val="none"/>
              </w:rPr>
              <w:t>36</w:t>
            </w:r>
          </w:p>
        </w:tc>
        <w:tc>
          <w:tcPr>
            <w:tcW w:w="2437" w:type="dxa"/>
            <w:vAlign w:val="top"/>
          </w:tcPr>
          <w:p w14:paraId="6F1949E7">
            <w:pPr>
              <w:pStyle w:val="11"/>
              <w:spacing w:before="66" w:line="217" w:lineRule="auto"/>
              <w:ind w:left="792" w:right="149" w:hanging="648"/>
              <w:outlineLvl w:val="9"/>
              <w:rPr>
                <w:highlight w:val="none"/>
              </w:rPr>
            </w:pPr>
            <w:r>
              <w:rPr>
                <w:b/>
                <w:bCs/>
                <w:spacing w:val="-5"/>
                <w:highlight w:val="none"/>
              </w:rPr>
              <w:t>本项目是否专门面向</w:t>
            </w:r>
            <w:r>
              <w:rPr>
                <w:b/>
                <w:bCs/>
                <w:spacing w:val="-15"/>
                <w:highlight w:val="none"/>
              </w:rPr>
              <w:t>中小企业</w:t>
            </w:r>
          </w:p>
        </w:tc>
        <w:tc>
          <w:tcPr>
            <w:tcW w:w="6756" w:type="dxa"/>
            <w:gridSpan w:val="2"/>
            <w:vAlign w:val="top"/>
          </w:tcPr>
          <w:p w14:paraId="255737E1">
            <w:pPr>
              <w:pStyle w:val="11"/>
              <w:spacing w:before="65" w:line="223" w:lineRule="auto"/>
              <w:ind w:left="172"/>
              <w:outlineLvl w:val="9"/>
              <w:rPr>
                <w:highlight w:val="none"/>
              </w:rPr>
            </w:pPr>
            <w:r>
              <w:rPr>
                <w:rFonts w:hint="eastAsia"/>
                <w:spacing w:val="-17"/>
                <w:highlight w:val="none"/>
                <w:lang w:eastAsia="zh-CN"/>
              </w:rPr>
              <w:t>☑</w:t>
            </w:r>
            <w:r>
              <w:rPr>
                <w:spacing w:val="-17"/>
                <w:highlight w:val="none"/>
              </w:rPr>
              <w:t>是</w:t>
            </w:r>
          </w:p>
          <w:p w14:paraId="20F64876">
            <w:pPr>
              <w:pStyle w:val="11"/>
              <w:spacing w:before="7" w:line="206" w:lineRule="auto"/>
              <w:ind w:left="143"/>
              <w:outlineLvl w:val="9"/>
              <w:rPr>
                <w:highlight w:val="none"/>
              </w:rPr>
            </w:pPr>
            <w:r>
              <w:rPr>
                <w:rFonts w:hint="eastAsia" w:ascii="MS Gothic" w:hAnsi="MS Gothic" w:cs="MS Gothic"/>
                <w:b/>
                <w:bCs/>
                <w:spacing w:val="-13"/>
                <w:highlight w:val="none"/>
                <w:lang w:eastAsia="zh-CN"/>
              </w:rPr>
              <w:t>□</w:t>
            </w:r>
            <w:r>
              <w:rPr>
                <w:spacing w:val="-13"/>
                <w:highlight w:val="none"/>
              </w:rPr>
              <w:t>否</w:t>
            </w:r>
          </w:p>
        </w:tc>
      </w:tr>
      <w:tr w14:paraId="3085A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399" w:hRule="atLeast"/>
        </w:trPr>
        <w:tc>
          <w:tcPr>
            <w:tcW w:w="737" w:type="dxa"/>
            <w:gridSpan w:val="2"/>
            <w:shd w:val="clear" w:color="auto" w:fill="auto"/>
            <w:vAlign w:val="top"/>
          </w:tcPr>
          <w:p w14:paraId="147DEAD6">
            <w:pPr>
              <w:pStyle w:val="11"/>
              <w:spacing w:before="49"/>
              <w:ind w:left="269" w:leftChars="0"/>
              <w:outlineLvl w:val="9"/>
              <w:rPr>
                <w:rFonts w:ascii="宋体" w:hAnsi="宋体" w:eastAsia="宋体" w:cs="宋体"/>
                <w:snapToGrid w:val="0"/>
                <w:color w:val="000000"/>
                <w:kern w:val="0"/>
                <w:sz w:val="24"/>
                <w:szCs w:val="24"/>
                <w:highlight w:val="none"/>
                <w:lang w:val="en-US" w:eastAsia="en-US" w:bidi="ar-SA"/>
              </w:rPr>
            </w:pPr>
            <w:r>
              <w:rPr>
                <w:b/>
                <w:bCs/>
                <w:spacing w:val="-10"/>
                <w:highlight w:val="none"/>
              </w:rPr>
              <w:t>37</w:t>
            </w:r>
          </w:p>
        </w:tc>
        <w:tc>
          <w:tcPr>
            <w:tcW w:w="2437" w:type="dxa"/>
            <w:vAlign w:val="top"/>
          </w:tcPr>
          <w:p w14:paraId="40A04EFD">
            <w:pPr>
              <w:pStyle w:val="11"/>
              <w:spacing w:before="99" w:line="219" w:lineRule="auto"/>
              <w:ind w:left="308"/>
              <w:outlineLvl w:val="9"/>
              <w:rPr>
                <w:highlight w:val="none"/>
              </w:rPr>
            </w:pPr>
            <w:r>
              <w:rPr>
                <w:b/>
                <w:bCs/>
                <w:spacing w:val="-10"/>
                <w:highlight w:val="none"/>
              </w:rPr>
              <w:t>中小企业扶持政策</w:t>
            </w:r>
          </w:p>
        </w:tc>
        <w:tc>
          <w:tcPr>
            <w:tcW w:w="6756" w:type="dxa"/>
            <w:gridSpan w:val="2"/>
            <w:vAlign w:val="top"/>
          </w:tcPr>
          <w:p w14:paraId="5F533BDE">
            <w:pPr>
              <w:pStyle w:val="11"/>
              <w:spacing w:before="98" w:line="219" w:lineRule="auto"/>
              <w:ind w:left="129"/>
              <w:outlineLvl w:val="9"/>
              <w:rPr>
                <w:highlight w:val="none"/>
              </w:rPr>
            </w:pPr>
            <w:r>
              <w:rPr>
                <w:spacing w:val="-5"/>
                <w:highlight w:val="none"/>
              </w:rPr>
              <w:t>详见第四章“评审方法”对应内容</w:t>
            </w:r>
          </w:p>
        </w:tc>
      </w:tr>
      <w:tr w14:paraId="2BCAD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582" w:hRule="atLeast"/>
        </w:trPr>
        <w:tc>
          <w:tcPr>
            <w:tcW w:w="737" w:type="dxa"/>
            <w:gridSpan w:val="2"/>
            <w:shd w:val="clear" w:color="auto" w:fill="auto"/>
            <w:vAlign w:val="top"/>
          </w:tcPr>
          <w:p w14:paraId="43063137">
            <w:pPr>
              <w:pStyle w:val="11"/>
              <w:spacing w:before="237"/>
              <w:ind w:left="269" w:leftChars="0"/>
              <w:outlineLvl w:val="9"/>
              <w:rPr>
                <w:rFonts w:ascii="宋体" w:hAnsi="宋体" w:eastAsia="宋体" w:cs="宋体"/>
                <w:snapToGrid w:val="0"/>
                <w:color w:val="000000"/>
                <w:kern w:val="0"/>
                <w:sz w:val="24"/>
                <w:szCs w:val="24"/>
                <w:highlight w:val="none"/>
                <w:lang w:val="en-US" w:eastAsia="en-US" w:bidi="ar-SA"/>
              </w:rPr>
            </w:pPr>
            <w:r>
              <w:rPr>
                <w:b/>
                <w:bCs/>
                <w:spacing w:val="-10"/>
                <w:highlight w:val="none"/>
              </w:rPr>
              <w:t>38</w:t>
            </w:r>
          </w:p>
        </w:tc>
        <w:tc>
          <w:tcPr>
            <w:tcW w:w="2437" w:type="dxa"/>
            <w:vAlign w:val="top"/>
          </w:tcPr>
          <w:p w14:paraId="60713D55">
            <w:pPr>
              <w:pStyle w:val="11"/>
              <w:spacing w:before="49" w:line="201" w:lineRule="auto"/>
              <w:ind w:left="141" w:right="151" w:hanging="1"/>
              <w:outlineLvl w:val="9"/>
              <w:rPr>
                <w:highlight w:val="none"/>
              </w:rPr>
            </w:pPr>
            <w:r>
              <w:rPr>
                <w:b/>
                <w:bCs/>
                <w:spacing w:val="-5"/>
                <w:highlight w:val="none"/>
              </w:rPr>
              <w:t>优先采购节能、环境</w:t>
            </w:r>
            <w:r>
              <w:rPr>
                <w:b/>
                <w:bCs/>
                <w:spacing w:val="-7"/>
                <w:highlight w:val="none"/>
              </w:rPr>
              <w:t>标志产品</w:t>
            </w:r>
          </w:p>
        </w:tc>
        <w:tc>
          <w:tcPr>
            <w:tcW w:w="6756" w:type="dxa"/>
            <w:gridSpan w:val="2"/>
            <w:vAlign w:val="top"/>
          </w:tcPr>
          <w:p w14:paraId="372B21C0">
            <w:pPr>
              <w:pStyle w:val="11"/>
              <w:spacing w:before="49" w:line="219" w:lineRule="auto"/>
              <w:ind w:left="129"/>
              <w:outlineLvl w:val="9"/>
              <w:rPr>
                <w:highlight w:val="none"/>
              </w:rPr>
            </w:pPr>
            <w:r>
              <w:rPr>
                <w:spacing w:val="-5"/>
                <w:highlight w:val="none"/>
              </w:rPr>
              <w:t>详见第四章“评审方法”对应内容</w:t>
            </w:r>
          </w:p>
        </w:tc>
      </w:tr>
      <w:tr w14:paraId="269CC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650" w:hRule="atLeast"/>
        </w:trPr>
        <w:tc>
          <w:tcPr>
            <w:tcW w:w="737" w:type="dxa"/>
            <w:gridSpan w:val="2"/>
            <w:shd w:val="clear" w:color="auto" w:fill="auto"/>
            <w:vAlign w:val="top"/>
          </w:tcPr>
          <w:p w14:paraId="513532D8">
            <w:pPr>
              <w:spacing w:line="313" w:lineRule="auto"/>
              <w:outlineLvl w:val="9"/>
              <w:rPr>
                <w:rFonts w:ascii="Arial"/>
                <w:sz w:val="21"/>
                <w:highlight w:val="none"/>
              </w:rPr>
            </w:pPr>
          </w:p>
          <w:p w14:paraId="662FA1ED">
            <w:pPr>
              <w:pStyle w:val="11"/>
              <w:spacing w:before="78"/>
              <w:ind w:left="269" w:leftChars="0"/>
              <w:outlineLvl w:val="9"/>
              <w:rPr>
                <w:rFonts w:ascii="宋体" w:hAnsi="宋体" w:eastAsia="宋体" w:cs="宋体"/>
                <w:snapToGrid w:val="0"/>
                <w:color w:val="000000"/>
                <w:kern w:val="0"/>
                <w:sz w:val="24"/>
                <w:szCs w:val="24"/>
                <w:highlight w:val="none"/>
                <w:lang w:val="en-US" w:eastAsia="en-US" w:bidi="ar-SA"/>
              </w:rPr>
            </w:pPr>
            <w:r>
              <w:rPr>
                <w:b/>
                <w:bCs/>
                <w:spacing w:val="-10"/>
                <w:highlight w:val="none"/>
              </w:rPr>
              <w:t>39</w:t>
            </w:r>
          </w:p>
        </w:tc>
        <w:tc>
          <w:tcPr>
            <w:tcW w:w="2437" w:type="dxa"/>
            <w:vAlign w:val="top"/>
          </w:tcPr>
          <w:p w14:paraId="7219EA8F">
            <w:pPr>
              <w:pStyle w:val="11"/>
              <w:spacing w:before="218" w:line="220" w:lineRule="auto"/>
              <w:ind w:left="507"/>
              <w:outlineLvl w:val="9"/>
              <w:rPr>
                <w:highlight w:val="none"/>
              </w:rPr>
            </w:pPr>
            <w:r>
              <w:rPr>
                <w:b/>
                <w:bCs/>
                <w:spacing w:val="-6"/>
                <w:highlight w:val="none"/>
              </w:rPr>
              <w:t>重大违法记录</w:t>
            </w:r>
          </w:p>
        </w:tc>
        <w:tc>
          <w:tcPr>
            <w:tcW w:w="6756" w:type="dxa"/>
            <w:gridSpan w:val="2"/>
            <w:vAlign w:val="top"/>
          </w:tcPr>
          <w:p w14:paraId="09786E37">
            <w:pPr>
              <w:pStyle w:val="11"/>
              <w:spacing w:before="70" w:line="219" w:lineRule="auto"/>
              <w:ind w:left="124" w:right="108"/>
              <w:outlineLvl w:val="9"/>
              <w:rPr>
                <w:highlight w:val="none"/>
              </w:rPr>
            </w:pPr>
            <w:r>
              <w:rPr>
                <w:spacing w:val="1"/>
                <w:highlight w:val="none"/>
              </w:rPr>
              <w:t>供应商因违法经营受到刑事处罚或者责令停产停业、吊销许可</w:t>
            </w:r>
            <w:r>
              <w:rPr>
                <w:spacing w:val="-1"/>
                <w:highlight w:val="none"/>
              </w:rPr>
              <w:t>证或者执照、较大数额罚款等行政处罚。</w:t>
            </w:r>
          </w:p>
        </w:tc>
      </w:tr>
      <w:tr w14:paraId="7049F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957" w:hRule="atLeast"/>
        </w:trPr>
        <w:tc>
          <w:tcPr>
            <w:tcW w:w="737" w:type="dxa"/>
            <w:gridSpan w:val="2"/>
            <w:shd w:val="clear" w:color="auto" w:fill="auto"/>
            <w:vAlign w:val="top"/>
          </w:tcPr>
          <w:p w14:paraId="645A6996">
            <w:pPr>
              <w:pStyle w:val="11"/>
              <w:spacing w:before="240"/>
              <w:ind w:left="258" w:leftChars="0"/>
              <w:outlineLvl w:val="9"/>
              <w:rPr>
                <w:rFonts w:ascii="宋体" w:hAnsi="宋体" w:eastAsia="宋体" w:cs="宋体"/>
                <w:snapToGrid w:val="0"/>
                <w:color w:val="000000"/>
                <w:kern w:val="0"/>
                <w:sz w:val="24"/>
                <w:szCs w:val="24"/>
                <w:highlight w:val="none"/>
                <w:lang w:val="en-US" w:eastAsia="en-US" w:bidi="ar-SA"/>
              </w:rPr>
            </w:pPr>
            <w:r>
              <w:rPr>
                <w:b/>
                <w:bCs/>
                <w:spacing w:val="-7"/>
                <w:highlight w:val="none"/>
              </w:rPr>
              <w:t>40</w:t>
            </w:r>
          </w:p>
        </w:tc>
        <w:tc>
          <w:tcPr>
            <w:tcW w:w="2437" w:type="dxa"/>
            <w:vAlign w:val="top"/>
          </w:tcPr>
          <w:p w14:paraId="5AA081E6">
            <w:pPr>
              <w:pStyle w:val="11"/>
              <w:spacing w:before="234" w:line="248" w:lineRule="auto"/>
              <w:ind w:left="640" w:right="151" w:hanging="486"/>
              <w:outlineLvl w:val="9"/>
              <w:rPr>
                <w:highlight w:val="none"/>
              </w:rPr>
            </w:pPr>
            <w:r>
              <w:rPr>
                <w:b/>
                <w:bCs/>
                <w:spacing w:val="-7"/>
                <w:highlight w:val="none"/>
              </w:rPr>
              <w:t>实质性要求和条件是</w:t>
            </w:r>
            <w:r>
              <w:rPr>
                <w:b/>
                <w:bCs/>
                <w:spacing w:val="-8"/>
                <w:highlight w:val="none"/>
              </w:rPr>
              <w:t>否允许偏离</w:t>
            </w:r>
          </w:p>
        </w:tc>
        <w:tc>
          <w:tcPr>
            <w:tcW w:w="6756" w:type="dxa"/>
            <w:gridSpan w:val="2"/>
            <w:vAlign w:val="top"/>
          </w:tcPr>
          <w:p w14:paraId="3B1C8BED">
            <w:pPr>
              <w:pStyle w:val="11"/>
              <w:spacing w:before="56" w:line="219" w:lineRule="auto"/>
              <w:ind w:left="157"/>
              <w:outlineLvl w:val="9"/>
              <w:rPr>
                <w:highlight w:val="none"/>
              </w:rPr>
            </w:pPr>
            <w:r>
              <w:rPr>
                <w:rFonts w:ascii="MS Gothic" w:hAnsi="MS Gothic" w:eastAsia="MS Gothic" w:cs="MS Gothic"/>
                <w:spacing w:val="-9"/>
                <w:highlight w:val="none"/>
              </w:rPr>
              <w:t>☑</w:t>
            </w:r>
            <w:r>
              <w:rPr>
                <w:spacing w:val="-9"/>
                <w:highlight w:val="none"/>
              </w:rPr>
              <w:t>不允许</w:t>
            </w:r>
          </w:p>
          <w:p w14:paraId="540E8A87">
            <w:pPr>
              <w:pStyle w:val="11"/>
              <w:spacing w:before="32" w:line="219" w:lineRule="auto"/>
              <w:ind w:left="158"/>
              <w:outlineLvl w:val="9"/>
              <w:rPr>
                <w:highlight w:val="none"/>
              </w:rPr>
            </w:pPr>
            <w:r>
              <w:rPr>
                <w:spacing w:val="-4"/>
                <w:highlight w:val="none"/>
              </w:rPr>
              <w:t>□允许，偏差范围：/</w:t>
            </w:r>
          </w:p>
          <w:p w14:paraId="7F5183A6">
            <w:pPr>
              <w:pStyle w:val="11"/>
              <w:spacing w:before="21" w:line="206" w:lineRule="auto"/>
              <w:ind w:left="1096"/>
              <w:outlineLvl w:val="9"/>
              <w:rPr>
                <w:highlight w:val="none"/>
              </w:rPr>
            </w:pPr>
            <w:r>
              <w:rPr>
                <w:spacing w:val="-1"/>
                <w:highlight w:val="none"/>
              </w:rPr>
              <w:t>最高项数：正偏离不设上限；负偏离扣分。</w:t>
            </w:r>
          </w:p>
        </w:tc>
      </w:tr>
      <w:tr w14:paraId="226E4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650" w:hRule="atLeast"/>
        </w:trPr>
        <w:tc>
          <w:tcPr>
            <w:tcW w:w="737" w:type="dxa"/>
            <w:gridSpan w:val="2"/>
            <w:vAlign w:val="top"/>
          </w:tcPr>
          <w:p w14:paraId="071DA395">
            <w:pPr>
              <w:pStyle w:val="11"/>
              <w:spacing w:before="240"/>
              <w:ind w:left="258"/>
              <w:outlineLvl w:val="9"/>
              <w:rPr>
                <w:rFonts w:hint="eastAsia" w:eastAsia="宋体"/>
                <w:highlight w:val="none"/>
                <w:lang w:val="en-US" w:eastAsia="zh-CN"/>
              </w:rPr>
            </w:pPr>
            <w:r>
              <w:rPr>
                <w:b/>
                <w:bCs/>
                <w:spacing w:val="-7"/>
                <w:highlight w:val="none"/>
              </w:rPr>
              <w:t>4</w:t>
            </w:r>
            <w:r>
              <w:rPr>
                <w:rFonts w:hint="eastAsia"/>
                <w:b/>
                <w:bCs/>
                <w:spacing w:val="-7"/>
                <w:highlight w:val="none"/>
                <w:lang w:val="en-US" w:eastAsia="zh-CN"/>
              </w:rPr>
              <w:t>1</w:t>
            </w:r>
          </w:p>
        </w:tc>
        <w:tc>
          <w:tcPr>
            <w:tcW w:w="2437" w:type="dxa"/>
            <w:vAlign w:val="top"/>
          </w:tcPr>
          <w:p w14:paraId="690D3E38">
            <w:pPr>
              <w:pStyle w:val="11"/>
              <w:spacing w:before="222" w:line="219" w:lineRule="auto"/>
              <w:ind w:left="748"/>
              <w:outlineLvl w:val="9"/>
              <w:rPr>
                <w:highlight w:val="none"/>
              </w:rPr>
            </w:pPr>
            <w:r>
              <w:rPr>
                <w:b/>
                <w:bCs/>
                <w:spacing w:val="-7"/>
                <w:highlight w:val="none"/>
              </w:rPr>
              <w:t>付款方式</w:t>
            </w:r>
          </w:p>
        </w:tc>
        <w:tc>
          <w:tcPr>
            <w:tcW w:w="6756" w:type="dxa"/>
            <w:gridSpan w:val="2"/>
            <w:vAlign w:val="top"/>
          </w:tcPr>
          <w:p w14:paraId="71924E0B">
            <w:pPr>
              <w:pStyle w:val="11"/>
              <w:spacing w:before="221" w:line="220" w:lineRule="auto"/>
              <w:ind w:left="186"/>
              <w:outlineLvl w:val="9"/>
              <w:rPr>
                <w:highlight w:val="none"/>
              </w:rPr>
            </w:pPr>
            <w:r>
              <w:rPr>
                <w:spacing w:val="-5"/>
                <w:highlight w:val="none"/>
              </w:rPr>
              <w:t>甲乙双方签订合时自行商议。</w:t>
            </w:r>
          </w:p>
        </w:tc>
      </w:tr>
      <w:tr w14:paraId="67661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1260" w:hRule="atLeast"/>
        </w:trPr>
        <w:tc>
          <w:tcPr>
            <w:tcW w:w="737" w:type="dxa"/>
            <w:gridSpan w:val="2"/>
            <w:vAlign w:val="top"/>
          </w:tcPr>
          <w:p w14:paraId="65EFE8CC">
            <w:pPr>
              <w:spacing w:line="302" w:lineRule="auto"/>
              <w:outlineLvl w:val="9"/>
              <w:rPr>
                <w:rFonts w:ascii="Arial"/>
                <w:sz w:val="21"/>
                <w:highlight w:val="none"/>
              </w:rPr>
            </w:pPr>
          </w:p>
          <w:p w14:paraId="07947AC0">
            <w:pPr>
              <w:pStyle w:val="11"/>
              <w:spacing w:before="78" w:line="241" w:lineRule="auto"/>
              <w:ind w:left="258"/>
              <w:outlineLvl w:val="9"/>
              <w:rPr>
                <w:rFonts w:hint="eastAsia" w:eastAsia="宋体"/>
                <w:highlight w:val="none"/>
                <w:lang w:val="en-US" w:eastAsia="zh-CN"/>
              </w:rPr>
            </w:pPr>
            <w:r>
              <w:rPr>
                <w:b/>
                <w:bCs/>
                <w:spacing w:val="-7"/>
                <w:highlight w:val="none"/>
              </w:rPr>
              <w:t>4</w:t>
            </w:r>
            <w:r>
              <w:rPr>
                <w:rFonts w:hint="eastAsia"/>
                <w:b/>
                <w:bCs/>
                <w:spacing w:val="-7"/>
                <w:highlight w:val="none"/>
                <w:lang w:val="en-US" w:eastAsia="zh-CN"/>
              </w:rPr>
              <w:t>2</w:t>
            </w:r>
          </w:p>
        </w:tc>
        <w:tc>
          <w:tcPr>
            <w:tcW w:w="2437" w:type="dxa"/>
            <w:vAlign w:val="top"/>
          </w:tcPr>
          <w:p w14:paraId="74851025">
            <w:pPr>
              <w:pStyle w:val="11"/>
              <w:spacing w:before="176" w:line="219" w:lineRule="auto"/>
              <w:ind w:left="384"/>
              <w:outlineLvl w:val="9"/>
              <w:rPr>
                <w:highlight w:val="none"/>
              </w:rPr>
            </w:pPr>
            <w:r>
              <w:rPr>
                <w:b/>
                <w:bCs/>
                <w:spacing w:val="-5"/>
                <w:highlight w:val="none"/>
              </w:rPr>
              <w:t>招标代理服务费</w:t>
            </w:r>
          </w:p>
        </w:tc>
        <w:tc>
          <w:tcPr>
            <w:tcW w:w="6756" w:type="dxa"/>
            <w:gridSpan w:val="2"/>
            <w:vAlign w:val="top"/>
          </w:tcPr>
          <w:p w14:paraId="15C6D1F9">
            <w:pPr>
              <w:pStyle w:val="11"/>
              <w:spacing w:before="27" w:line="204" w:lineRule="auto"/>
              <w:ind w:left="131"/>
              <w:outlineLvl w:val="9"/>
              <w:rPr>
                <w:highlight w:val="none"/>
              </w:rPr>
            </w:pPr>
            <w:r>
              <w:rPr>
                <w:rFonts w:hint="eastAsia" w:ascii="仿宋" w:hAnsi="仿宋" w:eastAsia="仿宋" w:cs="仿宋"/>
                <w:color w:val="auto"/>
                <w:sz w:val="24"/>
                <w:szCs w:val="24"/>
                <w:highlight w:val="none"/>
              </w:rPr>
              <w:t>本项目招标代理服务费号文参照发改价格〔2015〕299号文及发改价格(2011)534号文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由中标人向招标代理支付。</w:t>
            </w:r>
          </w:p>
        </w:tc>
      </w:tr>
      <w:tr w14:paraId="60384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4333" w:hRule="atLeast"/>
        </w:trPr>
        <w:tc>
          <w:tcPr>
            <w:tcW w:w="737" w:type="dxa"/>
            <w:gridSpan w:val="2"/>
            <w:tcBorders>
              <w:bottom w:val="single" w:color="auto" w:sz="4" w:space="0"/>
            </w:tcBorders>
            <w:vAlign w:val="top"/>
          </w:tcPr>
          <w:p w14:paraId="152482A0">
            <w:pPr>
              <w:spacing w:line="242" w:lineRule="auto"/>
              <w:outlineLvl w:val="9"/>
              <w:rPr>
                <w:rFonts w:ascii="Arial"/>
                <w:sz w:val="21"/>
                <w:highlight w:val="none"/>
              </w:rPr>
            </w:pPr>
          </w:p>
          <w:p w14:paraId="13810A96">
            <w:pPr>
              <w:spacing w:line="242" w:lineRule="auto"/>
              <w:outlineLvl w:val="9"/>
              <w:rPr>
                <w:rFonts w:ascii="Arial"/>
                <w:sz w:val="21"/>
                <w:highlight w:val="none"/>
              </w:rPr>
            </w:pPr>
          </w:p>
          <w:p w14:paraId="0CC293DE">
            <w:pPr>
              <w:spacing w:line="242" w:lineRule="auto"/>
              <w:outlineLvl w:val="9"/>
              <w:rPr>
                <w:rFonts w:ascii="Arial"/>
                <w:sz w:val="21"/>
                <w:highlight w:val="none"/>
              </w:rPr>
            </w:pPr>
          </w:p>
          <w:p w14:paraId="51869FC6">
            <w:pPr>
              <w:spacing w:line="242" w:lineRule="auto"/>
              <w:outlineLvl w:val="9"/>
              <w:rPr>
                <w:rFonts w:ascii="Arial"/>
                <w:sz w:val="21"/>
                <w:highlight w:val="none"/>
              </w:rPr>
            </w:pPr>
          </w:p>
          <w:p w14:paraId="6ED16E03">
            <w:pPr>
              <w:spacing w:line="242" w:lineRule="auto"/>
              <w:outlineLvl w:val="9"/>
              <w:rPr>
                <w:rFonts w:ascii="Arial"/>
                <w:sz w:val="21"/>
                <w:highlight w:val="none"/>
              </w:rPr>
            </w:pPr>
          </w:p>
          <w:p w14:paraId="62217782">
            <w:pPr>
              <w:spacing w:line="242" w:lineRule="auto"/>
              <w:outlineLvl w:val="9"/>
              <w:rPr>
                <w:rFonts w:ascii="Arial"/>
                <w:sz w:val="21"/>
                <w:highlight w:val="none"/>
              </w:rPr>
            </w:pPr>
          </w:p>
          <w:p w14:paraId="4B9AEC7A">
            <w:pPr>
              <w:spacing w:line="242" w:lineRule="auto"/>
              <w:outlineLvl w:val="9"/>
              <w:rPr>
                <w:rFonts w:ascii="Arial"/>
                <w:sz w:val="21"/>
                <w:highlight w:val="none"/>
              </w:rPr>
            </w:pPr>
          </w:p>
          <w:p w14:paraId="7E070A46">
            <w:pPr>
              <w:spacing w:line="242" w:lineRule="auto"/>
              <w:outlineLvl w:val="9"/>
              <w:rPr>
                <w:rFonts w:ascii="Arial"/>
                <w:sz w:val="21"/>
                <w:highlight w:val="none"/>
              </w:rPr>
            </w:pPr>
          </w:p>
          <w:p w14:paraId="3273EDD3">
            <w:pPr>
              <w:pStyle w:val="11"/>
              <w:spacing w:before="78" w:line="241" w:lineRule="auto"/>
              <w:ind w:left="258"/>
              <w:outlineLvl w:val="9"/>
              <w:rPr>
                <w:rFonts w:hint="eastAsia" w:eastAsia="宋体"/>
                <w:highlight w:val="none"/>
                <w:lang w:val="en-US" w:eastAsia="zh-CN"/>
              </w:rPr>
            </w:pPr>
            <w:r>
              <w:rPr>
                <w:b/>
                <w:bCs/>
                <w:spacing w:val="-7"/>
                <w:highlight w:val="none"/>
              </w:rPr>
              <w:t>4</w:t>
            </w:r>
            <w:r>
              <w:rPr>
                <w:rFonts w:hint="eastAsia"/>
                <w:b/>
                <w:bCs/>
                <w:spacing w:val="-7"/>
                <w:highlight w:val="none"/>
                <w:lang w:val="en-US" w:eastAsia="zh-CN"/>
              </w:rPr>
              <w:t>3</w:t>
            </w:r>
          </w:p>
        </w:tc>
        <w:tc>
          <w:tcPr>
            <w:tcW w:w="2437" w:type="dxa"/>
            <w:vAlign w:val="top"/>
          </w:tcPr>
          <w:p w14:paraId="133C9BE0">
            <w:pPr>
              <w:spacing w:line="251" w:lineRule="auto"/>
              <w:outlineLvl w:val="9"/>
              <w:rPr>
                <w:rFonts w:ascii="Arial"/>
                <w:sz w:val="21"/>
                <w:highlight w:val="none"/>
              </w:rPr>
            </w:pPr>
          </w:p>
          <w:p w14:paraId="42648390">
            <w:pPr>
              <w:spacing w:line="251" w:lineRule="auto"/>
              <w:outlineLvl w:val="9"/>
              <w:rPr>
                <w:rFonts w:ascii="Arial"/>
                <w:sz w:val="21"/>
                <w:highlight w:val="none"/>
              </w:rPr>
            </w:pPr>
          </w:p>
          <w:p w14:paraId="0CD6ED24">
            <w:pPr>
              <w:spacing w:line="251" w:lineRule="auto"/>
              <w:outlineLvl w:val="9"/>
              <w:rPr>
                <w:rFonts w:ascii="Arial"/>
                <w:sz w:val="21"/>
                <w:highlight w:val="none"/>
              </w:rPr>
            </w:pPr>
          </w:p>
          <w:p w14:paraId="0BCC8633">
            <w:pPr>
              <w:spacing w:line="251" w:lineRule="auto"/>
              <w:outlineLvl w:val="9"/>
              <w:rPr>
                <w:rFonts w:ascii="Arial"/>
                <w:sz w:val="21"/>
                <w:highlight w:val="none"/>
              </w:rPr>
            </w:pPr>
          </w:p>
          <w:p w14:paraId="2B3312ED">
            <w:pPr>
              <w:spacing w:line="251" w:lineRule="auto"/>
              <w:outlineLvl w:val="9"/>
              <w:rPr>
                <w:rFonts w:ascii="Arial"/>
                <w:sz w:val="21"/>
                <w:highlight w:val="none"/>
              </w:rPr>
            </w:pPr>
          </w:p>
          <w:p w14:paraId="0F17B233">
            <w:pPr>
              <w:spacing w:line="251" w:lineRule="auto"/>
              <w:outlineLvl w:val="9"/>
              <w:rPr>
                <w:rFonts w:ascii="Arial"/>
                <w:sz w:val="21"/>
                <w:highlight w:val="none"/>
              </w:rPr>
            </w:pPr>
          </w:p>
          <w:p w14:paraId="34518C4B">
            <w:pPr>
              <w:spacing w:line="251" w:lineRule="auto"/>
              <w:outlineLvl w:val="9"/>
              <w:rPr>
                <w:rFonts w:ascii="Arial"/>
                <w:sz w:val="21"/>
                <w:highlight w:val="none"/>
              </w:rPr>
            </w:pPr>
          </w:p>
          <w:p w14:paraId="5CA457BC">
            <w:pPr>
              <w:pStyle w:val="11"/>
              <w:spacing w:before="78" w:line="219" w:lineRule="auto"/>
              <w:ind w:left="141"/>
              <w:outlineLvl w:val="9"/>
              <w:rPr>
                <w:highlight w:val="none"/>
              </w:rPr>
            </w:pPr>
            <w:r>
              <w:rPr>
                <w:b/>
                <w:bCs/>
                <w:spacing w:val="-5"/>
                <w:highlight w:val="none"/>
              </w:rPr>
              <w:t>节能、环保政府采购</w:t>
            </w:r>
          </w:p>
          <w:p w14:paraId="1CC2E478">
            <w:pPr>
              <w:pStyle w:val="11"/>
              <w:spacing w:before="66" w:line="220" w:lineRule="auto"/>
              <w:ind w:left="987"/>
              <w:outlineLvl w:val="9"/>
              <w:rPr>
                <w:highlight w:val="none"/>
              </w:rPr>
            </w:pPr>
            <w:r>
              <w:rPr>
                <w:b/>
                <w:bCs/>
                <w:spacing w:val="-7"/>
                <w:highlight w:val="none"/>
              </w:rPr>
              <w:t>政策</w:t>
            </w:r>
          </w:p>
        </w:tc>
        <w:tc>
          <w:tcPr>
            <w:tcW w:w="6756" w:type="dxa"/>
            <w:gridSpan w:val="2"/>
            <w:vAlign w:val="top"/>
          </w:tcPr>
          <w:p w14:paraId="536A7B91">
            <w:pPr>
              <w:pStyle w:val="11"/>
              <w:spacing w:before="114" w:line="265" w:lineRule="auto"/>
              <w:ind w:left="119" w:right="43" w:firstLine="5"/>
              <w:jc w:val="both"/>
              <w:outlineLvl w:val="9"/>
              <w:rPr>
                <w:highlight w:val="none"/>
              </w:rPr>
            </w:pPr>
            <w:r>
              <w:rPr>
                <w:spacing w:val="-1"/>
                <w:highlight w:val="none"/>
              </w:rPr>
              <w:t>严格执行《财政部发展改革委生态环境部市场监管总局关于</w:t>
            </w:r>
            <w:r>
              <w:rPr>
                <w:spacing w:val="3"/>
                <w:highlight w:val="none"/>
              </w:rPr>
              <w:t>调整优化节能产品、环境标志产品政府采购执行机制的通知》</w:t>
            </w:r>
            <w:r>
              <w:rPr>
                <w:spacing w:val="4"/>
                <w:highlight w:val="none"/>
              </w:rPr>
              <w:t>（财库〔2019〕9号）、关于印发节能产品政府采购品目清单</w:t>
            </w:r>
            <w:r>
              <w:rPr>
                <w:highlight w:val="none"/>
              </w:rPr>
              <w:t>的通知（财库〔2019〕19号）、关于印发环境标志产品政府采购品目清单的通知（财库〔2019〕18号）、市场监管总局关于</w:t>
            </w:r>
            <w:r>
              <w:rPr>
                <w:spacing w:val="4"/>
                <w:highlight w:val="none"/>
              </w:rPr>
              <w:t>发布参与实施政府采购节能产品、环境标志产品认证</w:t>
            </w:r>
            <w:r>
              <w:rPr>
                <w:spacing w:val="3"/>
                <w:highlight w:val="none"/>
              </w:rPr>
              <w:t>机构名录</w:t>
            </w:r>
            <w:r>
              <w:rPr>
                <w:spacing w:val="-1"/>
                <w:highlight w:val="none"/>
              </w:rPr>
              <w:t>的公告（2019年第16号</w:t>
            </w:r>
            <w:r>
              <w:rPr>
                <w:spacing w:val="5"/>
                <w:highlight w:val="none"/>
              </w:rPr>
              <w:t>），</w:t>
            </w:r>
            <w:r>
              <w:rPr>
                <w:spacing w:val="-1"/>
                <w:highlight w:val="none"/>
              </w:rPr>
              <w:t>本次采购产品类别属于政府强制</w:t>
            </w:r>
            <w:r>
              <w:rPr>
                <w:spacing w:val="4"/>
                <w:highlight w:val="none"/>
              </w:rPr>
              <w:t>采购产品类别的，应当按照要求提供依据国家确定的</w:t>
            </w:r>
            <w:r>
              <w:rPr>
                <w:spacing w:val="3"/>
                <w:highlight w:val="none"/>
              </w:rPr>
              <w:t>认证机构</w:t>
            </w:r>
            <w:r>
              <w:rPr>
                <w:spacing w:val="-5"/>
                <w:highlight w:val="none"/>
              </w:rPr>
              <w:t>出具的、处于有效期之内的节能产品或环境标志产品认证证书，</w:t>
            </w:r>
            <w:r>
              <w:rPr>
                <w:spacing w:val="4"/>
                <w:highlight w:val="none"/>
              </w:rPr>
              <w:t>否则投标文件无效；属于政府优先采购产品类别的，</w:t>
            </w:r>
            <w:r>
              <w:rPr>
                <w:spacing w:val="3"/>
                <w:highlight w:val="none"/>
              </w:rPr>
              <w:t>应当按照</w:t>
            </w:r>
            <w:r>
              <w:rPr>
                <w:spacing w:val="4"/>
                <w:highlight w:val="none"/>
              </w:rPr>
              <w:t>要求提供依据国家确定的认证机构出具的、处于有效</w:t>
            </w:r>
            <w:r>
              <w:rPr>
                <w:spacing w:val="3"/>
                <w:highlight w:val="none"/>
              </w:rPr>
              <w:t>期之内的</w:t>
            </w:r>
            <w:r>
              <w:rPr>
                <w:spacing w:val="-1"/>
                <w:highlight w:val="none"/>
              </w:rPr>
              <w:t>节能产品或环境标志产品认证证书，否则不予认定。</w:t>
            </w:r>
          </w:p>
        </w:tc>
      </w:tr>
      <w:tr w14:paraId="7E855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2"/>
          <w:wAfter w:w="8" w:type="dxa"/>
          <w:trHeight w:val="977" w:hRule="atLeast"/>
        </w:trPr>
        <w:tc>
          <w:tcPr>
            <w:tcW w:w="737" w:type="dxa"/>
            <w:gridSpan w:val="2"/>
            <w:vMerge w:val="restart"/>
            <w:tcBorders>
              <w:top w:val="single" w:color="auto" w:sz="4" w:space="0"/>
              <w:left w:val="single" w:color="auto" w:sz="4" w:space="0"/>
              <w:bottom w:val="single" w:color="auto" w:sz="4" w:space="0"/>
              <w:right w:val="single" w:color="auto" w:sz="4" w:space="0"/>
            </w:tcBorders>
            <w:vAlign w:val="center"/>
          </w:tcPr>
          <w:p w14:paraId="3C95740B">
            <w:pPr>
              <w:keepNext w:val="0"/>
              <w:keepLines w:val="0"/>
              <w:pageBreakBefore w:val="0"/>
              <w:widowControl w:val="0"/>
              <w:kinsoku w:val="0"/>
              <w:wordWrap/>
              <w:overflowPunct/>
              <w:topLinePunct w:val="0"/>
              <w:autoSpaceDE w:val="0"/>
              <w:autoSpaceDN w:val="0"/>
              <w:bidi w:val="0"/>
              <w:adjustRightInd w:val="0"/>
              <w:snapToGrid w:val="0"/>
              <w:spacing w:line="249" w:lineRule="auto"/>
              <w:jc w:val="center"/>
              <w:textAlignment w:val="baseline"/>
              <w:outlineLvl w:val="9"/>
              <w:rPr>
                <w:rFonts w:ascii="Arial"/>
                <w:sz w:val="21"/>
                <w:highlight w:val="none"/>
              </w:rPr>
            </w:pPr>
          </w:p>
          <w:p w14:paraId="37762494">
            <w:pPr>
              <w:keepNext w:val="0"/>
              <w:keepLines w:val="0"/>
              <w:pageBreakBefore w:val="0"/>
              <w:widowControl w:val="0"/>
              <w:kinsoku w:val="0"/>
              <w:wordWrap/>
              <w:overflowPunct/>
              <w:topLinePunct w:val="0"/>
              <w:autoSpaceDE w:val="0"/>
              <w:autoSpaceDN w:val="0"/>
              <w:bidi w:val="0"/>
              <w:adjustRightInd w:val="0"/>
              <w:snapToGrid w:val="0"/>
              <w:spacing w:line="249" w:lineRule="auto"/>
              <w:jc w:val="center"/>
              <w:textAlignment w:val="baseline"/>
              <w:outlineLvl w:val="9"/>
              <w:rPr>
                <w:rFonts w:ascii="Arial"/>
                <w:sz w:val="21"/>
                <w:highlight w:val="none"/>
              </w:rPr>
            </w:pPr>
          </w:p>
          <w:p w14:paraId="77D502C3">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4DE18B07">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54A9060F">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619E23A3">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103BA8B4">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4852AFE0">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1B10EC26">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68BCEAD9">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2787F8D0">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1F486447">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4315F38F">
            <w:pPr>
              <w:pStyle w:val="11"/>
              <w:keepNext w:val="0"/>
              <w:keepLines w:val="0"/>
              <w:pageBreakBefore w:val="0"/>
              <w:widowControl w:val="0"/>
              <w:kinsoku w:val="0"/>
              <w:wordWrap/>
              <w:overflowPunct/>
              <w:topLinePunct w:val="0"/>
              <w:autoSpaceDE w:val="0"/>
              <w:autoSpaceDN w:val="0"/>
              <w:bidi w:val="0"/>
              <w:adjustRightInd w:val="0"/>
              <w:snapToGrid w:val="0"/>
              <w:spacing w:before="78"/>
              <w:ind w:left="258"/>
              <w:jc w:val="center"/>
              <w:textAlignment w:val="baseline"/>
              <w:outlineLvl w:val="9"/>
              <w:rPr>
                <w:rFonts w:hint="eastAsia" w:eastAsia="宋体"/>
                <w:highlight w:val="none"/>
                <w:lang w:val="en-US" w:eastAsia="zh-CN"/>
              </w:rPr>
            </w:pPr>
            <w:r>
              <w:rPr>
                <w:b/>
                <w:bCs/>
                <w:spacing w:val="-7"/>
                <w:highlight w:val="none"/>
              </w:rPr>
              <w:t>4</w:t>
            </w:r>
            <w:r>
              <w:rPr>
                <w:rFonts w:hint="eastAsia"/>
                <w:b/>
                <w:bCs/>
                <w:spacing w:val="-7"/>
                <w:highlight w:val="none"/>
                <w:lang w:val="en-US" w:eastAsia="zh-CN"/>
              </w:rPr>
              <w:t>4</w:t>
            </w:r>
          </w:p>
        </w:tc>
        <w:tc>
          <w:tcPr>
            <w:tcW w:w="2437" w:type="dxa"/>
            <w:vMerge w:val="restart"/>
            <w:tcBorders>
              <w:left w:val="single" w:color="auto" w:sz="4" w:space="0"/>
            </w:tcBorders>
            <w:vAlign w:val="center"/>
          </w:tcPr>
          <w:p w14:paraId="5C4A0A3C">
            <w:pPr>
              <w:keepNext w:val="0"/>
              <w:keepLines w:val="0"/>
              <w:pageBreakBefore w:val="0"/>
              <w:widowControl w:val="0"/>
              <w:kinsoku w:val="0"/>
              <w:wordWrap/>
              <w:overflowPunct/>
              <w:topLinePunct w:val="0"/>
              <w:autoSpaceDE w:val="0"/>
              <w:autoSpaceDN w:val="0"/>
              <w:bidi w:val="0"/>
              <w:adjustRightInd w:val="0"/>
              <w:snapToGrid w:val="0"/>
              <w:spacing w:line="249" w:lineRule="auto"/>
              <w:jc w:val="center"/>
              <w:textAlignment w:val="baseline"/>
              <w:outlineLvl w:val="9"/>
              <w:rPr>
                <w:rFonts w:ascii="Arial"/>
                <w:sz w:val="21"/>
                <w:highlight w:val="none"/>
              </w:rPr>
            </w:pPr>
          </w:p>
          <w:p w14:paraId="225B9465">
            <w:pPr>
              <w:keepNext w:val="0"/>
              <w:keepLines w:val="0"/>
              <w:pageBreakBefore w:val="0"/>
              <w:widowControl w:val="0"/>
              <w:kinsoku w:val="0"/>
              <w:wordWrap/>
              <w:overflowPunct/>
              <w:topLinePunct w:val="0"/>
              <w:autoSpaceDE w:val="0"/>
              <w:autoSpaceDN w:val="0"/>
              <w:bidi w:val="0"/>
              <w:adjustRightInd w:val="0"/>
              <w:snapToGrid w:val="0"/>
              <w:spacing w:line="249" w:lineRule="auto"/>
              <w:jc w:val="center"/>
              <w:textAlignment w:val="baseline"/>
              <w:outlineLvl w:val="9"/>
              <w:rPr>
                <w:rFonts w:ascii="Arial"/>
                <w:sz w:val="21"/>
                <w:highlight w:val="none"/>
              </w:rPr>
            </w:pPr>
          </w:p>
          <w:p w14:paraId="7FF6717F">
            <w:pPr>
              <w:keepNext w:val="0"/>
              <w:keepLines w:val="0"/>
              <w:pageBreakBefore w:val="0"/>
              <w:widowControl w:val="0"/>
              <w:kinsoku w:val="0"/>
              <w:wordWrap/>
              <w:overflowPunct/>
              <w:topLinePunct w:val="0"/>
              <w:autoSpaceDE w:val="0"/>
              <w:autoSpaceDN w:val="0"/>
              <w:bidi w:val="0"/>
              <w:adjustRightInd w:val="0"/>
              <w:snapToGrid w:val="0"/>
              <w:spacing w:line="249" w:lineRule="auto"/>
              <w:jc w:val="center"/>
              <w:textAlignment w:val="baseline"/>
              <w:outlineLvl w:val="9"/>
              <w:rPr>
                <w:rFonts w:ascii="Arial"/>
                <w:sz w:val="21"/>
                <w:highlight w:val="none"/>
              </w:rPr>
            </w:pPr>
          </w:p>
          <w:p w14:paraId="3E789CEC">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2A1902DB">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48EE316D">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7E504B72">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04D1621B">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7A71780F">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0FAC990C">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30A7B8A3">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42443EC6">
            <w:pPr>
              <w:keepNext w:val="0"/>
              <w:keepLines w:val="0"/>
              <w:pageBreakBefore w:val="0"/>
              <w:widowControl w:val="0"/>
              <w:kinsoku w:val="0"/>
              <w:wordWrap/>
              <w:overflowPunct/>
              <w:topLinePunct w:val="0"/>
              <w:autoSpaceDE w:val="0"/>
              <w:autoSpaceDN w:val="0"/>
              <w:bidi w:val="0"/>
              <w:adjustRightInd w:val="0"/>
              <w:snapToGrid w:val="0"/>
              <w:spacing w:line="250" w:lineRule="auto"/>
              <w:jc w:val="center"/>
              <w:textAlignment w:val="baseline"/>
              <w:outlineLvl w:val="9"/>
              <w:rPr>
                <w:rFonts w:ascii="Arial"/>
                <w:sz w:val="21"/>
                <w:highlight w:val="none"/>
              </w:rPr>
            </w:pPr>
          </w:p>
          <w:p w14:paraId="3BFFEC1D">
            <w:pPr>
              <w:pStyle w:val="11"/>
              <w:keepNext w:val="0"/>
              <w:keepLines w:val="0"/>
              <w:pageBreakBefore w:val="0"/>
              <w:widowControl w:val="0"/>
              <w:kinsoku w:val="0"/>
              <w:wordWrap/>
              <w:overflowPunct/>
              <w:topLinePunct w:val="0"/>
              <w:autoSpaceDE w:val="0"/>
              <w:autoSpaceDN w:val="0"/>
              <w:bidi w:val="0"/>
              <w:adjustRightInd w:val="0"/>
              <w:snapToGrid w:val="0"/>
              <w:spacing w:before="78" w:line="219" w:lineRule="auto"/>
              <w:ind w:left="308"/>
              <w:jc w:val="center"/>
              <w:textAlignment w:val="baseline"/>
              <w:outlineLvl w:val="9"/>
              <w:rPr>
                <w:highlight w:val="none"/>
              </w:rPr>
            </w:pPr>
            <w:r>
              <w:rPr>
                <w:b/>
                <w:bCs/>
                <w:spacing w:val="-10"/>
                <w:highlight w:val="none"/>
              </w:rPr>
              <w:t>中小企业扶持政策</w:t>
            </w:r>
          </w:p>
        </w:tc>
        <w:tc>
          <w:tcPr>
            <w:tcW w:w="6756" w:type="dxa"/>
            <w:gridSpan w:val="2"/>
            <w:vMerge w:val="restart"/>
            <w:vAlign w:val="top"/>
          </w:tcPr>
          <w:p w14:paraId="6CA5BB4B">
            <w:pPr>
              <w:pStyle w:val="11"/>
              <w:keepNext w:val="0"/>
              <w:keepLines w:val="0"/>
              <w:pageBreakBefore w:val="0"/>
              <w:widowControl w:val="0"/>
              <w:kinsoku w:val="0"/>
              <w:wordWrap/>
              <w:overflowPunct/>
              <w:topLinePunct w:val="0"/>
              <w:autoSpaceDE w:val="0"/>
              <w:autoSpaceDN w:val="0"/>
              <w:bidi w:val="0"/>
              <w:adjustRightInd w:val="0"/>
              <w:snapToGrid w:val="0"/>
              <w:spacing w:before="122" w:line="265" w:lineRule="auto"/>
              <w:ind w:left="125" w:right="105" w:firstLine="5"/>
              <w:jc w:val="both"/>
              <w:textAlignment w:val="baseline"/>
              <w:outlineLvl w:val="9"/>
              <w:rPr>
                <w:highlight w:val="none"/>
              </w:rPr>
            </w:pPr>
            <w:r>
              <w:rPr>
                <w:spacing w:val="1"/>
                <w:highlight w:val="none"/>
              </w:rPr>
              <w:t>关于中小企业、残疾人福利性单位、监狱企业扶持政策落实的规定：本项目按照《新疆维吾尔自治区政府采购促进中小企业</w:t>
            </w:r>
            <w:r>
              <w:rPr>
                <w:spacing w:val="-3"/>
                <w:highlight w:val="none"/>
              </w:rPr>
              <w:t>发展管理实施办法》（新财规〔2021〕6号）</w:t>
            </w:r>
          </w:p>
          <w:p w14:paraId="3BA29DC3">
            <w:pPr>
              <w:pStyle w:val="11"/>
              <w:keepNext w:val="0"/>
              <w:keepLines w:val="0"/>
              <w:pageBreakBefore w:val="0"/>
              <w:widowControl w:val="0"/>
              <w:kinsoku w:val="0"/>
              <w:wordWrap/>
              <w:overflowPunct/>
              <w:topLinePunct w:val="0"/>
              <w:autoSpaceDE w:val="0"/>
              <w:autoSpaceDN w:val="0"/>
              <w:bidi w:val="0"/>
              <w:adjustRightInd w:val="0"/>
              <w:snapToGrid w:val="0"/>
              <w:spacing w:before="1" w:line="245" w:lineRule="auto"/>
              <w:ind w:left="125" w:right="198" w:firstLine="47"/>
              <w:textAlignment w:val="baseline"/>
              <w:outlineLvl w:val="9"/>
              <w:rPr>
                <w:highlight w:val="none"/>
              </w:rPr>
            </w:pPr>
            <w:r>
              <w:rPr>
                <w:rFonts w:hint="eastAsia"/>
                <w:spacing w:val="-4"/>
                <w:highlight w:val="none"/>
                <w:lang w:eastAsia="zh-CN"/>
              </w:rPr>
              <w:t>☑</w:t>
            </w:r>
            <w:r>
              <w:rPr>
                <w:b/>
                <w:bCs/>
                <w:spacing w:val="-4"/>
                <w:highlight w:val="none"/>
              </w:rPr>
              <w:t>本项目专门面向中小企业（中小企业、残疾人福利性单位、</w:t>
            </w:r>
            <w:r>
              <w:rPr>
                <w:b/>
                <w:bCs/>
                <w:spacing w:val="-1"/>
                <w:highlight w:val="none"/>
              </w:rPr>
              <w:t>监狱企业都享受本政策）</w:t>
            </w:r>
          </w:p>
          <w:p w14:paraId="394B8EA5">
            <w:pPr>
              <w:pStyle w:val="11"/>
              <w:keepNext w:val="0"/>
              <w:keepLines w:val="0"/>
              <w:pageBreakBefore w:val="0"/>
              <w:widowControl w:val="0"/>
              <w:kinsoku w:val="0"/>
              <w:wordWrap/>
              <w:overflowPunct/>
              <w:topLinePunct w:val="0"/>
              <w:autoSpaceDE w:val="0"/>
              <w:autoSpaceDN w:val="0"/>
              <w:bidi w:val="0"/>
              <w:adjustRightInd w:val="0"/>
              <w:snapToGrid w:val="0"/>
              <w:spacing w:before="167" w:line="380" w:lineRule="auto"/>
              <w:ind w:left="130" w:right="279" w:firstLine="18"/>
              <w:textAlignment w:val="baseline"/>
              <w:outlineLvl w:val="9"/>
              <w:rPr>
                <w:b w:val="0"/>
                <w:bCs w:val="0"/>
                <w:sz w:val="28"/>
                <w:szCs w:val="28"/>
                <w:highlight w:val="none"/>
              </w:rPr>
            </w:pPr>
            <w:r>
              <w:rPr>
                <w:rFonts w:hint="eastAsia" w:ascii="MS Gothic" w:hAnsi="MS Gothic" w:cs="MS Gothic"/>
                <w:b/>
                <w:bCs/>
                <w:spacing w:val="-8"/>
                <w:sz w:val="28"/>
                <w:szCs w:val="28"/>
                <w:highlight w:val="none"/>
                <w:lang w:eastAsia="zh-CN"/>
              </w:rPr>
              <w:t>□</w:t>
            </w:r>
            <w:r>
              <w:rPr>
                <w:b w:val="0"/>
                <w:bCs w:val="0"/>
                <w:spacing w:val="-8"/>
                <w:sz w:val="28"/>
                <w:szCs w:val="28"/>
                <w:highlight w:val="none"/>
              </w:rPr>
              <w:t>本项目对符合规定的</w:t>
            </w:r>
            <w:r>
              <w:rPr>
                <w:rFonts w:hint="eastAsia"/>
                <w:b w:val="0"/>
                <w:bCs w:val="0"/>
                <w:spacing w:val="-8"/>
                <w:sz w:val="28"/>
                <w:szCs w:val="28"/>
                <w:highlight w:val="none"/>
                <w:lang w:val="en-US" w:eastAsia="zh-CN"/>
              </w:rPr>
              <w:t>中小</w:t>
            </w:r>
            <w:r>
              <w:rPr>
                <w:b w:val="0"/>
                <w:bCs w:val="0"/>
                <w:spacing w:val="-8"/>
                <w:sz w:val="28"/>
                <w:szCs w:val="28"/>
                <w:highlight w:val="none"/>
              </w:rPr>
              <w:t>企业报价给予扣除</w:t>
            </w:r>
            <w:r>
              <w:rPr>
                <w:rFonts w:hint="eastAsia"/>
                <w:b w:val="0"/>
                <w:bCs w:val="0"/>
                <w:spacing w:val="-8"/>
                <w:sz w:val="28"/>
                <w:szCs w:val="28"/>
                <w:highlight w:val="none"/>
                <w:lang w:val="en-US" w:eastAsia="zh-CN"/>
              </w:rPr>
              <w:t>5</w:t>
            </w:r>
            <w:r>
              <w:rPr>
                <w:b w:val="0"/>
                <w:bCs w:val="0"/>
                <w:spacing w:val="-8"/>
                <w:sz w:val="28"/>
                <w:szCs w:val="28"/>
                <w:highlight w:val="none"/>
              </w:rPr>
              <w:t>%，</w:t>
            </w:r>
            <w:r>
              <w:rPr>
                <w:b w:val="0"/>
                <w:bCs w:val="0"/>
                <w:spacing w:val="-5"/>
                <w:sz w:val="28"/>
                <w:szCs w:val="28"/>
                <w:highlight w:val="none"/>
              </w:rPr>
              <w:t>用扣除后的价格参加评审</w:t>
            </w:r>
          </w:p>
          <w:p w14:paraId="10DC98C8">
            <w:pPr>
              <w:pStyle w:val="11"/>
              <w:keepNext w:val="0"/>
              <w:keepLines w:val="0"/>
              <w:pageBreakBefore w:val="0"/>
              <w:widowControl w:val="0"/>
              <w:kinsoku w:val="0"/>
              <w:wordWrap/>
              <w:overflowPunct/>
              <w:topLinePunct w:val="0"/>
              <w:autoSpaceDE w:val="0"/>
              <w:autoSpaceDN w:val="0"/>
              <w:bidi w:val="0"/>
              <w:adjustRightInd w:val="0"/>
              <w:snapToGrid w:val="0"/>
              <w:spacing w:before="1" w:line="217" w:lineRule="auto"/>
              <w:ind w:left="158"/>
              <w:textAlignment w:val="baseline"/>
              <w:outlineLvl w:val="9"/>
              <w:rPr>
                <w:highlight w:val="none"/>
              </w:rPr>
            </w:pPr>
            <w:r>
              <w:rPr>
                <w:spacing w:val="-4"/>
                <w:highlight w:val="none"/>
              </w:rPr>
              <w:t>1、中小企业报价的价格扣除</w:t>
            </w:r>
          </w:p>
          <w:p w14:paraId="625948DD">
            <w:pPr>
              <w:pStyle w:val="11"/>
              <w:keepNext w:val="0"/>
              <w:keepLines w:val="0"/>
              <w:pageBreakBefore w:val="0"/>
              <w:widowControl w:val="0"/>
              <w:kinsoku w:val="0"/>
              <w:wordWrap/>
              <w:overflowPunct/>
              <w:topLinePunct w:val="0"/>
              <w:autoSpaceDE w:val="0"/>
              <w:autoSpaceDN w:val="0"/>
              <w:bidi w:val="0"/>
              <w:adjustRightInd w:val="0"/>
              <w:snapToGrid w:val="0"/>
              <w:spacing w:before="120" w:line="245" w:lineRule="auto"/>
              <w:ind w:left="162" w:right="108" w:hanging="17"/>
              <w:textAlignment w:val="baseline"/>
              <w:outlineLvl w:val="9"/>
              <w:rPr>
                <w:highlight w:val="none"/>
              </w:rPr>
            </w:pPr>
            <w:r>
              <w:rPr>
                <w:spacing w:val="-4"/>
                <w:highlight w:val="none"/>
              </w:rPr>
              <w:t>（1）本项目对中小企业报价的价格给予10%的扣除，用扣除后</w:t>
            </w:r>
            <w:r>
              <w:rPr>
                <w:spacing w:val="-7"/>
                <w:highlight w:val="none"/>
              </w:rPr>
              <w:t>的价格参与评审。</w:t>
            </w:r>
          </w:p>
          <w:p w14:paraId="199A8D59">
            <w:pPr>
              <w:pStyle w:val="11"/>
              <w:keepNext w:val="0"/>
              <w:keepLines w:val="0"/>
              <w:pageBreakBefore w:val="0"/>
              <w:widowControl w:val="0"/>
              <w:kinsoku w:val="0"/>
              <w:wordWrap/>
              <w:overflowPunct/>
              <w:topLinePunct w:val="0"/>
              <w:autoSpaceDE w:val="0"/>
              <w:autoSpaceDN w:val="0"/>
              <w:bidi w:val="0"/>
              <w:adjustRightInd w:val="0"/>
              <w:snapToGrid w:val="0"/>
              <w:spacing w:before="93" w:line="245" w:lineRule="auto"/>
              <w:ind w:left="129" w:right="138" w:firstLine="15"/>
              <w:textAlignment w:val="baseline"/>
              <w:outlineLvl w:val="9"/>
              <w:rPr>
                <w:highlight w:val="none"/>
              </w:rPr>
            </w:pPr>
            <w:r>
              <w:rPr>
                <w:spacing w:val="-5"/>
                <w:highlight w:val="none"/>
              </w:rPr>
              <w:t>（2）供应商需按照采购文件的要求提供《中小企业声明函》，详见第六章“投标文件格式”附件八。</w:t>
            </w:r>
          </w:p>
          <w:p w14:paraId="7E22D2C0">
            <w:pPr>
              <w:pStyle w:val="11"/>
              <w:keepNext w:val="0"/>
              <w:keepLines w:val="0"/>
              <w:pageBreakBefore w:val="0"/>
              <w:widowControl w:val="0"/>
              <w:kinsoku w:val="0"/>
              <w:wordWrap/>
              <w:overflowPunct/>
              <w:topLinePunct w:val="0"/>
              <w:autoSpaceDE w:val="0"/>
              <w:autoSpaceDN w:val="0"/>
              <w:bidi w:val="0"/>
              <w:adjustRightInd w:val="0"/>
              <w:snapToGrid w:val="0"/>
              <w:spacing w:before="93" w:line="246" w:lineRule="auto"/>
              <w:ind w:left="128" w:right="2" w:firstLine="16"/>
              <w:textAlignment w:val="baseline"/>
              <w:outlineLvl w:val="9"/>
              <w:rPr>
                <w:highlight w:val="none"/>
              </w:rPr>
            </w:pPr>
            <w:r>
              <w:rPr>
                <w:spacing w:val="-15"/>
                <w:highlight w:val="none"/>
              </w:rPr>
              <w:t>（3）企业标准请参照《统计上大中小微型企业划分办法（2017）》</w:t>
            </w:r>
            <w:r>
              <w:rPr>
                <w:spacing w:val="-3"/>
                <w:highlight w:val="none"/>
              </w:rPr>
              <w:t>文件规定自行填写。</w:t>
            </w:r>
          </w:p>
          <w:p w14:paraId="37B91590">
            <w:pPr>
              <w:pStyle w:val="11"/>
              <w:keepNext w:val="0"/>
              <w:keepLines w:val="0"/>
              <w:pageBreakBefore w:val="0"/>
              <w:widowControl w:val="0"/>
              <w:kinsoku w:val="0"/>
              <w:wordWrap/>
              <w:overflowPunct/>
              <w:topLinePunct w:val="0"/>
              <w:autoSpaceDE w:val="0"/>
              <w:autoSpaceDN w:val="0"/>
              <w:bidi w:val="0"/>
              <w:adjustRightInd w:val="0"/>
              <w:snapToGrid w:val="0"/>
              <w:spacing w:before="67" w:line="218" w:lineRule="auto"/>
              <w:ind w:left="129"/>
              <w:textAlignment w:val="baseline"/>
              <w:outlineLvl w:val="9"/>
              <w:rPr>
                <w:highlight w:val="none"/>
              </w:rPr>
            </w:pPr>
            <w:r>
              <w:rPr>
                <w:spacing w:val="-1"/>
                <w:highlight w:val="none"/>
              </w:rPr>
              <w:t>2、残疾人福利性单位报价的价格扣除</w:t>
            </w:r>
          </w:p>
          <w:p w14:paraId="54C9B257">
            <w:pPr>
              <w:pStyle w:val="11"/>
              <w:keepNext w:val="0"/>
              <w:keepLines w:val="0"/>
              <w:pageBreakBefore w:val="0"/>
              <w:widowControl w:val="0"/>
              <w:kinsoku w:val="0"/>
              <w:wordWrap/>
              <w:overflowPunct/>
              <w:topLinePunct w:val="0"/>
              <w:autoSpaceDE w:val="0"/>
              <w:autoSpaceDN w:val="0"/>
              <w:bidi w:val="0"/>
              <w:adjustRightInd w:val="0"/>
              <w:snapToGrid w:val="0"/>
              <w:spacing w:before="60" w:line="219" w:lineRule="auto"/>
              <w:ind w:left="158" w:right="110" w:hanging="6"/>
              <w:textAlignment w:val="baseline"/>
              <w:outlineLvl w:val="9"/>
              <w:rPr>
                <w:highlight w:val="none"/>
              </w:rPr>
            </w:pPr>
            <w:r>
              <w:rPr>
                <w:spacing w:val="4"/>
                <w:highlight w:val="none"/>
              </w:rPr>
              <w:t>（1）本项目对残疾人福利性单位视同小型、微型企业，给予</w:t>
            </w:r>
            <w:r>
              <w:rPr>
                <w:spacing w:val="-3"/>
                <w:highlight w:val="none"/>
              </w:rPr>
              <w:t>10%的价格扣除，用扣除后的价格参与评审。</w:t>
            </w:r>
          </w:p>
          <w:p w14:paraId="61322C7C">
            <w:pPr>
              <w:pStyle w:val="11"/>
              <w:keepNext w:val="0"/>
              <w:keepLines w:val="0"/>
              <w:pageBreakBefore w:val="0"/>
              <w:widowControl w:val="0"/>
              <w:kinsoku w:val="0"/>
              <w:wordWrap/>
              <w:overflowPunct/>
              <w:topLinePunct w:val="0"/>
              <w:autoSpaceDE w:val="0"/>
              <w:autoSpaceDN w:val="0"/>
              <w:bidi w:val="0"/>
              <w:adjustRightInd w:val="0"/>
              <w:snapToGrid w:val="0"/>
              <w:spacing w:before="116" w:line="246" w:lineRule="auto"/>
              <w:ind w:left="125" w:right="106" w:firstLine="20"/>
              <w:textAlignment w:val="baseline"/>
              <w:outlineLvl w:val="9"/>
              <w:rPr>
                <w:highlight w:val="none"/>
              </w:rPr>
            </w:pPr>
            <w:r>
              <w:rPr>
                <w:spacing w:val="-4"/>
                <w:highlight w:val="none"/>
              </w:rPr>
              <w:t>（2）残疾人福利性单位需按照采购文件的要求提供《残疾人福</w:t>
            </w:r>
            <w:r>
              <w:rPr>
                <w:spacing w:val="-2"/>
                <w:highlight w:val="none"/>
              </w:rPr>
              <w:t>利性单位声明函》。</w:t>
            </w:r>
          </w:p>
          <w:p w14:paraId="6C7719C6">
            <w:pPr>
              <w:pStyle w:val="11"/>
              <w:keepNext w:val="0"/>
              <w:keepLines w:val="0"/>
              <w:pageBreakBefore w:val="0"/>
              <w:widowControl w:val="0"/>
              <w:kinsoku w:val="0"/>
              <w:wordWrap/>
              <w:overflowPunct/>
              <w:topLinePunct w:val="0"/>
              <w:autoSpaceDE w:val="0"/>
              <w:autoSpaceDN w:val="0"/>
              <w:bidi w:val="0"/>
              <w:adjustRightInd w:val="0"/>
              <w:snapToGrid w:val="0"/>
              <w:spacing w:before="88" w:line="226" w:lineRule="auto"/>
              <w:ind w:left="120" w:right="108" w:firstLine="24"/>
              <w:textAlignment w:val="baseline"/>
              <w:outlineLvl w:val="9"/>
              <w:rPr>
                <w:spacing w:val="-4"/>
                <w:highlight w:val="none"/>
              </w:rPr>
            </w:pPr>
            <w:r>
              <w:rPr>
                <w:spacing w:val="-4"/>
                <w:highlight w:val="none"/>
              </w:rPr>
              <w:t>（3）残疾人福利性单位标准请参照《关于促进残疾人就业政府</w:t>
            </w:r>
            <w:r>
              <w:rPr>
                <w:spacing w:val="-3"/>
                <w:highlight w:val="none"/>
              </w:rPr>
              <w:t>采购政策的通知》（财库〔2017〕141号）。</w:t>
            </w:r>
          </w:p>
          <w:p w14:paraId="04C84CED">
            <w:pPr>
              <w:pStyle w:val="11"/>
              <w:keepNext w:val="0"/>
              <w:keepLines w:val="0"/>
              <w:pageBreakBefore w:val="0"/>
              <w:widowControl w:val="0"/>
              <w:kinsoku w:val="0"/>
              <w:wordWrap/>
              <w:overflowPunct/>
              <w:topLinePunct w:val="0"/>
              <w:autoSpaceDE w:val="0"/>
              <w:autoSpaceDN w:val="0"/>
              <w:bidi w:val="0"/>
              <w:adjustRightInd w:val="0"/>
              <w:snapToGrid w:val="0"/>
              <w:spacing w:before="111" w:line="218" w:lineRule="auto"/>
              <w:ind w:left="131"/>
              <w:textAlignment w:val="baseline"/>
              <w:outlineLvl w:val="9"/>
              <w:rPr>
                <w:highlight w:val="none"/>
              </w:rPr>
            </w:pPr>
            <w:r>
              <w:rPr>
                <w:spacing w:val="-1"/>
                <w:highlight w:val="none"/>
              </w:rPr>
              <w:t>3、监狱和戒毒企业报价的价格扣除</w:t>
            </w:r>
          </w:p>
          <w:p w14:paraId="3F0EFDC8">
            <w:pPr>
              <w:pStyle w:val="11"/>
              <w:keepNext w:val="0"/>
              <w:keepLines w:val="0"/>
              <w:pageBreakBefore w:val="0"/>
              <w:widowControl w:val="0"/>
              <w:kinsoku w:val="0"/>
              <w:wordWrap/>
              <w:overflowPunct/>
              <w:topLinePunct w:val="0"/>
              <w:autoSpaceDE w:val="0"/>
              <w:autoSpaceDN w:val="0"/>
              <w:bidi w:val="0"/>
              <w:adjustRightInd w:val="0"/>
              <w:snapToGrid w:val="0"/>
              <w:spacing w:before="117" w:line="245" w:lineRule="auto"/>
              <w:ind w:left="138" w:right="106" w:firstLine="6"/>
              <w:textAlignment w:val="baseline"/>
              <w:outlineLvl w:val="9"/>
              <w:rPr>
                <w:highlight w:val="none"/>
              </w:rPr>
            </w:pPr>
            <w:r>
              <w:rPr>
                <w:spacing w:val="-4"/>
                <w:highlight w:val="none"/>
              </w:rPr>
              <w:t>（1）本项目对监狱和戒毒企业（简称监狱企业）视同小型、微</w:t>
            </w:r>
            <w:r>
              <w:rPr>
                <w:spacing w:val="-2"/>
                <w:highlight w:val="none"/>
              </w:rPr>
              <w:t>型企业，给予10%的价格扣除，用扣除后</w:t>
            </w:r>
            <w:r>
              <w:rPr>
                <w:spacing w:val="-3"/>
                <w:highlight w:val="none"/>
              </w:rPr>
              <w:t>的价格参与评审。</w:t>
            </w:r>
          </w:p>
          <w:p w14:paraId="57B72715">
            <w:pPr>
              <w:pStyle w:val="11"/>
              <w:keepNext w:val="0"/>
              <w:keepLines w:val="0"/>
              <w:pageBreakBefore w:val="0"/>
              <w:widowControl w:val="0"/>
              <w:kinsoku w:val="0"/>
              <w:wordWrap/>
              <w:overflowPunct/>
              <w:topLinePunct w:val="0"/>
              <w:autoSpaceDE w:val="0"/>
              <w:autoSpaceDN w:val="0"/>
              <w:bidi w:val="0"/>
              <w:adjustRightInd w:val="0"/>
              <w:snapToGrid w:val="0"/>
              <w:spacing w:before="92" w:line="257" w:lineRule="auto"/>
              <w:ind w:left="129" w:right="108" w:firstLine="15"/>
              <w:textAlignment w:val="baseline"/>
              <w:outlineLvl w:val="9"/>
              <w:rPr>
                <w:highlight w:val="none"/>
              </w:rPr>
            </w:pPr>
            <w:r>
              <w:rPr>
                <w:spacing w:val="-4"/>
                <w:highlight w:val="none"/>
              </w:rPr>
              <w:t>（2）监狱企业参加政府采购活动时，需提供由省级以上监狱管</w:t>
            </w:r>
            <w:r>
              <w:rPr>
                <w:highlight w:val="none"/>
              </w:rPr>
              <w:t>理局、戒毒管理局(含新疆生产建设兵团)出具的属于监狱企业</w:t>
            </w:r>
            <w:r>
              <w:rPr>
                <w:spacing w:val="1"/>
                <w:highlight w:val="none"/>
              </w:rPr>
              <w:t>的证明文件。供应商如不提供上述证明文件，价格将不做相应</w:t>
            </w:r>
            <w:r>
              <w:rPr>
                <w:spacing w:val="-6"/>
                <w:highlight w:val="none"/>
              </w:rPr>
              <w:t>扣除。</w:t>
            </w:r>
          </w:p>
          <w:p w14:paraId="5EC7F1B9">
            <w:pPr>
              <w:pStyle w:val="11"/>
              <w:keepNext w:val="0"/>
              <w:keepLines w:val="0"/>
              <w:pageBreakBefore w:val="0"/>
              <w:widowControl w:val="0"/>
              <w:kinsoku w:val="0"/>
              <w:wordWrap/>
              <w:overflowPunct/>
              <w:topLinePunct w:val="0"/>
              <w:autoSpaceDE w:val="0"/>
              <w:autoSpaceDN w:val="0"/>
              <w:bidi w:val="0"/>
              <w:adjustRightInd w:val="0"/>
              <w:snapToGrid w:val="0"/>
              <w:spacing w:before="93" w:line="246" w:lineRule="auto"/>
              <w:ind w:left="130" w:right="108" w:firstLine="14"/>
              <w:textAlignment w:val="baseline"/>
              <w:outlineLvl w:val="9"/>
              <w:rPr>
                <w:highlight w:val="none"/>
              </w:rPr>
            </w:pPr>
            <w:r>
              <w:rPr>
                <w:spacing w:val="-4"/>
                <w:highlight w:val="none"/>
              </w:rPr>
              <w:t>（3）监狱企业标准请参照《关于政府采购支持监狱企业发展有</w:t>
            </w:r>
            <w:r>
              <w:rPr>
                <w:spacing w:val="-3"/>
                <w:highlight w:val="none"/>
              </w:rPr>
              <w:t>关问题的通知》（财库[</w:t>
            </w:r>
            <w:r>
              <w:rPr>
                <w:highlight w:val="none"/>
              </w:rPr>
              <w:fldChar w:fldCharType="begin"/>
            </w:r>
            <w:r>
              <w:rPr>
                <w:highlight w:val="none"/>
              </w:rPr>
              <w:instrText xml:space="preserve"> HYPERLINK \l "bookmark17" </w:instrText>
            </w:r>
            <w:r>
              <w:rPr>
                <w:highlight w:val="none"/>
              </w:rPr>
              <w:fldChar w:fldCharType="separate"/>
            </w:r>
            <w:r>
              <w:rPr>
                <w:spacing w:val="-3"/>
                <w:highlight w:val="none"/>
              </w:rPr>
              <w:t>2014</w:t>
            </w:r>
            <w:r>
              <w:rPr>
                <w:spacing w:val="-3"/>
                <w:highlight w:val="none"/>
              </w:rPr>
              <w:fldChar w:fldCharType="end"/>
            </w:r>
            <w:r>
              <w:rPr>
                <w:spacing w:val="-3"/>
                <w:highlight w:val="none"/>
              </w:rPr>
              <w:t>]68号）。</w:t>
            </w:r>
          </w:p>
          <w:p w14:paraId="5B2CE695">
            <w:pPr>
              <w:pStyle w:val="11"/>
              <w:keepNext w:val="0"/>
              <w:keepLines w:val="0"/>
              <w:pageBreakBefore w:val="0"/>
              <w:widowControl w:val="0"/>
              <w:kinsoku w:val="0"/>
              <w:wordWrap/>
              <w:overflowPunct/>
              <w:topLinePunct w:val="0"/>
              <w:autoSpaceDE w:val="0"/>
              <w:autoSpaceDN w:val="0"/>
              <w:bidi w:val="0"/>
              <w:adjustRightInd w:val="0"/>
              <w:snapToGrid w:val="0"/>
              <w:spacing w:before="90" w:line="246" w:lineRule="auto"/>
              <w:ind w:left="124" w:right="120" w:hanging="4"/>
              <w:textAlignment w:val="baseline"/>
              <w:outlineLvl w:val="9"/>
              <w:rPr>
                <w:highlight w:val="none"/>
              </w:rPr>
            </w:pPr>
            <w:r>
              <w:rPr>
                <w:spacing w:val="-3"/>
                <w:highlight w:val="none"/>
              </w:rPr>
              <w:t>4、残疾人福利单位、监狱企业属于小型、微</w:t>
            </w:r>
            <w:r>
              <w:rPr>
                <w:spacing w:val="-4"/>
                <w:highlight w:val="none"/>
              </w:rPr>
              <w:t>型企业的，不重复享受政策。</w:t>
            </w:r>
          </w:p>
          <w:p w14:paraId="4D566A16">
            <w:pPr>
              <w:pStyle w:val="11"/>
              <w:keepNext w:val="0"/>
              <w:keepLines w:val="0"/>
              <w:pageBreakBefore w:val="0"/>
              <w:widowControl w:val="0"/>
              <w:kinsoku w:val="0"/>
              <w:wordWrap/>
              <w:overflowPunct/>
              <w:topLinePunct w:val="0"/>
              <w:autoSpaceDE w:val="0"/>
              <w:autoSpaceDN w:val="0"/>
              <w:bidi w:val="0"/>
              <w:adjustRightInd w:val="0"/>
              <w:snapToGrid w:val="0"/>
              <w:spacing w:before="89" w:line="262" w:lineRule="auto"/>
              <w:ind w:left="120" w:right="64" w:firstLine="10"/>
              <w:textAlignment w:val="baseline"/>
              <w:outlineLvl w:val="9"/>
              <w:rPr>
                <w:highlight w:val="none"/>
              </w:rPr>
            </w:pPr>
            <w:r>
              <w:rPr>
                <w:spacing w:val="-4"/>
                <w:highlight w:val="none"/>
              </w:rPr>
              <w:t>5、大中型企业和其他自然人、法人或者其他组织与小型、微型</w:t>
            </w:r>
            <w:r>
              <w:rPr>
                <w:spacing w:val="1"/>
                <w:highlight w:val="none"/>
              </w:rPr>
              <w:t>企业（残疾人福利单位、监狱企业）组成联合体共同参加政府采购活动。联合协议中约定，小型、微型企业（残疾人福利单</w:t>
            </w:r>
            <w:r>
              <w:rPr>
                <w:spacing w:val="-6"/>
                <w:highlight w:val="none"/>
              </w:rPr>
              <w:t>位、监狱企业）的协议合同金额占到联合体协议合同总金额30%</w:t>
            </w:r>
            <w:r>
              <w:rPr>
                <w:spacing w:val="-9"/>
                <w:highlight w:val="none"/>
              </w:rPr>
              <w:t>以上的，给予联合体2%的价格扣除，用扣除后的价格</w:t>
            </w:r>
            <w:r>
              <w:rPr>
                <w:spacing w:val="-10"/>
                <w:highlight w:val="none"/>
              </w:rPr>
              <w:t>参与评审。</w:t>
            </w:r>
            <w:r>
              <w:rPr>
                <w:spacing w:val="1"/>
                <w:highlight w:val="none"/>
              </w:rPr>
              <w:t>（注意：组成联合体的中小企业与联合体内其他企业之间不得</w:t>
            </w:r>
            <w:r>
              <w:rPr>
                <w:spacing w:val="-1"/>
                <w:highlight w:val="none"/>
              </w:rPr>
              <w:t>存在直接控股、管理关系）</w:t>
            </w:r>
          </w:p>
          <w:p w14:paraId="6392887D">
            <w:pPr>
              <w:pStyle w:val="11"/>
              <w:keepNext w:val="0"/>
              <w:keepLines w:val="0"/>
              <w:pageBreakBefore w:val="0"/>
              <w:widowControl w:val="0"/>
              <w:kinsoku w:val="0"/>
              <w:wordWrap/>
              <w:overflowPunct/>
              <w:topLinePunct w:val="0"/>
              <w:autoSpaceDE w:val="0"/>
              <w:autoSpaceDN w:val="0"/>
              <w:bidi w:val="0"/>
              <w:adjustRightInd w:val="0"/>
              <w:snapToGrid w:val="0"/>
              <w:spacing w:before="73" w:line="208" w:lineRule="auto"/>
              <w:ind w:left="132" w:right="108" w:firstLine="2"/>
              <w:textAlignment w:val="baseline"/>
              <w:outlineLvl w:val="9"/>
              <w:rPr>
                <w:highlight w:val="none"/>
              </w:rPr>
            </w:pPr>
            <w:r>
              <w:rPr>
                <w:spacing w:val="-4"/>
                <w:highlight w:val="none"/>
              </w:rPr>
              <w:t>6、联合体各方均为小型、微型企业（残疾人福利单位、监狱企</w:t>
            </w:r>
            <w:r>
              <w:rPr>
                <w:spacing w:val="-3"/>
                <w:highlight w:val="none"/>
              </w:rPr>
              <w:t>业）的，联合体享受3%价格扣除，用扣除后的价格参与评审。</w:t>
            </w:r>
          </w:p>
        </w:tc>
      </w:tr>
      <w:tr w14:paraId="2EA92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gridAfter w:val="1"/>
          <w:wBefore w:w="2" w:type="dxa"/>
          <w:wAfter w:w="6" w:type="dxa"/>
          <w:trHeight w:val="5031" w:hRule="atLeast"/>
        </w:trPr>
        <w:tc>
          <w:tcPr>
            <w:tcW w:w="735" w:type="dxa"/>
            <w:vMerge w:val="restart"/>
            <w:vAlign w:val="top"/>
          </w:tcPr>
          <w:p w14:paraId="7EA975D7">
            <w:pPr>
              <w:keepNext w:val="0"/>
              <w:keepLines w:val="0"/>
              <w:pageBreakBefore w:val="0"/>
              <w:widowControl w:val="0"/>
              <w:kinsoku w:val="0"/>
              <w:wordWrap/>
              <w:overflowPunct/>
              <w:topLinePunct w:val="0"/>
              <w:autoSpaceDE w:val="0"/>
              <w:autoSpaceDN w:val="0"/>
              <w:bidi w:val="0"/>
              <w:adjustRightInd w:val="0"/>
              <w:snapToGrid w:val="0"/>
              <w:spacing w:line="259" w:lineRule="auto"/>
              <w:textAlignment w:val="baseline"/>
              <w:outlineLvl w:val="9"/>
              <w:rPr>
                <w:rFonts w:ascii="Arial"/>
                <w:sz w:val="21"/>
                <w:highlight w:val="none"/>
              </w:rPr>
            </w:pPr>
          </w:p>
          <w:p w14:paraId="646517AF">
            <w:pPr>
              <w:keepNext w:val="0"/>
              <w:keepLines w:val="0"/>
              <w:pageBreakBefore w:val="0"/>
              <w:widowControl w:val="0"/>
              <w:kinsoku w:val="0"/>
              <w:wordWrap/>
              <w:overflowPunct/>
              <w:topLinePunct w:val="0"/>
              <w:autoSpaceDE w:val="0"/>
              <w:autoSpaceDN w:val="0"/>
              <w:bidi w:val="0"/>
              <w:adjustRightInd w:val="0"/>
              <w:snapToGrid w:val="0"/>
              <w:spacing w:line="260" w:lineRule="auto"/>
              <w:textAlignment w:val="baseline"/>
              <w:outlineLvl w:val="9"/>
              <w:rPr>
                <w:rFonts w:ascii="Arial"/>
                <w:sz w:val="21"/>
                <w:highlight w:val="none"/>
              </w:rPr>
            </w:pPr>
          </w:p>
          <w:p w14:paraId="711D875B">
            <w:pPr>
              <w:keepNext w:val="0"/>
              <w:keepLines w:val="0"/>
              <w:pageBreakBefore w:val="0"/>
              <w:widowControl w:val="0"/>
              <w:kinsoku w:val="0"/>
              <w:wordWrap/>
              <w:overflowPunct/>
              <w:topLinePunct w:val="0"/>
              <w:autoSpaceDE w:val="0"/>
              <w:autoSpaceDN w:val="0"/>
              <w:bidi w:val="0"/>
              <w:adjustRightInd w:val="0"/>
              <w:snapToGrid w:val="0"/>
              <w:spacing w:line="260" w:lineRule="auto"/>
              <w:textAlignment w:val="baseline"/>
              <w:outlineLvl w:val="9"/>
              <w:rPr>
                <w:rFonts w:ascii="Arial"/>
                <w:sz w:val="21"/>
                <w:highlight w:val="none"/>
              </w:rPr>
            </w:pPr>
          </w:p>
          <w:p w14:paraId="39143AD2">
            <w:pPr>
              <w:keepNext w:val="0"/>
              <w:keepLines w:val="0"/>
              <w:pageBreakBefore w:val="0"/>
              <w:widowControl w:val="0"/>
              <w:kinsoku w:val="0"/>
              <w:wordWrap/>
              <w:overflowPunct/>
              <w:topLinePunct w:val="0"/>
              <w:autoSpaceDE w:val="0"/>
              <w:autoSpaceDN w:val="0"/>
              <w:bidi w:val="0"/>
              <w:adjustRightInd w:val="0"/>
              <w:snapToGrid w:val="0"/>
              <w:spacing w:line="260" w:lineRule="auto"/>
              <w:textAlignment w:val="baseline"/>
              <w:outlineLvl w:val="9"/>
              <w:rPr>
                <w:rFonts w:ascii="Arial"/>
                <w:sz w:val="21"/>
                <w:highlight w:val="none"/>
              </w:rPr>
            </w:pPr>
          </w:p>
          <w:p w14:paraId="592E2717">
            <w:pPr>
              <w:keepNext w:val="0"/>
              <w:keepLines w:val="0"/>
              <w:pageBreakBefore w:val="0"/>
              <w:widowControl w:val="0"/>
              <w:kinsoku w:val="0"/>
              <w:wordWrap/>
              <w:overflowPunct/>
              <w:topLinePunct w:val="0"/>
              <w:autoSpaceDE w:val="0"/>
              <w:autoSpaceDN w:val="0"/>
              <w:bidi w:val="0"/>
              <w:adjustRightInd w:val="0"/>
              <w:snapToGrid w:val="0"/>
              <w:spacing w:line="260" w:lineRule="auto"/>
              <w:textAlignment w:val="baseline"/>
              <w:outlineLvl w:val="9"/>
              <w:rPr>
                <w:rFonts w:ascii="Arial"/>
                <w:sz w:val="21"/>
                <w:highlight w:val="none"/>
              </w:rPr>
            </w:pPr>
          </w:p>
          <w:p w14:paraId="68A7B2EF">
            <w:pPr>
              <w:keepNext w:val="0"/>
              <w:keepLines w:val="0"/>
              <w:pageBreakBefore w:val="0"/>
              <w:widowControl w:val="0"/>
              <w:kinsoku w:val="0"/>
              <w:wordWrap/>
              <w:overflowPunct/>
              <w:topLinePunct w:val="0"/>
              <w:autoSpaceDE w:val="0"/>
              <w:autoSpaceDN w:val="0"/>
              <w:bidi w:val="0"/>
              <w:adjustRightInd w:val="0"/>
              <w:snapToGrid w:val="0"/>
              <w:spacing w:line="260" w:lineRule="auto"/>
              <w:textAlignment w:val="baseline"/>
              <w:outlineLvl w:val="9"/>
              <w:rPr>
                <w:rFonts w:ascii="Arial"/>
                <w:sz w:val="21"/>
                <w:highlight w:val="none"/>
              </w:rPr>
            </w:pPr>
          </w:p>
          <w:p w14:paraId="197C9108">
            <w:pPr>
              <w:keepNext w:val="0"/>
              <w:keepLines w:val="0"/>
              <w:pageBreakBefore w:val="0"/>
              <w:widowControl w:val="0"/>
              <w:kinsoku w:val="0"/>
              <w:wordWrap/>
              <w:overflowPunct/>
              <w:topLinePunct w:val="0"/>
              <w:autoSpaceDE w:val="0"/>
              <w:autoSpaceDN w:val="0"/>
              <w:bidi w:val="0"/>
              <w:adjustRightInd w:val="0"/>
              <w:snapToGrid w:val="0"/>
              <w:spacing w:line="260" w:lineRule="auto"/>
              <w:textAlignment w:val="baseline"/>
              <w:outlineLvl w:val="9"/>
              <w:rPr>
                <w:rFonts w:ascii="Arial"/>
                <w:sz w:val="21"/>
                <w:highlight w:val="none"/>
              </w:rPr>
            </w:pPr>
          </w:p>
          <w:p w14:paraId="236FB971">
            <w:pPr>
              <w:keepNext w:val="0"/>
              <w:keepLines w:val="0"/>
              <w:pageBreakBefore w:val="0"/>
              <w:widowControl w:val="0"/>
              <w:kinsoku w:val="0"/>
              <w:wordWrap/>
              <w:overflowPunct/>
              <w:topLinePunct w:val="0"/>
              <w:autoSpaceDE w:val="0"/>
              <w:autoSpaceDN w:val="0"/>
              <w:bidi w:val="0"/>
              <w:adjustRightInd w:val="0"/>
              <w:snapToGrid w:val="0"/>
              <w:spacing w:line="260" w:lineRule="auto"/>
              <w:textAlignment w:val="baseline"/>
              <w:outlineLvl w:val="9"/>
              <w:rPr>
                <w:rFonts w:ascii="Arial"/>
                <w:sz w:val="21"/>
                <w:highlight w:val="none"/>
              </w:rPr>
            </w:pPr>
          </w:p>
          <w:p w14:paraId="57BFAC38">
            <w:pPr>
              <w:keepNext w:val="0"/>
              <w:keepLines w:val="0"/>
              <w:pageBreakBefore w:val="0"/>
              <w:widowControl w:val="0"/>
              <w:kinsoku w:val="0"/>
              <w:wordWrap/>
              <w:overflowPunct/>
              <w:topLinePunct w:val="0"/>
              <w:autoSpaceDE w:val="0"/>
              <w:autoSpaceDN w:val="0"/>
              <w:bidi w:val="0"/>
              <w:adjustRightInd w:val="0"/>
              <w:snapToGrid w:val="0"/>
              <w:spacing w:line="260" w:lineRule="auto"/>
              <w:textAlignment w:val="baseline"/>
              <w:outlineLvl w:val="9"/>
              <w:rPr>
                <w:rFonts w:ascii="Arial"/>
                <w:sz w:val="21"/>
                <w:highlight w:val="none"/>
              </w:rPr>
            </w:pPr>
          </w:p>
          <w:p w14:paraId="6FCC42F6">
            <w:pPr>
              <w:pStyle w:val="11"/>
              <w:keepNext w:val="0"/>
              <w:keepLines w:val="0"/>
              <w:pageBreakBefore w:val="0"/>
              <w:widowControl w:val="0"/>
              <w:kinsoku w:val="0"/>
              <w:wordWrap/>
              <w:overflowPunct/>
              <w:topLinePunct w:val="0"/>
              <w:autoSpaceDE w:val="0"/>
              <w:autoSpaceDN w:val="0"/>
              <w:bidi w:val="0"/>
              <w:adjustRightInd w:val="0"/>
              <w:snapToGrid w:val="0"/>
              <w:spacing w:before="78" w:line="241" w:lineRule="auto"/>
              <w:ind w:left="258"/>
              <w:textAlignment w:val="baseline"/>
              <w:outlineLvl w:val="9"/>
              <w:rPr>
                <w:rFonts w:hint="eastAsia" w:eastAsia="宋体"/>
                <w:highlight w:val="none"/>
                <w:lang w:val="en-US" w:eastAsia="zh-CN"/>
              </w:rPr>
            </w:pPr>
            <w:r>
              <w:rPr>
                <w:b/>
                <w:bCs/>
                <w:spacing w:val="-7"/>
                <w:highlight w:val="none"/>
              </w:rPr>
              <w:t>4</w:t>
            </w:r>
            <w:r>
              <w:rPr>
                <w:rFonts w:hint="eastAsia"/>
                <w:b/>
                <w:bCs/>
                <w:spacing w:val="-7"/>
                <w:highlight w:val="none"/>
                <w:lang w:val="en-US" w:eastAsia="zh-CN"/>
              </w:rPr>
              <w:t>5</w:t>
            </w:r>
          </w:p>
        </w:tc>
        <w:tc>
          <w:tcPr>
            <w:tcW w:w="2439" w:type="dxa"/>
            <w:gridSpan w:val="2"/>
            <w:vMerge w:val="restart"/>
            <w:vAlign w:val="top"/>
          </w:tcPr>
          <w:p w14:paraId="667B8255">
            <w:pPr>
              <w:keepNext w:val="0"/>
              <w:keepLines w:val="0"/>
              <w:pageBreakBefore w:val="0"/>
              <w:widowControl w:val="0"/>
              <w:kinsoku w:val="0"/>
              <w:wordWrap/>
              <w:overflowPunct/>
              <w:topLinePunct w:val="0"/>
              <w:autoSpaceDE w:val="0"/>
              <w:autoSpaceDN w:val="0"/>
              <w:bidi w:val="0"/>
              <w:adjustRightInd w:val="0"/>
              <w:snapToGrid w:val="0"/>
              <w:spacing w:line="259" w:lineRule="auto"/>
              <w:textAlignment w:val="baseline"/>
              <w:outlineLvl w:val="9"/>
              <w:rPr>
                <w:rFonts w:ascii="Arial"/>
                <w:sz w:val="21"/>
                <w:highlight w:val="none"/>
              </w:rPr>
            </w:pPr>
          </w:p>
          <w:p w14:paraId="1B4043BC">
            <w:pPr>
              <w:keepNext w:val="0"/>
              <w:keepLines w:val="0"/>
              <w:pageBreakBefore w:val="0"/>
              <w:widowControl w:val="0"/>
              <w:kinsoku w:val="0"/>
              <w:wordWrap/>
              <w:overflowPunct/>
              <w:topLinePunct w:val="0"/>
              <w:autoSpaceDE w:val="0"/>
              <w:autoSpaceDN w:val="0"/>
              <w:bidi w:val="0"/>
              <w:adjustRightInd w:val="0"/>
              <w:snapToGrid w:val="0"/>
              <w:spacing w:line="259" w:lineRule="auto"/>
              <w:textAlignment w:val="baseline"/>
              <w:outlineLvl w:val="9"/>
              <w:rPr>
                <w:rFonts w:ascii="Arial"/>
                <w:sz w:val="21"/>
                <w:highlight w:val="none"/>
              </w:rPr>
            </w:pPr>
          </w:p>
          <w:p w14:paraId="7FAC68FD">
            <w:pPr>
              <w:keepNext w:val="0"/>
              <w:keepLines w:val="0"/>
              <w:pageBreakBefore w:val="0"/>
              <w:widowControl w:val="0"/>
              <w:kinsoku w:val="0"/>
              <w:wordWrap/>
              <w:overflowPunct/>
              <w:topLinePunct w:val="0"/>
              <w:autoSpaceDE w:val="0"/>
              <w:autoSpaceDN w:val="0"/>
              <w:bidi w:val="0"/>
              <w:adjustRightInd w:val="0"/>
              <w:snapToGrid w:val="0"/>
              <w:spacing w:line="259" w:lineRule="auto"/>
              <w:textAlignment w:val="baseline"/>
              <w:outlineLvl w:val="9"/>
              <w:rPr>
                <w:rFonts w:ascii="Arial"/>
                <w:sz w:val="21"/>
                <w:highlight w:val="none"/>
              </w:rPr>
            </w:pPr>
          </w:p>
          <w:p w14:paraId="6DA2B586">
            <w:pPr>
              <w:keepNext w:val="0"/>
              <w:keepLines w:val="0"/>
              <w:pageBreakBefore w:val="0"/>
              <w:widowControl w:val="0"/>
              <w:kinsoku w:val="0"/>
              <w:wordWrap/>
              <w:overflowPunct/>
              <w:topLinePunct w:val="0"/>
              <w:autoSpaceDE w:val="0"/>
              <w:autoSpaceDN w:val="0"/>
              <w:bidi w:val="0"/>
              <w:adjustRightInd w:val="0"/>
              <w:snapToGrid w:val="0"/>
              <w:spacing w:line="259" w:lineRule="auto"/>
              <w:textAlignment w:val="baseline"/>
              <w:outlineLvl w:val="9"/>
              <w:rPr>
                <w:rFonts w:ascii="Arial"/>
                <w:sz w:val="21"/>
                <w:highlight w:val="none"/>
              </w:rPr>
            </w:pPr>
          </w:p>
          <w:p w14:paraId="143BFB49">
            <w:pPr>
              <w:keepNext w:val="0"/>
              <w:keepLines w:val="0"/>
              <w:pageBreakBefore w:val="0"/>
              <w:widowControl w:val="0"/>
              <w:kinsoku w:val="0"/>
              <w:wordWrap/>
              <w:overflowPunct/>
              <w:topLinePunct w:val="0"/>
              <w:autoSpaceDE w:val="0"/>
              <w:autoSpaceDN w:val="0"/>
              <w:bidi w:val="0"/>
              <w:adjustRightInd w:val="0"/>
              <w:snapToGrid w:val="0"/>
              <w:spacing w:line="259" w:lineRule="auto"/>
              <w:textAlignment w:val="baseline"/>
              <w:outlineLvl w:val="9"/>
              <w:rPr>
                <w:rFonts w:ascii="Arial"/>
                <w:sz w:val="21"/>
                <w:highlight w:val="none"/>
              </w:rPr>
            </w:pPr>
          </w:p>
          <w:p w14:paraId="7BC7DDED">
            <w:pPr>
              <w:keepNext w:val="0"/>
              <w:keepLines w:val="0"/>
              <w:pageBreakBefore w:val="0"/>
              <w:widowControl w:val="0"/>
              <w:kinsoku w:val="0"/>
              <w:wordWrap/>
              <w:overflowPunct/>
              <w:topLinePunct w:val="0"/>
              <w:autoSpaceDE w:val="0"/>
              <w:autoSpaceDN w:val="0"/>
              <w:bidi w:val="0"/>
              <w:adjustRightInd w:val="0"/>
              <w:snapToGrid w:val="0"/>
              <w:spacing w:line="259" w:lineRule="auto"/>
              <w:textAlignment w:val="baseline"/>
              <w:outlineLvl w:val="9"/>
              <w:rPr>
                <w:rFonts w:ascii="Arial"/>
                <w:sz w:val="21"/>
                <w:highlight w:val="none"/>
              </w:rPr>
            </w:pPr>
          </w:p>
          <w:p w14:paraId="6EC24EA8">
            <w:pPr>
              <w:keepNext w:val="0"/>
              <w:keepLines w:val="0"/>
              <w:pageBreakBefore w:val="0"/>
              <w:widowControl w:val="0"/>
              <w:kinsoku w:val="0"/>
              <w:wordWrap/>
              <w:overflowPunct/>
              <w:topLinePunct w:val="0"/>
              <w:autoSpaceDE w:val="0"/>
              <w:autoSpaceDN w:val="0"/>
              <w:bidi w:val="0"/>
              <w:adjustRightInd w:val="0"/>
              <w:snapToGrid w:val="0"/>
              <w:spacing w:line="260" w:lineRule="auto"/>
              <w:textAlignment w:val="baseline"/>
              <w:outlineLvl w:val="9"/>
              <w:rPr>
                <w:rFonts w:ascii="Arial"/>
                <w:sz w:val="21"/>
                <w:highlight w:val="none"/>
              </w:rPr>
            </w:pPr>
          </w:p>
          <w:p w14:paraId="271D306D">
            <w:pPr>
              <w:keepNext w:val="0"/>
              <w:keepLines w:val="0"/>
              <w:pageBreakBefore w:val="0"/>
              <w:widowControl w:val="0"/>
              <w:kinsoku w:val="0"/>
              <w:wordWrap/>
              <w:overflowPunct/>
              <w:topLinePunct w:val="0"/>
              <w:autoSpaceDE w:val="0"/>
              <w:autoSpaceDN w:val="0"/>
              <w:bidi w:val="0"/>
              <w:adjustRightInd w:val="0"/>
              <w:snapToGrid w:val="0"/>
              <w:spacing w:line="260" w:lineRule="auto"/>
              <w:textAlignment w:val="baseline"/>
              <w:outlineLvl w:val="9"/>
              <w:rPr>
                <w:rFonts w:ascii="Arial"/>
                <w:sz w:val="21"/>
                <w:highlight w:val="none"/>
              </w:rPr>
            </w:pPr>
          </w:p>
          <w:p w14:paraId="7D15327F">
            <w:pPr>
              <w:keepNext w:val="0"/>
              <w:keepLines w:val="0"/>
              <w:pageBreakBefore w:val="0"/>
              <w:widowControl w:val="0"/>
              <w:kinsoku w:val="0"/>
              <w:wordWrap/>
              <w:overflowPunct/>
              <w:topLinePunct w:val="0"/>
              <w:autoSpaceDE w:val="0"/>
              <w:autoSpaceDN w:val="0"/>
              <w:bidi w:val="0"/>
              <w:adjustRightInd w:val="0"/>
              <w:snapToGrid w:val="0"/>
              <w:spacing w:line="260" w:lineRule="auto"/>
              <w:textAlignment w:val="baseline"/>
              <w:outlineLvl w:val="9"/>
              <w:rPr>
                <w:rFonts w:ascii="Arial"/>
                <w:sz w:val="21"/>
                <w:highlight w:val="none"/>
              </w:rPr>
            </w:pPr>
          </w:p>
          <w:p w14:paraId="717F1C9E">
            <w:pPr>
              <w:pStyle w:val="11"/>
              <w:keepNext w:val="0"/>
              <w:keepLines w:val="0"/>
              <w:pageBreakBefore w:val="0"/>
              <w:widowControl w:val="0"/>
              <w:kinsoku w:val="0"/>
              <w:wordWrap/>
              <w:overflowPunct/>
              <w:topLinePunct w:val="0"/>
              <w:autoSpaceDE w:val="0"/>
              <w:autoSpaceDN w:val="0"/>
              <w:bidi w:val="0"/>
              <w:adjustRightInd w:val="0"/>
              <w:snapToGrid w:val="0"/>
              <w:spacing w:before="78" w:line="220" w:lineRule="auto"/>
              <w:ind w:left="749"/>
              <w:textAlignment w:val="baseline"/>
              <w:outlineLvl w:val="9"/>
              <w:rPr>
                <w:highlight w:val="none"/>
              </w:rPr>
            </w:pPr>
            <w:r>
              <w:rPr>
                <w:b/>
                <w:bCs/>
                <w:spacing w:val="-7"/>
                <w:highlight w:val="none"/>
              </w:rPr>
              <w:t>标前准备</w:t>
            </w:r>
          </w:p>
        </w:tc>
        <w:tc>
          <w:tcPr>
            <w:tcW w:w="6756" w:type="dxa"/>
            <w:gridSpan w:val="2"/>
            <w:vAlign w:val="top"/>
          </w:tcPr>
          <w:p w14:paraId="41C88D62">
            <w:pPr>
              <w:pStyle w:val="11"/>
              <w:keepNext w:val="0"/>
              <w:keepLines w:val="0"/>
              <w:pageBreakBefore w:val="0"/>
              <w:widowControl w:val="0"/>
              <w:kinsoku w:val="0"/>
              <w:wordWrap/>
              <w:overflowPunct/>
              <w:topLinePunct w:val="0"/>
              <w:autoSpaceDE w:val="0"/>
              <w:autoSpaceDN w:val="0"/>
              <w:bidi w:val="0"/>
              <w:adjustRightInd w:val="0"/>
              <w:snapToGrid w:val="0"/>
              <w:spacing w:before="127" w:line="246" w:lineRule="auto"/>
              <w:ind w:left="125" w:right="108" w:firstLine="33"/>
              <w:textAlignment w:val="baseline"/>
              <w:outlineLvl w:val="9"/>
              <w:rPr>
                <w:highlight w:val="none"/>
              </w:rPr>
            </w:pPr>
            <w:r>
              <w:rPr>
                <w:spacing w:val="-4"/>
                <w:highlight w:val="none"/>
              </w:rPr>
              <w:t>1、本项目实行网上投标，采用电子投标文件。若供</w:t>
            </w:r>
            <w:r>
              <w:rPr>
                <w:spacing w:val="-5"/>
                <w:highlight w:val="none"/>
              </w:rPr>
              <w:t>应商参与投</w:t>
            </w:r>
            <w:r>
              <w:rPr>
                <w:spacing w:val="-9"/>
                <w:highlight w:val="none"/>
              </w:rPr>
              <w:t>标，自行承担投标一切费用。</w:t>
            </w:r>
          </w:p>
          <w:p w14:paraId="7F1BFC67">
            <w:pPr>
              <w:pStyle w:val="11"/>
              <w:keepNext w:val="0"/>
              <w:keepLines w:val="0"/>
              <w:pageBreakBefore w:val="0"/>
              <w:widowControl w:val="0"/>
              <w:kinsoku w:val="0"/>
              <w:wordWrap/>
              <w:overflowPunct/>
              <w:topLinePunct w:val="0"/>
              <w:autoSpaceDE w:val="0"/>
              <w:autoSpaceDN w:val="0"/>
              <w:bidi w:val="0"/>
              <w:adjustRightInd w:val="0"/>
              <w:snapToGrid w:val="0"/>
              <w:spacing w:before="91" w:line="256" w:lineRule="auto"/>
              <w:ind w:left="125" w:right="105" w:firstLine="4"/>
              <w:textAlignment w:val="baseline"/>
              <w:outlineLvl w:val="9"/>
              <w:rPr>
                <w:highlight w:val="none"/>
              </w:rPr>
            </w:pPr>
            <w:r>
              <w:rPr>
                <w:spacing w:val="-4"/>
                <w:highlight w:val="none"/>
              </w:rPr>
              <w:t>2、各供应商应在开标前应确保成为新疆维吾尔自治区政府采购</w:t>
            </w:r>
            <w:r>
              <w:rPr>
                <w:spacing w:val="-5"/>
                <w:highlight w:val="none"/>
              </w:rPr>
              <w:t>网正式注册入库供应商，并完成CA数字证书申领。因未注册入库、未办理CA数字证书等原因造成无法投标或投标失败等后果</w:t>
            </w:r>
            <w:r>
              <w:rPr>
                <w:spacing w:val="-2"/>
                <w:highlight w:val="none"/>
              </w:rPr>
              <w:t>由供应商自行承担。</w:t>
            </w:r>
          </w:p>
          <w:p w14:paraId="08F8E979">
            <w:pPr>
              <w:pStyle w:val="11"/>
              <w:keepNext w:val="0"/>
              <w:keepLines w:val="0"/>
              <w:pageBreakBefore w:val="0"/>
              <w:widowControl w:val="0"/>
              <w:kinsoku w:val="0"/>
              <w:wordWrap/>
              <w:overflowPunct/>
              <w:topLinePunct w:val="0"/>
              <w:autoSpaceDE w:val="0"/>
              <w:autoSpaceDN w:val="0"/>
              <w:bidi w:val="0"/>
              <w:adjustRightInd w:val="0"/>
              <w:snapToGrid w:val="0"/>
              <w:spacing w:before="92" w:line="255" w:lineRule="auto"/>
              <w:ind w:left="120" w:right="108" w:firstLine="10"/>
              <w:textAlignment w:val="baseline"/>
              <w:outlineLvl w:val="9"/>
              <w:rPr>
                <w:highlight w:val="none"/>
              </w:rPr>
            </w:pPr>
            <w:r>
              <w:rPr>
                <w:spacing w:val="-4"/>
                <w:highlight w:val="none"/>
              </w:rPr>
              <w:t>3、供应商将政采云电子交易客户端下载、安装完成后，可通过</w:t>
            </w:r>
            <w:r>
              <w:rPr>
                <w:spacing w:val="-5"/>
                <w:highlight w:val="none"/>
              </w:rPr>
              <w:t>账号密码或CA登录客户端进行投标文件制作。在使用政采云投</w:t>
            </w:r>
            <w:r>
              <w:rPr>
                <w:spacing w:val="-2"/>
                <w:highlight w:val="none"/>
              </w:rPr>
              <w:t>标客户端时，建议使用WIN7及以上操作系统。客户端请至新疆</w:t>
            </w:r>
            <w:r>
              <w:rPr>
                <w:highlight w:val="none"/>
              </w:rPr>
              <w:t>政府采购网（</w:t>
            </w:r>
            <w:r>
              <w:rPr>
                <w:highlight w:val="none"/>
              </w:rPr>
              <w:fldChar w:fldCharType="begin"/>
            </w:r>
            <w:r>
              <w:rPr>
                <w:highlight w:val="none"/>
              </w:rPr>
              <w:instrText xml:space="preserve"> HYPERLINK "http://www.ccgp-xinjiang.gov.cn/" </w:instrText>
            </w:r>
            <w:r>
              <w:rPr>
                <w:highlight w:val="none"/>
              </w:rPr>
              <w:fldChar w:fldCharType="separate"/>
            </w:r>
            <w:r>
              <w:rPr>
                <w:highlight w:val="none"/>
              </w:rPr>
              <w:t>http://www.ccgp-xinjiang.gov.cn/</w:t>
            </w:r>
            <w:r>
              <w:rPr>
                <w:highlight w:val="none"/>
              </w:rPr>
              <w:fldChar w:fldCharType="end"/>
            </w:r>
            <w:r>
              <w:rPr>
                <w:highlight w:val="none"/>
              </w:rPr>
              <w:t>）下载专区</w:t>
            </w:r>
            <w:r>
              <w:rPr>
                <w:spacing w:val="1"/>
                <w:highlight w:val="none"/>
              </w:rPr>
              <w:t>查看，如有问题可拨打政采云客户服务热线95763进行咨询。</w:t>
            </w:r>
          </w:p>
          <w:p w14:paraId="1D93ED69">
            <w:pPr>
              <w:pStyle w:val="11"/>
              <w:keepNext w:val="0"/>
              <w:keepLines w:val="0"/>
              <w:pageBreakBefore w:val="0"/>
              <w:widowControl w:val="0"/>
              <w:kinsoku w:val="0"/>
              <w:wordWrap/>
              <w:overflowPunct/>
              <w:topLinePunct w:val="0"/>
              <w:autoSpaceDE w:val="0"/>
              <w:autoSpaceDN w:val="0"/>
              <w:bidi w:val="0"/>
              <w:adjustRightInd w:val="0"/>
              <w:snapToGrid w:val="0"/>
              <w:spacing w:before="117" w:line="247" w:lineRule="auto"/>
              <w:ind w:left="124" w:right="105" w:hanging="4"/>
              <w:textAlignment w:val="baseline"/>
              <w:outlineLvl w:val="9"/>
              <w:rPr>
                <w:highlight w:val="none"/>
              </w:rPr>
            </w:pPr>
            <w:r>
              <w:rPr>
                <w:spacing w:val="1"/>
                <w:highlight w:val="none"/>
              </w:rPr>
              <w:t>4.本项目采用新疆政府采购网政采云不见面开标系统进行开评</w:t>
            </w:r>
            <w:r>
              <w:rPr>
                <w:spacing w:val="-5"/>
                <w:highlight w:val="none"/>
              </w:rPr>
              <w:t>标，各合格投标人须及时办理CA锁，不见面开标系统中上传的投标文件须进行CA加密上传。各投标人须在开标时及时对所上</w:t>
            </w:r>
          </w:p>
        </w:tc>
      </w:tr>
      <w:tr w14:paraId="5FF46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711" w:hRule="atLeast"/>
        </w:trPr>
        <w:tc>
          <w:tcPr>
            <w:tcW w:w="735" w:type="dxa"/>
            <w:vMerge w:val="continue"/>
            <w:vAlign w:val="top"/>
          </w:tcPr>
          <w:p w14:paraId="6F39C38B">
            <w:pPr>
              <w:outlineLvl w:val="9"/>
              <w:rPr>
                <w:rFonts w:ascii="Arial"/>
                <w:sz w:val="21"/>
                <w:highlight w:val="none"/>
              </w:rPr>
            </w:pPr>
          </w:p>
        </w:tc>
        <w:tc>
          <w:tcPr>
            <w:tcW w:w="2439" w:type="dxa"/>
            <w:gridSpan w:val="2"/>
            <w:vMerge w:val="continue"/>
            <w:vAlign w:val="top"/>
          </w:tcPr>
          <w:p w14:paraId="09EA094A">
            <w:pPr>
              <w:outlineLvl w:val="9"/>
              <w:rPr>
                <w:rFonts w:ascii="Arial"/>
                <w:sz w:val="21"/>
                <w:highlight w:val="none"/>
              </w:rPr>
            </w:pPr>
          </w:p>
        </w:tc>
        <w:tc>
          <w:tcPr>
            <w:tcW w:w="6762" w:type="dxa"/>
            <w:gridSpan w:val="3"/>
            <w:vAlign w:val="top"/>
          </w:tcPr>
          <w:p w14:paraId="16A07E8C">
            <w:pPr>
              <w:pStyle w:val="11"/>
              <w:spacing w:before="95" w:line="233" w:lineRule="auto"/>
              <w:ind w:left="146" w:right="86" w:hanging="26"/>
              <w:outlineLvl w:val="9"/>
              <w:rPr>
                <w:highlight w:val="none"/>
              </w:rPr>
            </w:pPr>
            <w:r>
              <w:rPr>
                <w:spacing w:val="1"/>
                <w:highlight w:val="none"/>
              </w:rPr>
              <w:t>传投标文件进行解密；投标人在制作投标文件时须关联相关评</w:t>
            </w:r>
            <w:r>
              <w:rPr>
                <w:spacing w:val="-7"/>
                <w:highlight w:val="none"/>
              </w:rPr>
              <w:t>审点，如因此原因出现废标、扣分等情况，各投标人自行负</w:t>
            </w:r>
            <w:r>
              <w:rPr>
                <w:spacing w:val="-8"/>
                <w:highlight w:val="none"/>
              </w:rPr>
              <w:t>责。</w:t>
            </w:r>
          </w:p>
        </w:tc>
      </w:tr>
      <w:tr w14:paraId="73524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2493" w:hRule="atLeast"/>
        </w:trPr>
        <w:tc>
          <w:tcPr>
            <w:tcW w:w="735" w:type="dxa"/>
            <w:vAlign w:val="top"/>
          </w:tcPr>
          <w:p w14:paraId="55301F9E">
            <w:pPr>
              <w:spacing w:line="303" w:lineRule="auto"/>
              <w:outlineLvl w:val="9"/>
              <w:rPr>
                <w:rFonts w:ascii="Arial"/>
                <w:sz w:val="21"/>
                <w:highlight w:val="none"/>
              </w:rPr>
            </w:pPr>
          </w:p>
          <w:p w14:paraId="238BF6AC">
            <w:pPr>
              <w:spacing w:line="303" w:lineRule="auto"/>
              <w:outlineLvl w:val="9"/>
              <w:rPr>
                <w:rFonts w:ascii="Arial"/>
                <w:sz w:val="21"/>
                <w:highlight w:val="none"/>
              </w:rPr>
            </w:pPr>
          </w:p>
          <w:p w14:paraId="6808474D">
            <w:pPr>
              <w:spacing w:line="303" w:lineRule="auto"/>
              <w:outlineLvl w:val="9"/>
              <w:rPr>
                <w:rFonts w:ascii="Arial"/>
                <w:sz w:val="21"/>
                <w:highlight w:val="none"/>
              </w:rPr>
            </w:pPr>
          </w:p>
          <w:p w14:paraId="648E09C1">
            <w:pPr>
              <w:pStyle w:val="11"/>
              <w:spacing w:before="78"/>
              <w:ind w:left="259"/>
              <w:outlineLvl w:val="9"/>
              <w:rPr>
                <w:rFonts w:hint="eastAsia" w:eastAsia="宋体"/>
                <w:highlight w:val="none"/>
                <w:lang w:eastAsia="zh-CN"/>
              </w:rPr>
            </w:pPr>
            <w:r>
              <w:rPr>
                <w:b/>
                <w:bCs/>
                <w:spacing w:val="-7"/>
                <w:highlight w:val="none"/>
              </w:rPr>
              <w:t>4</w:t>
            </w:r>
            <w:r>
              <w:rPr>
                <w:rFonts w:hint="eastAsia"/>
                <w:b/>
                <w:bCs/>
                <w:spacing w:val="-7"/>
                <w:highlight w:val="none"/>
                <w:lang w:val="en-US" w:eastAsia="zh-CN"/>
              </w:rPr>
              <w:t>6</w:t>
            </w:r>
          </w:p>
        </w:tc>
        <w:tc>
          <w:tcPr>
            <w:tcW w:w="2439" w:type="dxa"/>
            <w:gridSpan w:val="2"/>
            <w:vAlign w:val="top"/>
          </w:tcPr>
          <w:p w14:paraId="55288FB5">
            <w:pPr>
              <w:spacing w:line="301" w:lineRule="auto"/>
              <w:outlineLvl w:val="9"/>
              <w:rPr>
                <w:rFonts w:ascii="Arial"/>
                <w:sz w:val="21"/>
                <w:highlight w:val="none"/>
              </w:rPr>
            </w:pPr>
          </w:p>
          <w:p w14:paraId="28C284AE">
            <w:pPr>
              <w:spacing w:line="302" w:lineRule="auto"/>
              <w:outlineLvl w:val="9"/>
              <w:rPr>
                <w:rFonts w:ascii="Arial"/>
                <w:sz w:val="21"/>
                <w:highlight w:val="none"/>
              </w:rPr>
            </w:pPr>
          </w:p>
          <w:p w14:paraId="290D5FB6">
            <w:pPr>
              <w:spacing w:line="302" w:lineRule="auto"/>
              <w:outlineLvl w:val="9"/>
              <w:rPr>
                <w:rFonts w:ascii="Arial"/>
                <w:sz w:val="21"/>
                <w:highlight w:val="none"/>
              </w:rPr>
            </w:pPr>
          </w:p>
          <w:p w14:paraId="512FAF61">
            <w:pPr>
              <w:pStyle w:val="11"/>
              <w:spacing w:before="78" w:line="219" w:lineRule="auto"/>
              <w:ind w:left="267"/>
              <w:outlineLvl w:val="9"/>
              <w:rPr>
                <w:highlight w:val="none"/>
              </w:rPr>
            </w:pPr>
            <w:r>
              <w:rPr>
                <w:b/>
                <w:bCs/>
                <w:spacing w:val="-5"/>
                <w:highlight w:val="none"/>
              </w:rPr>
              <w:t>投标文件解密时间</w:t>
            </w:r>
          </w:p>
        </w:tc>
        <w:tc>
          <w:tcPr>
            <w:tcW w:w="6762" w:type="dxa"/>
            <w:gridSpan w:val="3"/>
            <w:vAlign w:val="top"/>
          </w:tcPr>
          <w:p w14:paraId="0E06B2F2">
            <w:pPr>
              <w:pStyle w:val="11"/>
              <w:spacing w:before="126" w:line="259" w:lineRule="auto"/>
              <w:ind w:left="122" w:right="27"/>
              <w:outlineLvl w:val="9"/>
              <w:rPr>
                <w:highlight w:val="none"/>
              </w:rPr>
            </w:pPr>
            <w:r>
              <w:rPr>
                <w:spacing w:val="1"/>
                <w:highlight w:val="none"/>
              </w:rPr>
              <w:t>供应商应当在投标文件提交截止时间前，将生成的“电子加密</w:t>
            </w:r>
            <w:r>
              <w:rPr>
                <w:spacing w:val="-1"/>
                <w:highlight w:val="none"/>
              </w:rPr>
              <w:t>投标文件”上传递交至“政府采购云平台”。投标文件提交截</w:t>
            </w:r>
            <w:r>
              <w:rPr>
                <w:spacing w:val="-6"/>
                <w:highlight w:val="none"/>
              </w:rPr>
              <w:t>止时间以后上传提交的投标文件将被“政府采购云平台”</w:t>
            </w:r>
            <w:r>
              <w:rPr>
                <w:spacing w:val="-7"/>
                <w:highlight w:val="none"/>
              </w:rPr>
              <w:t>拒收。</w:t>
            </w:r>
            <w:r>
              <w:rPr>
                <w:spacing w:val="-11"/>
                <w:highlight w:val="none"/>
              </w:rPr>
              <w:t>投标文件开启时间后30分钟内供应商可以登录“政采云”</w:t>
            </w:r>
            <w:r>
              <w:rPr>
                <w:spacing w:val="-12"/>
                <w:highlight w:val="none"/>
              </w:rPr>
              <w:t>平台，</w:t>
            </w:r>
            <w:r>
              <w:rPr>
                <w:spacing w:val="-2"/>
                <w:highlight w:val="none"/>
              </w:rPr>
              <w:t>用“项目采购-开标评标”功能进行解密投</w:t>
            </w:r>
            <w:r>
              <w:rPr>
                <w:spacing w:val="-3"/>
                <w:highlight w:val="none"/>
              </w:rPr>
              <w:t>标文件。若供应商在</w:t>
            </w:r>
            <w:r>
              <w:rPr>
                <w:spacing w:val="6"/>
                <w:highlight w:val="none"/>
              </w:rPr>
              <w:t>规定时间内未按时解密的，视为投标文件撤回。报价确认</w:t>
            </w:r>
            <w:r>
              <w:rPr>
                <w:rFonts w:ascii="Times New Roman" w:hAnsi="Times New Roman" w:eastAsia="Times New Roman" w:cs="Times New Roman"/>
                <w:spacing w:val="6"/>
                <w:highlight w:val="none"/>
              </w:rPr>
              <w:t>l0</w:t>
            </w:r>
            <w:r>
              <w:rPr>
                <w:spacing w:val="6"/>
                <w:highlight w:val="none"/>
              </w:rPr>
              <w:t>分</w:t>
            </w:r>
            <w:r>
              <w:rPr>
                <w:spacing w:val="-1"/>
                <w:highlight w:val="none"/>
              </w:rPr>
              <w:t>钟，超时未确认视同认可报价。</w:t>
            </w:r>
          </w:p>
        </w:tc>
      </w:tr>
      <w:tr w14:paraId="6D390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23" w:hRule="atLeast"/>
        </w:trPr>
        <w:tc>
          <w:tcPr>
            <w:tcW w:w="735" w:type="dxa"/>
            <w:vAlign w:val="top"/>
          </w:tcPr>
          <w:p w14:paraId="5442A38C">
            <w:pPr>
              <w:spacing w:line="274" w:lineRule="auto"/>
              <w:outlineLvl w:val="9"/>
              <w:rPr>
                <w:rFonts w:ascii="Arial"/>
                <w:sz w:val="21"/>
                <w:highlight w:val="none"/>
              </w:rPr>
            </w:pPr>
          </w:p>
          <w:p w14:paraId="36255C8E">
            <w:pPr>
              <w:spacing w:line="275" w:lineRule="auto"/>
              <w:outlineLvl w:val="9"/>
              <w:rPr>
                <w:rFonts w:ascii="Arial"/>
                <w:sz w:val="21"/>
                <w:highlight w:val="none"/>
              </w:rPr>
            </w:pPr>
          </w:p>
          <w:p w14:paraId="6C8FD13C">
            <w:pPr>
              <w:pStyle w:val="11"/>
              <w:spacing w:before="78"/>
              <w:ind w:left="259"/>
              <w:outlineLvl w:val="9"/>
              <w:rPr>
                <w:rFonts w:hint="eastAsia" w:eastAsia="宋体"/>
                <w:highlight w:val="none"/>
                <w:lang w:eastAsia="zh-CN"/>
              </w:rPr>
            </w:pPr>
            <w:r>
              <w:rPr>
                <w:b/>
                <w:bCs/>
                <w:spacing w:val="-7"/>
                <w:highlight w:val="none"/>
              </w:rPr>
              <w:t>4</w:t>
            </w:r>
            <w:r>
              <w:rPr>
                <w:rFonts w:hint="eastAsia"/>
                <w:b/>
                <w:bCs/>
                <w:spacing w:val="-7"/>
                <w:highlight w:val="none"/>
                <w:lang w:val="en-US" w:eastAsia="zh-CN"/>
              </w:rPr>
              <w:t>7</w:t>
            </w:r>
          </w:p>
        </w:tc>
        <w:tc>
          <w:tcPr>
            <w:tcW w:w="2439" w:type="dxa"/>
            <w:gridSpan w:val="2"/>
            <w:vAlign w:val="top"/>
          </w:tcPr>
          <w:p w14:paraId="1C38084F">
            <w:pPr>
              <w:spacing w:line="272" w:lineRule="auto"/>
              <w:outlineLvl w:val="9"/>
              <w:rPr>
                <w:rFonts w:ascii="Arial"/>
                <w:sz w:val="21"/>
                <w:highlight w:val="none"/>
              </w:rPr>
            </w:pPr>
          </w:p>
          <w:p w14:paraId="1D5D1899">
            <w:pPr>
              <w:spacing w:line="273" w:lineRule="auto"/>
              <w:outlineLvl w:val="9"/>
              <w:rPr>
                <w:rFonts w:ascii="Arial"/>
                <w:sz w:val="21"/>
                <w:highlight w:val="none"/>
              </w:rPr>
            </w:pPr>
          </w:p>
          <w:p w14:paraId="5BE69BDE">
            <w:pPr>
              <w:pStyle w:val="11"/>
              <w:spacing w:before="78" w:line="219" w:lineRule="auto"/>
              <w:ind w:left="121"/>
              <w:outlineLvl w:val="9"/>
              <w:rPr>
                <w:highlight w:val="none"/>
              </w:rPr>
            </w:pPr>
            <w:r>
              <w:rPr>
                <w:b/>
                <w:bCs/>
                <w:spacing w:val="-5"/>
                <w:highlight w:val="none"/>
              </w:rPr>
              <w:t>招标文件质疑时效</w:t>
            </w:r>
          </w:p>
        </w:tc>
        <w:tc>
          <w:tcPr>
            <w:tcW w:w="6762" w:type="dxa"/>
            <w:gridSpan w:val="3"/>
            <w:vAlign w:val="top"/>
          </w:tcPr>
          <w:p w14:paraId="44962846">
            <w:pPr>
              <w:pStyle w:val="11"/>
              <w:spacing w:before="125" w:line="250" w:lineRule="auto"/>
              <w:ind w:left="121" w:right="113" w:firstLine="6"/>
              <w:jc w:val="both"/>
              <w:outlineLvl w:val="9"/>
              <w:rPr>
                <w:highlight w:val="none"/>
              </w:rPr>
            </w:pPr>
            <w:r>
              <w:rPr>
                <w:spacing w:val="1"/>
                <w:highlight w:val="none"/>
              </w:rPr>
              <w:t>投标供应商对采购文件提出质疑的时间：潜在供应商已依法获取其可质疑的采购文件的，可以对该文件提出质疑。对采购文件提出质疑的，应当在获取采购文件或者采购文件公告期限届</w:t>
            </w:r>
            <w:r>
              <w:rPr>
                <w:spacing w:val="-5"/>
                <w:highlight w:val="none"/>
              </w:rPr>
              <w:t>满之日起7个工作日内提出。</w:t>
            </w:r>
          </w:p>
        </w:tc>
      </w:tr>
      <w:tr w14:paraId="20D1A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23" w:hRule="atLeast"/>
        </w:trPr>
        <w:tc>
          <w:tcPr>
            <w:tcW w:w="735" w:type="dxa"/>
            <w:vAlign w:val="top"/>
          </w:tcPr>
          <w:p w14:paraId="07AA663D">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outlineLvl w:val="9"/>
              <w:rPr>
                <w:rFonts w:ascii="Arial"/>
                <w:sz w:val="21"/>
                <w:highlight w:val="none"/>
              </w:rPr>
            </w:pPr>
          </w:p>
          <w:p w14:paraId="6FE741E4">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outlineLvl w:val="9"/>
              <w:rPr>
                <w:rFonts w:ascii="Arial"/>
                <w:sz w:val="21"/>
                <w:highlight w:val="none"/>
              </w:rPr>
            </w:pPr>
          </w:p>
          <w:p w14:paraId="23340EC7">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outlineLvl w:val="9"/>
              <w:rPr>
                <w:rFonts w:ascii="Arial"/>
                <w:sz w:val="21"/>
                <w:highlight w:val="none"/>
              </w:rPr>
            </w:pPr>
          </w:p>
          <w:p w14:paraId="513C40E2">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outlineLvl w:val="9"/>
              <w:rPr>
                <w:rFonts w:ascii="Arial"/>
                <w:sz w:val="21"/>
                <w:highlight w:val="none"/>
              </w:rPr>
            </w:pPr>
          </w:p>
          <w:p w14:paraId="18C331A6">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outlineLvl w:val="9"/>
              <w:rPr>
                <w:rFonts w:ascii="Arial"/>
                <w:sz w:val="21"/>
                <w:highlight w:val="none"/>
              </w:rPr>
            </w:pPr>
          </w:p>
          <w:p w14:paraId="50D8DCD6">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outlineLvl w:val="9"/>
              <w:rPr>
                <w:rFonts w:ascii="Arial"/>
                <w:sz w:val="21"/>
                <w:highlight w:val="none"/>
              </w:rPr>
            </w:pPr>
          </w:p>
          <w:p w14:paraId="5F5A60D5">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outlineLvl w:val="9"/>
              <w:rPr>
                <w:rFonts w:ascii="Arial"/>
                <w:sz w:val="21"/>
                <w:highlight w:val="none"/>
              </w:rPr>
            </w:pPr>
          </w:p>
          <w:p w14:paraId="29DFB54C">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outlineLvl w:val="9"/>
              <w:rPr>
                <w:rFonts w:ascii="Arial"/>
                <w:sz w:val="21"/>
                <w:highlight w:val="none"/>
              </w:rPr>
            </w:pPr>
          </w:p>
          <w:p w14:paraId="7901BF85">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outlineLvl w:val="9"/>
              <w:rPr>
                <w:rFonts w:ascii="Arial"/>
                <w:sz w:val="21"/>
                <w:highlight w:val="none"/>
              </w:rPr>
            </w:pPr>
          </w:p>
          <w:p w14:paraId="1F1BC409">
            <w:pPr>
              <w:keepNext w:val="0"/>
              <w:keepLines w:val="0"/>
              <w:pageBreakBefore w:val="0"/>
              <w:widowControl w:val="0"/>
              <w:kinsoku w:val="0"/>
              <w:wordWrap/>
              <w:overflowPunct/>
              <w:topLinePunct w:val="0"/>
              <w:autoSpaceDE w:val="0"/>
              <w:autoSpaceDN w:val="0"/>
              <w:bidi w:val="0"/>
              <w:adjustRightInd w:val="0"/>
              <w:snapToGrid w:val="0"/>
              <w:spacing w:line="247" w:lineRule="auto"/>
              <w:textAlignment w:val="baseline"/>
              <w:outlineLvl w:val="9"/>
              <w:rPr>
                <w:rFonts w:ascii="Arial"/>
                <w:sz w:val="21"/>
                <w:highlight w:val="none"/>
              </w:rPr>
            </w:pPr>
          </w:p>
          <w:p w14:paraId="2AD233F9">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outlineLvl w:val="9"/>
              <w:rPr>
                <w:rFonts w:ascii="Arial"/>
                <w:sz w:val="21"/>
                <w:highlight w:val="none"/>
              </w:rPr>
            </w:pPr>
          </w:p>
          <w:p w14:paraId="16ECA0CA">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outlineLvl w:val="9"/>
              <w:rPr>
                <w:rFonts w:ascii="Arial"/>
                <w:sz w:val="21"/>
                <w:highlight w:val="none"/>
              </w:rPr>
            </w:pPr>
          </w:p>
          <w:p w14:paraId="7A391D34">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outlineLvl w:val="9"/>
              <w:rPr>
                <w:rFonts w:ascii="Arial"/>
                <w:sz w:val="21"/>
                <w:highlight w:val="none"/>
              </w:rPr>
            </w:pPr>
          </w:p>
          <w:p w14:paraId="2CE31120">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outlineLvl w:val="9"/>
              <w:rPr>
                <w:rFonts w:ascii="Arial"/>
                <w:sz w:val="21"/>
                <w:highlight w:val="none"/>
              </w:rPr>
            </w:pPr>
          </w:p>
          <w:p w14:paraId="5B583444">
            <w:pPr>
              <w:keepNext w:val="0"/>
              <w:keepLines w:val="0"/>
              <w:pageBreakBefore w:val="0"/>
              <w:widowControl w:val="0"/>
              <w:kinsoku w:val="0"/>
              <w:wordWrap/>
              <w:overflowPunct/>
              <w:topLinePunct w:val="0"/>
              <w:autoSpaceDE w:val="0"/>
              <w:autoSpaceDN w:val="0"/>
              <w:bidi w:val="0"/>
              <w:adjustRightInd w:val="0"/>
              <w:snapToGrid w:val="0"/>
              <w:spacing w:line="248" w:lineRule="auto"/>
              <w:textAlignment w:val="baseline"/>
              <w:outlineLvl w:val="9"/>
              <w:rPr>
                <w:rFonts w:ascii="Arial"/>
                <w:sz w:val="21"/>
                <w:highlight w:val="none"/>
              </w:rPr>
            </w:pPr>
          </w:p>
          <w:p w14:paraId="77F6F739">
            <w:pPr>
              <w:pStyle w:val="11"/>
              <w:keepNext w:val="0"/>
              <w:keepLines w:val="0"/>
              <w:pageBreakBefore w:val="0"/>
              <w:widowControl w:val="0"/>
              <w:kinsoku w:val="0"/>
              <w:wordWrap/>
              <w:overflowPunct/>
              <w:topLinePunct w:val="0"/>
              <w:autoSpaceDE w:val="0"/>
              <w:autoSpaceDN w:val="0"/>
              <w:bidi w:val="0"/>
              <w:adjustRightInd w:val="0"/>
              <w:snapToGrid w:val="0"/>
              <w:spacing w:before="78"/>
              <w:ind w:left="259"/>
              <w:textAlignment w:val="baseline"/>
              <w:outlineLvl w:val="9"/>
              <w:rPr>
                <w:rFonts w:hint="eastAsia" w:eastAsia="宋体"/>
                <w:highlight w:val="none"/>
                <w:lang w:eastAsia="zh-CN"/>
              </w:rPr>
            </w:pPr>
            <w:r>
              <w:rPr>
                <w:b/>
                <w:bCs/>
                <w:spacing w:val="-7"/>
                <w:highlight w:val="none"/>
              </w:rPr>
              <w:t>4</w:t>
            </w:r>
            <w:r>
              <w:rPr>
                <w:rFonts w:hint="eastAsia"/>
                <w:b/>
                <w:bCs/>
                <w:spacing w:val="-7"/>
                <w:highlight w:val="none"/>
                <w:lang w:val="en-US" w:eastAsia="zh-CN"/>
              </w:rPr>
              <w:t>8</w:t>
            </w:r>
          </w:p>
        </w:tc>
        <w:tc>
          <w:tcPr>
            <w:tcW w:w="2439" w:type="dxa"/>
            <w:gridSpan w:val="2"/>
            <w:vAlign w:val="top"/>
          </w:tcPr>
          <w:p w14:paraId="74AFAD87">
            <w:pPr>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outlineLvl w:val="9"/>
              <w:rPr>
                <w:rFonts w:ascii="Arial"/>
                <w:sz w:val="21"/>
                <w:highlight w:val="none"/>
              </w:rPr>
            </w:pPr>
          </w:p>
          <w:p w14:paraId="5FDF2911">
            <w:pPr>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outlineLvl w:val="9"/>
              <w:rPr>
                <w:rFonts w:ascii="Arial"/>
                <w:sz w:val="21"/>
                <w:highlight w:val="none"/>
              </w:rPr>
            </w:pPr>
          </w:p>
          <w:p w14:paraId="64661D97">
            <w:pPr>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outlineLvl w:val="9"/>
              <w:rPr>
                <w:rFonts w:ascii="Arial"/>
                <w:sz w:val="21"/>
                <w:highlight w:val="none"/>
              </w:rPr>
            </w:pPr>
          </w:p>
          <w:p w14:paraId="18B2C8AD">
            <w:pPr>
              <w:keepNext w:val="0"/>
              <w:keepLines w:val="0"/>
              <w:pageBreakBefore w:val="0"/>
              <w:widowControl w:val="0"/>
              <w:kinsoku w:val="0"/>
              <w:wordWrap/>
              <w:overflowPunct/>
              <w:topLinePunct w:val="0"/>
              <w:autoSpaceDE w:val="0"/>
              <w:autoSpaceDN w:val="0"/>
              <w:bidi w:val="0"/>
              <w:adjustRightInd w:val="0"/>
              <w:snapToGrid w:val="0"/>
              <w:spacing w:line="253" w:lineRule="auto"/>
              <w:textAlignment w:val="baseline"/>
              <w:outlineLvl w:val="9"/>
              <w:rPr>
                <w:rFonts w:ascii="Arial"/>
                <w:sz w:val="21"/>
                <w:highlight w:val="none"/>
              </w:rPr>
            </w:pPr>
          </w:p>
          <w:p w14:paraId="3E09892D">
            <w:pPr>
              <w:keepNext w:val="0"/>
              <w:keepLines w:val="0"/>
              <w:pageBreakBefore w:val="0"/>
              <w:widowControl w:val="0"/>
              <w:kinsoku w:val="0"/>
              <w:wordWrap/>
              <w:overflowPunct/>
              <w:topLinePunct w:val="0"/>
              <w:autoSpaceDE w:val="0"/>
              <w:autoSpaceDN w:val="0"/>
              <w:bidi w:val="0"/>
              <w:adjustRightInd w:val="0"/>
              <w:snapToGrid w:val="0"/>
              <w:spacing w:line="254" w:lineRule="auto"/>
              <w:textAlignment w:val="baseline"/>
              <w:outlineLvl w:val="9"/>
              <w:rPr>
                <w:rFonts w:ascii="Arial"/>
                <w:sz w:val="21"/>
                <w:highlight w:val="none"/>
              </w:rPr>
            </w:pPr>
          </w:p>
          <w:p w14:paraId="742B5AE5">
            <w:pPr>
              <w:keepNext w:val="0"/>
              <w:keepLines w:val="0"/>
              <w:pageBreakBefore w:val="0"/>
              <w:widowControl w:val="0"/>
              <w:kinsoku w:val="0"/>
              <w:wordWrap/>
              <w:overflowPunct/>
              <w:topLinePunct w:val="0"/>
              <w:autoSpaceDE w:val="0"/>
              <w:autoSpaceDN w:val="0"/>
              <w:bidi w:val="0"/>
              <w:adjustRightInd w:val="0"/>
              <w:snapToGrid w:val="0"/>
              <w:spacing w:line="254" w:lineRule="auto"/>
              <w:textAlignment w:val="baseline"/>
              <w:outlineLvl w:val="9"/>
              <w:rPr>
                <w:rFonts w:ascii="Arial"/>
                <w:sz w:val="21"/>
                <w:highlight w:val="none"/>
              </w:rPr>
            </w:pPr>
          </w:p>
          <w:p w14:paraId="48DC721F">
            <w:pPr>
              <w:keepNext w:val="0"/>
              <w:keepLines w:val="0"/>
              <w:pageBreakBefore w:val="0"/>
              <w:widowControl w:val="0"/>
              <w:kinsoku w:val="0"/>
              <w:wordWrap/>
              <w:overflowPunct/>
              <w:topLinePunct w:val="0"/>
              <w:autoSpaceDE w:val="0"/>
              <w:autoSpaceDN w:val="0"/>
              <w:bidi w:val="0"/>
              <w:adjustRightInd w:val="0"/>
              <w:snapToGrid w:val="0"/>
              <w:spacing w:line="254" w:lineRule="auto"/>
              <w:textAlignment w:val="baseline"/>
              <w:outlineLvl w:val="9"/>
              <w:rPr>
                <w:rFonts w:ascii="Arial"/>
                <w:sz w:val="21"/>
                <w:highlight w:val="none"/>
              </w:rPr>
            </w:pPr>
          </w:p>
          <w:p w14:paraId="0D64A8B4">
            <w:pPr>
              <w:keepNext w:val="0"/>
              <w:keepLines w:val="0"/>
              <w:pageBreakBefore w:val="0"/>
              <w:widowControl w:val="0"/>
              <w:kinsoku w:val="0"/>
              <w:wordWrap/>
              <w:overflowPunct/>
              <w:topLinePunct w:val="0"/>
              <w:autoSpaceDE w:val="0"/>
              <w:autoSpaceDN w:val="0"/>
              <w:bidi w:val="0"/>
              <w:adjustRightInd w:val="0"/>
              <w:snapToGrid w:val="0"/>
              <w:spacing w:line="254" w:lineRule="auto"/>
              <w:textAlignment w:val="baseline"/>
              <w:outlineLvl w:val="9"/>
              <w:rPr>
                <w:rFonts w:ascii="Arial"/>
                <w:sz w:val="21"/>
                <w:highlight w:val="none"/>
              </w:rPr>
            </w:pPr>
          </w:p>
          <w:p w14:paraId="04F00927">
            <w:pPr>
              <w:keepNext w:val="0"/>
              <w:keepLines w:val="0"/>
              <w:pageBreakBefore w:val="0"/>
              <w:widowControl w:val="0"/>
              <w:kinsoku w:val="0"/>
              <w:wordWrap/>
              <w:overflowPunct/>
              <w:topLinePunct w:val="0"/>
              <w:autoSpaceDE w:val="0"/>
              <w:autoSpaceDN w:val="0"/>
              <w:bidi w:val="0"/>
              <w:adjustRightInd w:val="0"/>
              <w:snapToGrid w:val="0"/>
              <w:spacing w:line="254" w:lineRule="auto"/>
              <w:textAlignment w:val="baseline"/>
              <w:outlineLvl w:val="9"/>
              <w:rPr>
                <w:rFonts w:ascii="Arial"/>
                <w:sz w:val="21"/>
                <w:highlight w:val="none"/>
              </w:rPr>
            </w:pPr>
          </w:p>
          <w:p w14:paraId="3E30AC82">
            <w:pPr>
              <w:keepNext w:val="0"/>
              <w:keepLines w:val="0"/>
              <w:pageBreakBefore w:val="0"/>
              <w:widowControl w:val="0"/>
              <w:kinsoku w:val="0"/>
              <w:wordWrap/>
              <w:overflowPunct/>
              <w:topLinePunct w:val="0"/>
              <w:autoSpaceDE w:val="0"/>
              <w:autoSpaceDN w:val="0"/>
              <w:bidi w:val="0"/>
              <w:adjustRightInd w:val="0"/>
              <w:snapToGrid w:val="0"/>
              <w:spacing w:line="254" w:lineRule="auto"/>
              <w:textAlignment w:val="baseline"/>
              <w:outlineLvl w:val="9"/>
              <w:rPr>
                <w:rFonts w:ascii="Arial"/>
                <w:sz w:val="21"/>
                <w:highlight w:val="none"/>
              </w:rPr>
            </w:pPr>
          </w:p>
          <w:p w14:paraId="19AD11EC">
            <w:pPr>
              <w:keepNext w:val="0"/>
              <w:keepLines w:val="0"/>
              <w:pageBreakBefore w:val="0"/>
              <w:widowControl w:val="0"/>
              <w:kinsoku w:val="0"/>
              <w:wordWrap/>
              <w:overflowPunct/>
              <w:topLinePunct w:val="0"/>
              <w:autoSpaceDE w:val="0"/>
              <w:autoSpaceDN w:val="0"/>
              <w:bidi w:val="0"/>
              <w:adjustRightInd w:val="0"/>
              <w:snapToGrid w:val="0"/>
              <w:spacing w:line="254" w:lineRule="auto"/>
              <w:textAlignment w:val="baseline"/>
              <w:outlineLvl w:val="9"/>
              <w:rPr>
                <w:rFonts w:ascii="Arial"/>
                <w:sz w:val="21"/>
                <w:highlight w:val="none"/>
              </w:rPr>
            </w:pPr>
          </w:p>
          <w:p w14:paraId="1A7F375F">
            <w:pPr>
              <w:keepNext w:val="0"/>
              <w:keepLines w:val="0"/>
              <w:pageBreakBefore w:val="0"/>
              <w:widowControl w:val="0"/>
              <w:kinsoku w:val="0"/>
              <w:wordWrap/>
              <w:overflowPunct/>
              <w:topLinePunct w:val="0"/>
              <w:autoSpaceDE w:val="0"/>
              <w:autoSpaceDN w:val="0"/>
              <w:bidi w:val="0"/>
              <w:adjustRightInd w:val="0"/>
              <w:snapToGrid w:val="0"/>
              <w:spacing w:line="254" w:lineRule="auto"/>
              <w:textAlignment w:val="baseline"/>
              <w:outlineLvl w:val="9"/>
              <w:rPr>
                <w:rFonts w:ascii="Arial"/>
                <w:sz w:val="21"/>
                <w:highlight w:val="none"/>
              </w:rPr>
            </w:pPr>
          </w:p>
          <w:p w14:paraId="783B24C7">
            <w:pPr>
              <w:keepNext w:val="0"/>
              <w:keepLines w:val="0"/>
              <w:pageBreakBefore w:val="0"/>
              <w:widowControl w:val="0"/>
              <w:kinsoku w:val="0"/>
              <w:wordWrap/>
              <w:overflowPunct/>
              <w:topLinePunct w:val="0"/>
              <w:autoSpaceDE w:val="0"/>
              <w:autoSpaceDN w:val="0"/>
              <w:bidi w:val="0"/>
              <w:adjustRightInd w:val="0"/>
              <w:snapToGrid w:val="0"/>
              <w:spacing w:line="254" w:lineRule="auto"/>
              <w:textAlignment w:val="baseline"/>
              <w:outlineLvl w:val="9"/>
              <w:rPr>
                <w:rFonts w:ascii="Arial"/>
                <w:sz w:val="21"/>
                <w:highlight w:val="none"/>
              </w:rPr>
            </w:pPr>
          </w:p>
          <w:p w14:paraId="6CABAAC1">
            <w:pPr>
              <w:keepNext w:val="0"/>
              <w:keepLines w:val="0"/>
              <w:pageBreakBefore w:val="0"/>
              <w:widowControl w:val="0"/>
              <w:kinsoku w:val="0"/>
              <w:wordWrap/>
              <w:overflowPunct/>
              <w:topLinePunct w:val="0"/>
              <w:autoSpaceDE w:val="0"/>
              <w:autoSpaceDN w:val="0"/>
              <w:bidi w:val="0"/>
              <w:adjustRightInd w:val="0"/>
              <w:snapToGrid w:val="0"/>
              <w:spacing w:line="254" w:lineRule="auto"/>
              <w:textAlignment w:val="baseline"/>
              <w:outlineLvl w:val="9"/>
              <w:rPr>
                <w:rFonts w:ascii="Arial"/>
                <w:sz w:val="21"/>
                <w:highlight w:val="none"/>
              </w:rPr>
            </w:pPr>
          </w:p>
          <w:p w14:paraId="43341408">
            <w:pPr>
              <w:pStyle w:val="11"/>
              <w:keepNext w:val="0"/>
              <w:keepLines w:val="0"/>
              <w:pageBreakBefore w:val="0"/>
              <w:widowControl w:val="0"/>
              <w:kinsoku w:val="0"/>
              <w:wordWrap/>
              <w:overflowPunct/>
              <w:topLinePunct w:val="0"/>
              <w:autoSpaceDE w:val="0"/>
              <w:autoSpaceDN w:val="0"/>
              <w:bidi w:val="0"/>
              <w:adjustRightInd w:val="0"/>
              <w:snapToGrid w:val="0"/>
              <w:spacing w:before="78" w:line="274" w:lineRule="auto"/>
              <w:ind w:left="117" w:right="133"/>
              <w:textAlignment w:val="baseline"/>
              <w:outlineLvl w:val="9"/>
              <w:rPr>
                <w:highlight w:val="none"/>
              </w:rPr>
            </w:pPr>
            <w:r>
              <w:rPr>
                <w:b/>
                <w:bCs/>
                <w:highlight w:val="none"/>
              </w:rPr>
              <w:t>低价不正当竞争预防</w:t>
            </w:r>
            <w:r>
              <w:rPr>
                <w:b/>
                <w:bCs/>
                <w:spacing w:val="-8"/>
                <w:highlight w:val="none"/>
              </w:rPr>
              <w:t>措施</w:t>
            </w:r>
          </w:p>
        </w:tc>
        <w:tc>
          <w:tcPr>
            <w:tcW w:w="6762" w:type="dxa"/>
            <w:gridSpan w:val="3"/>
            <w:vAlign w:val="top"/>
          </w:tcPr>
          <w:p w14:paraId="69BEEC54">
            <w:pPr>
              <w:pStyle w:val="11"/>
              <w:keepNext w:val="0"/>
              <w:keepLines w:val="0"/>
              <w:pageBreakBefore w:val="0"/>
              <w:widowControl w:val="0"/>
              <w:kinsoku w:val="0"/>
              <w:wordWrap/>
              <w:overflowPunct/>
              <w:topLinePunct w:val="0"/>
              <w:autoSpaceDE w:val="0"/>
              <w:autoSpaceDN w:val="0"/>
              <w:bidi w:val="0"/>
              <w:adjustRightInd w:val="0"/>
              <w:snapToGrid w:val="0"/>
              <w:spacing w:before="123" w:line="257" w:lineRule="auto"/>
              <w:ind w:left="122" w:right="113" w:firstLine="1"/>
              <w:jc w:val="both"/>
              <w:textAlignment w:val="baseline"/>
              <w:outlineLvl w:val="9"/>
              <w:rPr>
                <w:highlight w:val="none"/>
              </w:rPr>
            </w:pPr>
            <w:r>
              <w:rPr>
                <w:spacing w:val="3"/>
                <w:highlight w:val="none"/>
              </w:rPr>
              <w:t>低价不正当竞争预防措施依据，财库【2026】2号文:采购人</w:t>
            </w:r>
            <w:r>
              <w:rPr>
                <w:spacing w:val="6"/>
                <w:highlight w:val="none"/>
              </w:rPr>
              <w:t>应当在采购文件中明确，政府采购评审中出现下列情形</w:t>
            </w:r>
            <w:r>
              <w:rPr>
                <w:spacing w:val="5"/>
                <w:highlight w:val="none"/>
              </w:rPr>
              <w:t>之一</w:t>
            </w:r>
            <w:r>
              <w:rPr>
                <w:spacing w:val="1"/>
                <w:highlight w:val="none"/>
              </w:rPr>
              <w:t>的，评审委员会应当启动异常低价投标（响应）审查程序：</w:t>
            </w:r>
          </w:p>
          <w:p w14:paraId="715459FE">
            <w:pPr>
              <w:pStyle w:val="11"/>
              <w:keepNext w:val="0"/>
              <w:keepLines w:val="0"/>
              <w:pageBreakBefore w:val="0"/>
              <w:widowControl w:val="0"/>
              <w:kinsoku w:val="0"/>
              <w:wordWrap/>
              <w:overflowPunct/>
              <w:topLinePunct w:val="0"/>
              <w:autoSpaceDE w:val="0"/>
              <w:autoSpaceDN w:val="0"/>
              <w:bidi w:val="0"/>
              <w:adjustRightInd w:val="0"/>
              <w:snapToGrid w:val="0"/>
              <w:spacing w:before="84" w:line="258" w:lineRule="auto"/>
              <w:ind w:left="123" w:right="113" w:firstLine="19"/>
              <w:textAlignment w:val="baseline"/>
              <w:outlineLvl w:val="9"/>
              <w:rPr>
                <w:highlight w:val="none"/>
              </w:rPr>
            </w:pPr>
            <w:r>
              <w:rPr>
                <w:spacing w:val="3"/>
                <w:highlight w:val="none"/>
              </w:rPr>
              <w:t>1.投标（响应）报价低于全部通过符合性审查供应商投标(</w:t>
            </w:r>
            <w:r>
              <w:rPr>
                <w:spacing w:val="5"/>
                <w:highlight w:val="none"/>
              </w:rPr>
              <w:t>响应）报价平均值50%的，即投标（响应）报价&lt;全部通过符</w:t>
            </w:r>
            <w:r>
              <w:rPr>
                <w:spacing w:val="1"/>
                <w:highlight w:val="none"/>
              </w:rPr>
              <w:t>合性审查供应商投标（响应）报价平均值×50%；</w:t>
            </w:r>
          </w:p>
          <w:p w14:paraId="7EA65113">
            <w:pPr>
              <w:pStyle w:val="11"/>
              <w:keepNext w:val="0"/>
              <w:keepLines w:val="0"/>
              <w:pageBreakBefore w:val="0"/>
              <w:widowControl w:val="0"/>
              <w:kinsoku w:val="0"/>
              <w:wordWrap/>
              <w:overflowPunct/>
              <w:topLinePunct w:val="0"/>
              <w:autoSpaceDE w:val="0"/>
              <w:autoSpaceDN w:val="0"/>
              <w:bidi w:val="0"/>
              <w:adjustRightInd w:val="0"/>
              <w:snapToGrid w:val="0"/>
              <w:spacing w:before="83" w:line="258" w:lineRule="auto"/>
              <w:ind w:left="125" w:right="113" w:firstLine="2"/>
              <w:textAlignment w:val="baseline"/>
              <w:outlineLvl w:val="9"/>
              <w:rPr>
                <w:highlight w:val="none"/>
              </w:rPr>
            </w:pPr>
            <w:r>
              <w:rPr>
                <w:spacing w:val="5"/>
                <w:highlight w:val="none"/>
              </w:rPr>
              <w:t>2.投标（响应）报价低于通过符合性审查的次低报价供应商投标（响应）报价50%的，即投标（响应）报价&lt;通过符合性</w:t>
            </w:r>
            <w:r>
              <w:rPr>
                <w:spacing w:val="1"/>
                <w:highlight w:val="none"/>
              </w:rPr>
              <w:t>审查的次低报价供应商投标（响应）报价×50%；</w:t>
            </w:r>
          </w:p>
          <w:p w14:paraId="3828CD6D">
            <w:pPr>
              <w:pStyle w:val="11"/>
              <w:keepNext w:val="0"/>
              <w:keepLines w:val="0"/>
              <w:pageBreakBefore w:val="0"/>
              <w:widowControl w:val="0"/>
              <w:kinsoku w:val="0"/>
              <w:wordWrap/>
              <w:overflowPunct/>
              <w:topLinePunct w:val="0"/>
              <w:autoSpaceDE w:val="0"/>
              <w:autoSpaceDN w:val="0"/>
              <w:bidi w:val="0"/>
              <w:adjustRightInd w:val="0"/>
              <w:snapToGrid w:val="0"/>
              <w:spacing w:before="85" w:line="256" w:lineRule="auto"/>
              <w:ind w:left="133" w:right="113" w:hanging="4"/>
              <w:textAlignment w:val="baseline"/>
              <w:outlineLvl w:val="9"/>
              <w:rPr>
                <w:highlight w:val="none"/>
              </w:rPr>
            </w:pPr>
            <w:r>
              <w:rPr>
                <w:spacing w:val="14"/>
                <w:highlight w:val="none"/>
              </w:rPr>
              <w:t>3.投标（响应）报价低于采购项目最高限价45%的，即投标</w:t>
            </w:r>
            <w:r>
              <w:rPr>
                <w:highlight w:val="none"/>
              </w:rPr>
              <w:t>（响应）报价&lt;采购项目最高限价×45%；</w:t>
            </w:r>
          </w:p>
          <w:p w14:paraId="0031F57A">
            <w:pPr>
              <w:pStyle w:val="11"/>
              <w:keepNext w:val="0"/>
              <w:keepLines w:val="0"/>
              <w:pageBreakBefore w:val="0"/>
              <w:widowControl w:val="0"/>
              <w:kinsoku w:val="0"/>
              <w:wordWrap/>
              <w:overflowPunct/>
              <w:topLinePunct w:val="0"/>
              <w:autoSpaceDE w:val="0"/>
              <w:autoSpaceDN w:val="0"/>
              <w:bidi w:val="0"/>
              <w:adjustRightInd w:val="0"/>
              <w:snapToGrid w:val="0"/>
              <w:spacing w:before="89" w:line="257" w:lineRule="auto"/>
              <w:ind w:left="122" w:right="113" w:firstLine="1"/>
              <w:textAlignment w:val="baseline"/>
              <w:outlineLvl w:val="9"/>
              <w:rPr>
                <w:highlight w:val="none"/>
              </w:rPr>
            </w:pPr>
            <w:r>
              <w:rPr>
                <w:spacing w:val="5"/>
                <w:highlight w:val="none"/>
              </w:rPr>
              <w:t>4.评审委员会基于专业判断，认为供应商报价过低，有可能</w:t>
            </w:r>
            <w:r>
              <w:rPr>
                <w:spacing w:val="1"/>
                <w:highlight w:val="none"/>
              </w:rPr>
              <w:t>影响产品质量或者不能诚信履约的其他情形。</w:t>
            </w:r>
          </w:p>
          <w:p w14:paraId="7206C599">
            <w:pPr>
              <w:pStyle w:val="11"/>
              <w:keepNext w:val="0"/>
              <w:keepLines w:val="0"/>
              <w:pageBreakBefore w:val="0"/>
              <w:widowControl w:val="0"/>
              <w:kinsoku w:val="0"/>
              <w:wordWrap/>
              <w:overflowPunct/>
              <w:topLinePunct w:val="0"/>
              <w:autoSpaceDE w:val="0"/>
              <w:autoSpaceDN w:val="0"/>
              <w:bidi w:val="0"/>
              <w:adjustRightInd w:val="0"/>
              <w:snapToGrid w:val="0"/>
              <w:spacing w:before="85" w:line="254" w:lineRule="auto"/>
              <w:ind w:left="122" w:right="111" w:firstLine="1"/>
              <w:textAlignment w:val="baseline"/>
              <w:outlineLvl w:val="9"/>
              <w:rPr>
                <w:highlight w:val="none"/>
              </w:rPr>
            </w:pPr>
            <w:r>
              <w:rPr>
                <w:spacing w:val="6"/>
                <w:highlight w:val="none"/>
              </w:rPr>
              <w:t>磋商小组认为投标人报价明显低于其他通过符合性审</w:t>
            </w:r>
            <w:r>
              <w:rPr>
                <w:spacing w:val="5"/>
                <w:highlight w:val="none"/>
              </w:rPr>
              <w:t>查投标</w:t>
            </w:r>
            <w:r>
              <w:rPr>
                <w:spacing w:val="6"/>
                <w:highlight w:val="none"/>
              </w:rPr>
              <w:t>人的报价，有可能影响产品质量或者不能诚信履约的，</w:t>
            </w:r>
            <w:r>
              <w:rPr>
                <w:spacing w:val="5"/>
                <w:highlight w:val="none"/>
              </w:rPr>
              <w:t>应当</w:t>
            </w:r>
            <w:r>
              <w:rPr>
                <w:spacing w:val="6"/>
                <w:highlight w:val="none"/>
              </w:rPr>
              <w:t>要求其在评标现场合理的时间内提供书面说明，必</w:t>
            </w:r>
            <w:r>
              <w:rPr>
                <w:spacing w:val="5"/>
                <w:highlight w:val="none"/>
              </w:rPr>
              <w:t>要时提交</w:t>
            </w:r>
            <w:r>
              <w:rPr>
                <w:spacing w:val="6"/>
                <w:highlight w:val="none"/>
              </w:rPr>
              <w:t>相关证明材料；投标人不能证明其报价合理性的磋商小</w:t>
            </w:r>
            <w:r>
              <w:rPr>
                <w:spacing w:val="5"/>
                <w:highlight w:val="none"/>
              </w:rPr>
              <w:t>组应</w:t>
            </w:r>
            <w:r>
              <w:rPr>
                <w:spacing w:val="6"/>
                <w:highlight w:val="none"/>
              </w:rPr>
              <w:t>当将其作为无效投标处理。磋商小组应当要求其在评标</w:t>
            </w:r>
            <w:r>
              <w:rPr>
                <w:spacing w:val="5"/>
                <w:highlight w:val="none"/>
              </w:rPr>
              <w:t>现场</w:t>
            </w:r>
            <w:r>
              <w:rPr>
                <w:spacing w:val="11"/>
                <w:highlight w:val="none"/>
              </w:rPr>
              <w:t>合理的时间内提供成本构成书面说明，并提交</w:t>
            </w:r>
            <w:r>
              <w:rPr>
                <w:spacing w:val="10"/>
                <w:highlight w:val="none"/>
              </w:rPr>
              <w:t>相关证明材料</w:t>
            </w:r>
            <w:r>
              <w:rPr>
                <w:spacing w:val="4"/>
                <w:highlight w:val="none"/>
              </w:rPr>
              <w:t>。供应商书面说明应当按照国家财务会计制度的规定要求，</w:t>
            </w:r>
            <w:r>
              <w:rPr>
                <w:spacing w:val="10"/>
                <w:highlight w:val="none"/>
              </w:rPr>
              <w:t>逐项就供应商提供的货物、工程和服务的主营业务成本(应根据供应商企业类型予以区别)、税金及附加、销售费用、</w:t>
            </w:r>
            <w:r>
              <w:rPr>
                <w:spacing w:val="6"/>
                <w:highlight w:val="none"/>
              </w:rPr>
              <w:t>管理费用、财务费用等成本构成事项详细陈述。供应商</w:t>
            </w:r>
            <w:r>
              <w:rPr>
                <w:spacing w:val="5"/>
                <w:highlight w:val="none"/>
              </w:rPr>
              <w:t>书面</w:t>
            </w:r>
            <w:r>
              <w:rPr>
                <w:spacing w:val="6"/>
                <w:highlight w:val="none"/>
              </w:rPr>
              <w:t>说明应当签字确认或者加盖公章，否则无效。书面说明的签</w:t>
            </w:r>
            <w:r>
              <w:rPr>
                <w:spacing w:val="7"/>
                <w:highlight w:val="none"/>
              </w:rPr>
              <w:t>字确认，供应商为法人的，由其法定代表人或者代理人签字确认；供应商为其他组织的，由其主要负责人或者代理</w:t>
            </w:r>
            <w:r>
              <w:rPr>
                <w:spacing w:val="6"/>
                <w:highlight w:val="none"/>
              </w:rPr>
              <w:t>人签字确认；供应商为自然人的由其本人或者代理人</w:t>
            </w:r>
            <w:r>
              <w:rPr>
                <w:spacing w:val="5"/>
                <w:highlight w:val="none"/>
              </w:rPr>
              <w:t>签字确认。供应商提供书面说明后，磋商小组应当</w:t>
            </w:r>
            <w:r>
              <w:rPr>
                <w:spacing w:val="4"/>
                <w:highlight w:val="none"/>
              </w:rPr>
              <w:t>结合采购项目服</w:t>
            </w:r>
            <w:r>
              <w:rPr>
                <w:spacing w:val="6"/>
                <w:highlight w:val="none"/>
              </w:rPr>
              <w:t>务需求、专业实际情况、供应商财务状况报告、与</w:t>
            </w:r>
            <w:r>
              <w:rPr>
                <w:spacing w:val="5"/>
                <w:highlight w:val="none"/>
              </w:rPr>
              <w:t>其他供应</w:t>
            </w:r>
            <w:r>
              <w:rPr>
                <w:spacing w:val="6"/>
                <w:highlight w:val="none"/>
              </w:rPr>
              <w:t>商比较情况等就供应商书面说明进行审查评价。供</w:t>
            </w:r>
            <w:r>
              <w:rPr>
                <w:spacing w:val="5"/>
                <w:highlight w:val="none"/>
              </w:rPr>
              <w:t>应商拒绝</w:t>
            </w:r>
            <w:r>
              <w:rPr>
                <w:spacing w:val="6"/>
                <w:highlight w:val="none"/>
              </w:rPr>
              <w:t>或者变相拒绝提供有效书面说明或者书面说明不能</w:t>
            </w:r>
            <w:r>
              <w:rPr>
                <w:spacing w:val="5"/>
                <w:highlight w:val="none"/>
              </w:rPr>
              <w:t>证明其报</w:t>
            </w:r>
            <w:r>
              <w:rPr>
                <w:spacing w:val="6"/>
                <w:highlight w:val="none"/>
              </w:rPr>
              <w:t>价合理性的或未在规定时间内递交有效书面说明书</w:t>
            </w:r>
            <w:r>
              <w:rPr>
                <w:spacing w:val="5"/>
                <w:highlight w:val="none"/>
              </w:rPr>
              <w:t>的，磋商</w:t>
            </w:r>
            <w:r>
              <w:rPr>
                <w:spacing w:val="1"/>
                <w:highlight w:val="none"/>
              </w:rPr>
              <w:t>小组应当将其响应文件作为无效处理。</w:t>
            </w:r>
          </w:p>
        </w:tc>
      </w:tr>
    </w:tbl>
    <w:tbl>
      <w:tblPr>
        <w:tblStyle w:val="10"/>
        <w:tblpPr w:leftFromText="180" w:rightFromText="180" w:vertAnchor="text" w:horzAnchor="page" w:tblpX="1217" w:tblpY="13"/>
        <w:tblOverlap w:val="never"/>
        <w:tblW w:w="993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5"/>
        <w:gridCol w:w="2439"/>
        <w:gridCol w:w="6762"/>
      </w:tblGrid>
      <w:tr w14:paraId="14E39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35" w:type="dxa"/>
            <w:vAlign w:val="top"/>
          </w:tcPr>
          <w:p w14:paraId="4C5CDA4B">
            <w:pPr>
              <w:pStyle w:val="11"/>
              <w:keepNext w:val="0"/>
              <w:keepLines w:val="0"/>
              <w:pageBreakBefore w:val="0"/>
              <w:widowControl w:val="0"/>
              <w:kinsoku w:val="0"/>
              <w:wordWrap/>
              <w:overflowPunct/>
              <w:topLinePunct w:val="0"/>
              <w:autoSpaceDE w:val="0"/>
              <w:autoSpaceDN w:val="0"/>
              <w:bidi w:val="0"/>
              <w:adjustRightInd w:val="0"/>
              <w:snapToGrid w:val="0"/>
              <w:spacing w:before="187"/>
              <w:ind w:left="117"/>
              <w:textAlignment w:val="baseline"/>
              <w:outlineLvl w:val="9"/>
              <w:rPr>
                <w:rFonts w:hint="eastAsia" w:eastAsia="宋体"/>
                <w:highlight w:val="none"/>
                <w:lang w:eastAsia="zh-CN"/>
              </w:rPr>
            </w:pPr>
            <w:r>
              <w:rPr>
                <w:b/>
                <w:bCs/>
                <w:spacing w:val="-6"/>
                <w:highlight w:val="none"/>
              </w:rPr>
              <w:t>4</w:t>
            </w:r>
            <w:r>
              <w:rPr>
                <w:rFonts w:hint="eastAsia"/>
                <w:b/>
                <w:bCs/>
                <w:spacing w:val="-6"/>
                <w:highlight w:val="none"/>
                <w:lang w:val="en-US" w:eastAsia="zh-CN"/>
              </w:rPr>
              <w:t>9</w:t>
            </w:r>
          </w:p>
        </w:tc>
        <w:tc>
          <w:tcPr>
            <w:tcW w:w="2439" w:type="dxa"/>
            <w:vAlign w:val="top"/>
          </w:tcPr>
          <w:p w14:paraId="2E21F934">
            <w:pPr>
              <w:pStyle w:val="11"/>
              <w:keepNext w:val="0"/>
              <w:keepLines w:val="0"/>
              <w:pageBreakBefore w:val="0"/>
              <w:widowControl w:val="0"/>
              <w:kinsoku w:val="0"/>
              <w:wordWrap/>
              <w:overflowPunct/>
              <w:topLinePunct w:val="0"/>
              <w:autoSpaceDE w:val="0"/>
              <w:autoSpaceDN w:val="0"/>
              <w:bidi w:val="0"/>
              <w:adjustRightInd w:val="0"/>
              <w:snapToGrid w:val="0"/>
              <w:spacing w:before="187" w:line="219" w:lineRule="auto"/>
              <w:ind w:left="119"/>
              <w:textAlignment w:val="baseline"/>
              <w:outlineLvl w:val="9"/>
              <w:rPr>
                <w:highlight w:val="none"/>
              </w:rPr>
            </w:pPr>
            <w:r>
              <w:rPr>
                <w:b/>
                <w:bCs/>
                <w:spacing w:val="-1"/>
                <w:highlight w:val="none"/>
              </w:rPr>
              <w:t>本项目所属行业</w:t>
            </w:r>
          </w:p>
        </w:tc>
        <w:tc>
          <w:tcPr>
            <w:tcW w:w="6762" w:type="dxa"/>
            <w:vAlign w:val="top"/>
          </w:tcPr>
          <w:p w14:paraId="37C0DB04">
            <w:pPr>
              <w:pStyle w:val="11"/>
              <w:keepNext w:val="0"/>
              <w:keepLines w:val="0"/>
              <w:pageBreakBefore w:val="0"/>
              <w:widowControl w:val="0"/>
              <w:kinsoku w:val="0"/>
              <w:wordWrap/>
              <w:overflowPunct/>
              <w:topLinePunct w:val="0"/>
              <w:autoSpaceDE w:val="0"/>
              <w:autoSpaceDN w:val="0"/>
              <w:bidi w:val="0"/>
              <w:adjustRightInd w:val="0"/>
              <w:snapToGrid w:val="0"/>
              <w:spacing w:before="175" w:line="232" w:lineRule="auto"/>
              <w:ind w:left="125"/>
              <w:textAlignment w:val="baseline"/>
              <w:outlineLvl w:val="9"/>
              <w:rPr>
                <w:highlight w:val="none"/>
              </w:rPr>
            </w:pPr>
            <w:r>
              <w:rPr>
                <w:spacing w:val="-1"/>
                <w:highlight w:val="none"/>
              </w:rPr>
              <w:t>工业</w:t>
            </w:r>
          </w:p>
        </w:tc>
      </w:tr>
      <w:tr w14:paraId="54AE0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35" w:type="dxa"/>
            <w:vAlign w:val="top"/>
          </w:tcPr>
          <w:p w14:paraId="7A9DF29E">
            <w:pPr>
              <w:keepNext w:val="0"/>
              <w:keepLines w:val="0"/>
              <w:pageBreakBefore w:val="0"/>
              <w:widowControl w:val="0"/>
              <w:kinsoku w:val="0"/>
              <w:wordWrap/>
              <w:overflowPunct/>
              <w:topLinePunct w:val="0"/>
              <w:autoSpaceDE w:val="0"/>
              <w:autoSpaceDN w:val="0"/>
              <w:bidi w:val="0"/>
              <w:adjustRightInd w:val="0"/>
              <w:snapToGrid w:val="0"/>
              <w:spacing w:line="244" w:lineRule="auto"/>
              <w:textAlignment w:val="baseline"/>
              <w:outlineLvl w:val="9"/>
              <w:rPr>
                <w:rFonts w:ascii="Arial"/>
                <w:sz w:val="21"/>
                <w:highlight w:val="none"/>
              </w:rPr>
            </w:pPr>
          </w:p>
          <w:p w14:paraId="4A0C2655">
            <w:pPr>
              <w:keepNext w:val="0"/>
              <w:keepLines w:val="0"/>
              <w:pageBreakBefore w:val="0"/>
              <w:widowControl w:val="0"/>
              <w:kinsoku w:val="0"/>
              <w:wordWrap/>
              <w:overflowPunct/>
              <w:topLinePunct w:val="0"/>
              <w:autoSpaceDE w:val="0"/>
              <w:autoSpaceDN w:val="0"/>
              <w:bidi w:val="0"/>
              <w:adjustRightInd w:val="0"/>
              <w:snapToGrid w:val="0"/>
              <w:spacing w:line="245" w:lineRule="auto"/>
              <w:textAlignment w:val="baseline"/>
              <w:outlineLvl w:val="9"/>
              <w:rPr>
                <w:rFonts w:ascii="Arial"/>
                <w:sz w:val="21"/>
                <w:highlight w:val="none"/>
              </w:rPr>
            </w:pPr>
          </w:p>
          <w:p w14:paraId="25907B32">
            <w:pPr>
              <w:pStyle w:val="11"/>
              <w:keepNext w:val="0"/>
              <w:keepLines w:val="0"/>
              <w:pageBreakBefore w:val="0"/>
              <w:widowControl w:val="0"/>
              <w:kinsoku w:val="0"/>
              <w:wordWrap/>
              <w:overflowPunct/>
              <w:topLinePunct w:val="0"/>
              <w:autoSpaceDE w:val="0"/>
              <w:autoSpaceDN w:val="0"/>
              <w:bidi w:val="0"/>
              <w:adjustRightInd w:val="0"/>
              <w:snapToGrid w:val="0"/>
              <w:spacing w:before="78"/>
              <w:ind w:left="117"/>
              <w:textAlignment w:val="baseline"/>
              <w:outlineLvl w:val="9"/>
              <w:rPr>
                <w:rFonts w:hint="default" w:eastAsia="宋体"/>
                <w:highlight w:val="none"/>
                <w:lang w:val="en-US" w:eastAsia="zh-CN"/>
              </w:rPr>
            </w:pPr>
            <w:r>
              <w:rPr>
                <w:rFonts w:hint="eastAsia"/>
                <w:b/>
                <w:bCs/>
                <w:spacing w:val="-6"/>
                <w:highlight w:val="none"/>
                <w:lang w:val="en-US" w:eastAsia="zh-CN"/>
              </w:rPr>
              <w:t>50</w:t>
            </w:r>
          </w:p>
        </w:tc>
        <w:tc>
          <w:tcPr>
            <w:tcW w:w="2439" w:type="dxa"/>
            <w:vAlign w:val="top"/>
          </w:tcPr>
          <w:p w14:paraId="3D459031">
            <w:pPr>
              <w:keepNext w:val="0"/>
              <w:keepLines w:val="0"/>
              <w:pageBreakBefore w:val="0"/>
              <w:widowControl w:val="0"/>
              <w:kinsoku w:val="0"/>
              <w:wordWrap/>
              <w:overflowPunct/>
              <w:topLinePunct w:val="0"/>
              <w:autoSpaceDE w:val="0"/>
              <w:autoSpaceDN w:val="0"/>
              <w:bidi w:val="0"/>
              <w:adjustRightInd w:val="0"/>
              <w:snapToGrid w:val="0"/>
              <w:spacing w:line="244" w:lineRule="auto"/>
              <w:textAlignment w:val="baseline"/>
              <w:outlineLvl w:val="9"/>
              <w:rPr>
                <w:rFonts w:ascii="Arial"/>
                <w:sz w:val="21"/>
                <w:highlight w:val="none"/>
              </w:rPr>
            </w:pPr>
          </w:p>
          <w:p w14:paraId="325BE9D6">
            <w:pPr>
              <w:keepNext w:val="0"/>
              <w:keepLines w:val="0"/>
              <w:pageBreakBefore w:val="0"/>
              <w:widowControl w:val="0"/>
              <w:kinsoku w:val="0"/>
              <w:wordWrap/>
              <w:overflowPunct/>
              <w:topLinePunct w:val="0"/>
              <w:autoSpaceDE w:val="0"/>
              <w:autoSpaceDN w:val="0"/>
              <w:bidi w:val="0"/>
              <w:adjustRightInd w:val="0"/>
              <w:snapToGrid w:val="0"/>
              <w:spacing w:line="245" w:lineRule="auto"/>
              <w:textAlignment w:val="baseline"/>
              <w:outlineLvl w:val="9"/>
              <w:rPr>
                <w:rFonts w:ascii="Arial"/>
                <w:sz w:val="21"/>
                <w:highlight w:val="none"/>
              </w:rPr>
            </w:pPr>
          </w:p>
          <w:p w14:paraId="21C2C513">
            <w:pPr>
              <w:pStyle w:val="11"/>
              <w:keepNext w:val="0"/>
              <w:keepLines w:val="0"/>
              <w:pageBreakBefore w:val="0"/>
              <w:widowControl w:val="0"/>
              <w:kinsoku w:val="0"/>
              <w:wordWrap/>
              <w:overflowPunct/>
              <w:topLinePunct w:val="0"/>
              <w:autoSpaceDE w:val="0"/>
              <w:autoSpaceDN w:val="0"/>
              <w:bidi w:val="0"/>
              <w:adjustRightInd w:val="0"/>
              <w:snapToGrid w:val="0"/>
              <w:spacing w:before="78" w:line="220" w:lineRule="auto"/>
              <w:ind w:left="117"/>
              <w:textAlignment w:val="baseline"/>
              <w:outlineLvl w:val="9"/>
              <w:rPr>
                <w:highlight w:val="none"/>
              </w:rPr>
            </w:pPr>
            <w:r>
              <w:rPr>
                <w:b/>
                <w:bCs/>
                <w:spacing w:val="-2"/>
                <w:highlight w:val="none"/>
              </w:rPr>
              <w:t>政策落实</w:t>
            </w:r>
          </w:p>
        </w:tc>
        <w:tc>
          <w:tcPr>
            <w:tcW w:w="6762" w:type="dxa"/>
            <w:vAlign w:val="top"/>
          </w:tcPr>
          <w:p w14:paraId="164CFE5C">
            <w:pPr>
              <w:pStyle w:val="11"/>
              <w:keepNext w:val="0"/>
              <w:keepLines w:val="0"/>
              <w:pageBreakBefore w:val="0"/>
              <w:widowControl w:val="0"/>
              <w:kinsoku w:val="0"/>
              <w:wordWrap/>
              <w:overflowPunct/>
              <w:topLinePunct w:val="0"/>
              <w:autoSpaceDE w:val="0"/>
              <w:autoSpaceDN w:val="0"/>
              <w:bidi w:val="0"/>
              <w:adjustRightInd w:val="0"/>
              <w:snapToGrid w:val="0"/>
              <w:spacing w:before="68" w:line="243" w:lineRule="auto"/>
              <w:ind w:left="122" w:right="113"/>
              <w:jc w:val="both"/>
              <w:textAlignment w:val="baseline"/>
              <w:outlineLvl w:val="9"/>
              <w:rPr>
                <w:highlight w:val="none"/>
              </w:rPr>
            </w:pPr>
            <w:r>
              <w:rPr>
                <w:spacing w:val="10"/>
                <w:highlight w:val="none"/>
              </w:rPr>
              <w:t>根据关于贯彻落实《国务院办公厅关于在政府采购中实施本</w:t>
            </w:r>
            <w:r>
              <w:rPr>
                <w:spacing w:val="8"/>
                <w:highlight w:val="none"/>
              </w:rPr>
              <w:t>国产品标准及相关政策的通知》的意见，对本国产品的报价</w:t>
            </w:r>
            <w:r>
              <w:rPr>
                <w:spacing w:val="5"/>
                <w:highlight w:val="none"/>
              </w:rPr>
              <w:t>给予20%的价格扣除。供应商应逐项填写《关于符合本国产品</w:t>
            </w:r>
            <w:r>
              <w:rPr>
                <w:highlight w:val="none"/>
              </w:rPr>
              <w:t>标准的声明函》。</w:t>
            </w:r>
          </w:p>
        </w:tc>
      </w:tr>
      <w:tr w14:paraId="65548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9936" w:type="dxa"/>
            <w:gridSpan w:val="3"/>
            <w:vAlign w:val="top"/>
          </w:tcPr>
          <w:p w14:paraId="4F7C2463">
            <w:pPr>
              <w:spacing w:before="158" w:line="219" w:lineRule="auto"/>
              <w:ind w:left="481"/>
              <w:outlineLvl w:val="9"/>
              <w:rPr>
                <w:rFonts w:ascii="宋体" w:hAnsi="宋体" w:eastAsia="宋体" w:cs="宋体"/>
                <w:sz w:val="24"/>
                <w:szCs w:val="24"/>
                <w:highlight w:val="none"/>
              </w:rPr>
            </w:pPr>
            <w:r>
              <w:rPr>
                <w:rFonts w:ascii="宋体" w:hAnsi="宋体" w:eastAsia="宋体" w:cs="宋体"/>
                <w:sz w:val="24"/>
                <w:szCs w:val="24"/>
                <w:highlight w:val="none"/>
              </w:rPr>
              <w:t>注：本表内容与招标文件其它内容不一致的，应当以本表内容为准。</w:t>
            </w:r>
          </w:p>
          <w:p w14:paraId="4A26B930">
            <w:pPr>
              <w:pStyle w:val="11"/>
              <w:keepNext w:val="0"/>
              <w:keepLines w:val="0"/>
              <w:pageBreakBefore w:val="0"/>
              <w:widowControl w:val="0"/>
              <w:kinsoku w:val="0"/>
              <w:wordWrap/>
              <w:overflowPunct/>
              <w:topLinePunct w:val="0"/>
              <w:autoSpaceDE w:val="0"/>
              <w:autoSpaceDN w:val="0"/>
              <w:bidi w:val="0"/>
              <w:adjustRightInd w:val="0"/>
              <w:snapToGrid w:val="0"/>
              <w:spacing w:before="68" w:line="243" w:lineRule="auto"/>
              <w:ind w:left="122" w:right="113"/>
              <w:jc w:val="both"/>
              <w:textAlignment w:val="baseline"/>
              <w:outlineLvl w:val="9"/>
              <w:rPr>
                <w:spacing w:val="10"/>
                <w:highlight w:val="none"/>
              </w:rPr>
            </w:pPr>
          </w:p>
        </w:tc>
      </w:tr>
    </w:tbl>
    <w:p w14:paraId="02E78E5C">
      <w:pPr>
        <w:spacing w:line="219" w:lineRule="auto"/>
        <w:outlineLvl w:val="9"/>
        <w:rPr>
          <w:rFonts w:ascii="宋体" w:hAnsi="宋体" w:eastAsia="宋体" w:cs="宋体"/>
          <w:sz w:val="24"/>
          <w:szCs w:val="24"/>
          <w:highlight w:val="none"/>
        </w:rPr>
        <w:sectPr>
          <w:footerReference r:id="rId13" w:type="default"/>
          <w:pgSz w:w="11850" w:h="16781"/>
          <w:pgMar w:top="400" w:right="671" w:bottom="956" w:left="1236" w:header="0" w:footer="786" w:gutter="0"/>
          <w:pgNumType w:fmt="decimal"/>
          <w:cols w:space="720" w:num="1"/>
        </w:sectPr>
      </w:pPr>
    </w:p>
    <w:p w14:paraId="1D01DF54">
      <w:pPr>
        <w:pStyle w:val="2"/>
        <w:spacing w:line="294" w:lineRule="auto"/>
        <w:outlineLvl w:val="9"/>
        <w:rPr>
          <w:highlight w:val="none"/>
        </w:rPr>
      </w:pPr>
    </w:p>
    <w:p w14:paraId="7BD04C5C">
      <w:pPr>
        <w:spacing w:before="91" w:line="220" w:lineRule="auto"/>
        <w:ind w:left="3204"/>
        <w:outlineLvl w:val="9"/>
        <w:rPr>
          <w:rFonts w:ascii="宋体" w:hAnsi="宋体" w:eastAsia="宋体" w:cs="宋体"/>
          <w:sz w:val="28"/>
          <w:szCs w:val="28"/>
          <w:highlight w:val="none"/>
        </w:rPr>
      </w:pPr>
      <w:r>
        <w:rPr>
          <w:rFonts w:ascii="宋体" w:hAnsi="宋体" w:eastAsia="宋体" w:cs="宋体"/>
          <w:b/>
          <w:bCs/>
          <w:spacing w:val="-6"/>
          <w:sz w:val="28"/>
          <w:szCs w:val="28"/>
          <w:highlight w:val="none"/>
        </w:rPr>
        <w:t>投标人须知正文部分</w:t>
      </w:r>
    </w:p>
    <w:p w14:paraId="056B3851">
      <w:pPr>
        <w:pStyle w:val="2"/>
        <w:spacing w:line="327" w:lineRule="auto"/>
        <w:outlineLvl w:val="9"/>
        <w:rPr>
          <w:highlight w:val="none"/>
        </w:rPr>
      </w:pPr>
    </w:p>
    <w:p w14:paraId="0C89B3DC">
      <w:pPr>
        <w:spacing w:before="78" w:line="220" w:lineRule="auto"/>
        <w:ind w:left="38"/>
        <w:outlineLvl w:val="9"/>
        <w:rPr>
          <w:rFonts w:ascii="宋体" w:hAnsi="宋体" w:eastAsia="宋体" w:cs="宋体"/>
          <w:sz w:val="24"/>
          <w:szCs w:val="24"/>
          <w:highlight w:val="none"/>
        </w:rPr>
      </w:pPr>
      <w:r>
        <w:rPr>
          <w:rFonts w:ascii="宋体" w:hAnsi="宋体" w:eastAsia="宋体" w:cs="宋体"/>
          <w:b/>
          <w:bCs/>
          <w:spacing w:val="-8"/>
          <w:sz w:val="24"/>
          <w:szCs w:val="24"/>
          <w:highlight w:val="none"/>
        </w:rPr>
        <w:t>一、总则</w:t>
      </w:r>
    </w:p>
    <w:p w14:paraId="4BD14C1B">
      <w:pPr>
        <w:pStyle w:val="2"/>
        <w:spacing w:line="287" w:lineRule="auto"/>
        <w:outlineLvl w:val="9"/>
        <w:rPr>
          <w:highlight w:val="none"/>
        </w:rPr>
      </w:pPr>
    </w:p>
    <w:p w14:paraId="1379C41E">
      <w:pPr>
        <w:spacing w:before="78" w:line="219" w:lineRule="auto"/>
        <w:ind w:left="66"/>
        <w:outlineLvl w:val="9"/>
        <w:rPr>
          <w:rFonts w:ascii="宋体" w:hAnsi="宋体" w:eastAsia="宋体" w:cs="宋体"/>
          <w:sz w:val="24"/>
          <w:szCs w:val="24"/>
          <w:highlight w:val="none"/>
        </w:rPr>
      </w:pPr>
      <w:r>
        <w:rPr>
          <w:rFonts w:ascii="宋体" w:hAnsi="宋体" w:eastAsia="宋体" w:cs="宋体"/>
          <w:b/>
          <w:bCs/>
          <w:spacing w:val="-14"/>
          <w:sz w:val="24"/>
          <w:szCs w:val="24"/>
          <w:highlight w:val="none"/>
        </w:rPr>
        <w:t>1.说明</w:t>
      </w:r>
    </w:p>
    <w:p w14:paraId="3E0E5CBE">
      <w:pPr>
        <w:spacing w:before="189" w:line="219" w:lineRule="auto"/>
        <w:ind w:left="548"/>
        <w:outlineLvl w:val="9"/>
        <w:rPr>
          <w:rFonts w:ascii="宋体" w:hAnsi="宋体" w:eastAsia="宋体" w:cs="宋体"/>
          <w:sz w:val="24"/>
          <w:szCs w:val="24"/>
          <w:highlight w:val="none"/>
        </w:rPr>
      </w:pPr>
      <w:r>
        <w:rPr>
          <w:rFonts w:ascii="宋体" w:hAnsi="宋体" w:eastAsia="宋体" w:cs="宋体"/>
          <w:spacing w:val="-3"/>
          <w:sz w:val="24"/>
          <w:szCs w:val="24"/>
          <w:highlight w:val="none"/>
        </w:rPr>
        <w:t>1.1本招标文件适用于本次招标采购项目的招标投标。</w:t>
      </w:r>
    </w:p>
    <w:p w14:paraId="3CFE6A95">
      <w:pPr>
        <w:spacing w:before="191" w:line="220" w:lineRule="auto"/>
        <w:ind w:left="34"/>
        <w:outlineLvl w:val="9"/>
        <w:rPr>
          <w:rFonts w:ascii="宋体" w:hAnsi="宋体" w:eastAsia="宋体" w:cs="宋体"/>
          <w:sz w:val="24"/>
          <w:szCs w:val="24"/>
          <w:highlight w:val="none"/>
        </w:rPr>
      </w:pPr>
      <w:r>
        <w:rPr>
          <w:rFonts w:ascii="宋体" w:hAnsi="宋体" w:eastAsia="宋体" w:cs="宋体"/>
          <w:b/>
          <w:bCs/>
          <w:spacing w:val="-8"/>
          <w:sz w:val="24"/>
          <w:szCs w:val="24"/>
          <w:highlight w:val="none"/>
        </w:rPr>
        <w:t>2.定义</w:t>
      </w:r>
    </w:p>
    <w:p w14:paraId="0C15BE7B">
      <w:pPr>
        <w:spacing w:before="188" w:line="219" w:lineRule="auto"/>
        <w:ind w:left="519"/>
        <w:outlineLvl w:val="9"/>
        <w:rPr>
          <w:rFonts w:ascii="宋体" w:hAnsi="宋体" w:eastAsia="宋体" w:cs="宋体"/>
          <w:sz w:val="24"/>
          <w:szCs w:val="24"/>
          <w:highlight w:val="none"/>
        </w:rPr>
      </w:pPr>
      <w:r>
        <w:rPr>
          <w:rFonts w:ascii="宋体" w:hAnsi="宋体" w:eastAsia="宋体" w:cs="宋体"/>
          <w:spacing w:val="-4"/>
          <w:sz w:val="24"/>
          <w:szCs w:val="24"/>
          <w:highlight w:val="none"/>
        </w:rPr>
        <w:t>2.1“采购人”见“投标人须知前附表”。</w:t>
      </w:r>
    </w:p>
    <w:p w14:paraId="7B2F0132">
      <w:pPr>
        <w:spacing w:before="193" w:line="219" w:lineRule="auto"/>
        <w:ind w:left="519"/>
        <w:outlineLvl w:val="9"/>
        <w:rPr>
          <w:rFonts w:ascii="宋体" w:hAnsi="宋体" w:eastAsia="宋体" w:cs="宋体"/>
          <w:sz w:val="24"/>
          <w:szCs w:val="24"/>
          <w:highlight w:val="none"/>
        </w:rPr>
      </w:pPr>
      <w:r>
        <w:rPr>
          <w:rFonts w:ascii="宋体" w:hAnsi="宋体" w:eastAsia="宋体" w:cs="宋体"/>
          <w:spacing w:val="-3"/>
          <w:sz w:val="24"/>
          <w:szCs w:val="24"/>
          <w:highlight w:val="none"/>
        </w:rPr>
        <w:t>2.2“采购代理机构”见“投标人须知前附表”。</w:t>
      </w:r>
    </w:p>
    <w:p w14:paraId="15861779">
      <w:pPr>
        <w:spacing w:before="191" w:line="219" w:lineRule="auto"/>
        <w:ind w:left="519"/>
        <w:outlineLvl w:val="9"/>
        <w:rPr>
          <w:rFonts w:ascii="宋体" w:hAnsi="宋体" w:eastAsia="宋体" w:cs="宋体"/>
          <w:sz w:val="24"/>
          <w:szCs w:val="24"/>
          <w:highlight w:val="none"/>
        </w:rPr>
      </w:pPr>
      <w:r>
        <w:rPr>
          <w:rFonts w:ascii="宋体" w:hAnsi="宋体" w:eastAsia="宋体" w:cs="宋体"/>
          <w:spacing w:val="-3"/>
          <w:sz w:val="24"/>
          <w:szCs w:val="24"/>
          <w:highlight w:val="none"/>
        </w:rPr>
        <w:t>2.3“招标货物”指招标文件第三部分所述所有货物。</w:t>
      </w:r>
    </w:p>
    <w:p w14:paraId="7C2C5169">
      <w:pPr>
        <w:spacing w:before="193" w:line="219" w:lineRule="auto"/>
        <w:ind w:left="519"/>
        <w:outlineLvl w:val="9"/>
        <w:rPr>
          <w:rFonts w:ascii="宋体" w:hAnsi="宋体" w:eastAsia="宋体" w:cs="宋体"/>
          <w:sz w:val="24"/>
          <w:szCs w:val="24"/>
          <w:highlight w:val="none"/>
        </w:rPr>
      </w:pPr>
      <w:r>
        <w:rPr>
          <w:rFonts w:ascii="宋体" w:hAnsi="宋体" w:eastAsia="宋体" w:cs="宋体"/>
          <w:spacing w:val="-3"/>
          <w:sz w:val="24"/>
          <w:szCs w:val="24"/>
          <w:highlight w:val="none"/>
        </w:rPr>
        <w:t>2.4“潜在投标人”指符合招标文件各项规定的投标人。</w:t>
      </w:r>
    </w:p>
    <w:p w14:paraId="5A0C51AD">
      <w:pPr>
        <w:spacing w:before="191" w:line="219" w:lineRule="auto"/>
        <w:ind w:left="519"/>
        <w:outlineLvl w:val="9"/>
        <w:rPr>
          <w:rFonts w:ascii="宋体" w:hAnsi="宋体" w:eastAsia="宋体" w:cs="宋体"/>
          <w:sz w:val="24"/>
          <w:szCs w:val="24"/>
          <w:highlight w:val="none"/>
        </w:rPr>
      </w:pPr>
      <w:r>
        <w:rPr>
          <w:rFonts w:ascii="宋体" w:hAnsi="宋体" w:eastAsia="宋体" w:cs="宋体"/>
          <w:spacing w:val="-3"/>
          <w:sz w:val="24"/>
          <w:szCs w:val="24"/>
          <w:highlight w:val="none"/>
        </w:rPr>
        <w:t>2.5“投标人”指符合招标文件规定并参加投标的投标人。</w:t>
      </w:r>
    </w:p>
    <w:p w14:paraId="4294D963">
      <w:pPr>
        <w:spacing w:before="192" w:line="219" w:lineRule="auto"/>
        <w:ind w:left="519"/>
        <w:outlineLvl w:val="9"/>
        <w:rPr>
          <w:rFonts w:ascii="宋体" w:hAnsi="宋体" w:eastAsia="宋体" w:cs="宋体"/>
          <w:sz w:val="24"/>
          <w:szCs w:val="24"/>
          <w:highlight w:val="none"/>
        </w:rPr>
      </w:pPr>
      <w:r>
        <w:rPr>
          <w:rFonts w:ascii="宋体" w:hAnsi="宋体" w:eastAsia="宋体" w:cs="宋体"/>
          <w:spacing w:val="-2"/>
          <w:sz w:val="24"/>
          <w:szCs w:val="24"/>
          <w:highlight w:val="none"/>
        </w:rPr>
        <w:t>2.6“投标人公章”在投标文件中指与投标人标准公章一致的投标人签章</w:t>
      </w:r>
    </w:p>
    <w:p w14:paraId="69C73A6A">
      <w:pPr>
        <w:spacing w:before="154" w:line="121" w:lineRule="exact"/>
        <w:ind w:left="540"/>
        <w:outlineLvl w:val="9"/>
        <w:rPr>
          <w:rFonts w:ascii="宋体" w:hAnsi="宋体" w:eastAsia="宋体" w:cs="宋体"/>
          <w:sz w:val="24"/>
          <w:szCs w:val="24"/>
          <w:highlight w:val="none"/>
        </w:rPr>
      </w:pPr>
      <w:r>
        <w:rPr>
          <w:rFonts w:ascii="宋体" w:hAnsi="宋体" w:eastAsia="宋体" w:cs="宋体"/>
          <w:position w:val="1"/>
          <w:sz w:val="24"/>
          <w:szCs w:val="24"/>
          <w:highlight w:val="none"/>
        </w:rPr>
        <w:t>。</w:t>
      </w:r>
    </w:p>
    <w:p w14:paraId="1499ACFF">
      <w:pPr>
        <w:spacing w:before="276" w:line="219" w:lineRule="auto"/>
        <w:ind w:left="39"/>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3.合格投标人的条件</w:t>
      </w:r>
    </w:p>
    <w:p w14:paraId="39D9092B">
      <w:pPr>
        <w:spacing w:before="236" w:line="303" w:lineRule="auto"/>
        <w:ind w:left="36" w:right="131" w:firstLine="485"/>
        <w:outlineLvl w:val="9"/>
        <w:rPr>
          <w:rFonts w:ascii="宋体" w:hAnsi="宋体" w:eastAsia="宋体" w:cs="宋体"/>
          <w:sz w:val="24"/>
          <w:szCs w:val="24"/>
          <w:highlight w:val="none"/>
        </w:rPr>
      </w:pPr>
      <w:r>
        <w:rPr>
          <w:rFonts w:ascii="宋体" w:hAnsi="宋体" w:eastAsia="宋体" w:cs="宋体"/>
          <w:sz w:val="24"/>
          <w:szCs w:val="24"/>
          <w:highlight w:val="none"/>
        </w:rPr>
        <w:t>3.1具有本项目生产、制造、供应或实施能</w:t>
      </w:r>
      <w:r>
        <w:rPr>
          <w:rFonts w:ascii="宋体" w:hAnsi="宋体" w:eastAsia="宋体" w:cs="宋体"/>
          <w:spacing w:val="-1"/>
          <w:sz w:val="24"/>
          <w:szCs w:val="24"/>
          <w:highlight w:val="none"/>
        </w:rPr>
        <w:t>力，符合、承认并承诺履行本文件各项规定的国内投标人均可参加投标。</w:t>
      </w:r>
    </w:p>
    <w:p w14:paraId="0E340A23">
      <w:pPr>
        <w:spacing w:before="210" w:line="303" w:lineRule="auto"/>
        <w:ind w:left="32" w:right="129" w:firstLine="488"/>
        <w:outlineLvl w:val="9"/>
        <w:rPr>
          <w:rFonts w:ascii="宋体" w:hAnsi="宋体" w:eastAsia="宋体" w:cs="宋体"/>
          <w:sz w:val="24"/>
          <w:szCs w:val="24"/>
          <w:highlight w:val="none"/>
        </w:rPr>
      </w:pPr>
      <w:r>
        <w:rPr>
          <w:rFonts w:ascii="宋体" w:hAnsi="宋体" w:eastAsia="宋体" w:cs="宋体"/>
          <w:sz w:val="24"/>
          <w:szCs w:val="24"/>
          <w:highlight w:val="none"/>
        </w:rPr>
        <w:t>3.2遵守有关的国家法律、法规和条例，具备《中华人民共和国政府采购</w:t>
      </w:r>
      <w:r>
        <w:rPr>
          <w:rFonts w:ascii="宋体" w:hAnsi="宋体" w:eastAsia="宋体" w:cs="宋体"/>
          <w:spacing w:val="-2"/>
          <w:sz w:val="24"/>
          <w:szCs w:val="24"/>
          <w:highlight w:val="none"/>
        </w:rPr>
        <w:t>法》和本文件中规定的条件：</w:t>
      </w:r>
    </w:p>
    <w:p w14:paraId="7CF80079">
      <w:pPr>
        <w:spacing w:before="190" w:line="219" w:lineRule="auto"/>
        <w:ind w:left="548"/>
        <w:outlineLvl w:val="9"/>
        <w:rPr>
          <w:rFonts w:ascii="宋体" w:hAnsi="宋体" w:eastAsia="宋体" w:cs="宋体"/>
          <w:sz w:val="24"/>
          <w:szCs w:val="24"/>
          <w:highlight w:val="none"/>
        </w:rPr>
      </w:pPr>
      <w:r>
        <w:rPr>
          <w:rFonts w:ascii="宋体" w:hAnsi="宋体" w:eastAsia="宋体" w:cs="宋体"/>
          <w:spacing w:val="-3"/>
          <w:sz w:val="24"/>
          <w:szCs w:val="24"/>
          <w:highlight w:val="none"/>
        </w:rPr>
        <w:t>1)具有独立承担民事责任的能力；</w:t>
      </w:r>
    </w:p>
    <w:p w14:paraId="2BE4C753">
      <w:pPr>
        <w:spacing w:before="211" w:line="219" w:lineRule="auto"/>
        <w:ind w:left="519"/>
        <w:outlineLvl w:val="9"/>
        <w:rPr>
          <w:rFonts w:ascii="宋体" w:hAnsi="宋体" w:eastAsia="宋体" w:cs="宋体"/>
          <w:sz w:val="24"/>
          <w:szCs w:val="24"/>
          <w:highlight w:val="none"/>
        </w:rPr>
      </w:pPr>
      <w:r>
        <w:rPr>
          <w:rFonts w:ascii="宋体" w:hAnsi="宋体" w:eastAsia="宋体" w:cs="宋体"/>
          <w:spacing w:val="-1"/>
          <w:sz w:val="24"/>
          <w:szCs w:val="24"/>
          <w:highlight w:val="none"/>
        </w:rPr>
        <w:t>2)具有良好的商业信誉和健全的财务会计制度；</w:t>
      </w:r>
    </w:p>
    <w:p w14:paraId="6A0270E2">
      <w:pPr>
        <w:spacing w:before="218" w:line="219" w:lineRule="auto"/>
        <w:ind w:left="521"/>
        <w:outlineLvl w:val="9"/>
        <w:rPr>
          <w:rFonts w:ascii="宋体" w:hAnsi="宋体" w:eastAsia="宋体" w:cs="宋体"/>
          <w:sz w:val="24"/>
          <w:szCs w:val="24"/>
          <w:highlight w:val="none"/>
        </w:rPr>
      </w:pPr>
      <w:r>
        <w:rPr>
          <w:rFonts w:ascii="宋体" w:hAnsi="宋体" w:eastAsia="宋体" w:cs="宋体"/>
          <w:spacing w:val="-1"/>
          <w:sz w:val="24"/>
          <w:szCs w:val="24"/>
          <w:highlight w:val="none"/>
        </w:rPr>
        <w:t>3)具有履行合同所必需的设备和专业技术能力；</w:t>
      </w:r>
    </w:p>
    <w:p w14:paraId="77003271">
      <w:pPr>
        <w:spacing w:before="214" w:line="219" w:lineRule="auto"/>
        <w:ind w:left="510"/>
        <w:outlineLvl w:val="9"/>
        <w:rPr>
          <w:rFonts w:ascii="宋体" w:hAnsi="宋体" w:eastAsia="宋体" w:cs="宋体"/>
          <w:sz w:val="24"/>
          <w:szCs w:val="24"/>
          <w:highlight w:val="none"/>
        </w:rPr>
      </w:pPr>
      <w:r>
        <w:rPr>
          <w:rFonts w:ascii="宋体" w:hAnsi="宋体" w:eastAsia="宋体" w:cs="宋体"/>
          <w:spacing w:val="-1"/>
          <w:sz w:val="24"/>
          <w:szCs w:val="24"/>
          <w:highlight w:val="none"/>
        </w:rPr>
        <w:t>4)具有依法缴纳税收和社会保障资金的良好记录；</w:t>
      </w:r>
    </w:p>
    <w:p w14:paraId="7435BC1D">
      <w:pPr>
        <w:spacing w:before="212" w:line="219" w:lineRule="auto"/>
        <w:ind w:left="521"/>
        <w:outlineLvl w:val="9"/>
        <w:rPr>
          <w:rFonts w:ascii="宋体" w:hAnsi="宋体" w:eastAsia="宋体" w:cs="宋体"/>
          <w:sz w:val="24"/>
          <w:szCs w:val="24"/>
          <w:highlight w:val="none"/>
        </w:rPr>
      </w:pPr>
      <w:r>
        <w:rPr>
          <w:rFonts w:ascii="宋体" w:hAnsi="宋体" w:eastAsia="宋体" w:cs="宋体"/>
          <w:sz w:val="24"/>
          <w:szCs w:val="24"/>
          <w:highlight w:val="none"/>
        </w:rPr>
        <w:t>5)参加政府采购活动前三年内，在经营活动中没有重大违法记录；</w:t>
      </w:r>
    </w:p>
    <w:p w14:paraId="68CEBFE1">
      <w:pPr>
        <w:spacing w:before="218" w:line="219" w:lineRule="auto"/>
        <w:ind w:left="516"/>
        <w:outlineLvl w:val="9"/>
        <w:rPr>
          <w:rFonts w:ascii="宋体" w:hAnsi="宋体" w:eastAsia="宋体" w:cs="宋体"/>
          <w:sz w:val="24"/>
          <w:szCs w:val="24"/>
          <w:highlight w:val="none"/>
        </w:rPr>
      </w:pPr>
      <w:r>
        <w:rPr>
          <w:rFonts w:ascii="宋体" w:hAnsi="宋体" w:eastAsia="宋体" w:cs="宋体"/>
          <w:spacing w:val="-1"/>
          <w:sz w:val="24"/>
          <w:szCs w:val="24"/>
          <w:highlight w:val="none"/>
        </w:rPr>
        <w:t>6)法律、行政法规规定的其他条件；</w:t>
      </w:r>
    </w:p>
    <w:p w14:paraId="5B499875">
      <w:pPr>
        <w:spacing w:before="213" w:line="219" w:lineRule="auto"/>
        <w:ind w:left="524"/>
        <w:outlineLvl w:val="9"/>
        <w:rPr>
          <w:rFonts w:ascii="宋体" w:hAnsi="宋体" w:eastAsia="宋体" w:cs="宋体"/>
          <w:sz w:val="24"/>
          <w:szCs w:val="24"/>
          <w:highlight w:val="none"/>
        </w:rPr>
      </w:pPr>
      <w:r>
        <w:rPr>
          <w:rFonts w:ascii="宋体" w:hAnsi="宋体" w:eastAsia="宋体" w:cs="宋体"/>
          <w:spacing w:val="-2"/>
          <w:sz w:val="24"/>
          <w:szCs w:val="24"/>
          <w:highlight w:val="none"/>
        </w:rPr>
        <w:t>7)具有本招标文件第二部分“投标人须知前附表”中规定的资格条件。</w:t>
      </w:r>
    </w:p>
    <w:p w14:paraId="739313B0">
      <w:pPr>
        <w:spacing w:before="236" w:line="376" w:lineRule="auto"/>
        <w:ind w:left="34" w:right="152" w:firstLine="486"/>
        <w:outlineLvl w:val="9"/>
        <w:rPr>
          <w:rFonts w:ascii="宋体" w:hAnsi="宋体" w:eastAsia="宋体" w:cs="宋体"/>
          <w:sz w:val="24"/>
          <w:szCs w:val="24"/>
          <w:highlight w:val="none"/>
        </w:rPr>
      </w:pPr>
      <w:r>
        <w:rPr>
          <w:rFonts w:ascii="宋体" w:hAnsi="宋体" w:eastAsia="宋体" w:cs="宋体"/>
          <w:spacing w:val="-1"/>
          <w:sz w:val="24"/>
          <w:szCs w:val="24"/>
          <w:highlight w:val="none"/>
        </w:rPr>
        <w:t>3.3投标人之间如果存在下列情形之一的，不得同时参加同一包（标段）或者不分包（标段）的同一项目投标：</w:t>
      </w:r>
    </w:p>
    <w:p w14:paraId="5ADBD74B">
      <w:pPr>
        <w:spacing w:line="219" w:lineRule="auto"/>
        <w:ind w:left="521"/>
        <w:outlineLvl w:val="9"/>
        <w:rPr>
          <w:rFonts w:ascii="宋体" w:hAnsi="宋体" w:eastAsia="宋体" w:cs="宋体"/>
          <w:sz w:val="24"/>
          <w:szCs w:val="24"/>
          <w:highlight w:val="none"/>
        </w:rPr>
      </w:pPr>
      <w:r>
        <w:rPr>
          <w:rFonts w:ascii="宋体" w:hAnsi="宋体" w:eastAsia="宋体" w:cs="宋体"/>
          <w:spacing w:val="-1"/>
          <w:sz w:val="24"/>
          <w:szCs w:val="24"/>
          <w:highlight w:val="none"/>
        </w:rPr>
        <w:t>3.3.1法定代表人为同一个人的两个及两个以上法人；</w:t>
      </w:r>
    </w:p>
    <w:p w14:paraId="56007C59">
      <w:pPr>
        <w:spacing w:line="219" w:lineRule="auto"/>
        <w:outlineLvl w:val="9"/>
        <w:rPr>
          <w:rFonts w:ascii="宋体" w:hAnsi="宋体" w:eastAsia="宋体" w:cs="宋体"/>
          <w:sz w:val="24"/>
          <w:szCs w:val="24"/>
          <w:highlight w:val="none"/>
        </w:rPr>
        <w:sectPr>
          <w:footerReference r:id="rId14" w:type="default"/>
          <w:pgSz w:w="11850" w:h="16781"/>
          <w:pgMar w:top="1426" w:right="1777" w:bottom="1011" w:left="1777" w:header="0" w:footer="766" w:gutter="0"/>
          <w:pgNumType w:fmt="decimal"/>
          <w:cols w:space="720" w:num="1"/>
        </w:sectPr>
      </w:pPr>
    </w:p>
    <w:p w14:paraId="1E2E9A39">
      <w:pPr>
        <w:pStyle w:val="2"/>
        <w:spacing w:line="447" w:lineRule="auto"/>
        <w:outlineLvl w:val="9"/>
        <w:rPr>
          <w:highlight w:val="none"/>
        </w:rPr>
      </w:pPr>
    </w:p>
    <w:p w14:paraId="27867F29">
      <w:pPr>
        <w:spacing w:before="78" w:line="220" w:lineRule="auto"/>
        <w:ind w:left="521"/>
        <w:outlineLvl w:val="9"/>
        <w:rPr>
          <w:rFonts w:ascii="宋体" w:hAnsi="宋体" w:eastAsia="宋体" w:cs="宋体"/>
          <w:sz w:val="24"/>
          <w:szCs w:val="24"/>
          <w:highlight w:val="none"/>
        </w:rPr>
      </w:pPr>
      <w:r>
        <w:rPr>
          <w:rFonts w:ascii="宋体" w:hAnsi="宋体" w:eastAsia="宋体" w:cs="宋体"/>
          <w:spacing w:val="-2"/>
          <w:sz w:val="24"/>
          <w:szCs w:val="24"/>
          <w:highlight w:val="none"/>
        </w:rPr>
        <w:t>3.3.2母公司、全资子公司及其控股公司；</w:t>
      </w:r>
    </w:p>
    <w:p w14:paraId="1C4CE460">
      <w:pPr>
        <w:spacing w:before="19" w:line="219" w:lineRule="auto"/>
        <w:ind w:left="516"/>
        <w:outlineLvl w:val="9"/>
        <w:rPr>
          <w:rFonts w:ascii="宋体" w:hAnsi="宋体" w:eastAsia="宋体" w:cs="宋体"/>
          <w:sz w:val="24"/>
          <w:szCs w:val="24"/>
          <w:highlight w:val="none"/>
        </w:rPr>
      </w:pPr>
      <w:r>
        <w:rPr>
          <w:rFonts w:ascii="宋体" w:hAnsi="宋体" w:eastAsia="宋体" w:cs="宋体"/>
          <w:spacing w:val="-1"/>
          <w:sz w:val="24"/>
          <w:szCs w:val="24"/>
          <w:highlight w:val="none"/>
        </w:rPr>
        <w:t>3.3.3参加投标的其他组织之间存在特殊的利害关系的；</w:t>
      </w:r>
    </w:p>
    <w:p w14:paraId="32ADE14D">
      <w:pPr>
        <w:spacing w:before="137" w:line="219" w:lineRule="auto"/>
        <w:ind w:left="523"/>
        <w:outlineLvl w:val="9"/>
        <w:rPr>
          <w:rFonts w:ascii="宋体" w:hAnsi="宋体" w:eastAsia="宋体" w:cs="宋体"/>
          <w:sz w:val="24"/>
          <w:szCs w:val="24"/>
          <w:highlight w:val="none"/>
        </w:rPr>
      </w:pPr>
      <w:r>
        <w:rPr>
          <w:rFonts w:ascii="宋体" w:hAnsi="宋体" w:eastAsia="宋体" w:cs="宋体"/>
          <w:spacing w:val="-2"/>
          <w:sz w:val="24"/>
          <w:szCs w:val="24"/>
          <w:highlight w:val="none"/>
        </w:rPr>
        <w:t>3.3.4法律和行政法规规定的其他情形。</w:t>
      </w:r>
    </w:p>
    <w:p w14:paraId="2A511C8E">
      <w:pPr>
        <w:spacing w:before="211" w:line="219" w:lineRule="auto"/>
        <w:ind w:left="523"/>
        <w:outlineLvl w:val="9"/>
        <w:rPr>
          <w:rFonts w:ascii="宋体" w:hAnsi="宋体" w:eastAsia="宋体" w:cs="宋体"/>
          <w:sz w:val="24"/>
          <w:szCs w:val="24"/>
          <w:highlight w:val="none"/>
        </w:rPr>
      </w:pPr>
      <w:r>
        <w:rPr>
          <w:rFonts w:ascii="宋体" w:hAnsi="宋体" w:eastAsia="宋体" w:cs="宋体"/>
          <w:spacing w:val="-1"/>
          <w:sz w:val="24"/>
          <w:szCs w:val="24"/>
          <w:highlight w:val="none"/>
        </w:rPr>
        <w:t>3.4投标人委托代理人须持有《法定代表人授权委托书》。</w:t>
      </w:r>
    </w:p>
    <w:p w14:paraId="5ABF2279">
      <w:pPr>
        <w:spacing w:before="159" w:line="318" w:lineRule="auto"/>
        <w:ind w:left="34" w:right="114" w:firstLine="489"/>
        <w:outlineLvl w:val="9"/>
        <w:rPr>
          <w:rFonts w:ascii="宋体" w:hAnsi="宋体" w:eastAsia="宋体" w:cs="宋体"/>
          <w:sz w:val="24"/>
          <w:szCs w:val="24"/>
          <w:highlight w:val="none"/>
        </w:rPr>
      </w:pPr>
      <w:r>
        <w:rPr>
          <w:rFonts w:ascii="宋体" w:hAnsi="宋体" w:eastAsia="宋体" w:cs="宋体"/>
          <w:sz w:val="24"/>
          <w:szCs w:val="24"/>
          <w:highlight w:val="none"/>
        </w:rPr>
        <w:t>3.5本次招标是否允许由两个以上投标人组成一个联合体以一个投标</w:t>
      </w:r>
      <w:r>
        <w:rPr>
          <w:rFonts w:ascii="宋体" w:hAnsi="宋体" w:eastAsia="宋体" w:cs="宋体"/>
          <w:spacing w:val="-1"/>
          <w:sz w:val="24"/>
          <w:szCs w:val="24"/>
          <w:highlight w:val="none"/>
        </w:rPr>
        <w:t>人身</w:t>
      </w:r>
      <w:r>
        <w:rPr>
          <w:rFonts w:ascii="宋体" w:hAnsi="宋体" w:eastAsia="宋体" w:cs="宋体"/>
          <w:spacing w:val="-2"/>
          <w:sz w:val="24"/>
          <w:szCs w:val="24"/>
          <w:highlight w:val="none"/>
        </w:rPr>
        <w:t>份共同投标，按照招标文件第二部分“投标人须</w:t>
      </w:r>
      <w:r>
        <w:rPr>
          <w:rFonts w:ascii="宋体" w:hAnsi="宋体" w:eastAsia="宋体" w:cs="宋体"/>
          <w:spacing w:val="-3"/>
          <w:sz w:val="24"/>
          <w:szCs w:val="24"/>
          <w:highlight w:val="none"/>
        </w:rPr>
        <w:t>知前附表”中规定。如果允许</w:t>
      </w:r>
      <w:r>
        <w:rPr>
          <w:rFonts w:ascii="宋体" w:hAnsi="宋体" w:eastAsia="宋体" w:cs="宋体"/>
          <w:spacing w:val="-5"/>
          <w:sz w:val="24"/>
          <w:szCs w:val="24"/>
          <w:highlight w:val="none"/>
        </w:rPr>
        <w:t>,除均应符合上述规定外，还应符合下列要求：</w:t>
      </w:r>
    </w:p>
    <w:p w14:paraId="5D52A3A1">
      <w:pPr>
        <w:spacing w:before="184" w:line="346" w:lineRule="auto"/>
        <w:ind w:left="32" w:right="117" w:firstLine="518"/>
        <w:outlineLvl w:val="9"/>
        <w:rPr>
          <w:rFonts w:ascii="宋体" w:hAnsi="宋体" w:eastAsia="宋体" w:cs="宋体"/>
          <w:sz w:val="24"/>
          <w:szCs w:val="24"/>
          <w:highlight w:val="none"/>
        </w:rPr>
      </w:pPr>
      <w:r>
        <w:rPr>
          <w:rFonts w:ascii="宋体" w:hAnsi="宋体" w:eastAsia="宋体" w:cs="宋体"/>
          <w:spacing w:val="-1"/>
          <w:sz w:val="24"/>
          <w:szCs w:val="24"/>
          <w:highlight w:val="none"/>
        </w:rPr>
        <w:t>1）联合体投标应提供“联合投标协议书”，该协议书对联合投标各</w:t>
      </w:r>
      <w:r>
        <w:rPr>
          <w:rFonts w:ascii="宋体" w:hAnsi="宋体" w:eastAsia="宋体" w:cs="宋体"/>
          <w:spacing w:val="-2"/>
          <w:sz w:val="24"/>
          <w:szCs w:val="24"/>
          <w:highlight w:val="none"/>
        </w:rPr>
        <w:t>方均</w:t>
      </w:r>
      <w:r>
        <w:rPr>
          <w:rFonts w:ascii="宋体" w:hAnsi="宋体" w:eastAsia="宋体" w:cs="宋体"/>
          <w:spacing w:val="-1"/>
          <w:sz w:val="24"/>
          <w:szCs w:val="24"/>
          <w:highlight w:val="none"/>
        </w:rPr>
        <w:t>具有法律约束力。联合投标体必须确定其中一方为投标的全权代表参加投标活动，并承担投标及履约活动中的全部责任与义务，且联合体各方无论是否实际参加、发生的情形怎样，一旦该联合体实际开始投标，联合体各方均应当就本次采购所引起或相关的任何或所有事项、义务、责任、损失等承担连带责任。申请参与本项目联合投标成员各自均应具备政府有权机构核发的有效营业执照；均应是自主经营、独立核算、处于持续正常经营状态的经济实体。</w:t>
      </w:r>
    </w:p>
    <w:p w14:paraId="03D121BD">
      <w:pPr>
        <w:spacing w:before="190" w:line="292" w:lineRule="auto"/>
        <w:ind w:left="32" w:right="195" w:firstLine="486"/>
        <w:outlineLvl w:val="9"/>
        <w:rPr>
          <w:rFonts w:ascii="宋体" w:hAnsi="宋体" w:eastAsia="宋体" w:cs="宋体"/>
          <w:sz w:val="24"/>
          <w:szCs w:val="24"/>
          <w:highlight w:val="none"/>
        </w:rPr>
      </w:pPr>
      <w:r>
        <w:rPr>
          <w:rFonts w:ascii="宋体" w:hAnsi="宋体" w:eastAsia="宋体" w:cs="宋体"/>
          <w:spacing w:val="1"/>
          <w:sz w:val="24"/>
          <w:szCs w:val="24"/>
          <w:highlight w:val="none"/>
        </w:rPr>
        <w:t>2）联合体各方中至少应当有一方对应满足</w:t>
      </w:r>
      <w:r>
        <w:rPr>
          <w:rFonts w:ascii="宋体" w:hAnsi="宋体" w:eastAsia="宋体" w:cs="宋体"/>
          <w:sz w:val="24"/>
          <w:szCs w:val="24"/>
          <w:highlight w:val="none"/>
        </w:rPr>
        <w:t>本项目规定的相应资质条件，</w:t>
      </w:r>
      <w:r>
        <w:rPr>
          <w:rFonts w:ascii="宋体" w:hAnsi="宋体" w:eastAsia="宋体" w:cs="宋体"/>
          <w:spacing w:val="1"/>
          <w:sz w:val="24"/>
          <w:szCs w:val="24"/>
          <w:highlight w:val="none"/>
        </w:rPr>
        <w:t>并且联合体投标人整体应当符合本项目的资质要求，否</w:t>
      </w:r>
      <w:r>
        <w:rPr>
          <w:rFonts w:ascii="宋体" w:hAnsi="宋体" w:eastAsia="宋体" w:cs="宋体"/>
          <w:sz w:val="24"/>
          <w:szCs w:val="24"/>
          <w:highlight w:val="none"/>
        </w:rPr>
        <w:t>则，其提交的联合投</w:t>
      </w:r>
      <w:r>
        <w:rPr>
          <w:rFonts w:ascii="宋体" w:hAnsi="宋体" w:eastAsia="宋体" w:cs="宋体"/>
          <w:spacing w:val="-1"/>
          <w:sz w:val="24"/>
          <w:szCs w:val="24"/>
          <w:highlight w:val="none"/>
        </w:rPr>
        <w:t>标将被拒绝。</w:t>
      </w:r>
    </w:p>
    <w:p w14:paraId="756CB3F9">
      <w:pPr>
        <w:spacing w:before="186" w:line="319" w:lineRule="auto"/>
        <w:ind w:left="34" w:right="136" w:firstLine="489"/>
        <w:outlineLvl w:val="9"/>
        <w:rPr>
          <w:rFonts w:ascii="宋体" w:hAnsi="宋体" w:eastAsia="宋体" w:cs="宋体"/>
          <w:sz w:val="24"/>
          <w:szCs w:val="24"/>
          <w:highlight w:val="none"/>
        </w:rPr>
      </w:pPr>
      <w:r>
        <w:rPr>
          <w:rFonts w:ascii="宋体" w:hAnsi="宋体" w:eastAsia="宋体" w:cs="宋体"/>
          <w:spacing w:val="2"/>
          <w:sz w:val="24"/>
          <w:szCs w:val="24"/>
          <w:highlight w:val="none"/>
        </w:rPr>
        <w:t>3）由不同专业的投标人组成的联合体,首先以投标的全权代表方的应答材料作为认定资质以及商务评审的依据；涉及行业专属的资质,按照所属行业</w:t>
      </w:r>
      <w:r>
        <w:rPr>
          <w:rFonts w:ascii="宋体" w:hAnsi="宋体" w:eastAsia="宋体" w:cs="宋体"/>
          <w:spacing w:val="-1"/>
          <w:sz w:val="24"/>
          <w:szCs w:val="24"/>
          <w:highlight w:val="none"/>
        </w:rPr>
        <w:t>所对应的投标人的应答材料确定。</w:t>
      </w:r>
    </w:p>
    <w:p w14:paraId="0DBCA8B3">
      <w:pPr>
        <w:spacing w:before="189" w:line="337" w:lineRule="auto"/>
        <w:ind w:left="32" w:right="124" w:firstLine="478"/>
        <w:outlineLvl w:val="9"/>
        <w:rPr>
          <w:rFonts w:ascii="宋体" w:hAnsi="宋体" w:eastAsia="宋体" w:cs="宋体"/>
          <w:sz w:val="24"/>
          <w:szCs w:val="24"/>
          <w:highlight w:val="none"/>
        </w:rPr>
      </w:pPr>
      <w:r>
        <w:rPr>
          <w:rFonts w:ascii="宋体" w:hAnsi="宋体" w:eastAsia="宋体" w:cs="宋体"/>
          <w:spacing w:val="3"/>
          <w:sz w:val="24"/>
          <w:szCs w:val="24"/>
          <w:highlight w:val="none"/>
        </w:rPr>
        <w:t>4）联合体中标后，合同应由各成员的合法</w:t>
      </w:r>
      <w:r>
        <w:rPr>
          <w:rFonts w:ascii="宋体" w:hAnsi="宋体" w:eastAsia="宋体" w:cs="宋体"/>
          <w:spacing w:val="2"/>
          <w:sz w:val="24"/>
          <w:szCs w:val="24"/>
          <w:highlight w:val="none"/>
        </w:rPr>
        <w:t>授权代表签字并加盖各成员公</w:t>
      </w:r>
      <w:r>
        <w:rPr>
          <w:rFonts w:ascii="宋体" w:hAnsi="宋体" w:eastAsia="宋体" w:cs="宋体"/>
          <w:spacing w:val="-1"/>
          <w:sz w:val="24"/>
          <w:szCs w:val="24"/>
          <w:highlight w:val="none"/>
        </w:rPr>
        <w:t>章，以便对联合体成员作为整体和他们各自作为独立体均具有法律约束力</w:t>
      </w:r>
      <w:r>
        <w:rPr>
          <w:rFonts w:ascii="宋体" w:hAnsi="宋体" w:eastAsia="宋体" w:cs="宋体"/>
          <w:spacing w:val="-2"/>
          <w:sz w:val="24"/>
          <w:szCs w:val="24"/>
          <w:highlight w:val="none"/>
        </w:rPr>
        <w:t>，但</w:t>
      </w:r>
      <w:r>
        <w:rPr>
          <w:rFonts w:ascii="宋体" w:hAnsi="宋体" w:eastAsia="宋体" w:cs="宋体"/>
          <w:spacing w:val="-1"/>
          <w:sz w:val="24"/>
          <w:szCs w:val="24"/>
          <w:highlight w:val="none"/>
        </w:rPr>
        <w:t>若该等签字或公章不齐全或缺乏，该联合体的牵头人的签署或类似的意思表示人具有代表该联合体的签署或意思表示的法律效力</w:t>
      </w:r>
      <w:r>
        <w:rPr>
          <w:rFonts w:ascii="宋体" w:hAnsi="宋体" w:eastAsia="宋体" w:cs="宋体"/>
          <w:spacing w:val="-2"/>
          <w:sz w:val="24"/>
          <w:szCs w:val="24"/>
          <w:highlight w:val="none"/>
        </w:rPr>
        <w:t>，并且据此各成员为履行合同应向采购代理机构与采购人承担连带责任。</w:t>
      </w:r>
    </w:p>
    <w:p w14:paraId="2C8D37EA">
      <w:pPr>
        <w:spacing w:before="186" w:line="318" w:lineRule="auto"/>
        <w:ind w:left="31" w:right="54" w:firstLine="491"/>
        <w:outlineLvl w:val="9"/>
        <w:rPr>
          <w:rFonts w:ascii="宋体" w:hAnsi="宋体" w:eastAsia="宋体" w:cs="宋体"/>
          <w:sz w:val="24"/>
          <w:szCs w:val="24"/>
          <w:highlight w:val="none"/>
        </w:rPr>
      </w:pPr>
      <w:r>
        <w:rPr>
          <w:rFonts w:ascii="宋体" w:hAnsi="宋体" w:eastAsia="宋体" w:cs="宋体"/>
          <w:spacing w:val="-3"/>
          <w:sz w:val="24"/>
          <w:szCs w:val="24"/>
          <w:highlight w:val="none"/>
        </w:rPr>
        <w:t>5）联合体或其成员不得将其在合同项下的权利或义务全部或部分转让给第</w:t>
      </w:r>
      <w:r>
        <w:rPr>
          <w:rFonts w:ascii="宋体" w:hAnsi="宋体" w:eastAsia="宋体" w:cs="宋体"/>
          <w:sz w:val="24"/>
          <w:szCs w:val="24"/>
          <w:highlight w:val="none"/>
        </w:rPr>
        <w:t>三人，有关分包事项或服务委托等须事先取得采购代理机构书面同意并且须遵</w:t>
      </w:r>
      <w:r>
        <w:rPr>
          <w:rFonts w:ascii="宋体" w:hAnsi="宋体" w:eastAsia="宋体" w:cs="宋体"/>
          <w:spacing w:val="-1"/>
          <w:sz w:val="24"/>
          <w:szCs w:val="24"/>
          <w:highlight w:val="none"/>
        </w:rPr>
        <w:t>守相关法律、法规、本次招标的全部相关规定。</w:t>
      </w:r>
    </w:p>
    <w:p w14:paraId="04531592">
      <w:pPr>
        <w:spacing w:line="318" w:lineRule="auto"/>
        <w:outlineLvl w:val="9"/>
        <w:rPr>
          <w:rFonts w:ascii="宋体" w:hAnsi="宋体" w:eastAsia="宋体" w:cs="宋体"/>
          <w:sz w:val="24"/>
          <w:szCs w:val="24"/>
          <w:highlight w:val="none"/>
        </w:rPr>
        <w:sectPr>
          <w:footerReference r:id="rId15" w:type="default"/>
          <w:pgSz w:w="11850" w:h="16781"/>
          <w:pgMar w:top="1426" w:right="1777" w:bottom="1011" w:left="1777" w:header="0" w:footer="766" w:gutter="0"/>
          <w:pgNumType w:fmt="decimal"/>
          <w:cols w:space="720" w:num="1"/>
        </w:sectPr>
      </w:pPr>
    </w:p>
    <w:p w14:paraId="24B27BA7">
      <w:pPr>
        <w:pStyle w:val="2"/>
        <w:spacing w:line="285" w:lineRule="auto"/>
        <w:outlineLvl w:val="9"/>
        <w:rPr>
          <w:highlight w:val="none"/>
        </w:rPr>
      </w:pPr>
    </w:p>
    <w:p w14:paraId="15E8FD9D">
      <w:pPr>
        <w:pStyle w:val="2"/>
        <w:spacing w:line="286" w:lineRule="auto"/>
        <w:outlineLvl w:val="9"/>
        <w:rPr>
          <w:highlight w:val="none"/>
        </w:rPr>
      </w:pPr>
    </w:p>
    <w:p w14:paraId="37AD19F5">
      <w:pPr>
        <w:spacing w:before="78" w:line="317" w:lineRule="auto"/>
        <w:ind w:left="32" w:right="122"/>
        <w:jc w:val="both"/>
        <w:outlineLvl w:val="9"/>
        <w:rPr>
          <w:rFonts w:ascii="宋体" w:hAnsi="宋体" w:eastAsia="宋体" w:cs="宋体"/>
          <w:sz w:val="24"/>
          <w:szCs w:val="24"/>
          <w:highlight w:val="none"/>
        </w:rPr>
      </w:pPr>
      <w:r>
        <w:rPr>
          <w:rFonts w:ascii="宋体" w:hAnsi="宋体" w:eastAsia="宋体" w:cs="宋体"/>
          <w:spacing w:val="2"/>
          <w:sz w:val="24"/>
          <w:szCs w:val="24"/>
          <w:highlight w:val="none"/>
        </w:rPr>
        <w:t>6）联合体各方均不得同时再以自己独立的名义单独投标，也不得再同时参加</w:t>
      </w:r>
      <w:r>
        <w:rPr>
          <w:rFonts w:ascii="宋体" w:hAnsi="宋体" w:eastAsia="宋体" w:cs="宋体"/>
          <w:spacing w:val="-1"/>
          <w:sz w:val="24"/>
          <w:szCs w:val="24"/>
          <w:highlight w:val="none"/>
        </w:rPr>
        <w:t>其他的联合体投标。若该等情形被发现，其单独的投标和与此有关的联合体的</w:t>
      </w:r>
      <w:r>
        <w:rPr>
          <w:rFonts w:ascii="宋体" w:hAnsi="宋体" w:eastAsia="宋体" w:cs="宋体"/>
          <w:spacing w:val="-2"/>
          <w:sz w:val="24"/>
          <w:szCs w:val="24"/>
          <w:highlight w:val="none"/>
        </w:rPr>
        <w:t>投标均将被一并拒绝。</w:t>
      </w:r>
    </w:p>
    <w:p w14:paraId="6C547EE1">
      <w:pPr>
        <w:spacing w:line="218" w:lineRule="auto"/>
        <w:ind w:left="36"/>
        <w:outlineLvl w:val="9"/>
        <w:rPr>
          <w:rFonts w:ascii="宋体" w:hAnsi="宋体" w:eastAsia="宋体" w:cs="宋体"/>
          <w:sz w:val="24"/>
          <w:szCs w:val="24"/>
          <w:highlight w:val="none"/>
        </w:rPr>
      </w:pPr>
      <w:r>
        <w:rPr>
          <w:rFonts w:ascii="宋体" w:hAnsi="宋体" w:eastAsia="宋体" w:cs="宋体"/>
          <w:spacing w:val="-1"/>
          <w:sz w:val="24"/>
          <w:szCs w:val="24"/>
          <w:highlight w:val="none"/>
        </w:rPr>
        <w:t>3.6投标人不得与采购人、采购代理机构等有利害关</w:t>
      </w:r>
      <w:r>
        <w:rPr>
          <w:rFonts w:ascii="宋体" w:hAnsi="宋体" w:eastAsia="宋体" w:cs="宋体"/>
          <w:spacing w:val="-2"/>
          <w:sz w:val="24"/>
          <w:szCs w:val="24"/>
          <w:highlight w:val="none"/>
        </w:rPr>
        <w:t>系。</w:t>
      </w:r>
    </w:p>
    <w:p w14:paraId="0B097090">
      <w:pPr>
        <w:spacing w:before="104" w:line="219" w:lineRule="auto"/>
        <w:ind w:left="36"/>
        <w:outlineLvl w:val="9"/>
        <w:rPr>
          <w:rFonts w:ascii="宋体" w:hAnsi="宋体" w:eastAsia="宋体" w:cs="宋体"/>
          <w:sz w:val="24"/>
          <w:szCs w:val="24"/>
          <w:highlight w:val="none"/>
        </w:rPr>
      </w:pPr>
      <w:r>
        <w:rPr>
          <w:rFonts w:ascii="宋体" w:hAnsi="宋体" w:eastAsia="宋体" w:cs="宋体"/>
          <w:spacing w:val="-2"/>
          <w:sz w:val="24"/>
          <w:szCs w:val="24"/>
          <w:highlight w:val="none"/>
        </w:rPr>
        <w:t>3.7投标人合法从采购代理机构处获得招标文件。</w:t>
      </w:r>
    </w:p>
    <w:p w14:paraId="11298BBA">
      <w:pPr>
        <w:spacing w:before="193" w:line="220" w:lineRule="auto"/>
        <w:ind w:left="30"/>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4.投标费用</w:t>
      </w:r>
    </w:p>
    <w:p w14:paraId="604DCCF3">
      <w:pPr>
        <w:spacing w:before="189" w:line="219" w:lineRule="auto"/>
        <w:ind w:left="513"/>
        <w:outlineLvl w:val="9"/>
        <w:rPr>
          <w:rFonts w:ascii="宋体" w:hAnsi="宋体" w:eastAsia="宋体" w:cs="宋体"/>
          <w:sz w:val="24"/>
          <w:szCs w:val="24"/>
          <w:highlight w:val="none"/>
        </w:rPr>
      </w:pPr>
      <w:r>
        <w:rPr>
          <w:rFonts w:ascii="宋体" w:hAnsi="宋体" w:eastAsia="宋体" w:cs="宋体"/>
          <w:spacing w:val="-1"/>
          <w:sz w:val="24"/>
          <w:szCs w:val="24"/>
          <w:highlight w:val="none"/>
        </w:rPr>
        <w:t>4.1投标人应承担所有与准备和参加投标有关的费用。</w:t>
      </w:r>
    </w:p>
    <w:p w14:paraId="1F64296A">
      <w:pPr>
        <w:spacing w:before="193" w:line="219" w:lineRule="auto"/>
        <w:ind w:left="41"/>
        <w:outlineLvl w:val="9"/>
        <w:rPr>
          <w:rFonts w:ascii="宋体" w:hAnsi="宋体" w:eastAsia="宋体" w:cs="宋体"/>
          <w:sz w:val="24"/>
          <w:szCs w:val="24"/>
          <w:highlight w:val="none"/>
        </w:rPr>
      </w:pPr>
      <w:r>
        <w:rPr>
          <w:rFonts w:ascii="宋体" w:hAnsi="宋体" w:eastAsia="宋体" w:cs="宋体"/>
          <w:b/>
          <w:bCs/>
          <w:spacing w:val="-9"/>
          <w:sz w:val="24"/>
          <w:szCs w:val="24"/>
          <w:highlight w:val="none"/>
        </w:rPr>
        <w:t>5.纪律</w:t>
      </w:r>
    </w:p>
    <w:p w14:paraId="31B859E3">
      <w:pPr>
        <w:spacing w:before="187" w:line="219" w:lineRule="auto"/>
        <w:ind w:left="523"/>
        <w:outlineLvl w:val="9"/>
        <w:rPr>
          <w:rFonts w:ascii="宋体" w:hAnsi="宋体" w:eastAsia="宋体" w:cs="宋体"/>
          <w:sz w:val="24"/>
          <w:szCs w:val="24"/>
          <w:highlight w:val="none"/>
        </w:rPr>
      </w:pPr>
      <w:r>
        <w:rPr>
          <w:rFonts w:ascii="宋体" w:hAnsi="宋体" w:eastAsia="宋体" w:cs="宋体"/>
          <w:spacing w:val="-1"/>
          <w:sz w:val="24"/>
          <w:szCs w:val="24"/>
          <w:highlight w:val="none"/>
        </w:rPr>
        <w:t>5.1投标人的投标行为应遵守国家的有关法律、法规和规章。</w:t>
      </w:r>
    </w:p>
    <w:p w14:paraId="075BDD2C">
      <w:pPr>
        <w:spacing w:before="214" w:line="318" w:lineRule="auto"/>
        <w:ind w:left="32" w:right="122" w:firstLine="491"/>
        <w:outlineLvl w:val="9"/>
        <w:rPr>
          <w:rFonts w:ascii="宋体" w:hAnsi="宋体" w:eastAsia="宋体" w:cs="宋体"/>
          <w:sz w:val="24"/>
          <w:szCs w:val="24"/>
          <w:highlight w:val="none"/>
        </w:rPr>
      </w:pPr>
      <w:r>
        <w:rPr>
          <w:rFonts w:ascii="宋体" w:hAnsi="宋体" w:eastAsia="宋体" w:cs="宋体"/>
          <w:sz w:val="24"/>
          <w:szCs w:val="24"/>
          <w:highlight w:val="none"/>
        </w:rPr>
        <w:t>5.2投标人不得相互串通投标报价，不得妨碍其他投</w:t>
      </w:r>
      <w:r>
        <w:rPr>
          <w:rFonts w:ascii="宋体" w:hAnsi="宋体" w:eastAsia="宋体" w:cs="宋体"/>
          <w:spacing w:val="-1"/>
          <w:sz w:val="24"/>
          <w:szCs w:val="24"/>
          <w:highlight w:val="none"/>
        </w:rPr>
        <w:t>标人的公平竞争，不得损害采购人或其他投标人的合法权益，投标人不得以向采购人、评标委员会成员行贿或者采取其他不正当手段谋取中标。</w:t>
      </w:r>
    </w:p>
    <w:p w14:paraId="639F0169">
      <w:pPr>
        <w:spacing w:before="167" w:line="220" w:lineRule="auto"/>
        <w:ind w:left="523"/>
        <w:outlineLvl w:val="9"/>
        <w:rPr>
          <w:rFonts w:ascii="宋体" w:hAnsi="宋体" w:eastAsia="宋体" w:cs="宋体"/>
          <w:sz w:val="24"/>
          <w:szCs w:val="24"/>
          <w:highlight w:val="none"/>
        </w:rPr>
      </w:pPr>
      <w:r>
        <w:rPr>
          <w:rFonts w:ascii="宋体" w:hAnsi="宋体" w:eastAsia="宋体" w:cs="宋体"/>
          <w:spacing w:val="-1"/>
          <w:sz w:val="24"/>
          <w:szCs w:val="24"/>
          <w:highlight w:val="none"/>
        </w:rPr>
        <w:t>5.2.1有下列情形之一的，属于投标人相互串通投标：</w:t>
      </w:r>
    </w:p>
    <w:p w14:paraId="5631C392">
      <w:pPr>
        <w:spacing w:before="189" w:line="218" w:lineRule="auto"/>
        <w:ind w:left="523"/>
        <w:outlineLvl w:val="9"/>
        <w:rPr>
          <w:rFonts w:ascii="宋体" w:hAnsi="宋体" w:eastAsia="宋体" w:cs="宋体"/>
          <w:sz w:val="24"/>
          <w:szCs w:val="24"/>
          <w:highlight w:val="none"/>
        </w:rPr>
      </w:pPr>
      <w:r>
        <w:rPr>
          <w:rFonts w:ascii="宋体" w:hAnsi="宋体" w:eastAsia="宋体" w:cs="宋体"/>
          <w:spacing w:val="-1"/>
          <w:sz w:val="24"/>
          <w:szCs w:val="24"/>
          <w:highlight w:val="none"/>
        </w:rPr>
        <w:t>5.2.1.1投标人之间协商投标报价等投标文件的实质性内容；</w:t>
      </w:r>
    </w:p>
    <w:p w14:paraId="49D83953">
      <w:pPr>
        <w:spacing w:before="197" w:line="220" w:lineRule="auto"/>
        <w:ind w:left="523"/>
        <w:outlineLvl w:val="9"/>
        <w:rPr>
          <w:rFonts w:ascii="宋体" w:hAnsi="宋体" w:eastAsia="宋体" w:cs="宋体"/>
          <w:sz w:val="24"/>
          <w:szCs w:val="24"/>
          <w:highlight w:val="none"/>
        </w:rPr>
      </w:pPr>
      <w:r>
        <w:rPr>
          <w:rFonts w:ascii="宋体" w:hAnsi="宋体" w:eastAsia="宋体" w:cs="宋体"/>
          <w:spacing w:val="-3"/>
          <w:sz w:val="24"/>
          <w:szCs w:val="24"/>
          <w:highlight w:val="none"/>
        </w:rPr>
        <w:t>5.2.1.2投标人之间约定中标人；</w:t>
      </w:r>
    </w:p>
    <w:p w14:paraId="754523D7">
      <w:pPr>
        <w:spacing w:before="190" w:line="219" w:lineRule="auto"/>
        <w:ind w:left="523"/>
        <w:outlineLvl w:val="9"/>
        <w:rPr>
          <w:rFonts w:ascii="宋体" w:hAnsi="宋体" w:eastAsia="宋体" w:cs="宋体"/>
          <w:sz w:val="24"/>
          <w:szCs w:val="24"/>
          <w:highlight w:val="none"/>
        </w:rPr>
      </w:pPr>
      <w:r>
        <w:rPr>
          <w:rFonts w:ascii="宋体" w:hAnsi="宋体" w:eastAsia="宋体" w:cs="宋体"/>
          <w:spacing w:val="-1"/>
          <w:sz w:val="24"/>
          <w:szCs w:val="24"/>
          <w:highlight w:val="none"/>
        </w:rPr>
        <w:t>5.2.1.3投标人之间约定部分投标人放弃投标或者中标；</w:t>
      </w:r>
    </w:p>
    <w:p w14:paraId="5CE985C8">
      <w:pPr>
        <w:spacing w:before="209" w:line="296" w:lineRule="auto"/>
        <w:ind w:left="32" w:right="129" w:firstLine="491"/>
        <w:outlineLvl w:val="9"/>
        <w:rPr>
          <w:rFonts w:ascii="宋体" w:hAnsi="宋体" w:eastAsia="宋体" w:cs="宋体"/>
          <w:sz w:val="24"/>
          <w:szCs w:val="24"/>
          <w:highlight w:val="none"/>
        </w:rPr>
      </w:pPr>
      <w:r>
        <w:rPr>
          <w:rFonts w:ascii="宋体" w:hAnsi="宋体" w:eastAsia="宋体" w:cs="宋体"/>
          <w:sz w:val="24"/>
          <w:szCs w:val="24"/>
          <w:highlight w:val="none"/>
        </w:rPr>
        <w:t>5.2.1.4属于同一集团、协会、商会等组织成员的投标</w:t>
      </w:r>
      <w:r>
        <w:rPr>
          <w:rFonts w:ascii="宋体" w:hAnsi="宋体" w:eastAsia="宋体" w:cs="宋体"/>
          <w:spacing w:val="-1"/>
          <w:sz w:val="24"/>
          <w:szCs w:val="24"/>
          <w:highlight w:val="none"/>
        </w:rPr>
        <w:t>人按照该组织要求</w:t>
      </w:r>
      <w:r>
        <w:rPr>
          <w:rFonts w:ascii="宋体" w:hAnsi="宋体" w:eastAsia="宋体" w:cs="宋体"/>
          <w:spacing w:val="-3"/>
          <w:sz w:val="24"/>
          <w:szCs w:val="24"/>
          <w:highlight w:val="none"/>
        </w:rPr>
        <w:t>协同投标；</w:t>
      </w:r>
    </w:p>
    <w:p w14:paraId="76680F42">
      <w:pPr>
        <w:spacing w:before="165" w:line="220" w:lineRule="auto"/>
        <w:ind w:left="520" w:right="138" w:firstLine="3"/>
        <w:outlineLvl w:val="9"/>
        <w:rPr>
          <w:rFonts w:ascii="宋体" w:hAnsi="宋体" w:eastAsia="宋体" w:cs="宋体"/>
          <w:sz w:val="24"/>
          <w:szCs w:val="24"/>
          <w:highlight w:val="none"/>
        </w:rPr>
      </w:pPr>
      <w:r>
        <w:rPr>
          <w:rFonts w:ascii="宋体" w:hAnsi="宋体" w:eastAsia="宋体" w:cs="宋体"/>
          <w:spacing w:val="-1"/>
          <w:sz w:val="24"/>
          <w:szCs w:val="24"/>
          <w:highlight w:val="none"/>
        </w:rPr>
        <w:t>5.2.1.5投标人之间为谋取中标或者排斥特定投标人而采取的其他联合行</w:t>
      </w:r>
      <w:r>
        <w:rPr>
          <w:rFonts w:ascii="宋体" w:hAnsi="宋体" w:eastAsia="宋体" w:cs="宋体"/>
          <w:spacing w:val="-6"/>
          <w:sz w:val="24"/>
          <w:szCs w:val="24"/>
          <w:highlight w:val="none"/>
        </w:rPr>
        <w:t>动。</w:t>
      </w:r>
    </w:p>
    <w:p w14:paraId="34313519">
      <w:pPr>
        <w:spacing w:before="190" w:line="220" w:lineRule="auto"/>
        <w:ind w:left="523"/>
        <w:outlineLvl w:val="9"/>
        <w:rPr>
          <w:rFonts w:ascii="宋体" w:hAnsi="宋体" w:eastAsia="宋体" w:cs="宋体"/>
          <w:sz w:val="24"/>
          <w:szCs w:val="24"/>
          <w:highlight w:val="none"/>
        </w:rPr>
      </w:pPr>
      <w:r>
        <w:rPr>
          <w:rFonts w:ascii="宋体" w:hAnsi="宋体" w:eastAsia="宋体" w:cs="宋体"/>
          <w:spacing w:val="-1"/>
          <w:sz w:val="24"/>
          <w:szCs w:val="24"/>
          <w:highlight w:val="none"/>
        </w:rPr>
        <w:t>5.2.2有下列情形之一的，视为投标人相互串通投标：</w:t>
      </w:r>
    </w:p>
    <w:p w14:paraId="06BF4A28">
      <w:pPr>
        <w:spacing w:before="187" w:line="219" w:lineRule="auto"/>
        <w:ind w:left="523"/>
        <w:outlineLvl w:val="9"/>
        <w:rPr>
          <w:rFonts w:ascii="宋体" w:hAnsi="宋体" w:eastAsia="宋体" w:cs="宋体"/>
          <w:sz w:val="24"/>
          <w:szCs w:val="24"/>
          <w:highlight w:val="none"/>
        </w:rPr>
      </w:pPr>
      <w:r>
        <w:rPr>
          <w:rFonts w:ascii="宋体" w:hAnsi="宋体" w:eastAsia="宋体" w:cs="宋体"/>
          <w:spacing w:val="-1"/>
          <w:sz w:val="24"/>
          <w:szCs w:val="24"/>
          <w:highlight w:val="none"/>
        </w:rPr>
        <w:t>5.2.2.1不同投标人的投标文件由同一单位或者个人编制；</w:t>
      </w:r>
    </w:p>
    <w:p w14:paraId="527109D7">
      <w:pPr>
        <w:spacing w:before="193" w:line="219" w:lineRule="auto"/>
        <w:ind w:left="523"/>
        <w:outlineLvl w:val="9"/>
        <w:rPr>
          <w:rFonts w:ascii="宋体" w:hAnsi="宋体" w:eastAsia="宋体" w:cs="宋体"/>
          <w:sz w:val="24"/>
          <w:szCs w:val="24"/>
          <w:highlight w:val="none"/>
        </w:rPr>
      </w:pPr>
      <w:r>
        <w:rPr>
          <w:rFonts w:ascii="宋体" w:hAnsi="宋体" w:eastAsia="宋体" w:cs="宋体"/>
          <w:spacing w:val="-1"/>
          <w:sz w:val="24"/>
          <w:szCs w:val="24"/>
          <w:highlight w:val="none"/>
        </w:rPr>
        <w:t>5.2.2.2不同投标人委托同一单位或者个人办理投标事宜；</w:t>
      </w:r>
    </w:p>
    <w:p w14:paraId="12CEA3C8">
      <w:pPr>
        <w:spacing w:before="191" w:line="219" w:lineRule="auto"/>
        <w:ind w:left="523"/>
        <w:outlineLvl w:val="9"/>
        <w:rPr>
          <w:rFonts w:ascii="宋体" w:hAnsi="宋体" w:eastAsia="宋体" w:cs="宋体"/>
          <w:sz w:val="24"/>
          <w:szCs w:val="24"/>
          <w:highlight w:val="none"/>
        </w:rPr>
      </w:pPr>
      <w:r>
        <w:rPr>
          <w:rFonts w:ascii="宋体" w:hAnsi="宋体" w:eastAsia="宋体" w:cs="宋体"/>
          <w:spacing w:val="-1"/>
          <w:sz w:val="24"/>
          <w:szCs w:val="24"/>
          <w:highlight w:val="none"/>
        </w:rPr>
        <w:t>5.2.2.3不同投标人的投标文件载明的项目管理成员为同一人；</w:t>
      </w:r>
    </w:p>
    <w:p w14:paraId="0BC3760E">
      <w:pPr>
        <w:spacing w:before="190" w:line="218" w:lineRule="auto"/>
        <w:ind w:left="523"/>
        <w:outlineLvl w:val="9"/>
        <w:rPr>
          <w:rFonts w:ascii="宋体" w:hAnsi="宋体" w:eastAsia="宋体" w:cs="宋体"/>
          <w:sz w:val="24"/>
          <w:szCs w:val="24"/>
          <w:highlight w:val="none"/>
        </w:rPr>
      </w:pPr>
      <w:r>
        <w:rPr>
          <w:rFonts w:ascii="宋体" w:hAnsi="宋体" w:eastAsia="宋体" w:cs="宋体"/>
          <w:spacing w:val="-1"/>
          <w:sz w:val="24"/>
          <w:szCs w:val="24"/>
          <w:highlight w:val="none"/>
        </w:rPr>
        <w:t>5.2.2.4不同投标人的投标文件异常一致或者投标报价呈规律性差异；</w:t>
      </w:r>
    </w:p>
    <w:p w14:paraId="2CE7CED7">
      <w:pPr>
        <w:spacing w:before="194" w:line="219" w:lineRule="auto"/>
        <w:ind w:left="523"/>
        <w:outlineLvl w:val="9"/>
        <w:rPr>
          <w:rFonts w:ascii="宋体" w:hAnsi="宋体" w:eastAsia="宋体" w:cs="宋体"/>
          <w:sz w:val="24"/>
          <w:szCs w:val="24"/>
          <w:highlight w:val="none"/>
        </w:rPr>
      </w:pPr>
      <w:r>
        <w:rPr>
          <w:rFonts w:ascii="宋体" w:hAnsi="宋体" w:eastAsia="宋体" w:cs="宋体"/>
          <w:spacing w:val="-3"/>
          <w:sz w:val="24"/>
          <w:szCs w:val="24"/>
          <w:highlight w:val="none"/>
        </w:rPr>
        <w:t>5.2.2.5不同投标人的投标文件相互混装；</w:t>
      </w:r>
    </w:p>
    <w:p w14:paraId="0A2E4D20">
      <w:pPr>
        <w:spacing w:before="193" w:line="219" w:lineRule="auto"/>
        <w:ind w:left="523"/>
        <w:outlineLvl w:val="9"/>
        <w:rPr>
          <w:rFonts w:ascii="宋体" w:hAnsi="宋体" w:eastAsia="宋体" w:cs="宋体"/>
          <w:sz w:val="24"/>
          <w:szCs w:val="24"/>
          <w:highlight w:val="none"/>
        </w:rPr>
      </w:pPr>
      <w:r>
        <w:rPr>
          <w:rFonts w:ascii="宋体" w:hAnsi="宋体" w:eastAsia="宋体" w:cs="宋体"/>
          <w:spacing w:val="-1"/>
          <w:sz w:val="24"/>
          <w:szCs w:val="24"/>
          <w:highlight w:val="none"/>
        </w:rPr>
        <w:t>5.2.2.6不同投标人的投标保证金从同一单位或者个人的账户转出。</w:t>
      </w:r>
    </w:p>
    <w:p w14:paraId="32480EE2">
      <w:pPr>
        <w:spacing w:before="193" w:line="221" w:lineRule="auto"/>
        <w:ind w:left="36"/>
        <w:outlineLvl w:val="9"/>
        <w:rPr>
          <w:rFonts w:ascii="宋体" w:hAnsi="宋体" w:eastAsia="宋体" w:cs="宋体"/>
          <w:sz w:val="24"/>
          <w:szCs w:val="24"/>
          <w:highlight w:val="none"/>
        </w:rPr>
      </w:pPr>
      <w:r>
        <w:rPr>
          <w:rFonts w:ascii="宋体" w:hAnsi="宋体" w:eastAsia="宋体" w:cs="宋体"/>
          <w:b/>
          <w:bCs/>
          <w:spacing w:val="-8"/>
          <w:sz w:val="24"/>
          <w:szCs w:val="24"/>
          <w:highlight w:val="none"/>
        </w:rPr>
        <w:t>6.通知</w:t>
      </w:r>
    </w:p>
    <w:p w14:paraId="4E7B4712">
      <w:pPr>
        <w:spacing w:line="221" w:lineRule="auto"/>
        <w:outlineLvl w:val="9"/>
        <w:rPr>
          <w:rFonts w:ascii="宋体" w:hAnsi="宋体" w:eastAsia="宋体" w:cs="宋体"/>
          <w:sz w:val="24"/>
          <w:szCs w:val="24"/>
          <w:highlight w:val="none"/>
        </w:rPr>
        <w:sectPr>
          <w:footerReference r:id="rId16" w:type="default"/>
          <w:pgSz w:w="11850" w:h="16781"/>
          <w:pgMar w:top="1426" w:right="1777" w:bottom="1011" w:left="1777" w:header="0" w:footer="766" w:gutter="0"/>
          <w:pgNumType w:fmt="decimal"/>
          <w:cols w:space="720" w:num="1"/>
        </w:sectPr>
      </w:pPr>
    </w:p>
    <w:p w14:paraId="54B787A2">
      <w:pPr>
        <w:pStyle w:val="2"/>
        <w:spacing w:line="318" w:lineRule="auto"/>
        <w:outlineLvl w:val="9"/>
        <w:rPr>
          <w:highlight w:val="none"/>
        </w:rPr>
      </w:pPr>
    </w:p>
    <w:p w14:paraId="4D5CCECF">
      <w:pPr>
        <w:pStyle w:val="2"/>
        <w:spacing w:line="319" w:lineRule="auto"/>
        <w:outlineLvl w:val="9"/>
        <w:rPr>
          <w:highlight w:val="none"/>
        </w:rPr>
      </w:pPr>
    </w:p>
    <w:p w14:paraId="01EB70B0">
      <w:pPr>
        <w:spacing w:before="78" w:line="362" w:lineRule="auto"/>
        <w:ind w:left="32" w:right="21"/>
        <w:jc w:val="both"/>
        <w:outlineLvl w:val="9"/>
        <w:rPr>
          <w:rFonts w:ascii="宋体" w:hAnsi="宋体" w:eastAsia="宋体" w:cs="宋体"/>
          <w:sz w:val="24"/>
          <w:szCs w:val="24"/>
          <w:highlight w:val="none"/>
        </w:rPr>
      </w:pPr>
      <w:r>
        <w:rPr>
          <w:rFonts w:ascii="宋体" w:hAnsi="宋体" w:eastAsia="宋体" w:cs="宋体"/>
          <w:spacing w:val="3"/>
          <w:sz w:val="24"/>
          <w:szCs w:val="24"/>
          <w:highlight w:val="none"/>
        </w:rPr>
        <w:t>6.1对与本项目有关的通知，采购代理机构将以书面或邮件形式向潜在投标人</w:t>
      </w:r>
      <w:r>
        <w:rPr>
          <w:rFonts w:ascii="宋体" w:hAnsi="宋体" w:eastAsia="宋体" w:cs="宋体"/>
          <w:spacing w:val="2"/>
          <w:sz w:val="24"/>
          <w:szCs w:val="24"/>
          <w:highlight w:val="none"/>
        </w:rPr>
        <w:t>发出。收到通知的投标人须立即予以回复确认，但投标人未回复或采购代理机构未收到回复时，并不应当被理解为采购代理机构知道或应当知道投标人是否收到通知。因登记有误、传真线路故障或其它任何意外情形，导致所发出的通知延迟送达或无法到达投标人，采购代理机构不因此承担任何责任，有关的招</w:t>
      </w:r>
      <w:r>
        <w:rPr>
          <w:rFonts w:ascii="宋体" w:hAnsi="宋体" w:eastAsia="宋体" w:cs="宋体"/>
          <w:spacing w:val="-1"/>
          <w:sz w:val="24"/>
          <w:szCs w:val="24"/>
          <w:highlight w:val="none"/>
        </w:rPr>
        <w:t>标活动可以继续有效地进行。</w:t>
      </w:r>
    </w:p>
    <w:p w14:paraId="2800D5C0">
      <w:pPr>
        <w:spacing w:line="219" w:lineRule="auto"/>
        <w:ind w:left="42"/>
        <w:outlineLvl w:val="9"/>
        <w:rPr>
          <w:rFonts w:ascii="宋体" w:hAnsi="宋体" w:eastAsia="宋体" w:cs="宋体"/>
          <w:sz w:val="24"/>
          <w:szCs w:val="24"/>
          <w:highlight w:val="none"/>
        </w:rPr>
      </w:pPr>
      <w:r>
        <w:rPr>
          <w:rFonts w:ascii="宋体" w:hAnsi="宋体" w:eastAsia="宋体" w:cs="宋体"/>
          <w:b/>
          <w:bCs/>
          <w:spacing w:val="-11"/>
          <w:sz w:val="24"/>
          <w:szCs w:val="24"/>
          <w:highlight w:val="none"/>
        </w:rPr>
        <w:t>7偏离</w:t>
      </w:r>
    </w:p>
    <w:p w14:paraId="5F5D322F">
      <w:pPr>
        <w:spacing w:before="110" w:line="300" w:lineRule="auto"/>
        <w:ind w:left="37" w:right="30" w:firstLine="127"/>
        <w:outlineLvl w:val="9"/>
        <w:rPr>
          <w:rFonts w:ascii="宋体" w:hAnsi="宋体" w:eastAsia="宋体" w:cs="宋体"/>
          <w:sz w:val="24"/>
          <w:szCs w:val="24"/>
          <w:highlight w:val="none"/>
        </w:rPr>
      </w:pPr>
      <w:r>
        <w:rPr>
          <w:rFonts w:ascii="宋体" w:hAnsi="宋体" w:eastAsia="宋体" w:cs="宋体"/>
          <w:spacing w:val="-3"/>
          <w:sz w:val="24"/>
          <w:szCs w:val="24"/>
          <w:highlight w:val="none"/>
        </w:rPr>
        <w:t>1.9.1除法律、法规和规章规定外，招标文件中用文字规定或标注“</w:t>
      </w:r>
      <w:r>
        <w:rPr>
          <w:rFonts w:ascii="微软雅黑" w:hAnsi="微软雅黑" w:eastAsia="微软雅黑" w:cs="微软雅黑"/>
          <w:spacing w:val="-3"/>
          <w:sz w:val="18"/>
          <w:szCs w:val="18"/>
          <w:highlight w:val="none"/>
        </w:rPr>
        <w:t>▲</w:t>
      </w:r>
      <w:r>
        <w:rPr>
          <w:rFonts w:ascii="宋体" w:hAnsi="宋体" w:eastAsia="宋体" w:cs="宋体"/>
          <w:spacing w:val="-3"/>
          <w:sz w:val="24"/>
          <w:szCs w:val="24"/>
          <w:highlight w:val="none"/>
        </w:rPr>
        <w:t>”符号的条款为实质性要求和条件；未用文字规定或“</w:t>
      </w:r>
      <w:r>
        <w:rPr>
          <w:rFonts w:ascii="微软雅黑" w:hAnsi="微软雅黑" w:eastAsia="微软雅黑" w:cs="微软雅黑"/>
          <w:spacing w:val="-3"/>
          <w:sz w:val="18"/>
          <w:szCs w:val="18"/>
          <w:highlight w:val="none"/>
        </w:rPr>
        <w:t>▲</w:t>
      </w:r>
      <w:r>
        <w:rPr>
          <w:rFonts w:ascii="宋体" w:hAnsi="宋体" w:eastAsia="宋体" w:cs="宋体"/>
          <w:spacing w:val="-3"/>
          <w:sz w:val="24"/>
          <w:szCs w:val="24"/>
          <w:highlight w:val="none"/>
        </w:rPr>
        <w:t>”符号标注的条款为非实质性要求和条件。</w:t>
      </w:r>
    </w:p>
    <w:p w14:paraId="010FDE62">
      <w:pPr>
        <w:spacing w:line="264" w:lineRule="auto"/>
        <w:ind w:left="32" w:right="148" w:firstLine="16"/>
        <w:outlineLvl w:val="9"/>
        <w:rPr>
          <w:rFonts w:ascii="宋体" w:hAnsi="宋体" w:eastAsia="宋体" w:cs="宋体"/>
          <w:sz w:val="24"/>
          <w:szCs w:val="24"/>
          <w:highlight w:val="none"/>
        </w:rPr>
      </w:pPr>
      <w:r>
        <w:rPr>
          <w:rFonts w:ascii="宋体" w:hAnsi="宋体" w:eastAsia="宋体" w:cs="宋体"/>
          <w:spacing w:val="-1"/>
          <w:sz w:val="24"/>
          <w:szCs w:val="24"/>
          <w:highlight w:val="none"/>
        </w:rPr>
        <w:t>1.9.2偏离是指投标文件不满足或者不响应招标文件的要求。偏离分为偏</w:t>
      </w:r>
      <w:r>
        <w:rPr>
          <w:rFonts w:ascii="宋体" w:hAnsi="宋体" w:eastAsia="宋体" w:cs="宋体"/>
          <w:spacing w:val="-2"/>
          <w:sz w:val="24"/>
          <w:szCs w:val="24"/>
          <w:highlight w:val="none"/>
        </w:rPr>
        <w:t>离招</w:t>
      </w:r>
      <w:r>
        <w:rPr>
          <w:rFonts w:ascii="宋体" w:hAnsi="宋体" w:eastAsia="宋体" w:cs="宋体"/>
          <w:sz w:val="24"/>
          <w:szCs w:val="24"/>
          <w:highlight w:val="none"/>
        </w:rPr>
        <w:t>标文件的实质性要求和条件及偏离招标文件的非实质性要求和条件。</w:t>
      </w:r>
    </w:p>
    <w:p w14:paraId="7DAE64CF">
      <w:pPr>
        <w:spacing w:before="88" w:line="219" w:lineRule="auto"/>
        <w:ind w:left="49"/>
        <w:outlineLvl w:val="9"/>
        <w:rPr>
          <w:rFonts w:ascii="宋体" w:hAnsi="宋体" w:eastAsia="宋体" w:cs="宋体"/>
          <w:sz w:val="24"/>
          <w:szCs w:val="24"/>
          <w:highlight w:val="none"/>
        </w:rPr>
      </w:pPr>
      <w:r>
        <w:rPr>
          <w:rFonts w:ascii="宋体" w:hAnsi="宋体" w:eastAsia="宋体" w:cs="宋体"/>
          <w:spacing w:val="-1"/>
          <w:sz w:val="24"/>
          <w:szCs w:val="24"/>
          <w:highlight w:val="none"/>
        </w:rPr>
        <w:t>1.9.3投标文件偏离招标文件的实质性要求和条件，在评标时其投</w:t>
      </w:r>
      <w:r>
        <w:rPr>
          <w:rFonts w:ascii="宋体" w:hAnsi="宋体" w:eastAsia="宋体" w:cs="宋体"/>
          <w:spacing w:val="-2"/>
          <w:sz w:val="24"/>
          <w:szCs w:val="24"/>
          <w:highlight w:val="none"/>
        </w:rPr>
        <w:t>标将被否决</w:t>
      </w:r>
    </w:p>
    <w:p w14:paraId="24A3C5FF">
      <w:pPr>
        <w:spacing w:before="152" w:line="121" w:lineRule="exact"/>
        <w:ind w:left="55"/>
        <w:outlineLvl w:val="9"/>
        <w:rPr>
          <w:rFonts w:ascii="宋体" w:hAnsi="宋体" w:eastAsia="宋体" w:cs="宋体"/>
          <w:sz w:val="24"/>
          <w:szCs w:val="24"/>
          <w:highlight w:val="none"/>
        </w:rPr>
      </w:pPr>
      <w:r>
        <w:rPr>
          <w:rFonts w:ascii="宋体" w:hAnsi="宋体" w:eastAsia="宋体" w:cs="宋体"/>
          <w:position w:val="1"/>
          <w:sz w:val="24"/>
          <w:szCs w:val="24"/>
          <w:highlight w:val="none"/>
        </w:rPr>
        <w:t>。</w:t>
      </w:r>
    </w:p>
    <w:p w14:paraId="08332027">
      <w:pPr>
        <w:spacing w:before="48" w:line="219" w:lineRule="auto"/>
        <w:ind w:left="49"/>
        <w:outlineLvl w:val="9"/>
        <w:rPr>
          <w:rFonts w:ascii="宋体" w:hAnsi="宋体" w:eastAsia="宋体" w:cs="宋体"/>
          <w:sz w:val="24"/>
          <w:szCs w:val="24"/>
          <w:highlight w:val="none"/>
        </w:rPr>
      </w:pPr>
      <w:r>
        <w:rPr>
          <w:rFonts w:ascii="宋体" w:hAnsi="宋体" w:eastAsia="宋体" w:cs="宋体"/>
          <w:spacing w:val="-1"/>
          <w:sz w:val="24"/>
          <w:szCs w:val="24"/>
          <w:highlight w:val="none"/>
        </w:rPr>
        <w:t>1.9.4投标文件偏离招标文件的非实质性要求和条件见投标人</w:t>
      </w:r>
      <w:r>
        <w:rPr>
          <w:rFonts w:ascii="宋体" w:hAnsi="宋体" w:eastAsia="宋体" w:cs="宋体"/>
          <w:spacing w:val="-2"/>
          <w:sz w:val="24"/>
          <w:szCs w:val="24"/>
          <w:highlight w:val="none"/>
        </w:rPr>
        <w:t>须知前附表。</w:t>
      </w:r>
    </w:p>
    <w:p w14:paraId="665239F5">
      <w:pPr>
        <w:spacing w:before="79" w:line="219" w:lineRule="auto"/>
        <w:ind w:left="40"/>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二、招标文件</w:t>
      </w:r>
    </w:p>
    <w:p w14:paraId="69EE8418">
      <w:pPr>
        <w:pStyle w:val="2"/>
        <w:spacing w:line="285" w:lineRule="auto"/>
        <w:outlineLvl w:val="9"/>
        <w:rPr>
          <w:highlight w:val="none"/>
        </w:rPr>
      </w:pPr>
    </w:p>
    <w:p w14:paraId="1818E969">
      <w:pPr>
        <w:spacing w:before="79" w:line="219" w:lineRule="auto"/>
        <w:ind w:left="32"/>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8.招标文件组成</w:t>
      </w:r>
    </w:p>
    <w:p w14:paraId="42EBDCD6">
      <w:pPr>
        <w:spacing w:before="193" w:line="219" w:lineRule="auto"/>
        <w:outlineLvl w:val="9"/>
        <w:rPr>
          <w:rFonts w:ascii="宋体" w:hAnsi="宋体" w:eastAsia="宋体" w:cs="宋体"/>
          <w:sz w:val="24"/>
          <w:szCs w:val="24"/>
          <w:highlight w:val="none"/>
        </w:rPr>
      </w:pPr>
      <w:r>
        <w:rPr>
          <w:rFonts w:ascii="宋体" w:hAnsi="宋体" w:eastAsia="宋体" w:cs="宋体"/>
          <w:spacing w:val="-1"/>
          <w:sz w:val="24"/>
          <w:szCs w:val="24"/>
          <w:highlight w:val="none"/>
        </w:rPr>
        <w:t>招标文件由招标文件目录所列内容组成。</w:t>
      </w:r>
    </w:p>
    <w:p w14:paraId="3C46C2F9">
      <w:pPr>
        <w:spacing w:before="193" w:line="219" w:lineRule="auto"/>
        <w:ind w:left="32"/>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9.踏勘现场</w:t>
      </w:r>
    </w:p>
    <w:p w14:paraId="4D286FCE">
      <w:pPr>
        <w:spacing w:before="214" w:line="317" w:lineRule="auto"/>
        <w:ind w:left="33" w:right="117" w:hanging="1"/>
        <w:outlineLvl w:val="9"/>
        <w:rPr>
          <w:rFonts w:ascii="宋体" w:hAnsi="宋体" w:eastAsia="宋体" w:cs="宋体"/>
          <w:sz w:val="24"/>
          <w:szCs w:val="24"/>
          <w:highlight w:val="none"/>
        </w:rPr>
      </w:pPr>
      <w:r>
        <w:rPr>
          <w:rFonts w:ascii="宋体" w:hAnsi="宋体" w:eastAsia="宋体" w:cs="宋体"/>
          <w:sz w:val="24"/>
          <w:szCs w:val="24"/>
          <w:highlight w:val="none"/>
        </w:rPr>
        <w:t>9.1本项目是否统一组织投标人踏勘现场见招标文件第二部分“投标人须知前</w:t>
      </w:r>
      <w:r>
        <w:rPr>
          <w:rFonts w:ascii="宋体" w:hAnsi="宋体" w:eastAsia="宋体" w:cs="宋体"/>
          <w:spacing w:val="-2"/>
          <w:sz w:val="24"/>
          <w:szCs w:val="24"/>
          <w:highlight w:val="none"/>
        </w:rPr>
        <w:t>附表”中的规定。无论是否统一组织，投标人</w:t>
      </w:r>
      <w:r>
        <w:rPr>
          <w:rFonts w:ascii="宋体" w:hAnsi="宋体" w:eastAsia="宋体" w:cs="宋体"/>
          <w:spacing w:val="-3"/>
          <w:sz w:val="24"/>
          <w:szCs w:val="24"/>
          <w:highlight w:val="none"/>
        </w:rPr>
        <w:t>应对供货现场和周围环境进行勘</w:t>
      </w:r>
      <w:r>
        <w:rPr>
          <w:rFonts w:ascii="宋体" w:hAnsi="宋体" w:eastAsia="宋体" w:cs="宋体"/>
          <w:spacing w:val="-2"/>
          <w:sz w:val="24"/>
          <w:szCs w:val="24"/>
          <w:highlight w:val="none"/>
        </w:rPr>
        <w:t>察，以获取编制投标文件所需的资料。</w:t>
      </w:r>
    </w:p>
    <w:p w14:paraId="4779CA29">
      <w:pPr>
        <w:spacing w:before="191" w:line="337" w:lineRule="auto"/>
        <w:ind w:left="32" w:right="124"/>
        <w:outlineLvl w:val="9"/>
        <w:rPr>
          <w:rFonts w:ascii="宋体" w:hAnsi="宋体" w:eastAsia="宋体" w:cs="宋体"/>
          <w:sz w:val="24"/>
          <w:szCs w:val="24"/>
          <w:highlight w:val="none"/>
        </w:rPr>
      </w:pPr>
      <w:r>
        <w:rPr>
          <w:rFonts w:ascii="宋体" w:hAnsi="宋体" w:eastAsia="宋体" w:cs="宋体"/>
          <w:sz w:val="24"/>
          <w:szCs w:val="24"/>
          <w:highlight w:val="none"/>
        </w:rPr>
        <w:t>9.2踏勘现场所发生的费用由投标人自行承担。采购人向投标人提供的有关供</w:t>
      </w:r>
      <w:r>
        <w:rPr>
          <w:rFonts w:ascii="宋体" w:hAnsi="宋体" w:eastAsia="宋体" w:cs="宋体"/>
          <w:spacing w:val="-1"/>
          <w:sz w:val="24"/>
          <w:szCs w:val="24"/>
          <w:highlight w:val="none"/>
        </w:rPr>
        <w:t>货现场的资料和数据，是采购人现有的能使投标人利用的资料。采购人对投标人由此而做出的推论、理解和结论概不负责。投标人未到供货现场实地踏勘的</w:t>
      </w:r>
      <w:r>
        <w:rPr>
          <w:rFonts w:ascii="宋体" w:hAnsi="宋体" w:eastAsia="宋体" w:cs="宋体"/>
          <w:spacing w:val="-3"/>
          <w:sz w:val="24"/>
          <w:szCs w:val="24"/>
          <w:highlight w:val="none"/>
        </w:rPr>
        <w:t>,中标后签订合同时和履约过程中，不得以不完全了解现场</w:t>
      </w:r>
      <w:r>
        <w:rPr>
          <w:rFonts w:ascii="宋体" w:hAnsi="宋体" w:eastAsia="宋体" w:cs="宋体"/>
          <w:spacing w:val="-4"/>
          <w:sz w:val="24"/>
          <w:szCs w:val="24"/>
          <w:highlight w:val="none"/>
        </w:rPr>
        <w:t>情况为由，提出任</w:t>
      </w:r>
      <w:r>
        <w:rPr>
          <w:rFonts w:ascii="宋体" w:hAnsi="宋体" w:eastAsia="宋体" w:cs="宋体"/>
          <w:spacing w:val="-2"/>
          <w:sz w:val="24"/>
          <w:szCs w:val="24"/>
          <w:highlight w:val="none"/>
        </w:rPr>
        <w:t>何形式的增加合同价款或索赔的要求。</w:t>
      </w:r>
    </w:p>
    <w:p w14:paraId="6991D236">
      <w:pPr>
        <w:spacing w:before="190" w:line="292" w:lineRule="auto"/>
        <w:ind w:left="47" w:right="170" w:hanging="15"/>
        <w:outlineLvl w:val="9"/>
        <w:rPr>
          <w:rFonts w:ascii="宋体" w:hAnsi="宋体" w:eastAsia="宋体" w:cs="宋体"/>
          <w:sz w:val="24"/>
          <w:szCs w:val="24"/>
          <w:highlight w:val="none"/>
        </w:rPr>
      </w:pPr>
      <w:r>
        <w:rPr>
          <w:rFonts w:ascii="宋体" w:hAnsi="宋体" w:eastAsia="宋体" w:cs="宋体"/>
          <w:spacing w:val="-2"/>
          <w:sz w:val="24"/>
          <w:szCs w:val="24"/>
          <w:highlight w:val="none"/>
        </w:rPr>
        <w:t>9.3除非有特殊要求，招标文件不单独提供供货使用地的自然环境、气候条件</w:t>
      </w:r>
      <w:r>
        <w:rPr>
          <w:rFonts w:ascii="宋体" w:hAnsi="宋体" w:eastAsia="宋体" w:cs="宋体"/>
          <w:sz w:val="24"/>
          <w:szCs w:val="24"/>
          <w:highlight w:val="none"/>
        </w:rPr>
        <w:t>、公用设施等情况，投标人被视为熟悉上述与履行合同</w:t>
      </w:r>
      <w:r>
        <w:rPr>
          <w:rFonts w:ascii="宋体" w:hAnsi="宋体" w:eastAsia="宋体" w:cs="宋体"/>
          <w:spacing w:val="-1"/>
          <w:sz w:val="24"/>
          <w:szCs w:val="24"/>
          <w:highlight w:val="none"/>
        </w:rPr>
        <w:t>有关的一切情况。</w:t>
      </w:r>
    </w:p>
    <w:p w14:paraId="381557BE">
      <w:pPr>
        <w:spacing w:line="292" w:lineRule="auto"/>
        <w:outlineLvl w:val="9"/>
        <w:rPr>
          <w:rFonts w:ascii="宋体" w:hAnsi="宋体" w:eastAsia="宋体" w:cs="宋体"/>
          <w:sz w:val="24"/>
          <w:szCs w:val="24"/>
          <w:highlight w:val="none"/>
        </w:rPr>
        <w:sectPr>
          <w:footerReference r:id="rId17" w:type="default"/>
          <w:pgSz w:w="11850" w:h="16781"/>
          <w:pgMar w:top="1426" w:right="1777" w:bottom="956" w:left="1777" w:header="0" w:footer="786" w:gutter="0"/>
          <w:pgNumType w:fmt="decimal"/>
          <w:cols w:space="720" w:num="1"/>
        </w:sectPr>
      </w:pPr>
    </w:p>
    <w:p w14:paraId="0D23C403">
      <w:pPr>
        <w:pStyle w:val="2"/>
        <w:spacing w:line="272" w:lineRule="auto"/>
        <w:outlineLvl w:val="9"/>
        <w:rPr>
          <w:highlight w:val="none"/>
        </w:rPr>
      </w:pPr>
    </w:p>
    <w:p w14:paraId="484DD346">
      <w:pPr>
        <w:pStyle w:val="2"/>
        <w:spacing w:line="272" w:lineRule="auto"/>
        <w:outlineLvl w:val="9"/>
        <w:rPr>
          <w:highlight w:val="none"/>
        </w:rPr>
      </w:pPr>
    </w:p>
    <w:p w14:paraId="683C3E16">
      <w:pPr>
        <w:spacing w:before="78" w:line="294" w:lineRule="auto"/>
        <w:ind w:left="31" w:right="131"/>
        <w:outlineLvl w:val="9"/>
        <w:rPr>
          <w:rFonts w:ascii="宋体" w:hAnsi="宋体" w:eastAsia="宋体" w:cs="宋体"/>
          <w:sz w:val="24"/>
          <w:szCs w:val="24"/>
          <w:highlight w:val="none"/>
        </w:rPr>
      </w:pPr>
      <w:r>
        <w:rPr>
          <w:rFonts w:ascii="宋体" w:hAnsi="宋体" w:eastAsia="宋体" w:cs="宋体"/>
          <w:spacing w:val="-1"/>
          <w:sz w:val="24"/>
          <w:szCs w:val="24"/>
          <w:highlight w:val="none"/>
        </w:rPr>
        <w:t>9.4除采购人原因外，投标人自行负责在踏勘现场中所发生的人员伤亡和财产</w:t>
      </w:r>
      <w:r>
        <w:rPr>
          <w:rFonts w:ascii="宋体" w:hAnsi="宋体" w:eastAsia="宋体" w:cs="宋体"/>
          <w:spacing w:val="-4"/>
          <w:sz w:val="24"/>
          <w:szCs w:val="24"/>
          <w:highlight w:val="none"/>
        </w:rPr>
        <w:t>损失。</w:t>
      </w:r>
    </w:p>
    <w:p w14:paraId="5D3444B5">
      <w:pPr>
        <w:spacing w:before="165" w:line="219" w:lineRule="auto"/>
        <w:ind w:left="66"/>
        <w:outlineLvl w:val="9"/>
        <w:rPr>
          <w:rFonts w:ascii="宋体" w:hAnsi="宋体" w:eastAsia="宋体" w:cs="宋体"/>
          <w:sz w:val="24"/>
          <w:szCs w:val="24"/>
          <w:highlight w:val="none"/>
        </w:rPr>
      </w:pPr>
      <w:r>
        <w:rPr>
          <w:rFonts w:ascii="宋体" w:hAnsi="宋体" w:eastAsia="宋体" w:cs="宋体"/>
          <w:b/>
          <w:bCs/>
          <w:spacing w:val="-10"/>
          <w:sz w:val="24"/>
          <w:szCs w:val="24"/>
          <w:highlight w:val="none"/>
        </w:rPr>
        <w:t>10.知识产权</w:t>
      </w:r>
    </w:p>
    <w:p w14:paraId="48F15839">
      <w:pPr>
        <w:spacing w:before="211" w:line="336" w:lineRule="auto"/>
        <w:ind w:left="31" w:right="74" w:firstLine="17"/>
        <w:outlineLvl w:val="9"/>
        <w:rPr>
          <w:rFonts w:ascii="宋体" w:hAnsi="宋体" w:eastAsia="宋体" w:cs="宋体"/>
          <w:sz w:val="24"/>
          <w:szCs w:val="24"/>
          <w:highlight w:val="none"/>
        </w:rPr>
      </w:pPr>
      <w:r>
        <w:rPr>
          <w:rFonts w:ascii="宋体" w:hAnsi="宋体" w:eastAsia="宋体" w:cs="宋体"/>
          <w:spacing w:val="-2"/>
          <w:sz w:val="24"/>
          <w:szCs w:val="24"/>
          <w:highlight w:val="none"/>
        </w:rPr>
        <w:t>10.1投标人须保证，采购人在中华人民共和国境内使用投标货物、资料</w:t>
      </w:r>
      <w:r>
        <w:rPr>
          <w:rFonts w:ascii="宋体" w:hAnsi="宋体" w:eastAsia="宋体" w:cs="宋体"/>
          <w:spacing w:val="-3"/>
          <w:sz w:val="24"/>
          <w:szCs w:val="24"/>
          <w:highlight w:val="none"/>
        </w:rPr>
        <w:t>、技术</w:t>
      </w:r>
      <w:r>
        <w:rPr>
          <w:rFonts w:ascii="宋体" w:hAnsi="宋体" w:eastAsia="宋体" w:cs="宋体"/>
          <w:spacing w:val="-1"/>
          <w:sz w:val="24"/>
          <w:szCs w:val="24"/>
          <w:highlight w:val="none"/>
        </w:rPr>
        <w:t>、服务或其任何一部分时，享有不受限制的无偿使用权，不会产生因第三方提出侵犯其专利权、商标权或其它知识产权而引起的法律或经济纠纷。如投标人不拥有相应的知识产权，则在投标报价中必须包括合法获取该知识产权的一切相关费用。如因此导致采购人损失的，投标人须承担全部赔偿责任。</w:t>
      </w:r>
    </w:p>
    <w:p w14:paraId="0F50419D">
      <w:pPr>
        <w:spacing w:line="257" w:lineRule="auto"/>
        <w:ind w:left="32" w:right="126" w:firstLine="16"/>
        <w:outlineLvl w:val="9"/>
        <w:rPr>
          <w:rFonts w:ascii="宋体" w:hAnsi="宋体" w:eastAsia="宋体" w:cs="宋体"/>
          <w:sz w:val="24"/>
          <w:szCs w:val="24"/>
          <w:highlight w:val="none"/>
        </w:rPr>
      </w:pPr>
      <w:r>
        <w:rPr>
          <w:rFonts w:ascii="宋体" w:hAnsi="宋体" w:eastAsia="宋体" w:cs="宋体"/>
          <w:spacing w:val="-3"/>
          <w:sz w:val="24"/>
          <w:szCs w:val="24"/>
          <w:highlight w:val="none"/>
        </w:rPr>
        <w:t>10.2投标人如欲在项目实施过程中采用</w:t>
      </w:r>
      <w:r>
        <w:rPr>
          <w:rFonts w:ascii="宋体" w:hAnsi="宋体" w:eastAsia="宋体" w:cs="宋体"/>
          <w:spacing w:val="-4"/>
          <w:sz w:val="24"/>
          <w:szCs w:val="24"/>
          <w:highlight w:val="none"/>
        </w:rPr>
        <w:t>自有知识成果，须在投标文件中声明，</w:t>
      </w:r>
      <w:r>
        <w:rPr>
          <w:rFonts w:ascii="宋体" w:hAnsi="宋体" w:eastAsia="宋体" w:cs="宋体"/>
          <w:spacing w:val="-1"/>
          <w:sz w:val="24"/>
          <w:szCs w:val="24"/>
          <w:highlight w:val="none"/>
        </w:rPr>
        <w:t>并提供相关知识产权证明文件。使用该知识成果后，投标人须提供开发接口和</w:t>
      </w:r>
      <w:r>
        <w:rPr>
          <w:rFonts w:ascii="宋体" w:hAnsi="宋体" w:eastAsia="宋体" w:cs="宋体"/>
          <w:spacing w:val="-3"/>
          <w:sz w:val="24"/>
          <w:szCs w:val="24"/>
          <w:highlight w:val="none"/>
        </w:rPr>
        <w:t>开发手册等技术文档。</w:t>
      </w:r>
    </w:p>
    <w:p w14:paraId="6EFBF12F">
      <w:pPr>
        <w:spacing w:before="166" w:line="219" w:lineRule="auto"/>
        <w:ind w:left="78"/>
        <w:outlineLvl w:val="9"/>
        <w:rPr>
          <w:rFonts w:ascii="宋体" w:hAnsi="宋体" w:eastAsia="宋体" w:cs="宋体"/>
          <w:sz w:val="24"/>
          <w:szCs w:val="24"/>
          <w:highlight w:val="none"/>
        </w:rPr>
      </w:pPr>
      <w:r>
        <w:rPr>
          <w:rFonts w:ascii="宋体" w:hAnsi="宋体" w:eastAsia="宋体" w:cs="宋体"/>
          <w:b/>
          <w:bCs/>
          <w:spacing w:val="-7"/>
          <w:sz w:val="24"/>
          <w:szCs w:val="24"/>
          <w:highlight w:val="none"/>
        </w:rPr>
        <w:t>11.招标文件的澄清和修改</w:t>
      </w:r>
    </w:p>
    <w:p w14:paraId="62B331CA">
      <w:pPr>
        <w:spacing w:before="211" w:line="366" w:lineRule="auto"/>
        <w:ind w:left="31" w:right="81" w:firstLine="17"/>
        <w:jc w:val="both"/>
        <w:outlineLvl w:val="9"/>
        <w:rPr>
          <w:rFonts w:ascii="宋体" w:hAnsi="宋体" w:eastAsia="宋体" w:cs="宋体"/>
          <w:sz w:val="24"/>
          <w:szCs w:val="24"/>
          <w:highlight w:val="none"/>
        </w:rPr>
      </w:pPr>
      <w:r>
        <w:rPr>
          <w:rFonts w:ascii="宋体" w:hAnsi="宋体" w:eastAsia="宋体" w:cs="宋体"/>
          <w:spacing w:val="-2"/>
          <w:sz w:val="24"/>
          <w:szCs w:val="24"/>
          <w:highlight w:val="none"/>
        </w:rPr>
        <w:t>11.1投标人如果对招标文件有疑问或要求进行澄清的，应按照</w:t>
      </w:r>
      <w:r>
        <w:rPr>
          <w:rFonts w:ascii="宋体" w:hAnsi="宋体" w:eastAsia="宋体" w:cs="宋体"/>
          <w:spacing w:val="-3"/>
          <w:sz w:val="24"/>
          <w:szCs w:val="24"/>
          <w:highlight w:val="none"/>
        </w:rPr>
        <w:t>招标文件第二部</w:t>
      </w:r>
      <w:r>
        <w:rPr>
          <w:rFonts w:ascii="宋体" w:hAnsi="宋体" w:eastAsia="宋体" w:cs="宋体"/>
          <w:spacing w:val="-1"/>
          <w:sz w:val="24"/>
          <w:szCs w:val="24"/>
          <w:highlight w:val="none"/>
        </w:rPr>
        <w:t>分“投标人须知前附表”中规定向采购代理机</w:t>
      </w:r>
      <w:r>
        <w:rPr>
          <w:rFonts w:ascii="宋体" w:hAnsi="宋体" w:eastAsia="宋体" w:cs="宋体"/>
          <w:spacing w:val="-2"/>
          <w:sz w:val="24"/>
          <w:szCs w:val="24"/>
          <w:highlight w:val="none"/>
        </w:rPr>
        <w:t>构提出。提出后，请投标人及时</w:t>
      </w:r>
      <w:r>
        <w:rPr>
          <w:rFonts w:ascii="宋体" w:hAnsi="宋体" w:eastAsia="宋体" w:cs="宋体"/>
          <w:sz w:val="24"/>
          <w:szCs w:val="24"/>
          <w:highlight w:val="none"/>
        </w:rPr>
        <w:t>领取答疑文件或澄清文件。必要时，采购代理机构将组织相关专家召开答疑会</w:t>
      </w:r>
      <w:r>
        <w:rPr>
          <w:rFonts w:ascii="宋体" w:hAnsi="宋体" w:eastAsia="宋体" w:cs="宋体"/>
          <w:spacing w:val="-6"/>
          <w:sz w:val="24"/>
          <w:szCs w:val="24"/>
          <w:highlight w:val="none"/>
        </w:rPr>
        <w:t>,如召开，答疑会安排另行通知。</w:t>
      </w:r>
    </w:p>
    <w:p w14:paraId="0E128670">
      <w:pPr>
        <w:spacing w:before="3" w:line="365" w:lineRule="auto"/>
        <w:ind w:left="29" w:right="81" w:firstLine="4"/>
        <w:jc w:val="both"/>
        <w:outlineLvl w:val="9"/>
        <w:rPr>
          <w:rFonts w:ascii="宋体" w:hAnsi="宋体" w:eastAsia="宋体" w:cs="宋体"/>
          <w:sz w:val="24"/>
          <w:szCs w:val="24"/>
          <w:highlight w:val="none"/>
        </w:rPr>
      </w:pPr>
      <w:r>
        <w:rPr>
          <w:rFonts w:ascii="宋体" w:hAnsi="宋体" w:eastAsia="宋体" w:cs="宋体"/>
          <w:sz w:val="24"/>
          <w:szCs w:val="24"/>
          <w:highlight w:val="none"/>
        </w:rPr>
        <w:t>投标人在规定的时间内未对招标文件提出疑问或要求澄清的，采购代理机构将</w:t>
      </w:r>
      <w:r>
        <w:rPr>
          <w:rFonts w:ascii="宋体" w:hAnsi="宋体" w:eastAsia="宋体" w:cs="宋体"/>
          <w:spacing w:val="-1"/>
          <w:sz w:val="24"/>
          <w:szCs w:val="24"/>
          <w:highlight w:val="none"/>
        </w:rPr>
        <w:t>视其为同意，对在“答疑接受时间”后就招标文件</w:t>
      </w:r>
      <w:r>
        <w:rPr>
          <w:rFonts w:ascii="宋体" w:hAnsi="宋体" w:eastAsia="宋体" w:cs="宋体"/>
          <w:spacing w:val="-2"/>
          <w:sz w:val="24"/>
          <w:szCs w:val="24"/>
          <w:highlight w:val="none"/>
        </w:rPr>
        <w:t>内容提出的疑问及澄清要求</w:t>
      </w:r>
      <w:r>
        <w:rPr>
          <w:rFonts w:ascii="宋体" w:hAnsi="宋体" w:eastAsia="宋体" w:cs="宋体"/>
          <w:spacing w:val="-3"/>
          <w:sz w:val="24"/>
          <w:szCs w:val="24"/>
          <w:highlight w:val="none"/>
        </w:rPr>
        <w:t>将不予受理。</w:t>
      </w:r>
    </w:p>
    <w:p w14:paraId="413E65BE">
      <w:pPr>
        <w:spacing w:before="2" w:line="366" w:lineRule="auto"/>
        <w:ind w:left="32" w:right="19" w:firstLine="16"/>
        <w:jc w:val="both"/>
        <w:outlineLvl w:val="9"/>
        <w:rPr>
          <w:rFonts w:ascii="宋体" w:hAnsi="宋体" w:eastAsia="宋体" w:cs="宋体"/>
          <w:sz w:val="24"/>
          <w:szCs w:val="24"/>
          <w:highlight w:val="none"/>
        </w:rPr>
      </w:pPr>
      <w:r>
        <w:rPr>
          <w:rFonts w:ascii="宋体" w:hAnsi="宋体" w:eastAsia="宋体" w:cs="宋体"/>
          <w:spacing w:val="-1"/>
          <w:sz w:val="24"/>
          <w:szCs w:val="24"/>
          <w:highlight w:val="none"/>
        </w:rPr>
        <w:t>11.2无论出于何种原因，采购代理机构主动或出于解答投标人疑问对已发出的</w:t>
      </w:r>
      <w:r>
        <w:rPr>
          <w:rFonts w:ascii="宋体" w:hAnsi="宋体" w:eastAsia="宋体" w:cs="宋体"/>
          <w:spacing w:val="2"/>
          <w:sz w:val="24"/>
          <w:szCs w:val="24"/>
          <w:highlight w:val="none"/>
        </w:rPr>
        <w:t>招标文件进行必要澄清或修改的，应当在招标文件要求提交投标文件截止时间</w:t>
      </w:r>
      <w:r>
        <w:rPr>
          <w:rFonts w:ascii="宋体" w:hAnsi="宋体" w:eastAsia="宋体" w:cs="宋体"/>
          <w:spacing w:val="-2"/>
          <w:sz w:val="24"/>
          <w:szCs w:val="24"/>
          <w:highlight w:val="none"/>
        </w:rPr>
        <w:t>15日前，以当面交接、邮寄、传真或电子邮件、网</w:t>
      </w:r>
      <w:r>
        <w:rPr>
          <w:rFonts w:ascii="宋体" w:hAnsi="宋体" w:eastAsia="宋体" w:cs="宋体"/>
          <w:spacing w:val="-3"/>
          <w:sz w:val="24"/>
          <w:szCs w:val="24"/>
          <w:highlight w:val="none"/>
        </w:rPr>
        <w:t>站披露等其中至少一种方式</w:t>
      </w:r>
      <w:r>
        <w:rPr>
          <w:rFonts w:ascii="宋体" w:hAnsi="宋体" w:eastAsia="宋体" w:cs="宋体"/>
          <w:sz w:val="24"/>
          <w:szCs w:val="24"/>
          <w:highlight w:val="none"/>
        </w:rPr>
        <w:t>,向潜在投标人发出澄清、修改的补充文件。需</w:t>
      </w:r>
      <w:r>
        <w:rPr>
          <w:rFonts w:ascii="宋体" w:hAnsi="宋体" w:eastAsia="宋体" w:cs="宋体"/>
          <w:spacing w:val="-1"/>
          <w:sz w:val="24"/>
          <w:szCs w:val="24"/>
          <w:highlight w:val="none"/>
        </w:rPr>
        <w:t>要为此调整投标文件提交截止</w:t>
      </w:r>
      <w:r>
        <w:rPr>
          <w:rFonts w:ascii="宋体" w:hAnsi="宋体" w:eastAsia="宋体" w:cs="宋体"/>
          <w:spacing w:val="-3"/>
          <w:sz w:val="24"/>
          <w:szCs w:val="24"/>
          <w:highlight w:val="none"/>
        </w:rPr>
        <w:t>时间的，应当重新确定，并就变更后的投标截止时间重新发出通知。</w:t>
      </w:r>
    </w:p>
    <w:p w14:paraId="25E2CB67">
      <w:pPr>
        <w:spacing w:before="1" w:line="365" w:lineRule="auto"/>
        <w:ind w:left="50" w:right="131" w:firstLine="473"/>
        <w:outlineLvl w:val="9"/>
        <w:rPr>
          <w:rFonts w:ascii="宋体" w:hAnsi="宋体" w:eastAsia="宋体" w:cs="宋体"/>
          <w:sz w:val="24"/>
          <w:szCs w:val="24"/>
          <w:highlight w:val="none"/>
        </w:rPr>
      </w:pPr>
      <w:r>
        <w:rPr>
          <w:rFonts w:ascii="宋体" w:hAnsi="宋体" w:eastAsia="宋体" w:cs="宋体"/>
          <w:spacing w:val="-1"/>
          <w:sz w:val="24"/>
          <w:szCs w:val="24"/>
          <w:highlight w:val="none"/>
        </w:rPr>
        <w:t>特殊情况下，采购代理机构发布澄清、修改文件后</w:t>
      </w:r>
      <w:r>
        <w:rPr>
          <w:rFonts w:ascii="宋体" w:hAnsi="宋体" w:eastAsia="宋体" w:cs="宋体"/>
          <w:spacing w:val="-2"/>
          <w:sz w:val="24"/>
          <w:szCs w:val="24"/>
          <w:highlight w:val="none"/>
        </w:rPr>
        <w:t>，征得投标人同意，可不改变投标截止时间和开标时间。</w:t>
      </w:r>
    </w:p>
    <w:p w14:paraId="59D626EB">
      <w:pPr>
        <w:spacing w:before="1" w:line="330" w:lineRule="auto"/>
        <w:ind w:left="34" w:right="143" w:firstLine="14"/>
        <w:outlineLvl w:val="9"/>
        <w:rPr>
          <w:rFonts w:ascii="宋体" w:hAnsi="宋体" w:eastAsia="宋体" w:cs="宋体"/>
          <w:sz w:val="24"/>
          <w:szCs w:val="24"/>
          <w:highlight w:val="none"/>
        </w:rPr>
      </w:pPr>
      <w:r>
        <w:rPr>
          <w:rFonts w:ascii="宋体" w:hAnsi="宋体" w:eastAsia="宋体" w:cs="宋体"/>
          <w:spacing w:val="-4"/>
          <w:sz w:val="24"/>
          <w:szCs w:val="24"/>
          <w:highlight w:val="none"/>
        </w:rPr>
        <w:t>10.3采购代理机构一旦对招标文件作出了澄清、修改，即刻发生效力，采购代</w:t>
      </w:r>
      <w:r>
        <w:rPr>
          <w:rFonts w:ascii="宋体" w:hAnsi="宋体" w:eastAsia="宋体" w:cs="宋体"/>
          <w:spacing w:val="-1"/>
          <w:sz w:val="24"/>
          <w:szCs w:val="24"/>
          <w:highlight w:val="none"/>
        </w:rPr>
        <w:t>理机构有关的补充文件，将作为招标文件的组成部分，对所有现实的或潜</w:t>
      </w:r>
    </w:p>
    <w:p w14:paraId="61A38E88">
      <w:pPr>
        <w:spacing w:line="330" w:lineRule="auto"/>
        <w:outlineLvl w:val="9"/>
        <w:rPr>
          <w:rFonts w:ascii="宋体" w:hAnsi="宋体" w:eastAsia="宋体" w:cs="宋体"/>
          <w:sz w:val="24"/>
          <w:szCs w:val="24"/>
          <w:highlight w:val="none"/>
        </w:rPr>
        <w:sectPr>
          <w:footerReference r:id="rId18" w:type="default"/>
          <w:pgSz w:w="11850" w:h="16781"/>
          <w:pgMar w:top="1426" w:right="1777" w:bottom="956" w:left="1777" w:header="0" w:footer="786" w:gutter="0"/>
          <w:pgNumType w:fmt="decimal"/>
          <w:cols w:space="720" w:num="1"/>
        </w:sectPr>
      </w:pPr>
    </w:p>
    <w:p w14:paraId="1A06ED0F">
      <w:pPr>
        <w:pStyle w:val="2"/>
        <w:spacing w:line="398" w:lineRule="auto"/>
        <w:outlineLvl w:val="9"/>
        <w:rPr>
          <w:highlight w:val="none"/>
        </w:rPr>
      </w:pPr>
    </w:p>
    <w:p w14:paraId="52C81DEF">
      <w:pPr>
        <w:spacing w:before="78" w:line="330" w:lineRule="auto"/>
        <w:ind w:left="33" w:right="124" w:hanging="3"/>
        <w:outlineLvl w:val="9"/>
        <w:rPr>
          <w:rFonts w:ascii="宋体" w:hAnsi="宋体" w:eastAsia="宋体" w:cs="宋体"/>
          <w:sz w:val="24"/>
          <w:szCs w:val="24"/>
          <w:highlight w:val="none"/>
        </w:rPr>
      </w:pPr>
      <w:r>
        <w:rPr>
          <w:rFonts w:ascii="宋体" w:hAnsi="宋体" w:eastAsia="宋体" w:cs="宋体"/>
          <w:spacing w:val="-1"/>
          <w:sz w:val="24"/>
          <w:szCs w:val="24"/>
          <w:highlight w:val="none"/>
        </w:rPr>
        <w:t>在的投标人均具有约束力，而无论是否已经实际收到上述文件。同时，采购代理机构和投标人的权利及义务将受到新的截止期的约束。</w:t>
      </w:r>
    </w:p>
    <w:p w14:paraId="6A4874AE">
      <w:pPr>
        <w:spacing w:before="184" w:line="331" w:lineRule="auto"/>
        <w:ind w:left="33" w:right="93" w:firstLine="15"/>
        <w:outlineLvl w:val="9"/>
        <w:rPr>
          <w:rFonts w:ascii="宋体" w:hAnsi="宋体" w:eastAsia="宋体" w:cs="宋体"/>
          <w:sz w:val="24"/>
          <w:szCs w:val="24"/>
          <w:highlight w:val="none"/>
        </w:rPr>
      </w:pPr>
      <w:r>
        <w:rPr>
          <w:rFonts w:ascii="宋体" w:hAnsi="宋体" w:eastAsia="宋体" w:cs="宋体"/>
          <w:spacing w:val="-4"/>
          <w:sz w:val="24"/>
          <w:szCs w:val="24"/>
          <w:highlight w:val="none"/>
        </w:rPr>
        <w:t>10.4采购代理机构对招标文件作出的澄清、修改以书面或邮件形式向潜在投标</w:t>
      </w:r>
      <w:r>
        <w:rPr>
          <w:rFonts w:ascii="宋体" w:hAnsi="宋体" w:eastAsia="宋体" w:cs="宋体"/>
          <w:spacing w:val="-1"/>
          <w:sz w:val="24"/>
          <w:szCs w:val="24"/>
          <w:highlight w:val="none"/>
        </w:rPr>
        <w:t>人发出。因登记有误等其它任何意外情形，导致投标人未及时获取的，采购代理机构不因此承担任何责任，且有关的招标活动继续有效地进行。当招标文件</w:t>
      </w:r>
      <w:r>
        <w:rPr>
          <w:rFonts w:ascii="宋体" w:hAnsi="宋体" w:eastAsia="宋体" w:cs="宋体"/>
          <w:sz w:val="24"/>
          <w:szCs w:val="24"/>
          <w:highlight w:val="none"/>
        </w:rPr>
        <w:t>的澄清、修改及进行其他答复等就同一内容的表述不一致时，以最后发布的内</w:t>
      </w:r>
      <w:r>
        <w:rPr>
          <w:rFonts w:ascii="宋体" w:hAnsi="宋体" w:eastAsia="宋体" w:cs="宋体"/>
          <w:spacing w:val="-3"/>
          <w:sz w:val="24"/>
          <w:szCs w:val="24"/>
          <w:highlight w:val="none"/>
        </w:rPr>
        <w:t>容为准。</w:t>
      </w:r>
    </w:p>
    <w:p w14:paraId="4535E9E4">
      <w:pPr>
        <w:spacing w:before="183" w:line="294" w:lineRule="auto"/>
        <w:ind w:left="33" w:right="146" w:firstLine="15"/>
        <w:outlineLvl w:val="9"/>
        <w:rPr>
          <w:rFonts w:ascii="宋体" w:hAnsi="宋体" w:eastAsia="宋体" w:cs="宋体"/>
          <w:sz w:val="24"/>
          <w:szCs w:val="24"/>
          <w:highlight w:val="none"/>
        </w:rPr>
      </w:pPr>
      <w:r>
        <w:rPr>
          <w:rFonts w:ascii="宋体" w:hAnsi="宋体" w:eastAsia="宋体" w:cs="宋体"/>
          <w:spacing w:val="-4"/>
          <w:sz w:val="24"/>
          <w:szCs w:val="24"/>
          <w:highlight w:val="none"/>
        </w:rPr>
        <w:t>10.5澄清、修改文件发出后，投标人必须使用最新的答疑、澄清文件制作投标</w:t>
      </w:r>
      <w:r>
        <w:rPr>
          <w:rFonts w:ascii="宋体" w:hAnsi="宋体" w:eastAsia="宋体" w:cs="宋体"/>
          <w:spacing w:val="-2"/>
          <w:sz w:val="24"/>
          <w:szCs w:val="24"/>
          <w:highlight w:val="none"/>
        </w:rPr>
        <w:t>文件，否则后果自负。</w:t>
      </w:r>
    </w:p>
    <w:p w14:paraId="5AA53267">
      <w:pPr>
        <w:spacing w:before="52" w:line="219" w:lineRule="auto"/>
        <w:ind w:left="43"/>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三、投标文件</w:t>
      </w:r>
    </w:p>
    <w:p w14:paraId="181DBCF5">
      <w:pPr>
        <w:pStyle w:val="2"/>
        <w:spacing w:line="290" w:lineRule="auto"/>
        <w:outlineLvl w:val="9"/>
        <w:rPr>
          <w:highlight w:val="none"/>
        </w:rPr>
      </w:pPr>
    </w:p>
    <w:p w14:paraId="61E80558">
      <w:pPr>
        <w:spacing w:before="79" w:line="219" w:lineRule="auto"/>
        <w:ind w:left="78"/>
        <w:outlineLvl w:val="9"/>
        <w:rPr>
          <w:rFonts w:ascii="宋体" w:hAnsi="宋体" w:eastAsia="宋体" w:cs="宋体"/>
          <w:sz w:val="24"/>
          <w:szCs w:val="24"/>
          <w:highlight w:val="none"/>
        </w:rPr>
      </w:pPr>
      <w:r>
        <w:rPr>
          <w:rFonts w:ascii="宋体" w:hAnsi="宋体" w:eastAsia="宋体" w:cs="宋体"/>
          <w:b/>
          <w:bCs/>
          <w:spacing w:val="-7"/>
          <w:sz w:val="24"/>
          <w:szCs w:val="24"/>
          <w:highlight w:val="none"/>
        </w:rPr>
        <w:t>11.投标文件的语言及计量单位</w:t>
      </w:r>
    </w:p>
    <w:p w14:paraId="6DEED52E">
      <w:pPr>
        <w:spacing w:before="20" w:line="260" w:lineRule="auto"/>
        <w:ind w:left="33" w:right="143" w:firstLine="15"/>
        <w:outlineLvl w:val="9"/>
        <w:rPr>
          <w:rFonts w:ascii="宋体" w:hAnsi="宋体" w:eastAsia="宋体" w:cs="宋体"/>
          <w:sz w:val="24"/>
          <w:szCs w:val="24"/>
          <w:highlight w:val="none"/>
        </w:rPr>
      </w:pPr>
      <w:r>
        <w:rPr>
          <w:rFonts w:ascii="宋体" w:hAnsi="宋体" w:eastAsia="宋体" w:cs="宋体"/>
          <w:spacing w:val="-4"/>
          <w:sz w:val="24"/>
          <w:szCs w:val="24"/>
          <w:highlight w:val="none"/>
        </w:rPr>
        <w:t>11.1投标人提交的投标文件（包括技术文件和资料、图纸中的说明）以及投标</w:t>
      </w:r>
      <w:r>
        <w:rPr>
          <w:rFonts w:ascii="宋体" w:hAnsi="宋体" w:eastAsia="宋体" w:cs="宋体"/>
          <w:sz w:val="24"/>
          <w:szCs w:val="24"/>
          <w:highlight w:val="none"/>
        </w:rPr>
        <w:t>人与采购代理机构就有关投标的所有来往函电均应使用中文简体字。</w:t>
      </w:r>
    </w:p>
    <w:p w14:paraId="14F747C8">
      <w:pPr>
        <w:pStyle w:val="2"/>
        <w:spacing w:line="244" w:lineRule="auto"/>
        <w:outlineLvl w:val="9"/>
        <w:rPr>
          <w:highlight w:val="none"/>
        </w:rPr>
      </w:pPr>
    </w:p>
    <w:p w14:paraId="30A1A47E">
      <w:pPr>
        <w:spacing w:before="78" w:line="375" w:lineRule="auto"/>
        <w:ind w:right="114"/>
        <w:outlineLvl w:val="9"/>
        <w:rPr>
          <w:rFonts w:ascii="宋体" w:hAnsi="宋体" w:eastAsia="宋体" w:cs="宋体"/>
          <w:sz w:val="24"/>
          <w:szCs w:val="24"/>
          <w:highlight w:val="none"/>
        </w:rPr>
      </w:pPr>
      <w:r>
        <w:rPr>
          <w:rFonts w:ascii="宋体" w:hAnsi="宋体" w:eastAsia="宋体" w:cs="宋体"/>
          <w:spacing w:val="-4"/>
          <w:sz w:val="24"/>
          <w:szCs w:val="24"/>
          <w:highlight w:val="none"/>
        </w:rPr>
        <w:t>11.2原版为外文的证书类文件，以及由外国人作出的本人签名、</w:t>
      </w:r>
      <w:r>
        <w:rPr>
          <w:rFonts w:ascii="宋体" w:hAnsi="宋体" w:eastAsia="宋体" w:cs="宋体"/>
          <w:spacing w:val="-5"/>
          <w:sz w:val="24"/>
          <w:szCs w:val="24"/>
          <w:highlight w:val="none"/>
        </w:rPr>
        <w:t>外国公司</w:t>
      </w:r>
      <w:r>
        <w:rPr>
          <w:rFonts w:ascii="宋体" w:hAnsi="宋体" w:eastAsia="宋体" w:cs="宋体"/>
          <w:spacing w:val="-1"/>
          <w:sz w:val="24"/>
          <w:szCs w:val="24"/>
          <w:highlight w:val="none"/>
        </w:rPr>
        <w:t>的名称或外国印章等可以是外文，但应当提供中文翻译文件并加盖投标人</w:t>
      </w:r>
      <w:r>
        <w:rPr>
          <w:rFonts w:ascii="宋体" w:hAnsi="宋体" w:eastAsia="宋体" w:cs="宋体"/>
          <w:spacing w:val="-2"/>
          <w:sz w:val="24"/>
          <w:szCs w:val="24"/>
          <w:highlight w:val="none"/>
        </w:rPr>
        <w:t>公章</w:t>
      </w:r>
      <w:r>
        <w:rPr>
          <w:rFonts w:ascii="宋体" w:hAnsi="宋体" w:eastAsia="宋体" w:cs="宋体"/>
          <w:spacing w:val="4"/>
          <w:sz w:val="24"/>
          <w:szCs w:val="24"/>
          <w:highlight w:val="none"/>
        </w:rPr>
        <w:t>。必要时评标委员会可以要求投标人提供附有公证书的中文翻译文件或者与</w:t>
      </w:r>
      <w:r>
        <w:rPr>
          <w:rFonts w:ascii="宋体" w:hAnsi="宋体" w:eastAsia="宋体" w:cs="宋体"/>
          <w:spacing w:val="1"/>
          <w:sz w:val="24"/>
          <w:szCs w:val="24"/>
          <w:highlight w:val="none"/>
        </w:rPr>
        <w:t>原版文件签章相一致的中文翻译文件。原版为外文的证书类、证明类文件，</w:t>
      </w:r>
    </w:p>
    <w:p w14:paraId="26DFE8B3">
      <w:pPr>
        <w:spacing w:before="1" w:line="218" w:lineRule="auto"/>
        <w:ind w:left="36"/>
        <w:outlineLvl w:val="9"/>
        <w:rPr>
          <w:highlight w:val="none"/>
        </w:rPr>
      </w:pPr>
      <w:r>
        <w:rPr>
          <w:rFonts w:ascii="宋体" w:hAnsi="宋体" w:eastAsia="宋体" w:cs="宋体"/>
          <w:spacing w:val="-1"/>
          <w:sz w:val="24"/>
          <w:szCs w:val="24"/>
          <w:highlight w:val="none"/>
        </w:rPr>
        <w:t>与投标人名称或其他实际情况不符的，投标人应当提供相关证明文件。</w:t>
      </w:r>
    </w:p>
    <w:p w14:paraId="1840165F">
      <w:pPr>
        <w:spacing w:before="78" w:line="320" w:lineRule="auto"/>
        <w:ind w:right="112"/>
        <w:outlineLvl w:val="9"/>
        <w:rPr>
          <w:rFonts w:ascii="宋体" w:hAnsi="宋体" w:eastAsia="宋体" w:cs="宋体"/>
          <w:spacing w:val="-5"/>
          <w:sz w:val="24"/>
          <w:szCs w:val="24"/>
          <w:highlight w:val="none"/>
        </w:rPr>
      </w:pPr>
      <w:r>
        <w:rPr>
          <w:rFonts w:ascii="宋体" w:hAnsi="宋体" w:eastAsia="宋体" w:cs="宋体"/>
          <w:spacing w:val="-5"/>
          <w:sz w:val="24"/>
          <w:szCs w:val="24"/>
          <w:highlight w:val="none"/>
        </w:rPr>
        <w:t>11.3除非招标文件另有规定，投标文件所使用的计量单位，应使用国家法定计量单位。</w:t>
      </w:r>
    </w:p>
    <w:p w14:paraId="6A56B5F8">
      <w:pPr>
        <w:spacing w:before="78" w:line="320" w:lineRule="auto"/>
        <w:ind w:right="112"/>
        <w:outlineLvl w:val="9"/>
        <w:rPr>
          <w:rFonts w:ascii="宋体" w:hAnsi="宋体" w:eastAsia="宋体" w:cs="宋体"/>
          <w:sz w:val="24"/>
          <w:szCs w:val="24"/>
          <w:highlight w:val="none"/>
        </w:rPr>
      </w:pPr>
      <w:r>
        <w:rPr>
          <w:rFonts w:ascii="宋体" w:hAnsi="宋体" w:eastAsia="宋体" w:cs="宋体"/>
          <w:spacing w:val="-4"/>
          <w:sz w:val="24"/>
          <w:szCs w:val="24"/>
          <w:highlight w:val="none"/>
        </w:rPr>
        <w:t>11.4对违反上述规定情形的，评标委员会有权要求投标人限期提供相应文</w:t>
      </w:r>
      <w:r>
        <w:rPr>
          <w:rFonts w:ascii="宋体" w:hAnsi="宋体" w:eastAsia="宋体" w:cs="宋体"/>
          <w:spacing w:val="-2"/>
          <w:sz w:val="24"/>
          <w:szCs w:val="24"/>
          <w:highlight w:val="none"/>
        </w:rPr>
        <w:t>件或决定对其投标予以拒绝。</w:t>
      </w:r>
    </w:p>
    <w:p w14:paraId="75400380">
      <w:pPr>
        <w:spacing w:before="227" w:line="219" w:lineRule="auto"/>
        <w:ind w:right="16"/>
        <w:jc w:val="center"/>
        <w:outlineLvl w:val="9"/>
        <w:rPr>
          <w:rFonts w:ascii="宋体" w:hAnsi="宋体" w:eastAsia="宋体" w:cs="宋体"/>
          <w:sz w:val="24"/>
          <w:szCs w:val="24"/>
          <w:highlight w:val="none"/>
        </w:rPr>
      </w:pPr>
      <w:r>
        <w:rPr>
          <w:rFonts w:ascii="宋体" w:hAnsi="宋体" w:eastAsia="宋体" w:cs="宋体"/>
          <w:spacing w:val="-4"/>
          <w:sz w:val="24"/>
          <w:szCs w:val="24"/>
          <w:highlight w:val="none"/>
        </w:rPr>
        <w:t>11.5电报、电话、传真形式的投标概不接受。投标人的投标文件一律不予退还</w:t>
      </w:r>
      <w:r>
        <w:rPr>
          <w:rFonts w:ascii="宋体" w:hAnsi="宋体" w:eastAsia="宋体" w:cs="宋体"/>
          <w:spacing w:val="-62"/>
          <w:w w:val="95"/>
          <w:position w:val="1"/>
          <w:sz w:val="24"/>
          <w:szCs w:val="24"/>
          <w:highlight w:val="none"/>
        </w:rPr>
        <w:t>。</w:t>
      </w:r>
    </w:p>
    <w:p w14:paraId="6A92B1E8">
      <w:pPr>
        <w:spacing w:before="264" w:line="219" w:lineRule="auto"/>
        <w:ind w:left="68"/>
        <w:outlineLvl w:val="9"/>
        <w:rPr>
          <w:rFonts w:ascii="宋体" w:hAnsi="宋体" w:eastAsia="宋体" w:cs="宋体"/>
          <w:sz w:val="24"/>
          <w:szCs w:val="24"/>
          <w:highlight w:val="none"/>
        </w:rPr>
      </w:pPr>
      <w:r>
        <w:rPr>
          <w:rFonts w:ascii="宋体" w:hAnsi="宋体" w:eastAsia="宋体" w:cs="宋体"/>
          <w:b/>
          <w:bCs/>
          <w:spacing w:val="-7"/>
          <w:sz w:val="24"/>
          <w:szCs w:val="24"/>
          <w:highlight w:val="none"/>
        </w:rPr>
        <w:t>12.投标文件组成及编制</w:t>
      </w:r>
    </w:p>
    <w:p w14:paraId="0ECAA646">
      <w:pPr>
        <w:spacing w:line="219" w:lineRule="auto"/>
        <w:outlineLvl w:val="9"/>
        <w:rPr>
          <w:rFonts w:ascii="宋体" w:hAnsi="宋体" w:eastAsia="宋体" w:cs="宋体"/>
          <w:sz w:val="24"/>
          <w:szCs w:val="24"/>
          <w:highlight w:val="none"/>
        </w:rPr>
        <w:sectPr>
          <w:footerReference r:id="rId19" w:type="default"/>
          <w:pgSz w:w="11850" w:h="16781"/>
          <w:pgMar w:top="1426" w:right="1777" w:bottom="1011" w:left="1777" w:header="0" w:footer="766" w:gutter="0"/>
          <w:pgNumType w:fmt="decimal"/>
          <w:cols w:space="720" w:num="1"/>
        </w:sectPr>
      </w:pPr>
    </w:p>
    <w:p w14:paraId="34878096">
      <w:pPr>
        <w:spacing w:before="48" w:line="219" w:lineRule="auto"/>
        <w:ind w:left="551"/>
        <w:outlineLvl w:val="9"/>
        <w:rPr>
          <w:rFonts w:ascii="宋体" w:hAnsi="宋体" w:eastAsia="宋体" w:cs="宋体"/>
          <w:sz w:val="24"/>
          <w:szCs w:val="24"/>
          <w:highlight w:val="none"/>
        </w:rPr>
      </w:pPr>
      <w:r>
        <w:rPr>
          <w:rFonts w:ascii="宋体" w:hAnsi="宋体" w:eastAsia="宋体" w:cs="宋体"/>
          <w:spacing w:val="-3"/>
          <w:sz w:val="24"/>
          <w:szCs w:val="24"/>
          <w:highlight w:val="none"/>
        </w:rPr>
        <w:t>12.1投标文件的组成详见第六部分“投标文件格式</w:t>
      </w:r>
      <w:r>
        <w:rPr>
          <w:rFonts w:ascii="宋体" w:hAnsi="宋体" w:eastAsia="宋体" w:cs="宋体"/>
          <w:spacing w:val="-4"/>
          <w:sz w:val="24"/>
          <w:szCs w:val="24"/>
          <w:highlight w:val="none"/>
        </w:rPr>
        <w:t>”。</w:t>
      </w:r>
    </w:p>
    <w:p w14:paraId="41C0C3E7">
      <w:pPr>
        <w:spacing w:before="252" w:line="219" w:lineRule="auto"/>
        <w:ind w:left="551"/>
        <w:outlineLvl w:val="9"/>
        <w:rPr>
          <w:rFonts w:ascii="宋体" w:hAnsi="宋体" w:eastAsia="宋体" w:cs="宋体"/>
          <w:sz w:val="24"/>
          <w:szCs w:val="24"/>
          <w:highlight w:val="none"/>
        </w:rPr>
      </w:pPr>
      <w:r>
        <w:rPr>
          <w:rFonts w:ascii="宋体" w:hAnsi="宋体" w:eastAsia="宋体" w:cs="宋体"/>
          <w:spacing w:val="-6"/>
          <w:sz w:val="24"/>
          <w:szCs w:val="24"/>
          <w:highlight w:val="none"/>
        </w:rPr>
        <w:t>12.2投标文件的编制</w:t>
      </w:r>
    </w:p>
    <w:p w14:paraId="209596FF">
      <w:pPr>
        <w:spacing w:before="167" w:line="292" w:lineRule="auto"/>
        <w:ind w:left="31" w:right="115" w:firstLine="519"/>
        <w:outlineLvl w:val="9"/>
        <w:rPr>
          <w:rFonts w:ascii="宋体" w:hAnsi="宋体" w:eastAsia="宋体" w:cs="宋体"/>
          <w:sz w:val="24"/>
          <w:szCs w:val="24"/>
          <w:highlight w:val="none"/>
        </w:rPr>
      </w:pPr>
      <w:r>
        <w:rPr>
          <w:rFonts w:ascii="宋体" w:hAnsi="宋体" w:eastAsia="宋体" w:cs="宋体"/>
          <w:spacing w:val="-4"/>
          <w:sz w:val="24"/>
          <w:szCs w:val="24"/>
          <w:highlight w:val="none"/>
        </w:rPr>
        <w:t>12.2.1投标文件按照招标文件中明确的投标文件目录和格式进行编制，保</w:t>
      </w:r>
      <w:r>
        <w:rPr>
          <w:rFonts w:ascii="宋体" w:hAnsi="宋体" w:eastAsia="宋体" w:cs="宋体"/>
          <w:sz w:val="24"/>
          <w:szCs w:val="24"/>
          <w:highlight w:val="none"/>
        </w:rPr>
        <w:t>证目录清晰、内容完整。如有必要，可以增加附页，作为投标文件的组成部</w:t>
      </w:r>
    </w:p>
    <w:p w14:paraId="57579451">
      <w:pPr>
        <w:spacing w:line="220" w:lineRule="auto"/>
        <w:ind w:left="34"/>
        <w:outlineLvl w:val="9"/>
        <w:rPr>
          <w:rFonts w:ascii="宋体" w:hAnsi="宋体" w:eastAsia="宋体" w:cs="宋体"/>
          <w:spacing w:val="-7"/>
          <w:sz w:val="24"/>
          <w:szCs w:val="24"/>
          <w:highlight w:val="none"/>
        </w:rPr>
      </w:pPr>
      <w:r>
        <w:rPr>
          <w:rFonts w:ascii="宋体" w:hAnsi="宋体" w:eastAsia="宋体" w:cs="宋体"/>
          <w:spacing w:val="-7"/>
          <w:sz w:val="24"/>
          <w:szCs w:val="24"/>
          <w:highlight w:val="none"/>
        </w:rPr>
        <w:t>分。</w:t>
      </w:r>
    </w:p>
    <w:p w14:paraId="28217D33">
      <w:pPr>
        <w:spacing w:line="220" w:lineRule="auto"/>
        <w:ind w:left="34" w:firstLine="464" w:firstLineChars="200"/>
        <w:outlineLvl w:val="9"/>
        <w:rPr>
          <w:rFonts w:ascii="宋体" w:hAnsi="宋体" w:eastAsia="宋体" w:cs="宋体"/>
          <w:sz w:val="24"/>
          <w:szCs w:val="24"/>
          <w:highlight w:val="none"/>
        </w:rPr>
      </w:pPr>
      <w:r>
        <w:rPr>
          <w:rFonts w:ascii="宋体" w:hAnsi="宋体" w:eastAsia="宋体" w:cs="宋体"/>
          <w:spacing w:val="-4"/>
          <w:sz w:val="24"/>
          <w:szCs w:val="24"/>
          <w:highlight w:val="none"/>
        </w:rPr>
        <w:t>12.2.2投标文件应当对招标文件有关交货期、投标有效期、采购需求、采</w:t>
      </w:r>
      <w:r>
        <w:rPr>
          <w:rFonts w:ascii="宋体" w:hAnsi="宋体" w:eastAsia="宋体" w:cs="宋体"/>
          <w:spacing w:val="-1"/>
          <w:sz w:val="24"/>
          <w:szCs w:val="24"/>
          <w:highlight w:val="none"/>
        </w:rPr>
        <w:t>购内容等实质性内容作出响应。投标文件在满足招标文件实质性要求的基础上</w:t>
      </w:r>
      <w:r>
        <w:rPr>
          <w:rFonts w:ascii="宋体" w:hAnsi="宋体" w:eastAsia="宋体" w:cs="宋体"/>
          <w:spacing w:val="-4"/>
          <w:sz w:val="24"/>
          <w:szCs w:val="24"/>
          <w:highlight w:val="none"/>
        </w:rPr>
        <w:t>,可以提出比招标文件要求更有利于招标人的承诺。</w:t>
      </w:r>
    </w:p>
    <w:p w14:paraId="7C00460C">
      <w:pPr>
        <w:spacing w:before="192" w:line="294" w:lineRule="auto"/>
        <w:ind w:left="34" w:right="115" w:firstLine="516"/>
        <w:outlineLvl w:val="9"/>
        <w:rPr>
          <w:rFonts w:ascii="宋体" w:hAnsi="宋体" w:eastAsia="宋体" w:cs="宋体"/>
          <w:sz w:val="24"/>
          <w:szCs w:val="24"/>
          <w:highlight w:val="none"/>
        </w:rPr>
      </w:pPr>
      <w:r>
        <w:rPr>
          <w:rFonts w:ascii="宋体" w:hAnsi="宋体" w:eastAsia="宋体" w:cs="宋体"/>
          <w:spacing w:val="-4"/>
          <w:sz w:val="24"/>
          <w:szCs w:val="24"/>
          <w:highlight w:val="none"/>
        </w:rPr>
        <w:t>12.3.3投标单位可对供货现场以及其范围环境进行考察，以获取有关编制</w:t>
      </w:r>
      <w:r>
        <w:rPr>
          <w:rFonts w:ascii="宋体" w:hAnsi="宋体" w:eastAsia="宋体" w:cs="宋体"/>
          <w:spacing w:val="-1"/>
          <w:sz w:val="24"/>
          <w:szCs w:val="24"/>
          <w:highlight w:val="none"/>
        </w:rPr>
        <w:t>投标文件和签署实施合同所需的各项资料，投标单位应承担现场考察的费用、</w:t>
      </w:r>
      <w:r>
        <w:rPr>
          <w:rFonts w:ascii="宋体" w:hAnsi="宋体" w:eastAsia="宋体" w:cs="宋体"/>
          <w:spacing w:val="-3"/>
          <w:sz w:val="24"/>
          <w:szCs w:val="24"/>
          <w:highlight w:val="none"/>
        </w:rPr>
        <w:t>责任和风险。</w:t>
      </w:r>
    </w:p>
    <w:p w14:paraId="108C5CF0">
      <w:pPr>
        <w:spacing w:before="186" w:line="357" w:lineRule="auto"/>
        <w:ind w:left="40" w:right="115" w:firstLine="510"/>
        <w:outlineLvl w:val="9"/>
        <w:rPr>
          <w:rFonts w:ascii="宋体" w:hAnsi="宋体" w:eastAsia="宋体" w:cs="宋体"/>
          <w:sz w:val="24"/>
          <w:szCs w:val="24"/>
          <w:highlight w:val="none"/>
        </w:rPr>
      </w:pPr>
      <w:r>
        <w:rPr>
          <w:rFonts w:ascii="宋体" w:hAnsi="宋体" w:eastAsia="宋体" w:cs="宋体"/>
          <w:spacing w:val="-4"/>
          <w:sz w:val="24"/>
          <w:szCs w:val="24"/>
          <w:highlight w:val="none"/>
        </w:rPr>
        <w:t>13.5投标单位编制投标文件时，应当如实在技术响应表和商务响应表中填</w:t>
      </w:r>
      <w:r>
        <w:rPr>
          <w:rFonts w:ascii="宋体" w:hAnsi="宋体" w:eastAsia="宋体" w:cs="宋体"/>
          <w:spacing w:val="-5"/>
          <w:sz w:val="24"/>
          <w:szCs w:val="24"/>
          <w:highlight w:val="none"/>
        </w:rPr>
        <w:t>写响应情况。</w:t>
      </w:r>
    </w:p>
    <w:p w14:paraId="49817ABE">
      <w:pPr>
        <w:spacing w:before="1" w:line="217" w:lineRule="auto"/>
        <w:ind w:left="522"/>
        <w:outlineLvl w:val="9"/>
        <w:rPr>
          <w:rFonts w:ascii="宋体" w:hAnsi="宋体" w:eastAsia="宋体" w:cs="宋体"/>
          <w:sz w:val="24"/>
          <w:szCs w:val="24"/>
          <w:highlight w:val="none"/>
        </w:rPr>
      </w:pPr>
      <w:r>
        <w:rPr>
          <w:rFonts w:ascii="宋体" w:hAnsi="宋体" w:eastAsia="宋体" w:cs="宋体"/>
          <w:spacing w:val="-6"/>
          <w:sz w:val="24"/>
          <w:szCs w:val="24"/>
          <w:highlight w:val="none"/>
        </w:rPr>
        <w:t>★</w:t>
      </w:r>
      <w:r>
        <w:rPr>
          <w:rFonts w:ascii="宋体" w:hAnsi="宋体" w:eastAsia="宋体" w:cs="宋体"/>
          <w:b/>
          <w:bCs/>
          <w:spacing w:val="-6"/>
          <w:sz w:val="24"/>
          <w:szCs w:val="24"/>
          <w:highlight w:val="none"/>
        </w:rPr>
        <w:t>13.投标报价</w:t>
      </w:r>
    </w:p>
    <w:p w14:paraId="00F61CF4">
      <w:pPr>
        <w:spacing w:before="23" w:line="256" w:lineRule="auto"/>
        <w:ind w:left="31" w:right="90" w:firstLine="17"/>
        <w:outlineLvl w:val="9"/>
        <w:rPr>
          <w:rFonts w:ascii="宋体" w:hAnsi="宋体" w:eastAsia="宋体" w:cs="宋体"/>
          <w:sz w:val="24"/>
          <w:szCs w:val="24"/>
          <w:highlight w:val="none"/>
        </w:rPr>
      </w:pPr>
      <w:r>
        <w:rPr>
          <w:rFonts w:ascii="宋体" w:hAnsi="宋体" w:eastAsia="宋体" w:cs="宋体"/>
          <w:spacing w:val="-2"/>
          <w:sz w:val="24"/>
          <w:szCs w:val="24"/>
          <w:highlight w:val="none"/>
        </w:rPr>
        <w:t>13.1所有投标报价均以人民币元为计算单位。</w:t>
      </w:r>
      <w:r>
        <w:rPr>
          <w:rFonts w:ascii="宋体" w:hAnsi="宋体" w:eastAsia="宋体" w:cs="宋体"/>
          <w:spacing w:val="-3"/>
          <w:sz w:val="24"/>
          <w:szCs w:val="24"/>
          <w:highlight w:val="none"/>
        </w:rPr>
        <w:t>只要投报了一个确定数额的总价,无论分项价格是否全部填报了相应的金额或免费字样，报价应被视为已经包</w:t>
      </w:r>
      <w:r>
        <w:rPr>
          <w:rFonts w:ascii="宋体" w:hAnsi="宋体" w:eastAsia="宋体" w:cs="宋体"/>
          <w:spacing w:val="-1"/>
          <w:sz w:val="24"/>
          <w:szCs w:val="24"/>
          <w:highlight w:val="none"/>
        </w:rPr>
        <w:t>含了但并不限于各项购买货物及其运送、安装、调试、验收、保险和相关服务等的费用和所需缴纳的所有价格、税、费。在其他情况下，由于分项报价填报</w:t>
      </w:r>
      <w:r>
        <w:rPr>
          <w:rFonts w:ascii="宋体" w:hAnsi="宋体" w:eastAsia="宋体" w:cs="宋体"/>
          <w:sz w:val="24"/>
          <w:szCs w:val="24"/>
          <w:highlight w:val="none"/>
        </w:rPr>
        <w:t>不完整、不清楚或存在其他任何失误，所导致的任何不利后果均应当由投标人</w:t>
      </w:r>
      <w:r>
        <w:rPr>
          <w:rFonts w:ascii="宋体" w:hAnsi="宋体" w:eastAsia="宋体" w:cs="宋体"/>
          <w:spacing w:val="-2"/>
          <w:sz w:val="24"/>
          <w:szCs w:val="24"/>
          <w:highlight w:val="none"/>
        </w:rPr>
        <w:t>自行承担。</w:t>
      </w:r>
    </w:p>
    <w:p w14:paraId="11DCE43C">
      <w:pPr>
        <w:spacing w:before="164" w:line="218" w:lineRule="auto"/>
        <w:ind w:left="551"/>
        <w:outlineLvl w:val="9"/>
        <w:rPr>
          <w:rFonts w:ascii="宋体" w:hAnsi="宋体" w:eastAsia="宋体" w:cs="宋体"/>
          <w:sz w:val="24"/>
          <w:szCs w:val="24"/>
          <w:highlight w:val="none"/>
        </w:rPr>
      </w:pPr>
      <w:r>
        <w:rPr>
          <w:rFonts w:ascii="宋体" w:hAnsi="宋体" w:eastAsia="宋体" w:cs="宋体"/>
          <w:spacing w:val="-3"/>
          <w:sz w:val="24"/>
          <w:szCs w:val="24"/>
          <w:highlight w:val="none"/>
        </w:rPr>
        <w:t>13.2投标人投报多包的，须对每包分别制作投标文件并报价</w:t>
      </w:r>
      <w:r>
        <w:rPr>
          <w:rFonts w:ascii="宋体" w:hAnsi="宋体" w:eastAsia="宋体" w:cs="宋体"/>
          <w:b/>
          <w:bCs/>
          <w:spacing w:val="-3"/>
          <w:sz w:val="24"/>
          <w:szCs w:val="24"/>
          <w:highlight w:val="none"/>
        </w:rPr>
        <w:t>。</w:t>
      </w:r>
    </w:p>
    <w:p w14:paraId="7469B51A">
      <w:pPr>
        <w:spacing w:before="213" w:line="295" w:lineRule="auto"/>
        <w:ind w:left="30" w:right="171" w:firstLine="520"/>
        <w:outlineLvl w:val="9"/>
        <w:rPr>
          <w:rFonts w:ascii="宋体" w:hAnsi="宋体" w:eastAsia="宋体" w:cs="宋体"/>
          <w:sz w:val="24"/>
          <w:szCs w:val="24"/>
          <w:highlight w:val="none"/>
        </w:rPr>
      </w:pPr>
      <w:r>
        <w:rPr>
          <w:rFonts w:ascii="宋体" w:hAnsi="宋体" w:eastAsia="宋体" w:cs="宋体"/>
          <w:spacing w:val="-7"/>
          <w:sz w:val="24"/>
          <w:szCs w:val="24"/>
          <w:highlight w:val="none"/>
        </w:rPr>
        <w:t>13.3除非招标文件另有规定，不接受可选择或可调整的投标方案和报价，</w:t>
      </w:r>
      <w:r>
        <w:rPr>
          <w:rFonts w:ascii="宋体" w:hAnsi="宋体" w:eastAsia="宋体" w:cs="宋体"/>
          <w:sz w:val="24"/>
          <w:szCs w:val="24"/>
          <w:highlight w:val="none"/>
        </w:rPr>
        <w:t>任何有选择的或可调整的投标方案和报价将被视为非响应性投标而被拒绝。</w:t>
      </w:r>
    </w:p>
    <w:p w14:paraId="21C8FCBC">
      <w:pPr>
        <w:spacing w:before="187" w:line="294" w:lineRule="auto"/>
        <w:ind w:left="76" w:right="146" w:firstLine="475"/>
        <w:outlineLvl w:val="9"/>
        <w:rPr>
          <w:rFonts w:ascii="宋体" w:hAnsi="宋体" w:eastAsia="宋体" w:cs="宋体"/>
          <w:sz w:val="24"/>
          <w:szCs w:val="24"/>
          <w:highlight w:val="none"/>
        </w:rPr>
      </w:pPr>
      <w:r>
        <w:rPr>
          <w:rFonts w:ascii="宋体" w:hAnsi="宋体" w:eastAsia="宋体" w:cs="宋体"/>
          <w:spacing w:val="-5"/>
          <w:sz w:val="24"/>
          <w:szCs w:val="24"/>
          <w:highlight w:val="none"/>
        </w:rPr>
        <w:t>13.4本项目是否接受进口产品按照招标文件第二部分“投标人须知前附表</w:t>
      </w:r>
      <w:r>
        <w:rPr>
          <w:rFonts w:ascii="宋体" w:hAnsi="宋体" w:eastAsia="宋体" w:cs="宋体"/>
          <w:spacing w:val="-13"/>
          <w:sz w:val="24"/>
          <w:szCs w:val="24"/>
          <w:highlight w:val="none"/>
        </w:rPr>
        <w:t>中”中的规定。</w:t>
      </w:r>
    </w:p>
    <w:p w14:paraId="6B4C8B99">
      <w:pPr>
        <w:spacing w:before="189" w:line="330" w:lineRule="auto"/>
        <w:ind w:left="30" w:right="115" w:firstLine="520"/>
        <w:outlineLvl w:val="9"/>
        <w:rPr>
          <w:rFonts w:ascii="宋体" w:hAnsi="宋体" w:eastAsia="宋体" w:cs="宋体"/>
          <w:sz w:val="24"/>
          <w:szCs w:val="24"/>
          <w:highlight w:val="none"/>
        </w:rPr>
      </w:pPr>
      <w:r>
        <w:rPr>
          <w:rFonts w:ascii="宋体" w:hAnsi="宋体" w:eastAsia="宋体" w:cs="宋体"/>
          <w:spacing w:val="-4"/>
          <w:sz w:val="24"/>
          <w:szCs w:val="24"/>
          <w:highlight w:val="none"/>
        </w:rPr>
        <w:t>13.5本项目是否允许投标人将项目的非主体、非关键性工作交由他人完成</w:t>
      </w:r>
      <w:r>
        <w:rPr>
          <w:rFonts w:ascii="宋体" w:hAnsi="宋体" w:eastAsia="宋体" w:cs="宋体"/>
          <w:spacing w:val="-3"/>
          <w:sz w:val="24"/>
          <w:szCs w:val="24"/>
          <w:highlight w:val="none"/>
        </w:rPr>
        <w:t>按照招标文件第二部分“投标人须知前附表”中的规定。如允许，投标人根据</w:t>
      </w:r>
      <w:r>
        <w:rPr>
          <w:rFonts w:ascii="宋体" w:hAnsi="宋体" w:eastAsia="宋体" w:cs="宋体"/>
          <w:spacing w:val="-1"/>
          <w:sz w:val="24"/>
          <w:szCs w:val="24"/>
          <w:highlight w:val="none"/>
        </w:rPr>
        <w:t>采购项目的实际情况，拟在中标后将中标项目的非主体、非关键性工作交由他</w:t>
      </w:r>
      <w:r>
        <w:rPr>
          <w:rFonts w:ascii="宋体" w:hAnsi="宋体" w:eastAsia="宋体" w:cs="宋体"/>
          <w:spacing w:val="-2"/>
          <w:sz w:val="24"/>
          <w:szCs w:val="24"/>
          <w:highlight w:val="none"/>
        </w:rPr>
        <w:t>人完成，须在技术文件中载明。</w:t>
      </w:r>
    </w:p>
    <w:p w14:paraId="17E0E0F2">
      <w:pPr>
        <w:spacing w:before="165" w:line="220" w:lineRule="auto"/>
        <w:ind w:left="537" w:right="256" w:firstLine="13"/>
        <w:outlineLvl w:val="9"/>
        <w:rPr>
          <w:rFonts w:ascii="宋体" w:hAnsi="宋体" w:eastAsia="宋体" w:cs="宋体"/>
          <w:sz w:val="24"/>
          <w:szCs w:val="24"/>
          <w:highlight w:val="none"/>
        </w:rPr>
      </w:pPr>
      <w:r>
        <w:rPr>
          <w:rFonts w:ascii="宋体" w:hAnsi="宋体" w:eastAsia="宋体" w:cs="宋体"/>
          <w:spacing w:val="-1"/>
          <w:sz w:val="24"/>
          <w:szCs w:val="24"/>
          <w:highlight w:val="none"/>
        </w:rPr>
        <w:t>13.6投标人须严格按照报价明细表规定的内容填写货</w:t>
      </w:r>
      <w:r>
        <w:rPr>
          <w:rFonts w:ascii="宋体" w:hAnsi="宋体" w:eastAsia="宋体" w:cs="宋体"/>
          <w:spacing w:val="-2"/>
          <w:sz w:val="24"/>
          <w:szCs w:val="24"/>
          <w:highlight w:val="none"/>
        </w:rPr>
        <w:t>物单价以及其他事</w:t>
      </w:r>
      <w:r>
        <w:rPr>
          <w:rFonts w:ascii="宋体" w:hAnsi="宋体" w:eastAsia="宋体" w:cs="宋体"/>
          <w:spacing w:val="-7"/>
          <w:sz w:val="24"/>
          <w:szCs w:val="24"/>
          <w:highlight w:val="none"/>
        </w:rPr>
        <w:t>项。</w:t>
      </w:r>
    </w:p>
    <w:p w14:paraId="0E6B4BFC">
      <w:pPr>
        <w:spacing w:before="188" w:line="218" w:lineRule="auto"/>
        <w:ind w:left="551"/>
        <w:outlineLvl w:val="9"/>
        <w:rPr>
          <w:rFonts w:ascii="宋体" w:hAnsi="宋体" w:eastAsia="宋体" w:cs="宋体"/>
          <w:sz w:val="24"/>
          <w:szCs w:val="24"/>
          <w:highlight w:val="none"/>
        </w:rPr>
      </w:pPr>
      <w:r>
        <w:rPr>
          <w:rFonts w:ascii="宋体" w:hAnsi="宋体" w:eastAsia="宋体" w:cs="宋体"/>
          <w:spacing w:val="-2"/>
          <w:sz w:val="24"/>
          <w:szCs w:val="24"/>
          <w:highlight w:val="none"/>
        </w:rPr>
        <w:t>13.7投标人对投标报价若有说明应在投标文件中显著处注明。</w:t>
      </w:r>
    </w:p>
    <w:p w14:paraId="5FB3C9F8">
      <w:pPr>
        <w:spacing w:line="218" w:lineRule="auto"/>
        <w:outlineLvl w:val="9"/>
        <w:rPr>
          <w:rFonts w:ascii="宋体" w:hAnsi="宋体" w:eastAsia="宋体" w:cs="宋体"/>
          <w:sz w:val="24"/>
          <w:szCs w:val="24"/>
          <w:highlight w:val="none"/>
        </w:rPr>
        <w:sectPr>
          <w:footerReference r:id="rId20" w:type="default"/>
          <w:pgSz w:w="11850" w:h="16781"/>
          <w:pgMar w:top="1407" w:right="1777" w:bottom="956" w:left="1777" w:header="0" w:footer="786" w:gutter="0"/>
          <w:pgNumType w:fmt="decimal"/>
          <w:cols w:space="720" w:num="1"/>
        </w:sectPr>
      </w:pPr>
    </w:p>
    <w:p w14:paraId="525C4F34">
      <w:pPr>
        <w:spacing w:before="49" w:line="367" w:lineRule="auto"/>
        <w:ind w:left="37" w:right="129" w:firstLine="505"/>
        <w:outlineLvl w:val="9"/>
        <w:rPr>
          <w:rFonts w:ascii="宋体" w:hAnsi="宋体" w:eastAsia="宋体" w:cs="宋体"/>
          <w:sz w:val="24"/>
          <w:szCs w:val="24"/>
          <w:highlight w:val="none"/>
        </w:rPr>
      </w:pPr>
      <w:r>
        <w:rPr>
          <w:rFonts w:ascii="宋体" w:hAnsi="宋体" w:eastAsia="宋体" w:cs="宋体"/>
          <w:spacing w:val="-2"/>
          <w:sz w:val="24"/>
          <w:szCs w:val="24"/>
          <w:highlight w:val="none"/>
        </w:rPr>
        <w:t>除政策性文件规定以外，投标人所报价格在合同实施期间不因市场变化因</w:t>
      </w:r>
      <w:r>
        <w:rPr>
          <w:rFonts w:ascii="宋体" w:hAnsi="宋体" w:eastAsia="宋体" w:cs="宋体"/>
          <w:spacing w:val="-3"/>
          <w:sz w:val="24"/>
          <w:szCs w:val="24"/>
          <w:highlight w:val="none"/>
        </w:rPr>
        <w:t>素而变动。</w:t>
      </w:r>
    </w:p>
    <w:p w14:paraId="5CCE255E">
      <w:pPr>
        <w:spacing w:before="1" w:line="328" w:lineRule="auto"/>
        <w:ind w:left="34" w:right="23" w:firstLine="516"/>
        <w:outlineLvl w:val="9"/>
        <w:rPr>
          <w:rFonts w:ascii="宋体" w:hAnsi="宋体" w:eastAsia="宋体" w:cs="宋体"/>
          <w:sz w:val="24"/>
          <w:szCs w:val="24"/>
          <w:highlight w:val="none"/>
        </w:rPr>
      </w:pPr>
      <w:r>
        <w:rPr>
          <w:rFonts w:ascii="宋体" w:hAnsi="宋体" w:eastAsia="宋体" w:cs="宋体"/>
          <w:spacing w:val="-8"/>
          <w:sz w:val="24"/>
          <w:szCs w:val="24"/>
          <w:highlight w:val="none"/>
        </w:rPr>
        <w:t>13.8对于有配件、耗材、选件、备件和特殊工具的货物，还应填报投标货物</w:t>
      </w:r>
      <w:r>
        <w:rPr>
          <w:rFonts w:ascii="宋体" w:hAnsi="宋体" w:eastAsia="宋体" w:cs="宋体"/>
          <w:spacing w:val="-1"/>
          <w:sz w:val="24"/>
          <w:szCs w:val="24"/>
          <w:highlight w:val="none"/>
        </w:rPr>
        <w:t>配件、耗材、选件表和备件及特殊工具清单，注明品牌、型</w:t>
      </w:r>
      <w:r>
        <w:rPr>
          <w:rFonts w:ascii="宋体" w:hAnsi="宋体" w:eastAsia="宋体" w:cs="宋体"/>
          <w:spacing w:val="-2"/>
          <w:sz w:val="24"/>
          <w:szCs w:val="24"/>
          <w:highlight w:val="none"/>
        </w:rPr>
        <w:t>号、产地、功能、</w:t>
      </w:r>
    </w:p>
    <w:p w14:paraId="0CE3C6AC">
      <w:pPr>
        <w:spacing w:line="330" w:lineRule="auto"/>
        <w:ind w:left="36" w:right="98"/>
        <w:outlineLvl w:val="9"/>
        <w:rPr>
          <w:rFonts w:ascii="宋体" w:hAnsi="宋体" w:eastAsia="宋体" w:cs="宋体"/>
          <w:sz w:val="24"/>
          <w:szCs w:val="24"/>
          <w:highlight w:val="none"/>
        </w:rPr>
      </w:pPr>
      <w:r>
        <w:rPr>
          <w:rFonts w:ascii="宋体" w:hAnsi="宋体" w:eastAsia="宋体" w:cs="宋体"/>
          <w:spacing w:val="-1"/>
          <w:sz w:val="24"/>
          <w:szCs w:val="24"/>
          <w:highlight w:val="none"/>
        </w:rPr>
        <w:t>单价、批量折扣等内容，该表格格式由投标人自行设计。投标人按照上述要求</w:t>
      </w:r>
      <w:r>
        <w:rPr>
          <w:rFonts w:ascii="宋体" w:hAnsi="宋体" w:eastAsia="宋体" w:cs="宋体"/>
          <w:sz w:val="24"/>
          <w:szCs w:val="24"/>
          <w:highlight w:val="none"/>
        </w:rPr>
        <w:t>分类报价，其目的是便于评标，但在任何情况下并不限制采购人以其他条款签</w:t>
      </w:r>
      <w:r>
        <w:rPr>
          <w:rFonts w:ascii="宋体" w:hAnsi="宋体" w:eastAsia="宋体" w:cs="宋体"/>
          <w:spacing w:val="-2"/>
          <w:sz w:val="24"/>
          <w:szCs w:val="24"/>
          <w:highlight w:val="none"/>
        </w:rPr>
        <w:t>订合同的权利。</w:t>
      </w:r>
    </w:p>
    <w:p w14:paraId="5C5B6829">
      <w:pPr>
        <w:spacing w:before="164" w:line="218" w:lineRule="auto"/>
        <w:ind w:left="551"/>
        <w:outlineLvl w:val="9"/>
        <w:rPr>
          <w:rFonts w:ascii="宋体" w:hAnsi="宋体" w:eastAsia="宋体" w:cs="宋体"/>
          <w:sz w:val="24"/>
          <w:szCs w:val="24"/>
          <w:highlight w:val="none"/>
        </w:rPr>
      </w:pPr>
      <w:r>
        <w:rPr>
          <w:rFonts w:ascii="宋体" w:hAnsi="宋体" w:eastAsia="宋体" w:cs="宋体"/>
          <w:spacing w:val="-4"/>
          <w:sz w:val="24"/>
          <w:szCs w:val="24"/>
          <w:highlight w:val="none"/>
        </w:rPr>
        <w:t>13.9最低报价不能作为中标的保证。</w:t>
      </w:r>
    </w:p>
    <w:p w14:paraId="3E2E966E">
      <w:pPr>
        <w:spacing w:before="194" w:line="220" w:lineRule="auto"/>
        <w:ind w:left="68"/>
        <w:outlineLvl w:val="9"/>
        <w:rPr>
          <w:rFonts w:ascii="宋体" w:hAnsi="宋体" w:eastAsia="宋体" w:cs="宋体"/>
          <w:sz w:val="24"/>
          <w:szCs w:val="24"/>
          <w:highlight w:val="none"/>
        </w:rPr>
      </w:pPr>
      <w:r>
        <w:rPr>
          <w:rFonts w:ascii="宋体" w:hAnsi="宋体" w:eastAsia="宋体" w:cs="宋体"/>
          <w:b/>
          <w:bCs/>
          <w:spacing w:val="-10"/>
          <w:sz w:val="24"/>
          <w:szCs w:val="24"/>
          <w:highlight w:val="none"/>
        </w:rPr>
        <w:t>14.投标有效期</w:t>
      </w:r>
    </w:p>
    <w:p w14:paraId="08F06D1B">
      <w:pPr>
        <w:spacing w:before="210" w:line="293" w:lineRule="auto"/>
        <w:ind w:left="61" w:firstLine="489"/>
        <w:outlineLvl w:val="9"/>
        <w:rPr>
          <w:rFonts w:ascii="宋体" w:hAnsi="宋体" w:eastAsia="宋体" w:cs="宋体"/>
          <w:sz w:val="24"/>
          <w:szCs w:val="24"/>
          <w:highlight w:val="none"/>
        </w:rPr>
      </w:pPr>
      <w:r>
        <w:rPr>
          <w:rFonts w:ascii="宋体" w:hAnsi="宋体" w:eastAsia="宋体" w:cs="宋体"/>
          <w:spacing w:val="-2"/>
          <w:sz w:val="24"/>
          <w:szCs w:val="24"/>
          <w:highlight w:val="none"/>
        </w:rPr>
        <w:t>14.1本项目的投标有效期按照招标文件第二部分“</w:t>
      </w:r>
      <w:r>
        <w:rPr>
          <w:rFonts w:ascii="宋体" w:hAnsi="宋体" w:eastAsia="宋体" w:cs="宋体"/>
          <w:spacing w:val="-3"/>
          <w:sz w:val="24"/>
          <w:szCs w:val="24"/>
          <w:highlight w:val="none"/>
        </w:rPr>
        <w:t>投标人须知前附表中”</w:t>
      </w:r>
      <w:r>
        <w:rPr>
          <w:rFonts w:ascii="宋体" w:hAnsi="宋体" w:eastAsia="宋体" w:cs="宋体"/>
          <w:spacing w:val="-1"/>
          <w:sz w:val="24"/>
          <w:szCs w:val="24"/>
          <w:highlight w:val="none"/>
        </w:rPr>
        <w:t>中的规定。投标有效期自投标截止之日起计算，短于规定期限的投标将按无</w:t>
      </w:r>
    </w:p>
    <w:p w14:paraId="1DA09F7E">
      <w:pPr>
        <w:spacing w:line="220" w:lineRule="auto"/>
        <w:ind w:left="44"/>
        <w:outlineLvl w:val="9"/>
        <w:rPr>
          <w:rFonts w:ascii="宋体" w:hAnsi="宋体" w:eastAsia="宋体" w:cs="宋体"/>
          <w:sz w:val="24"/>
          <w:szCs w:val="24"/>
          <w:highlight w:val="none"/>
        </w:rPr>
      </w:pPr>
      <w:r>
        <w:rPr>
          <w:rFonts w:ascii="宋体" w:hAnsi="宋体" w:eastAsia="宋体" w:cs="宋体"/>
          <w:spacing w:val="-3"/>
          <w:sz w:val="24"/>
          <w:szCs w:val="24"/>
          <w:highlight w:val="none"/>
        </w:rPr>
        <w:t>效投标处理。</w:t>
      </w:r>
    </w:p>
    <w:p w14:paraId="71BACF84">
      <w:pPr>
        <w:spacing w:before="285" w:line="329" w:lineRule="auto"/>
        <w:ind w:left="31" w:right="117" w:firstLine="519"/>
        <w:outlineLvl w:val="9"/>
        <w:rPr>
          <w:rFonts w:ascii="宋体" w:hAnsi="宋体" w:eastAsia="宋体" w:cs="宋体"/>
          <w:sz w:val="24"/>
          <w:szCs w:val="24"/>
          <w:highlight w:val="none"/>
        </w:rPr>
      </w:pPr>
      <w:r>
        <w:rPr>
          <w:rFonts w:ascii="宋体" w:hAnsi="宋体" w:eastAsia="宋体" w:cs="宋体"/>
          <w:spacing w:val="-4"/>
          <w:sz w:val="24"/>
          <w:szCs w:val="24"/>
          <w:highlight w:val="none"/>
        </w:rPr>
        <w:t>14.2在特殊情况下，采购代理机构可与投标人协商延长投标有效期。这种</w:t>
      </w:r>
      <w:r>
        <w:rPr>
          <w:rFonts w:ascii="宋体" w:hAnsi="宋体" w:eastAsia="宋体" w:cs="宋体"/>
          <w:spacing w:val="-1"/>
          <w:sz w:val="24"/>
          <w:szCs w:val="24"/>
          <w:highlight w:val="none"/>
        </w:rPr>
        <w:t>要求和答复都应以书面或邮件形式进行。此时，规定的投标保证金的有效期也相应延长。投标人可以拒绝接受延期要求而不会被没收保证金。同意延长有效</w:t>
      </w:r>
      <w:r>
        <w:rPr>
          <w:rFonts w:ascii="宋体" w:hAnsi="宋体" w:eastAsia="宋体" w:cs="宋体"/>
          <w:sz w:val="24"/>
          <w:szCs w:val="24"/>
          <w:highlight w:val="none"/>
        </w:rPr>
        <w:t>期的投标人除按照采购代理机构要求修改投标有效期外，不能修改投标文件</w:t>
      </w:r>
    </w:p>
    <w:p w14:paraId="01BF1EA3">
      <w:pPr>
        <w:spacing w:before="1" w:line="219" w:lineRule="auto"/>
        <w:ind w:left="51"/>
        <w:outlineLvl w:val="9"/>
        <w:rPr>
          <w:rFonts w:ascii="宋体" w:hAnsi="宋体" w:eastAsia="宋体" w:cs="宋体"/>
          <w:sz w:val="24"/>
          <w:szCs w:val="24"/>
          <w:highlight w:val="none"/>
        </w:rPr>
      </w:pPr>
      <w:r>
        <w:rPr>
          <w:rFonts w:ascii="宋体" w:hAnsi="宋体" w:eastAsia="宋体" w:cs="宋体"/>
          <w:spacing w:val="-5"/>
          <w:sz w:val="24"/>
          <w:szCs w:val="24"/>
          <w:highlight w:val="none"/>
        </w:rPr>
        <w:t>的其他内容。</w:t>
      </w:r>
    </w:p>
    <w:p w14:paraId="4CB4A6BF">
      <w:pPr>
        <w:spacing w:before="315" w:line="219" w:lineRule="auto"/>
        <w:ind w:left="68"/>
        <w:outlineLvl w:val="9"/>
        <w:rPr>
          <w:rFonts w:ascii="宋体" w:hAnsi="宋体" w:eastAsia="宋体" w:cs="宋体"/>
          <w:sz w:val="24"/>
          <w:szCs w:val="24"/>
          <w:highlight w:val="none"/>
        </w:rPr>
      </w:pPr>
      <w:r>
        <w:rPr>
          <w:rFonts w:ascii="宋体" w:hAnsi="宋体" w:eastAsia="宋体" w:cs="宋体"/>
          <w:b/>
          <w:bCs/>
          <w:spacing w:val="-8"/>
          <w:sz w:val="24"/>
          <w:szCs w:val="24"/>
          <w:highlight w:val="none"/>
        </w:rPr>
        <w:t>15.投标内容填写说明</w:t>
      </w:r>
    </w:p>
    <w:p w14:paraId="26E93FDE">
      <w:pPr>
        <w:spacing w:before="211" w:line="369" w:lineRule="auto"/>
        <w:ind w:left="35" w:right="103" w:firstLine="516"/>
        <w:outlineLvl w:val="9"/>
        <w:rPr>
          <w:rFonts w:ascii="宋体" w:hAnsi="宋体" w:eastAsia="宋体" w:cs="宋体"/>
          <w:sz w:val="24"/>
          <w:szCs w:val="24"/>
          <w:highlight w:val="none"/>
        </w:rPr>
      </w:pPr>
      <w:r>
        <w:rPr>
          <w:rFonts w:ascii="宋体" w:hAnsi="宋体" w:eastAsia="宋体" w:cs="宋体"/>
          <w:spacing w:val="-4"/>
          <w:sz w:val="24"/>
          <w:szCs w:val="24"/>
          <w:highlight w:val="none"/>
        </w:rPr>
        <w:t>15.1投标人应详细阅读招标文件的全部内容。投标文件须对招标文件中的</w:t>
      </w:r>
      <w:r>
        <w:rPr>
          <w:rFonts w:ascii="宋体" w:hAnsi="宋体" w:eastAsia="宋体" w:cs="宋体"/>
          <w:sz w:val="24"/>
          <w:szCs w:val="24"/>
          <w:highlight w:val="none"/>
        </w:rPr>
        <w:t>内容作出实质性和完整的响应，如果投标文件填报的内容不详，或</w:t>
      </w:r>
      <w:r>
        <w:rPr>
          <w:rFonts w:ascii="宋体" w:hAnsi="宋体" w:eastAsia="宋体" w:cs="宋体"/>
          <w:spacing w:val="-1"/>
          <w:sz w:val="24"/>
          <w:szCs w:val="24"/>
          <w:highlight w:val="none"/>
        </w:rPr>
        <w:t>没有提供招标文件中所要求的全部资料及数据，将可能导致投标被拒绝。</w:t>
      </w:r>
    </w:p>
    <w:p w14:paraId="0CCE4365">
      <w:pPr>
        <w:spacing w:before="72" w:line="338" w:lineRule="auto"/>
        <w:ind w:left="35" w:right="74" w:firstLine="515"/>
        <w:outlineLvl w:val="9"/>
        <w:rPr>
          <w:rFonts w:ascii="宋体" w:hAnsi="宋体" w:eastAsia="宋体" w:cs="宋体"/>
          <w:sz w:val="24"/>
          <w:szCs w:val="24"/>
          <w:highlight w:val="none"/>
        </w:rPr>
      </w:pPr>
      <w:r>
        <w:rPr>
          <w:rFonts w:ascii="宋体" w:hAnsi="宋体" w:eastAsia="宋体" w:cs="宋体"/>
          <w:spacing w:val="-4"/>
          <w:sz w:val="24"/>
          <w:szCs w:val="24"/>
          <w:highlight w:val="none"/>
        </w:rPr>
        <w:t>15.2投标文件须严格按照招标文件第六部分规定的格式提交，并按规定的</w:t>
      </w:r>
      <w:r>
        <w:rPr>
          <w:rFonts w:ascii="宋体" w:hAnsi="宋体" w:eastAsia="宋体" w:cs="宋体"/>
          <w:sz w:val="24"/>
          <w:szCs w:val="24"/>
          <w:highlight w:val="none"/>
        </w:rPr>
        <w:t>统一格式逐项填写，不准有空项；无相应内容可填的项，应填写“无”、“</w:t>
      </w:r>
      <w:r>
        <w:rPr>
          <w:rFonts w:ascii="宋体" w:hAnsi="宋体" w:eastAsia="宋体" w:cs="宋体"/>
          <w:spacing w:val="-1"/>
          <w:sz w:val="24"/>
          <w:szCs w:val="24"/>
          <w:highlight w:val="none"/>
        </w:rPr>
        <w:t>没有相应指标”等明确的回答文字。由于编排混乱导致投标文件被</w:t>
      </w:r>
      <w:r>
        <w:rPr>
          <w:rFonts w:ascii="宋体" w:hAnsi="宋体" w:eastAsia="宋体" w:cs="宋体"/>
          <w:spacing w:val="-2"/>
          <w:sz w:val="24"/>
          <w:szCs w:val="24"/>
          <w:highlight w:val="none"/>
        </w:rPr>
        <w:t>拒绝的，其</w:t>
      </w:r>
      <w:r>
        <w:rPr>
          <w:rFonts w:ascii="宋体" w:hAnsi="宋体" w:eastAsia="宋体" w:cs="宋体"/>
          <w:spacing w:val="-1"/>
          <w:sz w:val="24"/>
          <w:szCs w:val="24"/>
          <w:highlight w:val="none"/>
        </w:rPr>
        <w:t>责任由投标人承担。投标文件未按规定提交或留有空项，将被视为不完整响应</w:t>
      </w:r>
      <w:r>
        <w:rPr>
          <w:rFonts w:ascii="宋体" w:hAnsi="宋体" w:eastAsia="宋体" w:cs="宋体"/>
          <w:spacing w:val="-2"/>
          <w:sz w:val="24"/>
          <w:szCs w:val="24"/>
          <w:highlight w:val="none"/>
        </w:rPr>
        <w:t>的投标文件，其投标有可能被拒绝</w:t>
      </w:r>
      <w:r>
        <w:rPr>
          <w:rFonts w:ascii="宋体" w:hAnsi="宋体" w:eastAsia="宋体" w:cs="宋体"/>
          <w:b/>
          <w:bCs/>
          <w:spacing w:val="-2"/>
          <w:sz w:val="24"/>
          <w:szCs w:val="24"/>
          <w:highlight w:val="none"/>
        </w:rPr>
        <w:t>。</w:t>
      </w:r>
    </w:p>
    <w:p w14:paraId="02A5BADC">
      <w:pPr>
        <w:spacing w:before="184" w:line="296" w:lineRule="auto"/>
        <w:ind w:left="32" w:right="355" w:firstLine="515"/>
        <w:outlineLvl w:val="9"/>
        <w:rPr>
          <w:rFonts w:ascii="宋体" w:hAnsi="宋体" w:eastAsia="宋体" w:cs="宋体"/>
          <w:sz w:val="24"/>
          <w:szCs w:val="24"/>
          <w:highlight w:val="none"/>
        </w:rPr>
        <w:sectPr>
          <w:footerReference r:id="rId21" w:type="default"/>
          <w:pgSz w:w="11850" w:h="16781"/>
          <w:pgMar w:top="1426" w:right="1775" w:bottom="1011" w:left="1777" w:header="0" w:footer="766" w:gutter="0"/>
          <w:pgNumType w:fmt="decimal"/>
          <w:cols w:space="720" w:num="1"/>
        </w:sectPr>
      </w:pPr>
      <w:r>
        <w:rPr>
          <w:rFonts w:ascii="宋体" w:hAnsi="宋体" w:eastAsia="宋体" w:cs="宋体"/>
          <w:spacing w:val="-4"/>
          <w:sz w:val="24"/>
          <w:szCs w:val="24"/>
          <w:highlight w:val="none"/>
        </w:rPr>
        <w:t>15.3开标一览表为在开标仪式上唱标的内容，要求按格式统一填写，不得自行增减内容。</w:t>
      </w:r>
    </w:p>
    <w:p w14:paraId="1EC7CD79">
      <w:pPr>
        <w:spacing w:before="78" w:line="346" w:lineRule="auto"/>
        <w:ind w:right="114" w:firstLine="472" w:firstLineChars="200"/>
        <w:outlineLvl w:val="9"/>
        <w:rPr>
          <w:rFonts w:ascii="宋体" w:hAnsi="宋体" w:eastAsia="宋体" w:cs="宋体"/>
          <w:sz w:val="24"/>
          <w:szCs w:val="24"/>
          <w:highlight w:val="none"/>
        </w:rPr>
      </w:pPr>
      <w:r>
        <w:rPr>
          <w:rFonts w:ascii="宋体" w:hAnsi="宋体" w:eastAsia="宋体" w:cs="宋体"/>
          <w:spacing w:val="-2"/>
          <w:sz w:val="24"/>
          <w:szCs w:val="24"/>
          <w:highlight w:val="none"/>
        </w:rPr>
        <w:t>15.4投标人须注意：为合理节约政府采购评审成本，提倡</w:t>
      </w:r>
      <w:r>
        <w:rPr>
          <w:rFonts w:ascii="宋体" w:hAnsi="宋体" w:eastAsia="宋体" w:cs="宋体"/>
          <w:spacing w:val="-3"/>
          <w:sz w:val="24"/>
          <w:szCs w:val="24"/>
          <w:highlight w:val="none"/>
        </w:rPr>
        <w:t>诚实信用的投</w:t>
      </w:r>
      <w:r>
        <w:rPr>
          <w:rFonts w:ascii="宋体" w:hAnsi="宋体" w:eastAsia="宋体" w:cs="宋体"/>
          <w:spacing w:val="-5"/>
          <w:sz w:val="24"/>
          <w:szCs w:val="24"/>
          <w:highlight w:val="none"/>
        </w:rPr>
        <w:t>标行为，特别要求投标人应本着诚信精神，在本次投标文件的偏离表中，均以</w:t>
      </w:r>
      <w:r>
        <w:rPr>
          <w:rFonts w:ascii="宋体" w:hAnsi="宋体" w:eastAsia="宋体" w:cs="宋体"/>
          <w:spacing w:val="-2"/>
          <w:sz w:val="24"/>
          <w:szCs w:val="24"/>
          <w:highlight w:val="none"/>
        </w:rPr>
        <w:t>审慎的态度明确、清楚地披露各项偏离。若投标人对某一事项是否存在或是否</w:t>
      </w:r>
      <w:r>
        <w:rPr>
          <w:rFonts w:ascii="宋体" w:hAnsi="宋体" w:eastAsia="宋体" w:cs="宋体"/>
          <w:spacing w:val="-1"/>
          <w:sz w:val="24"/>
          <w:szCs w:val="24"/>
          <w:highlight w:val="none"/>
        </w:rPr>
        <w:t>属于偏离不能确定，亦必须在偏离表中清楚地表明该偏离事项，并可以注明不能确定的字样。任何情况下，对于投标人没有在偏离表中明确、清楚地披露的事项，包括可能属于被投标人在偏离表中遗漏披露的事项，一旦在评审中被发</w:t>
      </w:r>
      <w:r>
        <w:rPr>
          <w:rFonts w:ascii="宋体" w:hAnsi="宋体" w:eastAsia="宋体" w:cs="宋体"/>
          <w:sz w:val="24"/>
          <w:szCs w:val="24"/>
          <w:highlight w:val="none"/>
        </w:rPr>
        <w:t>现存在偏离或被认定为属于偏离，则评标委员会</w:t>
      </w:r>
      <w:r>
        <w:rPr>
          <w:rFonts w:ascii="宋体" w:hAnsi="宋体" w:eastAsia="宋体" w:cs="宋体"/>
          <w:spacing w:val="-1"/>
          <w:sz w:val="24"/>
          <w:szCs w:val="24"/>
          <w:highlight w:val="none"/>
        </w:rPr>
        <w:t>有权视具体情形评审时予以处</w:t>
      </w:r>
      <w:r>
        <w:rPr>
          <w:rFonts w:ascii="宋体" w:hAnsi="宋体" w:eastAsia="宋体" w:cs="宋体"/>
          <w:sz w:val="24"/>
          <w:szCs w:val="24"/>
          <w:highlight w:val="none"/>
        </w:rPr>
        <w:t>理，乃至对该投标予以拒绝。</w:t>
      </w:r>
    </w:p>
    <w:p w14:paraId="59574735">
      <w:pPr>
        <w:spacing w:before="189" w:line="293" w:lineRule="auto"/>
        <w:ind w:left="33" w:right="352" w:firstLine="515"/>
        <w:outlineLvl w:val="9"/>
        <w:rPr>
          <w:rFonts w:ascii="宋体" w:hAnsi="宋体" w:eastAsia="宋体" w:cs="宋体"/>
          <w:sz w:val="24"/>
          <w:szCs w:val="24"/>
          <w:highlight w:val="none"/>
        </w:rPr>
      </w:pPr>
      <w:r>
        <w:rPr>
          <w:rFonts w:ascii="宋体" w:hAnsi="宋体" w:eastAsia="宋体" w:cs="宋体"/>
          <w:spacing w:val="-4"/>
          <w:sz w:val="24"/>
          <w:szCs w:val="24"/>
          <w:highlight w:val="none"/>
        </w:rPr>
        <w:t>15.5投标人必须保证投标文件所提供的全部资料真实可靠，并接受采购</w:t>
      </w:r>
      <w:r>
        <w:rPr>
          <w:rFonts w:ascii="宋体" w:hAnsi="宋体" w:eastAsia="宋体" w:cs="宋体"/>
          <w:spacing w:val="-1"/>
          <w:sz w:val="24"/>
          <w:szCs w:val="24"/>
          <w:highlight w:val="none"/>
        </w:rPr>
        <w:t>代理机构或评标委员会对其中任何资料进一步审查的要求。</w:t>
      </w:r>
    </w:p>
    <w:p w14:paraId="4EA500F6">
      <w:pPr>
        <w:spacing w:before="183" w:line="319" w:lineRule="auto"/>
        <w:ind w:left="33" w:right="330" w:firstLine="515"/>
        <w:outlineLvl w:val="9"/>
        <w:rPr>
          <w:rFonts w:ascii="宋体" w:hAnsi="宋体" w:eastAsia="宋体" w:cs="宋体"/>
          <w:sz w:val="24"/>
          <w:szCs w:val="24"/>
          <w:highlight w:val="none"/>
        </w:rPr>
      </w:pPr>
      <w:r>
        <w:rPr>
          <w:rFonts w:ascii="宋体" w:hAnsi="宋体" w:eastAsia="宋体" w:cs="宋体"/>
          <w:spacing w:val="-4"/>
          <w:sz w:val="24"/>
          <w:szCs w:val="24"/>
          <w:highlight w:val="none"/>
        </w:rPr>
        <w:t>15.6投标人在投标文件及相关文件的签订、履行、通知等事项的文件中</w:t>
      </w:r>
      <w:r>
        <w:rPr>
          <w:rFonts w:ascii="宋体" w:hAnsi="宋体" w:eastAsia="宋体" w:cs="宋体"/>
          <w:spacing w:val="-1"/>
          <w:sz w:val="24"/>
          <w:szCs w:val="24"/>
          <w:highlight w:val="none"/>
        </w:rPr>
        <w:t>的单位盖章、印章、公章等处均指与当事人全称相一致的标准公章，不得使</w:t>
      </w:r>
      <w:r>
        <w:rPr>
          <w:rFonts w:ascii="宋体" w:hAnsi="宋体" w:eastAsia="宋体" w:cs="宋体"/>
          <w:spacing w:val="-2"/>
          <w:sz w:val="24"/>
          <w:szCs w:val="24"/>
          <w:highlight w:val="none"/>
        </w:rPr>
        <w:t>用其他形式（如带有“专用章”等字样的印章）。不符合本条规定的按无效</w:t>
      </w:r>
      <w:r>
        <w:rPr>
          <w:rFonts w:ascii="宋体" w:hAnsi="宋体" w:eastAsia="宋体" w:cs="宋体"/>
          <w:spacing w:val="-3"/>
          <w:sz w:val="24"/>
          <w:szCs w:val="24"/>
          <w:highlight w:val="none"/>
        </w:rPr>
        <w:t>投标处理。</w:t>
      </w:r>
    </w:p>
    <w:p w14:paraId="6163F4F9">
      <w:pPr>
        <w:spacing w:before="166" w:line="220" w:lineRule="auto"/>
        <w:ind w:left="78"/>
        <w:outlineLvl w:val="9"/>
        <w:rPr>
          <w:rFonts w:ascii="宋体" w:hAnsi="宋体" w:eastAsia="宋体" w:cs="宋体"/>
          <w:sz w:val="24"/>
          <w:szCs w:val="24"/>
          <w:highlight w:val="none"/>
        </w:rPr>
      </w:pPr>
      <w:r>
        <w:rPr>
          <w:rFonts w:ascii="宋体" w:hAnsi="宋体" w:eastAsia="宋体" w:cs="宋体"/>
          <w:b/>
          <w:bCs/>
          <w:spacing w:val="-11"/>
          <w:sz w:val="24"/>
          <w:szCs w:val="24"/>
          <w:highlight w:val="none"/>
        </w:rPr>
        <w:t>四、投标保证金</w:t>
      </w:r>
    </w:p>
    <w:p w14:paraId="6E93E8A4">
      <w:pPr>
        <w:spacing w:before="189" w:line="220" w:lineRule="auto"/>
        <w:ind w:left="66"/>
        <w:outlineLvl w:val="9"/>
        <w:rPr>
          <w:rFonts w:ascii="宋体" w:hAnsi="宋体" w:eastAsia="宋体" w:cs="宋体"/>
          <w:sz w:val="24"/>
          <w:szCs w:val="24"/>
          <w:highlight w:val="none"/>
        </w:rPr>
      </w:pPr>
      <w:r>
        <w:rPr>
          <w:rFonts w:ascii="宋体" w:hAnsi="宋体" w:eastAsia="宋体" w:cs="宋体"/>
          <w:b/>
          <w:bCs/>
          <w:spacing w:val="-9"/>
          <w:sz w:val="24"/>
          <w:szCs w:val="24"/>
          <w:highlight w:val="none"/>
        </w:rPr>
        <w:t>16.投标保证金</w:t>
      </w:r>
    </w:p>
    <w:p w14:paraId="76A6893B">
      <w:pPr>
        <w:spacing w:before="188" w:line="221" w:lineRule="auto"/>
        <w:ind w:left="535" w:right="254" w:firstLine="15"/>
        <w:outlineLvl w:val="9"/>
        <w:rPr>
          <w:rFonts w:ascii="宋体" w:hAnsi="宋体" w:eastAsia="宋体" w:cs="宋体"/>
          <w:sz w:val="24"/>
          <w:szCs w:val="24"/>
          <w:highlight w:val="none"/>
        </w:rPr>
      </w:pPr>
      <w:r>
        <w:rPr>
          <w:rFonts w:ascii="宋体" w:hAnsi="宋体" w:eastAsia="宋体" w:cs="宋体"/>
          <w:spacing w:val="-3"/>
          <w:sz w:val="24"/>
          <w:szCs w:val="24"/>
          <w:highlight w:val="none"/>
        </w:rPr>
        <w:t>16.1投标人应按照招标文件第二部分“投标人须知前附表”</w:t>
      </w:r>
      <w:r>
        <w:rPr>
          <w:rFonts w:ascii="宋体" w:hAnsi="宋体" w:eastAsia="宋体" w:cs="宋体"/>
          <w:spacing w:val="-4"/>
          <w:sz w:val="24"/>
          <w:szCs w:val="24"/>
          <w:highlight w:val="none"/>
        </w:rPr>
        <w:t>中的规定交</w:t>
      </w:r>
      <w:r>
        <w:rPr>
          <w:rFonts w:ascii="宋体" w:hAnsi="宋体" w:eastAsia="宋体" w:cs="宋体"/>
          <w:spacing w:val="-6"/>
          <w:sz w:val="24"/>
          <w:szCs w:val="24"/>
          <w:highlight w:val="none"/>
        </w:rPr>
        <w:t>纳。</w:t>
      </w:r>
    </w:p>
    <w:p w14:paraId="0F8E590A">
      <w:pPr>
        <w:spacing w:before="187" w:line="219" w:lineRule="auto"/>
        <w:ind w:left="551"/>
        <w:outlineLvl w:val="9"/>
        <w:rPr>
          <w:rFonts w:ascii="宋体" w:hAnsi="宋体" w:eastAsia="宋体" w:cs="宋体"/>
          <w:sz w:val="24"/>
          <w:szCs w:val="24"/>
          <w:highlight w:val="none"/>
        </w:rPr>
      </w:pPr>
      <w:r>
        <w:rPr>
          <w:rFonts w:ascii="宋体" w:hAnsi="宋体" w:eastAsia="宋体" w:cs="宋体"/>
          <w:spacing w:val="-3"/>
          <w:sz w:val="24"/>
          <w:szCs w:val="24"/>
          <w:highlight w:val="none"/>
        </w:rPr>
        <w:t>16.2未按要求提交投标保证金的，将被视为无效投标。</w:t>
      </w:r>
    </w:p>
    <w:p w14:paraId="4BF785F0">
      <w:pPr>
        <w:spacing w:before="214" w:line="293" w:lineRule="auto"/>
        <w:ind w:left="84" w:right="302" w:firstLine="463"/>
        <w:outlineLvl w:val="9"/>
        <w:rPr>
          <w:rFonts w:ascii="宋体" w:hAnsi="宋体" w:eastAsia="宋体" w:cs="宋体"/>
          <w:sz w:val="24"/>
          <w:szCs w:val="24"/>
          <w:highlight w:val="none"/>
        </w:rPr>
      </w:pPr>
      <w:r>
        <w:rPr>
          <w:rFonts w:ascii="宋体" w:hAnsi="宋体" w:eastAsia="宋体" w:cs="宋体"/>
          <w:spacing w:val="-4"/>
          <w:sz w:val="24"/>
          <w:szCs w:val="24"/>
          <w:highlight w:val="none"/>
        </w:rPr>
        <w:t>16.3未中标的投标人的投标保证金在中标通知书发出之日起5个工作日内退还；中标人的投标保证金将在交纳履约保证金并于合同生效后5个工作</w:t>
      </w:r>
      <w:r>
        <w:rPr>
          <w:rFonts w:ascii="宋体" w:hAnsi="宋体" w:eastAsia="宋体" w:cs="宋体"/>
          <w:spacing w:val="-9"/>
          <w:sz w:val="24"/>
          <w:szCs w:val="24"/>
          <w:highlight w:val="none"/>
        </w:rPr>
        <w:t>日内退还。</w:t>
      </w:r>
    </w:p>
    <w:p w14:paraId="585C8796">
      <w:pPr>
        <w:spacing w:before="186" w:line="294" w:lineRule="auto"/>
        <w:ind w:left="37" w:right="352" w:firstLine="511"/>
        <w:outlineLvl w:val="9"/>
        <w:rPr>
          <w:rFonts w:ascii="宋体" w:hAnsi="宋体" w:eastAsia="宋体" w:cs="宋体"/>
          <w:sz w:val="24"/>
          <w:szCs w:val="24"/>
          <w:highlight w:val="none"/>
        </w:rPr>
      </w:pPr>
      <w:r>
        <w:rPr>
          <w:rFonts w:ascii="宋体" w:hAnsi="宋体" w:eastAsia="宋体" w:cs="宋体"/>
          <w:spacing w:val="-4"/>
          <w:sz w:val="24"/>
          <w:szCs w:val="24"/>
          <w:highlight w:val="none"/>
        </w:rPr>
        <w:t>16.4投标保证金退还一律采用网上银行转帐方式退还至投标人的汇款帐户，资金原路返回。</w:t>
      </w:r>
    </w:p>
    <w:p w14:paraId="4951AA7A">
      <w:pPr>
        <w:spacing w:before="168" w:line="219" w:lineRule="auto"/>
        <w:ind w:left="40"/>
        <w:outlineLvl w:val="9"/>
        <w:rPr>
          <w:rFonts w:ascii="宋体" w:hAnsi="宋体" w:eastAsia="宋体" w:cs="宋体"/>
          <w:sz w:val="24"/>
          <w:szCs w:val="24"/>
          <w:highlight w:val="none"/>
        </w:rPr>
      </w:pPr>
      <w:r>
        <w:rPr>
          <w:rFonts w:ascii="宋体" w:hAnsi="宋体" w:eastAsia="宋体" w:cs="宋体"/>
          <w:b/>
          <w:bCs/>
          <w:spacing w:val="-5"/>
          <w:sz w:val="24"/>
          <w:szCs w:val="24"/>
          <w:highlight w:val="none"/>
        </w:rPr>
        <w:t>五、投标文件的递交</w:t>
      </w:r>
    </w:p>
    <w:p w14:paraId="492EE4E7">
      <w:pPr>
        <w:spacing w:before="191" w:line="219" w:lineRule="auto"/>
        <w:ind w:left="66"/>
        <w:outlineLvl w:val="9"/>
        <w:rPr>
          <w:rFonts w:ascii="宋体" w:hAnsi="宋体" w:eastAsia="宋体" w:cs="宋体"/>
          <w:sz w:val="24"/>
          <w:szCs w:val="24"/>
          <w:highlight w:val="none"/>
        </w:rPr>
      </w:pPr>
      <w:r>
        <w:rPr>
          <w:rFonts w:ascii="宋体" w:hAnsi="宋体" w:eastAsia="宋体" w:cs="宋体"/>
          <w:b/>
          <w:bCs/>
          <w:spacing w:val="-7"/>
          <w:sz w:val="24"/>
          <w:szCs w:val="24"/>
          <w:highlight w:val="none"/>
        </w:rPr>
        <w:t>17.投标文件的密封和标记</w:t>
      </w:r>
    </w:p>
    <w:p w14:paraId="6982A23C">
      <w:pPr>
        <w:spacing w:before="19" w:line="219" w:lineRule="auto"/>
        <w:ind w:left="35"/>
        <w:outlineLvl w:val="9"/>
        <w:rPr>
          <w:rFonts w:ascii="宋体" w:hAnsi="宋体" w:eastAsia="宋体" w:cs="宋体"/>
          <w:sz w:val="24"/>
          <w:szCs w:val="24"/>
          <w:highlight w:val="none"/>
        </w:rPr>
      </w:pPr>
      <w:r>
        <w:rPr>
          <w:rFonts w:ascii="宋体" w:hAnsi="宋体" w:eastAsia="宋体" w:cs="宋体"/>
          <w:spacing w:val="-3"/>
          <w:sz w:val="24"/>
          <w:szCs w:val="24"/>
          <w:highlight w:val="none"/>
        </w:rPr>
        <w:t>见供应商须知前附表。</w:t>
      </w:r>
    </w:p>
    <w:p w14:paraId="37676C94">
      <w:pPr>
        <w:pStyle w:val="2"/>
        <w:spacing w:line="270" w:lineRule="auto"/>
        <w:outlineLvl w:val="9"/>
        <w:rPr>
          <w:highlight w:val="none"/>
        </w:rPr>
      </w:pPr>
    </w:p>
    <w:p w14:paraId="2151B2DA">
      <w:pPr>
        <w:spacing w:before="79" w:line="219" w:lineRule="auto"/>
        <w:ind w:left="66"/>
        <w:outlineLvl w:val="9"/>
        <w:rPr>
          <w:rFonts w:ascii="宋体" w:hAnsi="宋体" w:eastAsia="宋体" w:cs="宋体"/>
          <w:sz w:val="24"/>
          <w:szCs w:val="24"/>
          <w:highlight w:val="none"/>
        </w:rPr>
      </w:pPr>
      <w:r>
        <w:rPr>
          <w:rFonts w:ascii="宋体" w:hAnsi="宋体" w:eastAsia="宋体" w:cs="宋体"/>
          <w:b/>
          <w:bCs/>
          <w:spacing w:val="-8"/>
          <w:sz w:val="24"/>
          <w:szCs w:val="24"/>
          <w:highlight w:val="none"/>
        </w:rPr>
        <w:t>18.投标文件的递交</w:t>
      </w:r>
    </w:p>
    <w:p w14:paraId="45FB355E">
      <w:pPr>
        <w:spacing w:line="219" w:lineRule="auto"/>
        <w:outlineLvl w:val="9"/>
        <w:rPr>
          <w:rFonts w:ascii="宋体" w:hAnsi="宋体" w:eastAsia="宋体" w:cs="宋体"/>
          <w:sz w:val="24"/>
          <w:szCs w:val="24"/>
          <w:highlight w:val="none"/>
        </w:rPr>
        <w:sectPr>
          <w:footerReference r:id="rId22" w:type="default"/>
          <w:pgSz w:w="11850" w:h="16781"/>
          <w:pgMar w:top="1426" w:right="1777" w:bottom="1011" w:left="1777" w:header="0" w:footer="766" w:gutter="0"/>
          <w:pgNumType w:fmt="decimal"/>
          <w:cols w:space="720" w:num="1"/>
        </w:sectPr>
      </w:pPr>
    </w:p>
    <w:p w14:paraId="782B29A4">
      <w:pPr>
        <w:spacing w:before="49" w:line="293" w:lineRule="auto"/>
        <w:ind w:left="32" w:right="115" w:firstLine="515"/>
        <w:outlineLvl w:val="9"/>
        <w:rPr>
          <w:rFonts w:ascii="宋体" w:hAnsi="宋体" w:eastAsia="宋体" w:cs="宋体"/>
          <w:sz w:val="24"/>
          <w:szCs w:val="24"/>
          <w:highlight w:val="none"/>
        </w:rPr>
      </w:pPr>
      <w:r>
        <w:rPr>
          <w:rFonts w:ascii="宋体" w:hAnsi="宋体" w:eastAsia="宋体" w:cs="宋体"/>
          <w:spacing w:val="-4"/>
          <w:sz w:val="24"/>
          <w:szCs w:val="24"/>
          <w:highlight w:val="none"/>
        </w:rPr>
        <w:t>18.1投标人应当在招标文件要求提交投标文件的截止时间前递交，并将加</w:t>
      </w:r>
      <w:r>
        <w:rPr>
          <w:rFonts w:ascii="宋体" w:hAnsi="宋体" w:eastAsia="宋体" w:cs="宋体"/>
          <w:spacing w:val="-5"/>
          <w:sz w:val="24"/>
          <w:szCs w:val="24"/>
          <w:highlight w:val="none"/>
        </w:rPr>
        <w:t>密的投标文件上传到“政采云”平台。</w:t>
      </w:r>
    </w:p>
    <w:p w14:paraId="172728C9">
      <w:pPr>
        <w:spacing w:before="191" w:line="293" w:lineRule="auto"/>
        <w:ind w:left="40" w:right="115" w:firstLine="508"/>
        <w:outlineLvl w:val="9"/>
        <w:rPr>
          <w:rFonts w:ascii="宋体" w:hAnsi="宋体" w:eastAsia="宋体" w:cs="宋体"/>
          <w:sz w:val="24"/>
          <w:szCs w:val="24"/>
          <w:highlight w:val="none"/>
        </w:rPr>
      </w:pPr>
      <w:r>
        <w:rPr>
          <w:rFonts w:ascii="宋体" w:hAnsi="宋体" w:eastAsia="宋体" w:cs="宋体"/>
          <w:spacing w:val="-4"/>
          <w:sz w:val="24"/>
          <w:szCs w:val="24"/>
          <w:highlight w:val="none"/>
        </w:rPr>
        <w:t>18.2在招标文件要求提交投标文件的截止时间之后送达的投标文件，为无</w:t>
      </w:r>
      <w:r>
        <w:rPr>
          <w:rFonts w:ascii="宋体" w:hAnsi="宋体" w:eastAsia="宋体" w:cs="宋体"/>
          <w:spacing w:val="-2"/>
          <w:sz w:val="24"/>
          <w:szCs w:val="24"/>
          <w:highlight w:val="none"/>
        </w:rPr>
        <w:t>效投标文件，采购代理机构将拒绝接收。</w:t>
      </w:r>
    </w:p>
    <w:p w14:paraId="01368282">
      <w:pPr>
        <w:spacing w:before="168" w:line="219" w:lineRule="auto"/>
        <w:ind w:left="66"/>
        <w:outlineLvl w:val="9"/>
        <w:rPr>
          <w:rFonts w:ascii="宋体" w:hAnsi="宋体" w:eastAsia="宋体" w:cs="宋体"/>
          <w:sz w:val="24"/>
          <w:szCs w:val="24"/>
          <w:highlight w:val="none"/>
        </w:rPr>
      </w:pPr>
      <w:r>
        <w:rPr>
          <w:rFonts w:ascii="宋体" w:hAnsi="宋体" w:eastAsia="宋体" w:cs="宋体"/>
          <w:b/>
          <w:bCs/>
          <w:spacing w:val="-7"/>
          <w:sz w:val="24"/>
          <w:szCs w:val="24"/>
          <w:highlight w:val="none"/>
        </w:rPr>
        <w:t>19.投标文件的修改和撤回</w:t>
      </w:r>
    </w:p>
    <w:p w14:paraId="6520C050">
      <w:pPr>
        <w:spacing w:before="210" w:line="361" w:lineRule="auto"/>
        <w:ind w:left="37" w:right="98" w:firstLine="511"/>
        <w:jc w:val="both"/>
        <w:outlineLvl w:val="9"/>
        <w:rPr>
          <w:rFonts w:ascii="宋体" w:hAnsi="宋体" w:eastAsia="宋体" w:cs="宋体"/>
          <w:sz w:val="24"/>
          <w:szCs w:val="24"/>
          <w:highlight w:val="none"/>
        </w:rPr>
      </w:pPr>
      <w:r>
        <w:rPr>
          <w:rFonts w:ascii="宋体" w:hAnsi="宋体" w:eastAsia="宋体" w:cs="宋体"/>
          <w:spacing w:val="-4"/>
          <w:sz w:val="24"/>
          <w:szCs w:val="24"/>
          <w:highlight w:val="none"/>
        </w:rPr>
        <w:t>19.1投标人在递交投标文件后，可以修改或撤回其投标，但这种修改和撤</w:t>
      </w:r>
      <w:r>
        <w:rPr>
          <w:rFonts w:ascii="宋体" w:hAnsi="宋体" w:eastAsia="宋体" w:cs="宋体"/>
          <w:sz w:val="24"/>
          <w:szCs w:val="24"/>
          <w:highlight w:val="none"/>
        </w:rPr>
        <w:t>回，必须在规定的投标截止时间前。在投标截止时间后，投标</w:t>
      </w:r>
      <w:r>
        <w:rPr>
          <w:rFonts w:ascii="宋体" w:hAnsi="宋体" w:eastAsia="宋体" w:cs="宋体"/>
          <w:spacing w:val="-1"/>
          <w:sz w:val="24"/>
          <w:szCs w:val="24"/>
          <w:highlight w:val="none"/>
        </w:rPr>
        <w:t>人不得要求修改</w:t>
      </w:r>
      <w:r>
        <w:rPr>
          <w:rFonts w:ascii="宋体" w:hAnsi="宋体" w:eastAsia="宋体" w:cs="宋体"/>
          <w:spacing w:val="-3"/>
          <w:sz w:val="24"/>
          <w:szCs w:val="24"/>
          <w:highlight w:val="none"/>
        </w:rPr>
        <w:t>或撤回其投标文件。</w:t>
      </w:r>
    </w:p>
    <w:p w14:paraId="34C003D1">
      <w:pPr>
        <w:spacing w:line="220" w:lineRule="auto"/>
        <w:ind w:left="36"/>
        <w:outlineLvl w:val="9"/>
        <w:rPr>
          <w:rFonts w:ascii="宋体" w:hAnsi="宋体" w:eastAsia="宋体" w:cs="宋体"/>
          <w:sz w:val="24"/>
          <w:szCs w:val="24"/>
          <w:highlight w:val="none"/>
        </w:rPr>
      </w:pPr>
      <w:r>
        <w:rPr>
          <w:rFonts w:ascii="宋体" w:hAnsi="宋体" w:eastAsia="宋体" w:cs="宋体"/>
          <w:b/>
          <w:bCs/>
          <w:spacing w:val="-8"/>
          <w:sz w:val="24"/>
          <w:szCs w:val="24"/>
          <w:highlight w:val="none"/>
        </w:rPr>
        <w:t>六、开标</w:t>
      </w:r>
    </w:p>
    <w:p w14:paraId="26230962">
      <w:pPr>
        <w:spacing w:before="191" w:line="220" w:lineRule="auto"/>
        <w:ind w:left="37"/>
        <w:outlineLvl w:val="9"/>
        <w:rPr>
          <w:rFonts w:ascii="宋体" w:hAnsi="宋体" w:eastAsia="宋体" w:cs="宋体"/>
          <w:sz w:val="24"/>
          <w:szCs w:val="24"/>
          <w:highlight w:val="none"/>
        </w:rPr>
      </w:pPr>
      <w:r>
        <w:rPr>
          <w:rFonts w:ascii="宋体" w:hAnsi="宋体" w:eastAsia="宋体" w:cs="宋体"/>
          <w:b/>
          <w:bCs/>
          <w:spacing w:val="-8"/>
          <w:sz w:val="24"/>
          <w:szCs w:val="24"/>
          <w:highlight w:val="none"/>
        </w:rPr>
        <w:t>20.开标</w:t>
      </w:r>
    </w:p>
    <w:p w14:paraId="35341AC1">
      <w:pPr>
        <w:spacing w:before="211" w:line="293" w:lineRule="auto"/>
        <w:ind w:left="34" w:right="158" w:firstLine="502"/>
        <w:outlineLvl w:val="9"/>
        <w:rPr>
          <w:rFonts w:ascii="宋体" w:hAnsi="宋体" w:eastAsia="宋体" w:cs="宋体"/>
          <w:sz w:val="24"/>
          <w:szCs w:val="24"/>
          <w:highlight w:val="none"/>
        </w:rPr>
      </w:pPr>
      <w:r>
        <w:rPr>
          <w:rFonts w:ascii="宋体" w:hAnsi="宋体" w:eastAsia="宋体" w:cs="宋体"/>
          <w:spacing w:val="1"/>
          <w:sz w:val="24"/>
          <w:szCs w:val="24"/>
          <w:highlight w:val="none"/>
        </w:rPr>
        <w:t>（1）采购人和采购代理机构将按规定的开标时间和地点组织评审。监督</w:t>
      </w:r>
      <w:r>
        <w:rPr>
          <w:rFonts w:ascii="宋体" w:hAnsi="宋体" w:eastAsia="宋体" w:cs="宋体"/>
          <w:spacing w:val="-1"/>
          <w:sz w:val="24"/>
          <w:szCs w:val="24"/>
          <w:highlight w:val="none"/>
        </w:rPr>
        <w:t>部门将视情况派代表到现场进行监督。供应商不足3家的</w:t>
      </w:r>
      <w:r>
        <w:rPr>
          <w:rFonts w:ascii="宋体" w:hAnsi="宋体" w:eastAsia="宋体" w:cs="宋体"/>
          <w:spacing w:val="-2"/>
          <w:sz w:val="24"/>
          <w:szCs w:val="24"/>
          <w:highlight w:val="none"/>
        </w:rPr>
        <w:t>，不得评审。</w:t>
      </w:r>
    </w:p>
    <w:p w14:paraId="16E55BC9">
      <w:pPr>
        <w:spacing w:before="187" w:line="219" w:lineRule="auto"/>
        <w:ind w:left="537"/>
        <w:outlineLvl w:val="9"/>
        <w:rPr>
          <w:rFonts w:ascii="宋体" w:hAnsi="宋体" w:eastAsia="宋体" w:cs="宋体"/>
          <w:sz w:val="24"/>
          <w:szCs w:val="24"/>
          <w:highlight w:val="none"/>
        </w:rPr>
      </w:pPr>
      <w:r>
        <w:rPr>
          <w:rFonts w:ascii="宋体" w:hAnsi="宋体" w:eastAsia="宋体" w:cs="宋体"/>
          <w:spacing w:val="1"/>
          <w:sz w:val="24"/>
          <w:szCs w:val="24"/>
          <w:highlight w:val="none"/>
        </w:rPr>
        <w:t>（2）供应商在开标前，提前登录政采云平台做好准备，并保证设备正常</w:t>
      </w:r>
    </w:p>
    <w:p w14:paraId="06E6B059">
      <w:pPr>
        <w:spacing w:before="127" w:line="319" w:lineRule="auto"/>
        <w:ind w:left="55" w:right="107" w:firstLine="4"/>
        <w:outlineLvl w:val="9"/>
        <w:rPr>
          <w:rFonts w:ascii="宋体" w:hAnsi="宋体" w:eastAsia="宋体" w:cs="宋体"/>
          <w:sz w:val="24"/>
          <w:szCs w:val="24"/>
          <w:highlight w:val="none"/>
        </w:rPr>
      </w:pPr>
      <w:r>
        <w:rPr>
          <w:rFonts w:ascii="宋体" w:hAnsi="宋体" w:eastAsia="宋体" w:cs="宋体"/>
          <w:spacing w:val="-3"/>
          <w:sz w:val="24"/>
          <w:szCs w:val="24"/>
          <w:highlight w:val="none"/>
        </w:rPr>
        <w:t>。供应商应于投标文件提交截止时间之前将电子投标文件上传到“政采云”平</w:t>
      </w:r>
      <w:r>
        <w:rPr>
          <w:rFonts w:ascii="宋体" w:hAnsi="宋体" w:eastAsia="宋体" w:cs="宋体"/>
          <w:spacing w:val="-1"/>
          <w:sz w:val="24"/>
          <w:szCs w:val="24"/>
          <w:highlight w:val="none"/>
        </w:rPr>
        <w:t>台。应按照本项目投标文件和政采云平台的要求编制、加密传输投标文件。</w:t>
      </w:r>
    </w:p>
    <w:p w14:paraId="46339379">
      <w:pPr>
        <w:spacing w:before="188" w:line="336" w:lineRule="auto"/>
        <w:ind w:left="34" w:right="54" w:firstLine="500"/>
        <w:outlineLvl w:val="9"/>
        <w:rPr>
          <w:rFonts w:ascii="宋体" w:hAnsi="宋体" w:eastAsia="宋体" w:cs="宋体"/>
          <w:sz w:val="24"/>
          <w:szCs w:val="24"/>
          <w:highlight w:val="none"/>
        </w:rPr>
      </w:pPr>
      <w:r>
        <w:rPr>
          <w:rFonts w:ascii="宋体" w:hAnsi="宋体" w:eastAsia="宋体" w:cs="宋体"/>
          <w:spacing w:val="-3"/>
          <w:sz w:val="24"/>
          <w:szCs w:val="24"/>
          <w:highlight w:val="none"/>
        </w:rPr>
        <w:t>（3）开标时将检查所有投标文件（加密电子标书上传）情况，并在确认无</w:t>
      </w:r>
      <w:r>
        <w:rPr>
          <w:rFonts w:ascii="宋体" w:hAnsi="宋体" w:eastAsia="宋体" w:cs="宋体"/>
          <w:spacing w:val="-2"/>
          <w:sz w:val="24"/>
          <w:szCs w:val="24"/>
          <w:highlight w:val="none"/>
        </w:rPr>
        <w:t>误后，供应商在政采云平台解密投标文件（30分钟</w:t>
      </w:r>
      <w:r>
        <w:rPr>
          <w:rFonts w:ascii="宋体" w:hAnsi="宋体" w:eastAsia="宋体" w:cs="宋体"/>
          <w:spacing w:val="-19"/>
          <w:sz w:val="24"/>
          <w:szCs w:val="24"/>
          <w:highlight w:val="none"/>
        </w:rPr>
        <w:t>），</w:t>
      </w:r>
      <w:r>
        <w:rPr>
          <w:rFonts w:ascii="宋体" w:hAnsi="宋体" w:eastAsia="宋体" w:cs="宋体"/>
          <w:spacing w:val="-2"/>
          <w:sz w:val="24"/>
          <w:szCs w:val="24"/>
          <w:highlight w:val="none"/>
        </w:rPr>
        <w:t>对投标文件进行唱</w:t>
      </w:r>
      <w:r>
        <w:rPr>
          <w:rFonts w:ascii="宋体" w:hAnsi="宋体" w:eastAsia="宋体" w:cs="宋体"/>
          <w:spacing w:val="-3"/>
          <w:sz w:val="24"/>
          <w:szCs w:val="24"/>
          <w:highlight w:val="none"/>
        </w:rPr>
        <w:t>标。</w:t>
      </w:r>
    </w:p>
    <w:p w14:paraId="105F7698">
      <w:pPr>
        <w:spacing w:before="3" w:line="336" w:lineRule="auto"/>
        <w:ind w:left="31" w:right="102" w:firstLine="12"/>
        <w:outlineLvl w:val="9"/>
        <w:rPr>
          <w:rFonts w:ascii="宋体" w:hAnsi="宋体" w:eastAsia="宋体" w:cs="宋体"/>
          <w:sz w:val="24"/>
          <w:szCs w:val="24"/>
          <w:highlight w:val="none"/>
        </w:rPr>
      </w:pPr>
      <w:r>
        <w:rPr>
          <w:rFonts w:ascii="宋体" w:hAnsi="宋体" w:eastAsia="宋体" w:cs="宋体"/>
          <w:spacing w:val="-3"/>
          <w:sz w:val="24"/>
          <w:szCs w:val="24"/>
          <w:highlight w:val="none"/>
        </w:rPr>
        <w:t>唱标以供应商提交的投标文件中“开标一览表”的内容为准，并对唱标内容作</w:t>
      </w:r>
      <w:r>
        <w:rPr>
          <w:rFonts w:ascii="宋体" w:hAnsi="宋体" w:eastAsia="宋体" w:cs="宋体"/>
          <w:spacing w:val="-1"/>
          <w:sz w:val="24"/>
          <w:szCs w:val="24"/>
          <w:highlight w:val="none"/>
        </w:rPr>
        <w:t>以记录。电子开标系统开标后需供应商在线确认报价时，各供应商应在规定的</w:t>
      </w:r>
      <w:r>
        <w:rPr>
          <w:rFonts w:ascii="宋体" w:hAnsi="宋体" w:eastAsia="宋体" w:cs="宋体"/>
          <w:sz w:val="24"/>
          <w:szCs w:val="24"/>
          <w:highlight w:val="none"/>
        </w:rPr>
        <w:t>时间内确认报价，若超出时间未进行确认报价的供应商，系统将自动默认该供</w:t>
      </w:r>
      <w:r>
        <w:rPr>
          <w:rFonts w:ascii="宋体" w:hAnsi="宋体" w:eastAsia="宋体" w:cs="宋体"/>
          <w:spacing w:val="-1"/>
          <w:sz w:val="24"/>
          <w:szCs w:val="24"/>
          <w:highlight w:val="none"/>
        </w:rPr>
        <w:t>应商已经确认报价。</w:t>
      </w:r>
    </w:p>
    <w:p w14:paraId="22651D2D">
      <w:pPr>
        <w:spacing w:before="190" w:line="296" w:lineRule="auto"/>
        <w:ind w:left="38" w:right="158" w:firstLine="496"/>
        <w:outlineLvl w:val="9"/>
        <w:rPr>
          <w:rFonts w:ascii="宋体" w:hAnsi="宋体" w:eastAsia="宋体" w:cs="宋体"/>
          <w:sz w:val="24"/>
          <w:szCs w:val="24"/>
          <w:highlight w:val="none"/>
        </w:rPr>
      </w:pPr>
      <w:r>
        <w:rPr>
          <w:rFonts w:ascii="宋体" w:hAnsi="宋体" w:eastAsia="宋体" w:cs="宋体"/>
          <w:spacing w:val="1"/>
          <w:sz w:val="24"/>
          <w:szCs w:val="24"/>
          <w:highlight w:val="none"/>
        </w:rPr>
        <w:t>（4）开标时，由采购代理机构向评审小组介绍项目基本情况并宣布有关</w:t>
      </w:r>
      <w:r>
        <w:rPr>
          <w:rFonts w:ascii="宋体" w:hAnsi="宋体" w:eastAsia="宋体" w:cs="宋体"/>
          <w:spacing w:val="-2"/>
          <w:sz w:val="24"/>
          <w:szCs w:val="24"/>
          <w:highlight w:val="none"/>
        </w:rPr>
        <w:t>纪律和开标程序。</w:t>
      </w:r>
    </w:p>
    <w:p w14:paraId="4F8ED702">
      <w:pPr>
        <w:spacing w:before="186" w:line="292" w:lineRule="auto"/>
        <w:ind w:left="48" w:right="43" w:firstLine="488"/>
        <w:outlineLvl w:val="9"/>
        <w:rPr>
          <w:rFonts w:ascii="宋体" w:hAnsi="宋体" w:eastAsia="宋体" w:cs="宋体"/>
          <w:sz w:val="24"/>
          <w:szCs w:val="24"/>
          <w:highlight w:val="none"/>
        </w:rPr>
      </w:pPr>
      <w:r>
        <w:rPr>
          <w:rFonts w:ascii="宋体" w:hAnsi="宋体" w:eastAsia="宋体" w:cs="宋体"/>
          <w:spacing w:val="-3"/>
          <w:sz w:val="24"/>
          <w:szCs w:val="24"/>
          <w:highlight w:val="none"/>
        </w:rPr>
        <w:t>（5）评审小组依据法律法规和招标文件中规定的内容，对供应商进行资格</w:t>
      </w:r>
      <w:r>
        <w:rPr>
          <w:rFonts w:ascii="宋体" w:hAnsi="宋体" w:eastAsia="宋体" w:cs="宋体"/>
          <w:sz w:val="24"/>
          <w:szCs w:val="24"/>
          <w:highlight w:val="none"/>
        </w:rPr>
        <w:t>审查。未通过资格审查的供应商不得进入详细评审，其</w:t>
      </w:r>
      <w:r>
        <w:rPr>
          <w:rFonts w:ascii="宋体" w:hAnsi="宋体" w:eastAsia="宋体" w:cs="宋体"/>
          <w:spacing w:val="-1"/>
          <w:sz w:val="24"/>
          <w:szCs w:val="24"/>
          <w:highlight w:val="none"/>
        </w:rPr>
        <w:t>投标文件将被拒绝。</w:t>
      </w:r>
    </w:p>
    <w:p w14:paraId="6AC57197">
      <w:pPr>
        <w:spacing w:before="193" w:line="293" w:lineRule="auto"/>
        <w:ind w:left="34" w:right="158" w:firstLine="500"/>
        <w:outlineLvl w:val="9"/>
        <w:rPr>
          <w:rFonts w:ascii="宋体" w:hAnsi="宋体" w:eastAsia="宋体" w:cs="宋体"/>
          <w:sz w:val="24"/>
          <w:szCs w:val="24"/>
          <w:highlight w:val="none"/>
        </w:rPr>
      </w:pPr>
      <w:r>
        <w:rPr>
          <w:rFonts w:ascii="宋体" w:hAnsi="宋体" w:eastAsia="宋体" w:cs="宋体"/>
          <w:spacing w:val="1"/>
          <w:sz w:val="24"/>
          <w:szCs w:val="24"/>
          <w:highlight w:val="none"/>
        </w:rPr>
        <w:t>（6）评审小组开启供应商公开报价并进行初步审查和详细评审（只有初</w:t>
      </w:r>
      <w:r>
        <w:rPr>
          <w:rFonts w:ascii="宋体" w:hAnsi="宋体" w:eastAsia="宋体" w:cs="宋体"/>
          <w:spacing w:val="-1"/>
          <w:sz w:val="24"/>
          <w:szCs w:val="24"/>
          <w:highlight w:val="none"/>
        </w:rPr>
        <w:t>步审查合格的供应商，其投标文件方可进入评审阶段。）</w:t>
      </w:r>
    </w:p>
    <w:p w14:paraId="2D7F0B25">
      <w:pPr>
        <w:spacing w:before="191" w:line="292" w:lineRule="auto"/>
        <w:ind w:left="33" w:right="158" w:firstLine="502"/>
        <w:outlineLvl w:val="9"/>
        <w:rPr>
          <w:rFonts w:ascii="宋体" w:hAnsi="宋体" w:eastAsia="宋体" w:cs="宋体"/>
          <w:sz w:val="24"/>
          <w:szCs w:val="24"/>
          <w:highlight w:val="none"/>
        </w:rPr>
      </w:pPr>
      <w:r>
        <w:rPr>
          <w:rFonts w:ascii="宋体" w:hAnsi="宋体" w:eastAsia="宋体" w:cs="宋体"/>
          <w:spacing w:val="1"/>
          <w:sz w:val="24"/>
          <w:szCs w:val="24"/>
          <w:highlight w:val="none"/>
        </w:rPr>
        <w:t>（7）供应商代表对评审过程和评审记录有疑义，以及认为采购人、采购代理机构相关工作人员有需要回避的情形的，应</w:t>
      </w:r>
      <w:r>
        <w:rPr>
          <w:rFonts w:ascii="宋体" w:hAnsi="宋体" w:eastAsia="宋体" w:cs="宋体"/>
          <w:sz w:val="24"/>
          <w:szCs w:val="24"/>
          <w:highlight w:val="none"/>
        </w:rPr>
        <w:t>当场提出询问或者回避申请</w:t>
      </w:r>
    </w:p>
    <w:p w14:paraId="429C3E7F">
      <w:pPr>
        <w:spacing w:before="153" w:line="121" w:lineRule="exact"/>
        <w:ind w:left="57"/>
        <w:outlineLvl w:val="9"/>
        <w:rPr>
          <w:rFonts w:ascii="宋体" w:hAnsi="宋体" w:eastAsia="宋体" w:cs="宋体"/>
          <w:sz w:val="24"/>
          <w:szCs w:val="24"/>
          <w:highlight w:val="none"/>
        </w:rPr>
      </w:pPr>
      <w:r>
        <w:rPr>
          <w:rFonts w:ascii="宋体" w:hAnsi="宋体" w:eastAsia="宋体" w:cs="宋体"/>
          <w:position w:val="1"/>
          <w:sz w:val="24"/>
          <w:szCs w:val="24"/>
          <w:highlight w:val="none"/>
        </w:rPr>
        <w:t>。</w:t>
      </w:r>
    </w:p>
    <w:p w14:paraId="5DEE9559">
      <w:pPr>
        <w:spacing w:line="121" w:lineRule="exact"/>
        <w:outlineLvl w:val="9"/>
        <w:rPr>
          <w:rFonts w:ascii="宋体" w:hAnsi="宋体" w:eastAsia="宋体" w:cs="宋体"/>
          <w:sz w:val="24"/>
          <w:szCs w:val="24"/>
          <w:highlight w:val="none"/>
        </w:rPr>
        <w:sectPr>
          <w:footerReference r:id="rId23" w:type="default"/>
          <w:pgSz w:w="11850" w:h="16781"/>
          <w:pgMar w:top="1426" w:right="1777" w:bottom="956" w:left="1777" w:header="0" w:footer="786" w:gutter="0"/>
          <w:pgNumType w:fmt="decimal"/>
          <w:cols w:space="720" w:num="1"/>
        </w:sectPr>
      </w:pPr>
    </w:p>
    <w:p w14:paraId="3AD93C69">
      <w:pPr>
        <w:pStyle w:val="2"/>
        <w:spacing w:line="303" w:lineRule="auto"/>
        <w:outlineLvl w:val="9"/>
        <w:rPr>
          <w:highlight w:val="none"/>
        </w:rPr>
      </w:pPr>
    </w:p>
    <w:p w14:paraId="488947A3">
      <w:pPr>
        <w:spacing w:before="78" w:line="256" w:lineRule="auto"/>
        <w:ind w:left="46" w:right="114" w:hanging="15"/>
        <w:outlineLvl w:val="9"/>
        <w:rPr>
          <w:rFonts w:ascii="宋体" w:hAnsi="宋体" w:eastAsia="宋体" w:cs="宋体"/>
          <w:sz w:val="24"/>
          <w:szCs w:val="24"/>
          <w:highlight w:val="none"/>
        </w:rPr>
      </w:pPr>
      <w:r>
        <w:rPr>
          <w:rFonts w:ascii="宋体" w:hAnsi="宋体" w:eastAsia="宋体" w:cs="宋体"/>
          <w:sz w:val="24"/>
          <w:szCs w:val="24"/>
          <w:highlight w:val="none"/>
        </w:rPr>
        <w:t>注：在开标过程中如评审小组对评标文件有疑问</w:t>
      </w:r>
      <w:r>
        <w:rPr>
          <w:rFonts w:ascii="宋体" w:hAnsi="宋体" w:eastAsia="宋体" w:cs="宋体"/>
          <w:spacing w:val="-1"/>
          <w:sz w:val="24"/>
          <w:szCs w:val="24"/>
          <w:highlight w:val="none"/>
        </w:rPr>
        <w:t>，询标内容汇总后将发起询标</w:t>
      </w:r>
      <w:r>
        <w:rPr>
          <w:rFonts w:ascii="宋体" w:hAnsi="宋体" w:eastAsia="宋体" w:cs="宋体"/>
          <w:spacing w:val="-2"/>
          <w:sz w:val="24"/>
          <w:szCs w:val="24"/>
          <w:highlight w:val="none"/>
        </w:rPr>
        <w:t>函，供应商应对询标函提出的问题做出澄清或说明</w:t>
      </w:r>
    </w:p>
    <w:p w14:paraId="1F7DD040">
      <w:pPr>
        <w:pStyle w:val="2"/>
        <w:spacing w:line="254" w:lineRule="auto"/>
        <w:outlineLvl w:val="9"/>
        <w:rPr>
          <w:highlight w:val="none"/>
        </w:rPr>
      </w:pPr>
    </w:p>
    <w:p w14:paraId="04FFEE84">
      <w:pPr>
        <w:spacing w:before="78" w:line="221" w:lineRule="auto"/>
        <w:ind w:left="30"/>
        <w:outlineLvl w:val="9"/>
        <w:rPr>
          <w:rFonts w:ascii="黑体" w:hAnsi="黑体" w:eastAsia="黑体" w:cs="黑体"/>
          <w:sz w:val="24"/>
          <w:szCs w:val="24"/>
          <w:highlight w:val="none"/>
        </w:rPr>
      </w:pPr>
      <w:r>
        <w:rPr>
          <w:rFonts w:ascii="黑体" w:hAnsi="黑体" w:eastAsia="黑体" w:cs="黑体"/>
          <w:b/>
          <w:bCs/>
          <w:spacing w:val="-5"/>
          <w:sz w:val="24"/>
          <w:szCs w:val="24"/>
          <w:highlight w:val="none"/>
        </w:rPr>
        <w:t>七、评标步骤和要求</w:t>
      </w:r>
    </w:p>
    <w:p w14:paraId="51162923">
      <w:pPr>
        <w:spacing w:before="168" w:line="219" w:lineRule="auto"/>
        <w:ind w:left="37"/>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21.组建评标委员会</w:t>
      </w:r>
    </w:p>
    <w:p w14:paraId="47B10859">
      <w:pPr>
        <w:spacing w:before="215" w:line="318" w:lineRule="auto"/>
        <w:ind w:left="36" w:right="117" w:firstLine="483"/>
        <w:outlineLvl w:val="9"/>
        <w:rPr>
          <w:rFonts w:ascii="宋体" w:hAnsi="宋体" w:eastAsia="宋体" w:cs="宋体"/>
          <w:sz w:val="24"/>
          <w:szCs w:val="24"/>
          <w:highlight w:val="none"/>
        </w:rPr>
      </w:pPr>
      <w:r>
        <w:rPr>
          <w:rFonts w:ascii="宋体" w:hAnsi="宋体" w:eastAsia="宋体" w:cs="宋体"/>
          <w:spacing w:val="-3"/>
          <w:sz w:val="24"/>
          <w:szCs w:val="24"/>
          <w:highlight w:val="none"/>
        </w:rPr>
        <w:t>21.1采购代理机构根据有关法律法规和本</w:t>
      </w:r>
      <w:r>
        <w:rPr>
          <w:rFonts w:ascii="宋体" w:hAnsi="宋体" w:eastAsia="宋体" w:cs="宋体"/>
          <w:spacing w:val="-4"/>
          <w:sz w:val="24"/>
          <w:szCs w:val="24"/>
          <w:highlight w:val="none"/>
        </w:rPr>
        <w:t>招标文件的规定，结合招标项目</w:t>
      </w:r>
      <w:r>
        <w:rPr>
          <w:rFonts w:ascii="宋体" w:hAnsi="宋体" w:eastAsia="宋体" w:cs="宋体"/>
          <w:spacing w:val="-2"/>
          <w:sz w:val="24"/>
          <w:szCs w:val="24"/>
          <w:highlight w:val="none"/>
        </w:rPr>
        <w:t>的特点组建评标委员会，对投标文件进行评估和比较。评标委员会由三人以上</w:t>
      </w:r>
      <w:r>
        <w:rPr>
          <w:rFonts w:ascii="宋体" w:hAnsi="宋体" w:eastAsia="宋体" w:cs="宋体"/>
          <w:spacing w:val="-1"/>
          <w:sz w:val="24"/>
          <w:szCs w:val="24"/>
          <w:highlight w:val="none"/>
        </w:rPr>
        <w:t>单数组成，其中经济、技术等方面的专家不少于三分之二。</w:t>
      </w:r>
    </w:p>
    <w:p w14:paraId="11F2FE38">
      <w:pPr>
        <w:spacing w:before="184" w:line="296" w:lineRule="auto"/>
        <w:ind w:left="32" w:right="117" w:firstLine="486"/>
        <w:outlineLvl w:val="9"/>
        <w:rPr>
          <w:rFonts w:ascii="宋体" w:hAnsi="宋体" w:eastAsia="宋体" w:cs="宋体"/>
          <w:sz w:val="24"/>
          <w:szCs w:val="24"/>
          <w:highlight w:val="none"/>
        </w:rPr>
      </w:pPr>
      <w:r>
        <w:rPr>
          <w:rFonts w:ascii="宋体" w:hAnsi="宋体" w:eastAsia="宋体" w:cs="宋体"/>
          <w:spacing w:val="-4"/>
          <w:sz w:val="24"/>
          <w:szCs w:val="24"/>
          <w:highlight w:val="none"/>
        </w:rPr>
        <w:t>21.2参与过本项目的论证专家不得作为评标专家参加评标，采购人不得以</w:t>
      </w:r>
      <w:r>
        <w:rPr>
          <w:rFonts w:ascii="宋体" w:hAnsi="宋体" w:eastAsia="宋体" w:cs="宋体"/>
          <w:spacing w:val="-3"/>
          <w:sz w:val="24"/>
          <w:szCs w:val="24"/>
          <w:highlight w:val="none"/>
        </w:rPr>
        <w:t>专家身份参与评标。</w:t>
      </w:r>
    </w:p>
    <w:p w14:paraId="621B1254">
      <w:pPr>
        <w:spacing w:before="163" w:line="219" w:lineRule="auto"/>
        <w:ind w:left="37"/>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22.资格审查</w:t>
      </w:r>
    </w:p>
    <w:p w14:paraId="5C3A1F05">
      <w:pPr>
        <w:spacing w:before="212" w:line="358" w:lineRule="auto"/>
        <w:ind w:left="39" w:right="115" w:firstLine="480"/>
        <w:outlineLvl w:val="9"/>
        <w:rPr>
          <w:rFonts w:ascii="宋体" w:hAnsi="宋体" w:eastAsia="宋体" w:cs="宋体"/>
          <w:sz w:val="24"/>
          <w:szCs w:val="24"/>
          <w:highlight w:val="none"/>
        </w:rPr>
      </w:pPr>
      <w:r>
        <w:rPr>
          <w:rFonts w:ascii="宋体" w:hAnsi="宋体" w:eastAsia="宋体" w:cs="宋体"/>
          <w:spacing w:val="-4"/>
          <w:sz w:val="24"/>
          <w:szCs w:val="24"/>
          <w:highlight w:val="none"/>
        </w:rPr>
        <w:t>22.1开标过程中，采购人及监督人员依法对投标人的资格进行核实。合格</w:t>
      </w:r>
      <w:r>
        <w:rPr>
          <w:rFonts w:ascii="宋体" w:hAnsi="宋体" w:eastAsia="宋体" w:cs="宋体"/>
          <w:spacing w:val="-5"/>
          <w:sz w:val="24"/>
          <w:szCs w:val="24"/>
          <w:highlight w:val="none"/>
        </w:rPr>
        <w:t>投标人不足3家的，不得评标。</w:t>
      </w:r>
    </w:p>
    <w:p w14:paraId="29627B7F">
      <w:pPr>
        <w:spacing w:line="219" w:lineRule="auto"/>
        <w:ind w:left="37"/>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23.初步评审</w:t>
      </w:r>
    </w:p>
    <w:p w14:paraId="2519C02E">
      <w:pPr>
        <w:spacing w:before="215" w:line="293" w:lineRule="auto"/>
        <w:ind w:left="32" w:right="117" w:firstLine="486"/>
        <w:outlineLvl w:val="9"/>
        <w:rPr>
          <w:rFonts w:ascii="宋体" w:hAnsi="宋体" w:eastAsia="宋体" w:cs="宋体"/>
          <w:sz w:val="24"/>
          <w:szCs w:val="24"/>
          <w:highlight w:val="none"/>
        </w:rPr>
      </w:pPr>
      <w:r>
        <w:rPr>
          <w:rFonts w:ascii="宋体" w:hAnsi="宋体" w:eastAsia="宋体" w:cs="宋体"/>
          <w:spacing w:val="-3"/>
          <w:sz w:val="24"/>
          <w:szCs w:val="24"/>
          <w:highlight w:val="none"/>
        </w:rPr>
        <w:t>23.1评标委员会审查投标文件是否符合招标文件的基本要求：依据法律法规和招标文件的规定，由评标委员会对投标文件中的资格证明文</w:t>
      </w:r>
      <w:r>
        <w:rPr>
          <w:rFonts w:ascii="宋体" w:hAnsi="宋体" w:eastAsia="宋体" w:cs="宋体"/>
          <w:spacing w:val="-4"/>
          <w:sz w:val="24"/>
          <w:szCs w:val="24"/>
          <w:highlight w:val="none"/>
        </w:rPr>
        <w:t>件进行审查。</w:t>
      </w:r>
    </w:p>
    <w:p w14:paraId="47EBD373">
      <w:pPr>
        <w:spacing w:before="163" w:line="219" w:lineRule="auto"/>
        <w:ind w:left="519"/>
        <w:outlineLvl w:val="9"/>
        <w:rPr>
          <w:rFonts w:ascii="宋体" w:hAnsi="宋体" w:eastAsia="宋体" w:cs="宋体"/>
          <w:sz w:val="24"/>
          <w:szCs w:val="24"/>
          <w:highlight w:val="none"/>
        </w:rPr>
      </w:pPr>
      <w:r>
        <w:rPr>
          <w:rFonts w:ascii="宋体" w:hAnsi="宋体" w:eastAsia="宋体" w:cs="宋体"/>
          <w:spacing w:val="-1"/>
          <w:sz w:val="24"/>
          <w:szCs w:val="24"/>
          <w:highlight w:val="none"/>
        </w:rPr>
        <w:t>23.2评标委员会审查投标文件是否实质上响应招标文件的要求。</w:t>
      </w:r>
    </w:p>
    <w:p w14:paraId="31E9695A">
      <w:pPr>
        <w:spacing w:before="216" w:line="294" w:lineRule="auto"/>
        <w:ind w:left="37" w:right="151" w:firstLine="511"/>
        <w:outlineLvl w:val="9"/>
        <w:rPr>
          <w:rFonts w:ascii="宋体" w:hAnsi="宋体" w:eastAsia="宋体" w:cs="宋体"/>
          <w:sz w:val="24"/>
          <w:szCs w:val="24"/>
          <w:highlight w:val="none"/>
        </w:rPr>
      </w:pPr>
      <w:r>
        <w:rPr>
          <w:rFonts w:ascii="宋体" w:hAnsi="宋体" w:eastAsia="宋体" w:cs="宋体"/>
          <w:spacing w:val="1"/>
          <w:sz w:val="24"/>
          <w:szCs w:val="24"/>
          <w:highlight w:val="none"/>
        </w:rPr>
        <w:t>1）实质上响应的投标是指与招标文件上的条款、条件和规格相符，没有</w:t>
      </w:r>
      <w:r>
        <w:rPr>
          <w:rFonts w:ascii="宋体" w:hAnsi="宋体" w:eastAsia="宋体" w:cs="宋体"/>
          <w:spacing w:val="-1"/>
          <w:sz w:val="24"/>
          <w:szCs w:val="24"/>
          <w:highlight w:val="none"/>
        </w:rPr>
        <w:t>重大偏离或保留，否则将视为无效投标。</w:t>
      </w:r>
    </w:p>
    <w:p w14:paraId="028184A2">
      <w:pPr>
        <w:spacing w:before="187" w:line="318" w:lineRule="auto"/>
        <w:ind w:left="32" w:right="117" w:firstLine="486"/>
        <w:outlineLvl w:val="9"/>
        <w:rPr>
          <w:rFonts w:ascii="宋体" w:hAnsi="宋体" w:eastAsia="宋体" w:cs="宋体"/>
          <w:sz w:val="24"/>
          <w:szCs w:val="24"/>
          <w:highlight w:val="none"/>
        </w:rPr>
      </w:pPr>
      <w:r>
        <w:rPr>
          <w:rFonts w:ascii="宋体" w:hAnsi="宋体" w:eastAsia="宋体" w:cs="宋体"/>
          <w:spacing w:val="2"/>
          <w:sz w:val="24"/>
          <w:szCs w:val="24"/>
          <w:highlight w:val="none"/>
        </w:rPr>
        <w:t>2）重大偏离或保留系指投标货物的质量、数量和交付日期等明显不能满</w:t>
      </w:r>
      <w:r>
        <w:rPr>
          <w:rFonts w:ascii="宋体" w:hAnsi="宋体" w:eastAsia="宋体" w:cs="宋体"/>
          <w:spacing w:val="-1"/>
          <w:sz w:val="24"/>
          <w:szCs w:val="24"/>
          <w:highlight w:val="none"/>
        </w:rPr>
        <w:t>足招标文件的要求，或者实质上与招标文件不一致，纠正这些偏离或保留将对</w:t>
      </w:r>
      <w:r>
        <w:rPr>
          <w:rFonts w:ascii="宋体" w:hAnsi="宋体" w:eastAsia="宋体" w:cs="宋体"/>
          <w:spacing w:val="-2"/>
          <w:sz w:val="24"/>
          <w:szCs w:val="24"/>
          <w:highlight w:val="none"/>
        </w:rPr>
        <w:t>其他实质上响应要求的投标人的竞争地位产生不公正的影响。包括但不限于：</w:t>
      </w:r>
    </w:p>
    <w:p w14:paraId="6FBA9850">
      <w:pPr>
        <w:spacing w:before="188" w:line="219" w:lineRule="auto"/>
        <w:ind w:left="509"/>
        <w:outlineLvl w:val="9"/>
        <w:rPr>
          <w:rFonts w:ascii="宋体" w:hAnsi="宋体" w:eastAsia="宋体" w:cs="宋体"/>
          <w:sz w:val="24"/>
          <w:szCs w:val="24"/>
          <w:highlight w:val="none"/>
        </w:rPr>
      </w:pPr>
      <w:r>
        <w:rPr>
          <w:rFonts w:ascii="宋体" w:hAnsi="宋体" w:eastAsia="宋体" w:cs="宋体"/>
          <w:sz w:val="24"/>
          <w:szCs w:val="24"/>
          <w:highlight w:val="none"/>
        </w:rPr>
        <w:t>A、投标文件格式不符合招标文件要求的</w:t>
      </w:r>
    </w:p>
    <w:p w14:paraId="2CDBEBC0">
      <w:pPr>
        <w:spacing w:before="315" w:line="219" w:lineRule="auto"/>
        <w:ind w:left="511"/>
        <w:outlineLvl w:val="9"/>
        <w:rPr>
          <w:rFonts w:ascii="宋体" w:hAnsi="宋体" w:eastAsia="宋体" w:cs="宋体"/>
          <w:sz w:val="24"/>
          <w:szCs w:val="24"/>
          <w:highlight w:val="none"/>
        </w:rPr>
      </w:pPr>
      <w:r>
        <w:rPr>
          <w:rFonts w:ascii="宋体" w:hAnsi="宋体" w:eastAsia="宋体" w:cs="宋体"/>
          <w:sz w:val="24"/>
          <w:szCs w:val="24"/>
          <w:highlight w:val="none"/>
        </w:rPr>
        <w:t>B、未按招标文件规定要求签署、盖章的；</w:t>
      </w:r>
    </w:p>
    <w:p w14:paraId="2375C4D0">
      <w:pPr>
        <w:spacing w:before="318" w:line="219" w:lineRule="auto"/>
        <w:ind w:left="514"/>
        <w:outlineLvl w:val="9"/>
        <w:rPr>
          <w:rFonts w:ascii="宋体" w:hAnsi="宋体" w:eastAsia="宋体" w:cs="宋体"/>
          <w:sz w:val="24"/>
          <w:szCs w:val="24"/>
          <w:highlight w:val="none"/>
        </w:rPr>
      </w:pPr>
      <w:r>
        <w:rPr>
          <w:rFonts w:ascii="宋体" w:hAnsi="宋体" w:eastAsia="宋体" w:cs="宋体"/>
          <w:sz w:val="24"/>
          <w:szCs w:val="24"/>
          <w:highlight w:val="none"/>
        </w:rPr>
        <w:t>C、未按招标文件规定要求合同履约期限的；</w:t>
      </w:r>
    </w:p>
    <w:p w14:paraId="3EE4AE2B">
      <w:pPr>
        <w:spacing w:before="317" w:line="218" w:lineRule="auto"/>
        <w:ind w:left="512"/>
        <w:outlineLvl w:val="9"/>
        <w:rPr>
          <w:rFonts w:ascii="宋体" w:hAnsi="宋体" w:eastAsia="宋体" w:cs="宋体"/>
          <w:sz w:val="24"/>
          <w:szCs w:val="24"/>
          <w:highlight w:val="none"/>
        </w:rPr>
      </w:pPr>
      <w:r>
        <w:rPr>
          <w:rFonts w:ascii="宋体" w:hAnsi="宋体" w:eastAsia="宋体" w:cs="宋体"/>
          <w:sz w:val="24"/>
          <w:szCs w:val="24"/>
          <w:highlight w:val="none"/>
        </w:rPr>
        <w:t>D、投标人的报价超过了采购预算或最高限价的；</w:t>
      </w:r>
    </w:p>
    <w:p w14:paraId="74383254">
      <w:pPr>
        <w:spacing w:before="320" w:line="220" w:lineRule="auto"/>
        <w:ind w:left="513"/>
        <w:outlineLvl w:val="9"/>
        <w:rPr>
          <w:rFonts w:ascii="宋体" w:hAnsi="宋体" w:eastAsia="宋体" w:cs="宋体"/>
          <w:sz w:val="24"/>
          <w:szCs w:val="24"/>
          <w:highlight w:val="none"/>
        </w:rPr>
      </w:pPr>
      <w:r>
        <w:rPr>
          <w:rFonts w:ascii="宋体" w:hAnsi="宋体" w:eastAsia="宋体" w:cs="宋体"/>
          <w:spacing w:val="-3"/>
          <w:sz w:val="24"/>
          <w:szCs w:val="24"/>
          <w:highlight w:val="none"/>
        </w:rPr>
        <w:t>E、投标有效期不足的；</w:t>
      </w:r>
    </w:p>
    <w:p w14:paraId="41A2F661">
      <w:pPr>
        <w:spacing w:before="319" w:line="219" w:lineRule="auto"/>
        <w:ind w:left="512"/>
        <w:outlineLvl w:val="9"/>
        <w:rPr>
          <w:rFonts w:ascii="宋体" w:hAnsi="宋体" w:eastAsia="宋体" w:cs="宋体"/>
          <w:sz w:val="24"/>
          <w:szCs w:val="24"/>
          <w:highlight w:val="none"/>
        </w:rPr>
      </w:pPr>
      <w:r>
        <w:rPr>
          <w:rFonts w:ascii="宋体" w:hAnsi="宋体" w:eastAsia="宋体" w:cs="宋体"/>
          <w:sz w:val="24"/>
          <w:szCs w:val="24"/>
          <w:highlight w:val="none"/>
        </w:rPr>
        <w:t>F、不符合招标文件中规定的实质性要求和条件的；</w:t>
      </w:r>
    </w:p>
    <w:p w14:paraId="57E450EC">
      <w:pPr>
        <w:spacing w:line="219" w:lineRule="auto"/>
        <w:outlineLvl w:val="9"/>
        <w:rPr>
          <w:rFonts w:ascii="宋体" w:hAnsi="宋体" w:eastAsia="宋体" w:cs="宋体"/>
          <w:sz w:val="24"/>
          <w:szCs w:val="24"/>
          <w:highlight w:val="none"/>
        </w:rPr>
        <w:sectPr>
          <w:footerReference r:id="rId24" w:type="default"/>
          <w:pgSz w:w="11850" w:h="16781"/>
          <w:pgMar w:top="1426" w:right="1777" w:bottom="1011" w:left="1777" w:header="0" w:footer="766" w:gutter="0"/>
          <w:pgNumType w:fmt="decimal"/>
          <w:cols w:space="720" w:num="1"/>
        </w:sectPr>
      </w:pPr>
    </w:p>
    <w:p w14:paraId="4A9120E0">
      <w:pPr>
        <w:spacing w:before="47" w:line="219" w:lineRule="auto"/>
        <w:ind w:left="513"/>
        <w:outlineLvl w:val="9"/>
        <w:rPr>
          <w:rFonts w:ascii="宋体" w:hAnsi="宋体" w:eastAsia="宋体" w:cs="宋体"/>
          <w:sz w:val="24"/>
          <w:szCs w:val="24"/>
          <w:highlight w:val="none"/>
        </w:rPr>
      </w:pPr>
      <w:r>
        <w:rPr>
          <w:rFonts w:ascii="宋体" w:hAnsi="宋体" w:eastAsia="宋体" w:cs="宋体"/>
          <w:sz w:val="24"/>
          <w:szCs w:val="24"/>
          <w:highlight w:val="none"/>
        </w:rPr>
        <w:t>G、联合体投标文件未附联合体投标协议书的（如有</w:t>
      </w:r>
      <w:r>
        <w:rPr>
          <w:rFonts w:ascii="宋体" w:hAnsi="宋体" w:eastAsia="宋体" w:cs="宋体"/>
          <w:spacing w:val="8"/>
          <w:sz w:val="24"/>
          <w:szCs w:val="24"/>
          <w:highlight w:val="none"/>
        </w:rPr>
        <w:t>）；</w:t>
      </w:r>
    </w:p>
    <w:p w14:paraId="3F692776">
      <w:pPr>
        <w:spacing w:before="317" w:line="219" w:lineRule="auto"/>
        <w:ind w:left="511"/>
        <w:outlineLvl w:val="9"/>
        <w:rPr>
          <w:rFonts w:ascii="宋体" w:hAnsi="宋体" w:eastAsia="宋体" w:cs="宋体"/>
          <w:sz w:val="24"/>
          <w:szCs w:val="24"/>
          <w:highlight w:val="none"/>
        </w:rPr>
      </w:pPr>
      <w:r>
        <w:rPr>
          <w:rFonts w:ascii="宋体" w:hAnsi="宋体" w:eastAsia="宋体" w:cs="宋体"/>
          <w:sz w:val="24"/>
          <w:szCs w:val="24"/>
          <w:highlight w:val="none"/>
        </w:rPr>
        <w:t>H、有串通投标或弄虚作假或有其他违法行为的；</w:t>
      </w:r>
    </w:p>
    <w:p w14:paraId="7A4D926A">
      <w:pPr>
        <w:spacing w:before="318" w:line="219" w:lineRule="auto"/>
        <w:ind w:left="529"/>
        <w:outlineLvl w:val="9"/>
        <w:rPr>
          <w:rFonts w:ascii="宋体" w:hAnsi="宋体" w:eastAsia="宋体" w:cs="宋体"/>
          <w:sz w:val="24"/>
          <w:szCs w:val="24"/>
          <w:highlight w:val="none"/>
        </w:rPr>
      </w:pPr>
      <w:r>
        <w:rPr>
          <w:rFonts w:ascii="宋体" w:hAnsi="宋体" w:eastAsia="宋体" w:cs="宋体"/>
          <w:sz w:val="24"/>
          <w:szCs w:val="24"/>
          <w:highlight w:val="none"/>
        </w:rPr>
        <w:t>I、投标人名称或组织结构与报名时不一致且无有效变更证明的；</w:t>
      </w:r>
    </w:p>
    <w:p w14:paraId="6C38D7B6">
      <w:pPr>
        <w:spacing w:before="317" w:line="218" w:lineRule="auto"/>
        <w:ind w:left="515"/>
        <w:outlineLvl w:val="9"/>
        <w:rPr>
          <w:rFonts w:ascii="宋体" w:hAnsi="宋体" w:eastAsia="宋体" w:cs="宋体"/>
          <w:sz w:val="24"/>
          <w:szCs w:val="24"/>
          <w:highlight w:val="none"/>
        </w:rPr>
      </w:pPr>
      <w:r>
        <w:rPr>
          <w:rFonts w:ascii="宋体" w:hAnsi="宋体" w:eastAsia="宋体" w:cs="宋体"/>
          <w:sz w:val="24"/>
          <w:szCs w:val="24"/>
          <w:highlight w:val="none"/>
        </w:rPr>
        <w:t>J、投标文件含有采购人不能接受的附加条件的；</w:t>
      </w:r>
    </w:p>
    <w:p w14:paraId="54D66B3D">
      <w:pPr>
        <w:spacing w:before="319" w:line="219" w:lineRule="auto"/>
        <w:ind w:left="517"/>
        <w:outlineLvl w:val="9"/>
        <w:rPr>
          <w:rFonts w:ascii="宋体" w:hAnsi="宋体" w:eastAsia="宋体" w:cs="宋体"/>
          <w:sz w:val="24"/>
          <w:szCs w:val="24"/>
          <w:highlight w:val="none"/>
        </w:rPr>
      </w:pPr>
      <w:r>
        <w:rPr>
          <w:rFonts w:ascii="宋体" w:hAnsi="宋体" w:eastAsia="宋体" w:cs="宋体"/>
          <w:sz w:val="24"/>
          <w:szCs w:val="24"/>
          <w:highlight w:val="none"/>
        </w:rPr>
        <w:t>法律、法规及本招标文件规定的其他无效投标的情形。</w:t>
      </w:r>
    </w:p>
    <w:p w14:paraId="667A879C">
      <w:pPr>
        <w:pStyle w:val="2"/>
        <w:spacing w:line="242" w:lineRule="auto"/>
        <w:outlineLvl w:val="9"/>
        <w:rPr>
          <w:highlight w:val="none"/>
        </w:rPr>
      </w:pPr>
    </w:p>
    <w:p w14:paraId="21B5DA8F">
      <w:pPr>
        <w:spacing w:before="78" w:line="330" w:lineRule="auto"/>
        <w:ind w:left="30" w:right="30" w:firstLine="488"/>
        <w:outlineLvl w:val="9"/>
        <w:rPr>
          <w:rFonts w:ascii="宋体" w:hAnsi="宋体" w:eastAsia="宋体" w:cs="宋体"/>
          <w:sz w:val="24"/>
          <w:szCs w:val="24"/>
          <w:highlight w:val="none"/>
        </w:rPr>
      </w:pPr>
      <w:r>
        <w:rPr>
          <w:rFonts w:ascii="宋体" w:hAnsi="宋体" w:eastAsia="宋体" w:cs="宋体"/>
          <w:spacing w:val="-1"/>
          <w:sz w:val="24"/>
          <w:szCs w:val="24"/>
          <w:highlight w:val="none"/>
        </w:rPr>
        <w:t>23.3投标文件的细微偏差是指在实质上响应招标文件要求，但在个别地方存在漏项或者提供了不完整的技术信息和数据等情况，并且补正这些遗漏或者不完整，不会对其他投标人造成不公正的结果。细微偏差不影响投标文件的有</w:t>
      </w:r>
      <w:r>
        <w:rPr>
          <w:rFonts w:ascii="宋体" w:hAnsi="宋体" w:eastAsia="宋体" w:cs="宋体"/>
          <w:spacing w:val="-3"/>
          <w:sz w:val="24"/>
          <w:szCs w:val="24"/>
          <w:highlight w:val="none"/>
        </w:rPr>
        <w:t>效性。</w:t>
      </w:r>
    </w:p>
    <w:p w14:paraId="2968EE21">
      <w:pPr>
        <w:spacing w:before="189" w:line="293" w:lineRule="auto"/>
        <w:ind w:left="38" w:right="117" w:firstLine="480"/>
        <w:outlineLvl w:val="9"/>
        <w:rPr>
          <w:rFonts w:ascii="宋体" w:hAnsi="宋体" w:eastAsia="宋体" w:cs="宋体"/>
          <w:sz w:val="24"/>
          <w:szCs w:val="24"/>
          <w:highlight w:val="none"/>
        </w:rPr>
      </w:pPr>
      <w:r>
        <w:rPr>
          <w:rFonts w:ascii="宋体" w:hAnsi="宋体" w:eastAsia="宋体" w:cs="宋体"/>
          <w:spacing w:val="-3"/>
          <w:sz w:val="24"/>
          <w:szCs w:val="24"/>
          <w:highlight w:val="none"/>
        </w:rPr>
        <w:t>23.4初步评审中，对明显的文字和计算错误按下述原则处理，若出现相互</w:t>
      </w:r>
      <w:r>
        <w:rPr>
          <w:rFonts w:ascii="宋体" w:hAnsi="宋体" w:eastAsia="宋体" w:cs="宋体"/>
          <w:spacing w:val="-1"/>
          <w:sz w:val="24"/>
          <w:szCs w:val="24"/>
          <w:highlight w:val="none"/>
        </w:rPr>
        <w:t>矛盾之处，应以排列在先的原则为准优先处理：</w:t>
      </w:r>
    </w:p>
    <w:p w14:paraId="06A09FCC">
      <w:pPr>
        <w:spacing w:before="168" w:line="243" w:lineRule="auto"/>
        <w:ind w:left="546" w:right="220" w:hanging="5"/>
        <w:outlineLvl w:val="9"/>
        <w:rPr>
          <w:rFonts w:ascii="宋体" w:hAnsi="宋体" w:eastAsia="宋体" w:cs="宋体"/>
          <w:sz w:val="24"/>
          <w:szCs w:val="24"/>
          <w:highlight w:val="none"/>
        </w:rPr>
      </w:pPr>
      <w:r>
        <w:rPr>
          <w:rFonts w:ascii="宋体" w:hAnsi="宋体" w:eastAsia="宋体" w:cs="宋体"/>
          <w:spacing w:val="-1"/>
          <w:sz w:val="24"/>
          <w:szCs w:val="24"/>
          <w:highlight w:val="none"/>
        </w:rPr>
        <w:t>1）投标文件中的开标一览表与明细表内容不一致的，以开标一览表为准</w:t>
      </w:r>
      <w:r>
        <w:rPr>
          <w:rFonts w:ascii="宋体" w:hAnsi="宋体" w:eastAsia="宋体" w:cs="宋体"/>
          <w:sz w:val="24"/>
          <w:szCs w:val="24"/>
          <w:highlight w:val="none"/>
        </w:rPr>
        <w:t>。</w:t>
      </w:r>
    </w:p>
    <w:p w14:paraId="534E0FCC">
      <w:pPr>
        <w:spacing w:before="148" w:line="294" w:lineRule="auto"/>
        <w:ind w:left="42" w:right="176" w:firstLine="476"/>
        <w:outlineLvl w:val="9"/>
        <w:rPr>
          <w:rFonts w:ascii="宋体" w:hAnsi="宋体" w:eastAsia="宋体" w:cs="宋体"/>
          <w:sz w:val="24"/>
          <w:szCs w:val="24"/>
          <w:highlight w:val="none"/>
        </w:rPr>
      </w:pPr>
      <w:r>
        <w:rPr>
          <w:rFonts w:ascii="宋体" w:hAnsi="宋体" w:eastAsia="宋体" w:cs="宋体"/>
          <w:spacing w:val="1"/>
          <w:sz w:val="24"/>
          <w:szCs w:val="24"/>
          <w:highlight w:val="none"/>
        </w:rPr>
        <w:t>2）如果以文字表示的数据与数字表示的有差别，以文字为准修正数字。</w:t>
      </w:r>
      <w:r>
        <w:rPr>
          <w:rFonts w:ascii="宋体" w:hAnsi="宋体" w:eastAsia="宋体" w:cs="宋体"/>
          <w:spacing w:val="-1"/>
          <w:sz w:val="24"/>
          <w:szCs w:val="24"/>
          <w:highlight w:val="none"/>
        </w:rPr>
        <w:t>如果大写金额和小写金额不一致的，以大写金额为准；</w:t>
      </w:r>
    </w:p>
    <w:p w14:paraId="60B8C4B6">
      <w:pPr>
        <w:spacing w:before="187" w:line="318" w:lineRule="auto"/>
        <w:ind w:left="33" w:right="114" w:firstLine="490"/>
        <w:outlineLvl w:val="9"/>
        <w:rPr>
          <w:rFonts w:ascii="宋体" w:hAnsi="宋体" w:eastAsia="宋体" w:cs="宋体"/>
          <w:sz w:val="24"/>
          <w:szCs w:val="24"/>
          <w:highlight w:val="none"/>
        </w:rPr>
      </w:pPr>
      <w:r>
        <w:rPr>
          <w:rFonts w:ascii="宋体" w:hAnsi="宋体" w:eastAsia="宋体" w:cs="宋体"/>
          <w:spacing w:val="2"/>
          <w:sz w:val="24"/>
          <w:szCs w:val="24"/>
          <w:highlight w:val="none"/>
        </w:rPr>
        <w:t>3）如果单价乘以数量不等于总价，以单价为准修正总价，但单价金额小</w:t>
      </w:r>
      <w:r>
        <w:rPr>
          <w:rFonts w:ascii="宋体" w:hAnsi="宋体" w:eastAsia="宋体" w:cs="宋体"/>
          <w:sz w:val="24"/>
          <w:szCs w:val="24"/>
          <w:highlight w:val="none"/>
        </w:rPr>
        <w:t>数点有明显错位的，应以总价为准，并修改</w:t>
      </w:r>
      <w:r>
        <w:rPr>
          <w:rFonts w:ascii="宋体" w:hAnsi="宋体" w:eastAsia="宋体" w:cs="宋体"/>
          <w:spacing w:val="-1"/>
          <w:sz w:val="24"/>
          <w:szCs w:val="24"/>
          <w:highlight w:val="none"/>
        </w:rPr>
        <w:t>单价。如果明细价格相加不等于汇</w:t>
      </w:r>
      <w:r>
        <w:rPr>
          <w:rFonts w:ascii="宋体" w:hAnsi="宋体" w:eastAsia="宋体" w:cs="宋体"/>
          <w:spacing w:val="-2"/>
          <w:sz w:val="24"/>
          <w:szCs w:val="24"/>
          <w:highlight w:val="none"/>
        </w:rPr>
        <w:t>总价格，以明细价格为准。</w:t>
      </w:r>
    </w:p>
    <w:p w14:paraId="01C974B4">
      <w:pPr>
        <w:spacing w:before="191" w:line="297" w:lineRule="auto"/>
        <w:ind w:left="32" w:right="139" w:firstLine="478"/>
        <w:outlineLvl w:val="9"/>
        <w:rPr>
          <w:rFonts w:ascii="宋体" w:hAnsi="宋体" w:eastAsia="宋体" w:cs="宋体"/>
          <w:sz w:val="24"/>
          <w:szCs w:val="24"/>
          <w:highlight w:val="none"/>
        </w:rPr>
      </w:pPr>
      <w:r>
        <w:rPr>
          <w:rFonts w:ascii="宋体" w:hAnsi="宋体" w:eastAsia="宋体" w:cs="宋体"/>
          <w:spacing w:val="3"/>
          <w:sz w:val="24"/>
          <w:szCs w:val="24"/>
          <w:highlight w:val="none"/>
        </w:rPr>
        <w:t>4）调整后的数据对投标人具有约束力，投</w:t>
      </w:r>
      <w:r>
        <w:rPr>
          <w:rFonts w:ascii="宋体" w:hAnsi="宋体" w:eastAsia="宋体" w:cs="宋体"/>
          <w:spacing w:val="2"/>
          <w:sz w:val="24"/>
          <w:szCs w:val="24"/>
          <w:highlight w:val="none"/>
        </w:rPr>
        <w:t>标人不同意以上修正，其投标</w:t>
      </w:r>
      <w:r>
        <w:rPr>
          <w:rFonts w:ascii="宋体" w:hAnsi="宋体" w:eastAsia="宋体" w:cs="宋体"/>
          <w:spacing w:val="-1"/>
          <w:sz w:val="24"/>
          <w:szCs w:val="24"/>
          <w:highlight w:val="none"/>
        </w:rPr>
        <w:t>将被拒绝。</w:t>
      </w:r>
    </w:p>
    <w:p w14:paraId="34D38D14">
      <w:pPr>
        <w:spacing w:before="179" w:line="294" w:lineRule="auto"/>
        <w:ind w:left="31" w:right="117" w:firstLine="487"/>
        <w:outlineLvl w:val="9"/>
        <w:rPr>
          <w:rFonts w:ascii="宋体" w:hAnsi="宋体" w:eastAsia="宋体" w:cs="宋体"/>
          <w:sz w:val="24"/>
          <w:szCs w:val="24"/>
          <w:highlight w:val="none"/>
        </w:rPr>
      </w:pPr>
      <w:r>
        <w:rPr>
          <w:rFonts w:ascii="宋体" w:hAnsi="宋体" w:eastAsia="宋体" w:cs="宋体"/>
          <w:spacing w:val="-3"/>
          <w:sz w:val="24"/>
          <w:szCs w:val="24"/>
          <w:highlight w:val="none"/>
        </w:rPr>
        <w:t>23.5评标委员会对投标文件的判定，只依</w:t>
      </w:r>
      <w:r>
        <w:rPr>
          <w:rFonts w:ascii="宋体" w:hAnsi="宋体" w:eastAsia="宋体" w:cs="宋体"/>
          <w:spacing w:val="-4"/>
          <w:sz w:val="24"/>
          <w:szCs w:val="24"/>
          <w:highlight w:val="none"/>
        </w:rPr>
        <w:t>据投标文件内容本身，不依据其他外来证明。</w:t>
      </w:r>
    </w:p>
    <w:p w14:paraId="2891E41B">
      <w:pPr>
        <w:spacing w:before="168" w:line="220" w:lineRule="auto"/>
        <w:ind w:left="37"/>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24.投标的澄清</w:t>
      </w:r>
    </w:p>
    <w:p w14:paraId="5D5AF6F5">
      <w:pPr>
        <w:spacing w:before="212" w:line="330" w:lineRule="auto"/>
        <w:ind w:left="31" w:right="117" w:firstLine="487"/>
        <w:jc w:val="both"/>
        <w:outlineLvl w:val="9"/>
        <w:rPr>
          <w:rFonts w:ascii="宋体" w:hAnsi="宋体" w:eastAsia="宋体" w:cs="宋体"/>
          <w:sz w:val="24"/>
          <w:szCs w:val="24"/>
          <w:highlight w:val="none"/>
        </w:rPr>
      </w:pPr>
      <w:r>
        <w:rPr>
          <w:rFonts w:ascii="宋体" w:hAnsi="宋体" w:eastAsia="宋体" w:cs="宋体"/>
          <w:spacing w:val="-3"/>
          <w:sz w:val="24"/>
          <w:szCs w:val="24"/>
          <w:highlight w:val="none"/>
        </w:rPr>
        <w:t>24.1评标委员会有权要求投标人对投标文</w:t>
      </w:r>
      <w:r>
        <w:rPr>
          <w:rFonts w:ascii="宋体" w:hAnsi="宋体" w:eastAsia="宋体" w:cs="宋体"/>
          <w:spacing w:val="-4"/>
          <w:sz w:val="24"/>
          <w:szCs w:val="24"/>
          <w:highlight w:val="none"/>
        </w:rPr>
        <w:t>件中含义不明确、对同类问题表</w:t>
      </w:r>
      <w:r>
        <w:rPr>
          <w:rFonts w:ascii="宋体" w:hAnsi="宋体" w:eastAsia="宋体" w:cs="宋体"/>
          <w:spacing w:val="-1"/>
          <w:sz w:val="24"/>
          <w:szCs w:val="24"/>
          <w:highlight w:val="none"/>
        </w:rPr>
        <w:t>述不一致或者有明显文字和计算错误等内容作必要的澄清、说明或者补正。该要求应当采用书面形式，并由评标委员会成员签字。评标委员会不接受投标人</w:t>
      </w:r>
      <w:r>
        <w:rPr>
          <w:rFonts w:ascii="宋体" w:hAnsi="宋体" w:eastAsia="宋体" w:cs="宋体"/>
          <w:spacing w:val="-2"/>
          <w:sz w:val="24"/>
          <w:szCs w:val="24"/>
          <w:highlight w:val="none"/>
        </w:rPr>
        <w:t>主动提出的澄清、说明或者补正。</w:t>
      </w:r>
    </w:p>
    <w:p w14:paraId="7E92E52A">
      <w:pPr>
        <w:spacing w:line="330" w:lineRule="auto"/>
        <w:outlineLvl w:val="9"/>
        <w:rPr>
          <w:rFonts w:ascii="宋体" w:hAnsi="宋体" w:eastAsia="宋体" w:cs="宋体"/>
          <w:sz w:val="24"/>
          <w:szCs w:val="24"/>
          <w:highlight w:val="none"/>
        </w:rPr>
        <w:sectPr>
          <w:footerReference r:id="rId25" w:type="default"/>
          <w:pgSz w:w="11850" w:h="16781"/>
          <w:pgMar w:top="1426" w:right="1777" w:bottom="1011" w:left="1777" w:header="0" w:footer="766" w:gutter="0"/>
          <w:pgNumType w:fmt="decimal"/>
          <w:cols w:space="720" w:num="1"/>
        </w:sectPr>
      </w:pPr>
    </w:p>
    <w:p w14:paraId="2388084F">
      <w:pPr>
        <w:spacing w:before="50" w:line="329" w:lineRule="auto"/>
        <w:ind w:left="32" w:right="98" w:firstLine="486"/>
        <w:outlineLvl w:val="9"/>
        <w:rPr>
          <w:rFonts w:ascii="宋体" w:hAnsi="宋体" w:eastAsia="宋体" w:cs="宋体"/>
          <w:sz w:val="24"/>
          <w:szCs w:val="24"/>
          <w:highlight w:val="none"/>
        </w:rPr>
      </w:pPr>
      <w:r>
        <w:rPr>
          <w:rFonts w:ascii="宋体" w:hAnsi="宋体" w:eastAsia="宋体" w:cs="宋体"/>
          <w:spacing w:val="-4"/>
          <w:sz w:val="24"/>
          <w:szCs w:val="24"/>
          <w:highlight w:val="none"/>
        </w:rPr>
        <w:t>24.2投标人必须按照评标委员会通知的内容和时间做出书面答复，该答复</w:t>
      </w:r>
      <w:r>
        <w:rPr>
          <w:rFonts w:ascii="宋体" w:hAnsi="宋体" w:eastAsia="宋体" w:cs="宋体"/>
          <w:spacing w:val="-1"/>
          <w:sz w:val="24"/>
          <w:szCs w:val="24"/>
          <w:highlight w:val="none"/>
        </w:rPr>
        <w:t>经法定代表人或授权代理人的签字认可，将作为投标文件内容的一部分。澄清、说明或者补正不得超出投标文件的范围或者改变投标文件的实质性内容。投</w:t>
      </w:r>
      <w:r>
        <w:rPr>
          <w:rFonts w:ascii="宋体" w:hAnsi="宋体" w:eastAsia="宋体" w:cs="宋体"/>
          <w:sz w:val="24"/>
          <w:szCs w:val="24"/>
          <w:highlight w:val="none"/>
        </w:rPr>
        <w:t>标人拒不按照要求对投标文件进行澄清、说明或者补正的，评标委员会可拒绝</w:t>
      </w:r>
      <w:r>
        <w:rPr>
          <w:rFonts w:ascii="宋体" w:hAnsi="宋体" w:eastAsia="宋体" w:cs="宋体"/>
          <w:spacing w:val="-3"/>
          <w:sz w:val="24"/>
          <w:szCs w:val="24"/>
          <w:highlight w:val="none"/>
        </w:rPr>
        <w:t>该投标。</w:t>
      </w:r>
    </w:p>
    <w:p w14:paraId="66831E6D">
      <w:pPr>
        <w:spacing w:before="1" w:line="256" w:lineRule="auto"/>
        <w:ind w:left="30" w:right="95" w:firstLine="3"/>
        <w:outlineLvl w:val="9"/>
        <w:rPr>
          <w:rFonts w:ascii="宋体" w:hAnsi="宋体" w:eastAsia="宋体" w:cs="宋体"/>
          <w:sz w:val="24"/>
          <w:szCs w:val="24"/>
          <w:highlight w:val="none"/>
        </w:rPr>
      </w:pPr>
      <w:r>
        <w:rPr>
          <w:rFonts w:ascii="宋体" w:hAnsi="宋体" w:eastAsia="宋体" w:cs="宋体"/>
          <w:spacing w:val="-4"/>
          <w:sz w:val="24"/>
          <w:szCs w:val="24"/>
          <w:highlight w:val="none"/>
        </w:rPr>
        <w:t>24.3如评标委员会一致认为某个投标人的报价明显不合理，有降低质量、不能</w:t>
      </w:r>
      <w:r>
        <w:rPr>
          <w:rFonts w:ascii="宋体" w:hAnsi="宋体" w:eastAsia="宋体" w:cs="宋体"/>
          <w:spacing w:val="-1"/>
          <w:sz w:val="24"/>
          <w:szCs w:val="24"/>
          <w:highlight w:val="none"/>
        </w:rPr>
        <w:t>诚信履行的可能时，评标委员会有权决定是否通知投标人限期进行书面解释或提供相关证明材料。若已要求，而该投标人在规定期限内未做出解释、作出的</w:t>
      </w:r>
      <w:r>
        <w:rPr>
          <w:rFonts w:ascii="宋体" w:hAnsi="宋体" w:eastAsia="宋体" w:cs="宋体"/>
          <w:sz w:val="24"/>
          <w:szCs w:val="24"/>
          <w:highlight w:val="none"/>
        </w:rPr>
        <w:t>解释不合理或不能提供证明材料的，经评标委员会取得一致意见后，可拒绝该</w:t>
      </w:r>
      <w:r>
        <w:rPr>
          <w:rFonts w:ascii="宋体" w:hAnsi="宋体" w:eastAsia="宋体" w:cs="宋体"/>
          <w:spacing w:val="-3"/>
          <w:sz w:val="24"/>
          <w:szCs w:val="24"/>
          <w:highlight w:val="none"/>
        </w:rPr>
        <w:t>投标。</w:t>
      </w:r>
    </w:p>
    <w:p w14:paraId="11969AC0">
      <w:pPr>
        <w:spacing w:before="50" w:line="220" w:lineRule="auto"/>
        <w:ind w:left="34"/>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25.详细评审</w:t>
      </w:r>
    </w:p>
    <w:p w14:paraId="3EBFCDD9">
      <w:pPr>
        <w:spacing w:before="213" w:line="318" w:lineRule="auto"/>
        <w:ind w:left="32" w:right="117" w:firstLine="487"/>
        <w:outlineLvl w:val="9"/>
        <w:rPr>
          <w:rFonts w:ascii="宋体" w:hAnsi="宋体" w:eastAsia="宋体" w:cs="宋体"/>
          <w:sz w:val="24"/>
          <w:szCs w:val="24"/>
          <w:highlight w:val="none"/>
        </w:rPr>
      </w:pPr>
      <w:r>
        <w:rPr>
          <w:rFonts w:ascii="宋体" w:hAnsi="宋体" w:eastAsia="宋体" w:cs="宋体"/>
          <w:spacing w:val="-3"/>
          <w:sz w:val="24"/>
          <w:szCs w:val="24"/>
          <w:highlight w:val="none"/>
        </w:rPr>
        <w:t>25.1评标委员会只对实质上响应招标文件的投标进行评价和比较；评审应严格按照招标文件第二部分“投标人须知前附表”中规定以及招标文件的要求</w:t>
      </w:r>
      <w:r>
        <w:rPr>
          <w:rFonts w:ascii="宋体" w:hAnsi="宋体" w:eastAsia="宋体" w:cs="宋体"/>
          <w:spacing w:val="-1"/>
          <w:sz w:val="24"/>
          <w:szCs w:val="24"/>
          <w:highlight w:val="none"/>
        </w:rPr>
        <w:t>进行。具体要求等详见招标文件第四部分“评审方法”。</w:t>
      </w:r>
    </w:p>
    <w:p w14:paraId="57EA442C">
      <w:pPr>
        <w:spacing w:before="181" w:line="319" w:lineRule="auto"/>
        <w:ind w:left="30" w:right="93" w:firstLine="488"/>
        <w:outlineLvl w:val="9"/>
        <w:rPr>
          <w:rFonts w:ascii="宋体" w:hAnsi="宋体" w:eastAsia="宋体" w:cs="宋体"/>
          <w:sz w:val="24"/>
          <w:szCs w:val="24"/>
          <w:highlight w:val="none"/>
        </w:rPr>
      </w:pPr>
      <w:r>
        <w:rPr>
          <w:rFonts w:ascii="宋体" w:hAnsi="宋体" w:eastAsia="宋体" w:cs="宋体"/>
          <w:spacing w:val="-3"/>
          <w:sz w:val="24"/>
          <w:szCs w:val="24"/>
          <w:highlight w:val="none"/>
        </w:rPr>
        <w:t>25.2评标委员会依法独立评审，严格遵守评审工作纪律。对需要共同认定</w:t>
      </w:r>
      <w:r>
        <w:rPr>
          <w:rFonts w:ascii="宋体" w:hAnsi="宋体" w:eastAsia="宋体" w:cs="宋体"/>
          <w:spacing w:val="-1"/>
          <w:sz w:val="24"/>
          <w:szCs w:val="24"/>
          <w:highlight w:val="none"/>
        </w:rPr>
        <w:t>的事项存在争议的，按照少数服从多数的原则作出评审结论。持不同意见的评</w:t>
      </w:r>
      <w:r>
        <w:rPr>
          <w:rFonts w:ascii="宋体" w:hAnsi="宋体" w:eastAsia="宋体" w:cs="宋体"/>
          <w:sz w:val="24"/>
          <w:szCs w:val="24"/>
          <w:highlight w:val="none"/>
        </w:rPr>
        <w:t>标委员会成员应当在评标报告上签署不同意见并说明理由，不签署不同意见的</w:t>
      </w:r>
      <w:r>
        <w:rPr>
          <w:rFonts w:ascii="宋体" w:hAnsi="宋体" w:eastAsia="宋体" w:cs="宋体"/>
          <w:spacing w:val="-2"/>
          <w:sz w:val="24"/>
          <w:szCs w:val="24"/>
          <w:highlight w:val="none"/>
        </w:rPr>
        <w:t>视为同意。</w:t>
      </w:r>
    </w:p>
    <w:p w14:paraId="369E0505">
      <w:pPr>
        <w:spacing w:before="167" w:line="220" w:lineRule="auto"/>
        <w:ind w:left="39"/>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26.确定中标人</w:t>
      </w:r>
    </w:p>
    <w:p w14:paraId="36118F31">
      <w:pPr>
        <w:spacing w:before="186" w:line="219" w:lineRule="auto"/>
        <w:ind w:left="521"/>
        <w:outlineLvl w:val="9"/>
        <w:rPr>
          <w:rFonts w:ascii="宋体" w:hAnsi="宋体" w:eastAsia="宋体" w:cs="宋体"/>
          <w:sz w:val="24"/>
          <w:szCs w:val="24"/>
          <w:highlight w:val="none"/>
        </w:rPr>
      </w:pPr>
      <w:r>
        <w:rPr>
          <w:rFonts w:ascii="宋体" w:hAnsi="宋体" w:eastAsia="宋体" w:cs="宋体"/>
          <w:sz w:val="24"/>
          <w:szCs w:val="24"/>
          <w:highlight w:val="none"/>
        </w:rPr>
        <w:t>26.1评标委员会根据评审结果及招标文件的规定确定中标候选人。</w:t>
      </w:r>
    </w:p>
    <w:p w14:paraId="0B4F3FB5">
      <w:pPr>
        <w:spacing w:before="196" w:line="220" w:lineRule="auto"/>
        <w:ind w:left="39"/>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27.评标过程要求</w:t>
      </w:r>
    </w:p>
    <w:p w14:paraId="5CB6EBA5">
      <w:pPr>
        <w:spacing w:before="210" w:line="294" w:lineRule="auto"/>
        <w:ind w:left="63" w:right="115" w:firstLine="455"/>
        <w:outlineLvl w:val="9"/>
        <w:rPr>
          <w:rFonts w:ascii="宋体" w:hAnsi="宋体" w:eastAsia="宋体" w:cs="宋体"/>
          <w:sz w:val="24"/>
          <w:szCs w:val="24"/>
          <w:highlight w:val="none"/>
        </w:rPr>
      </w:pPr>
      <w:r>
        <w:rPr>
          <w:rFonts w:ascii="宋体" w:hAnsi="宋体" w:eastAsia="宋体" w:cs="宋体"/>
          <w:spacing w:val="-4"/>
          <w:sz w:val="24"/>
          <w:szCs w:val="24"/>
          <w:highlight w:val="none"/>
        </w:rPr>
        <w:t>27.1开标之后，直到签订合同止，凡是属于审查、澄清、评价和比较投标</w:t>
      </w:r>
      <w:r>
        <w:rPr>
          <w:rFonts w:ascii="宋体" w:hAnsi="宋体" w:eastAsia="宋体" w:cs="宋体"/>
          <w:spacing w:val="-2"/>
          <w:sz w:val="24"/>
          <w:szCs w:val="24"/>
          <w:highlight w:val="none"/>
        </w:rPr>
        <w:t>的有关资料以及定标意向等，均不向投标人或者其他与评标无</w:t>
      </w:r>
      <w:r>
        <w:rPr>
          <w:rFonts w:ascii="宋体" w:hAnsi="宋体" w:eastAsia="宋体" w:cs="宋体"/>
          <w:spacing w:val="-3"/>
          <w:sz w:val="24"/>
          <w:szCs w:val="24"/>
          <w:highlight w:val="none"/>
        </w:rPr>
        <w:t>关的人员透露。</w:t>
      </w:r>
    </w:p>
    <w:p w14:paraId="02364E97">
      <w:pPr>
        <w:spacing w:before="185" w:line="295" w:lineRule="auto"/>
        <w:ind w:left="45" w:right="93" w:firstLine="474"/>
        <w:outlineLvl w:val="9"/>
        <w:rPr>
          <w:rFonts w:ascii="宋体" w:hAnsi="宋体" w:eastAsia="宋体" w:cs="宋体"/>
          <w:sz w:val="24"/>
          <w:szCs w:val="24"/>
          <w:highlight w:val="none"/>
        </w:rPr>
      </w:pPr>
      <w:r>
        <w:rPr>
          <w:rFonts w:ascii="宋体" w:hAnsi="宋体" w:eastAsia="宋体" w:cs="宋体"/>
          <w:spacing w:val="-3"/>
          <w:sz w:val="24"/>
          <w:szCs w:val="24"/>
          <w:highlight w:val="none"/>
        </w:rPr>
        <w:t>27.2在确定中标人之前，投标人试图在投标文件审查、澄清、比较和评标</w:t>
      </w:r>
      <w:r>
        <w:rPr>
          <w:rFonts w:ascii="宋体" w:hAnsi="宋体" w:eastAsia="宋体" w:cs="宋体"/>
          <w:sz w:val="24"/>
          <w:szCs w:val="24"/>
          <w:highlight w:val="none"/>
        </w:rPr>
        <w:t>时对评标委员会、采购人和采购代理机构施加任何影响都可能导致</w:t>
      </w:r>
      <w:r>
        <w:rPr>
          <w:rFonts w:ascii="宋体" w:hAnsi="宋体" w:eastAsia="宋体" w:cs="宋体"/>
          <w:spacing w:val="-1"/>
          <w:sz w:val="24"/>
          <w:szCs w:val="24"/>
          <w:highlight w:val="none"/>
        </w:rPr>
        <w:t>其投标无效</w:t>
      </w:r>
    </w:p>
    <w:p w14:paraId="72F901D7">
      <w:pPr>
        <w:spacing w:before="148" w:line="121" w:lineRule="exact"/>
        <w:ind w:left="57"/>
        <w:outlineLvl w:val="9"/>
        <w:rPr>
          <w:rFonts w:ascii="宋体" w:hAnsi="宋体" w:eastAsia="宋体" w:cs="宋体"/>
          <w:sz w:val="24"/>
          <w:szCs w:val="24"/>
          <w:highlight w:val="none"/>
        </w:rPr>
      </w:pPr>
      <w:r>
        <w:rPr>
          <w:rFonts w:ascii="宋体" w:hAnsi="宋体" w:eastAsia="宋体" w:cs="宋体"/>
          <w:position w:val="1"/>
          <w:sz w:val="24"/>
          <w:szCs w:val="24"/>
          <w:highlight w:val="none"/>
        </w:rPr>
        <w:t>。</w:t>
      </w:r>
    </w:p>
    <w:p w14:paraId="38267CC6">
      <w:pPr>
        <w:spacing w:before="279" w:line="219" w:lineRule="auto"/>
        <w:ind w:left="39"/>
        <w:outlineLvl w:val="9"/>
        <w:rPr>
          <w:rFonts w:ascii="宋体" w:hAnsi="宋体" w:eastAsia="宋体" w:cs="宋体"/>
          <w:sz w:val="24"/>
          <w:szCs w:val="24"/>
          <w:highlight w:val="none"/>
        </w:rPr>
      </w:pPr>
      <w:r>
        <w:rPr>
          <w:rFonts w:ascii="宋体" w:hAnsi="宋体" w:eastAsia="宋体" w:cs="宋体"/>
          <w:b/>
          <w:bCs/>
          <w:spacing w:val="-5"/>
          <w:sz w:val="24"/>
          <w:szCs w:val="24"/>
          <w:highlight w:val="none"/>
        </w:rPr>
        <w:t>28.投标人瑕疵滞后发现的处理规则</w:t>
      </w:r>
    </w:p>
    <w:p w14:paraId="1EAD2B6B">
      <w:pPr>
        <w:spacing w:before="212" w:line="367" w:lineRule="auto"/>
        <w:ind w:left="32" w:right="79" w:firstLine="486"/>
        <w:jc w:val="both"/>
        <w:outlineLvl w:val="9"/>
        <w:rPr>
          <w:rFonts w:ascii="宋体" w:hAnsi="宋体" w:eastAsia="宋体" w:cs="宋体"/>
          <w:sz w:val="24"/>
          <w:szCs w:val="24"/>
          <w:highlight w:val="none"/>
        </w:rPr>
      </w:pPr>
      <w:r>
        <w:rPr>
          <w:rFonts w:ascii="宋体" w:hAnsi="宋体" w:eastAsia="宋体" w:cs="宋体"/>
          <w:spacing w:val="-2"/>
          <w:sz w:val="24"/>
          <w:szCs w:val="24"/>
          <w:highlight w:val="none"/>
        </w:rPr>
        <w:t>28.1无论基于何种原因，各项本应作拒</w:t>
      </w:r>
      <w:r>
        <w:rPr>
          <w:rFonts w:ascii="宋体" w:hAnsi="宋体" w:eastAsia="宋体" w:cs="宋体"/>
          <w:spacing w:val="-3"/>
          <w:sz w:val="24"/>
          <w:szCs w:val="24"/>
          <w:highlight w:val="none"/>
        </w:rPr>
        <w:t>绝处理的情形即便未被及时发现而</w:t>
      </w:r>
      <w:r>
        <w:rPr>
          <w:rFonts w:ascii="宋体" w:hAnsi="宋体" w:eastAsia="宋体" w:cs="宋体"/>
          <w:spacing w:val="1"/>
          <w:sz w:val="24"/>
          <w:szCs w:val="24"/>
          <w:highlight w:val="none"/>
        </w:rPr>
        <w:t>使该投标人进入初审、综合评审或其他后续程序，</w:t>
      </w:r>
      <w:r>
        <w:rPr>
          <w:rFonts w:ascii="宋体" w:hAnsi="宋体" w:eastAsia="宋体" w:cs="宋体"/>
          <w:sz w:val="24"/>
          <w:szCs w:val="24"/>
          <w:highlight w:val="none"/>
        </w:rPr>
        <w:t>包括已经签订合同的情形，</w:t>
      </w:r>
      <w:r>
        <w:rPr>
          <w:rFonts w:ascii="宋体" w:hAnsi="宋体" w:eastAsia="宋体" w:cs="宋体"/>
          <w:spacing w:val="1"/>
          <w:sz w:val="24"/>
          <w:szCs w:val="24"/>
          <w:highlight w:val="none"/>
        </w:rPr>
        <w:t>一旦投标人被拒绝或该投标人的此前评议结</w:t>
      </w:r>
      <w:r>
        <w:rPr>
          <w:rFonts w:ascii="宋体" w:hAnsi="宋体" w:eastAsia="宋体" w:cs="宋体"/>
          <w:sz w:val="24"/>
          <w:szCs w:val="24"/>
          <w:highlight w:val="none"/>
        </w:rPr>
        <w:t>果被取消，其现有的位置将被其他</w:t>
      </w:r>
      <w:r>
        <w:rPr>
          <w:rFonts w:ascii="宋体" w:hAnsi="宋体" w:eastAsia="宋体" w:cs="宋体"/>
          <w:spacing w:val="-1"/>
          <w:sz w:val="24"/>
          <w:szCs w:val="24"/>
          <w:highlight w:val="none"/>
        </w:rPr>
        <w:t>投标人依序替代，相关的一切损失均由该投标人承担。</w:t>
      </w:r>
    </w:p>
    <w:p w14:paraId="637F5B82">
      <w:pPr>
        <w:spacing w:line="367" w:lineRule="auto"/>
        <w:outlineLvl w:val="9"/>
        <w:rPr>
          <w:rFonts w:ascii="宋体" w:hAnsi="宋体" w:eastAsia="宋体" w:cs="宋体"/>
          <w:sz w:val="24"/>
          <w:szCs w:val="24"/>
          <w:highlight w:val="none"/>
        </w:rPr>
        <w:sectPr>
          <w:footerReference r:id="rId26" w:type="default"/>
          <w:pgSz w:w="11850" w:h="16781"/>
          <w:pgMar w:top="1426" w:right="1777" w:bottom="1011" w:left="1777" w:header="0" w:footer="766" w:gutter="0"/>
          <w:pgNumType w:fmt="decimal"/>
          <w:cols w:space="720" w:num="1"/>
        </w:sectPr>
      </w:pPr>
    </w:p>
    <w:p w14:paraId="21A1980A">
      <w:pPr>
        <w:pStyle w:val="2"/>
        <w:spacing w:line="242" w:lineRule="auto"/>
        <w:outlineLvl w:val="9"/>
        <w:rPr>
          <w:highlight w:val="none"/>
        </w:rPr>
      </w:pPr>
    </w:p>
    <w:p w14:paraId="5F91FBEC">
      <w:pPr>
        <w:pStyle w:val="2"/>
        <w:spacing w:line="242" w:lineRule="auto"/>
        <w:outlineLvl w:val="9"/>
        <w:rPr>
          <w:highlight w:val="none"/>
        </w:rPr>
      </w:pPr>
    </w:p>
    <w:p w14:paraId="4E497A1D">
      <w:pPr>
        <w:pStyle w:val="2"/>
        <w:spacing w:line="242" w:lineRule="auto"/>
        <w:outlineLvl w:val="9"/>
        <w:rPr>
          <w:highlight w:val="none"/>
        </w:rPr>
      </w:pPr>
    </w:p>
    <w:p w14:paraId="5DA28F40">
      <w:pPr>
        <w:pStyle w:val="2"/>
        <w:spacing w:line="242" w:lineRule="auto"/>
        <w:outlineLvl w:val="9"/>
        <w:rPr>
          <w:highlight w:val="none"/>
        </w:rPr>
      </w:pPr>
    </w:p>
    <w:p w14:paraId="4FEFAB65">
      <w:pPr>
        <w:spacing w:before="78" w:line="219" w:lineRule="auto"/>
        <w:ind w:left="39"/>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29.采购项目废标</w:t>
      </w:r>
    </w:p>
    <w:p w14:paraId="227C13E4">
      <w:pPr>
        <w:spacing w:before="190" w:line="230" w:lineRule="auto"/>
        <w:ind w:left="8068" w:right="292" w:hanging="7995"/>
        <w:outlineLvl w:val="9"/>
        <w:rPr>
          <w:rFonts w:ascii="宋体" w:hAnsi="宋体" w:eastAsia="宋体" w:cs="宋体"/>
          <w:sz w:val="24"/>
          <w:szCs w:val="24"/>
          <w:highlight w:val="none"/>
        </w:rPr>
      </w:pPr>
      <w:r>
        <w:rPr>
          <w:rFonts w:ascii="宋体" w:hAnsi="宋体" w:eastAsia="宋体" w:cs="宋体"/>
          <w:spacing w:val="-7"/>
          <w:sz w:val="24"/>
          <w:szCs w:val="24"/>
          <w:highlight w:val="none"/>
        </w:rPr>
        <w:t>29.1在评标过程中，评标委员会发现有下列情形之一的，应对采购项目予</w:t>
      </w:r>
      <w:r>
        <w:rPr>
          <w:rFonts w:ascii="宋体" w:hAnsi="宋体" w:eastAsia="宋体" w:cs="宋体"/>
          <w:spacing w:val="-8"/>
          <w:sz w:val="24"/>
          <w:szCs w:val="24"/>
          <w:highlight w:val="none"/>
        </w:rPr>
        <w:t>以废标</w:t>
      </w:r>
      <w:r>
        <w:rPr>
          <w:rFonts w:ascii="宋体" w:hAnsi="宋体" w:eastAsia="宋体" w:cs="宋体"/>
          <w:sz w:val="24"/>
          <w:szCs w:val="24"/>
          <w:highlight w:val="none"/>
        </w:rPr>
        <w:t>:</w:t>
      </w:r>
    </w:p>
    <w:p w14:paraId="6268C9CF">
      <w:pPr>
        <w:spacing w:before="183" w:line="294" w:lineRule="auto"/>
        <w:ind w:left="51" w:right="426" w:firstLine="499"/>
        <w:outlineLvl w:val="9"/>
        <w:rPr>
          <w:rFonts w:ascii="宋体" w:hAnsi="宋体" w:eastAsia="宋体" w:cs="宋体"/>
          <w:sz w:val="24"/>
          <w:szCs w:val="24"/>
          <w:highlight w:val="none"/>
        </w:rPr>
      </w:pPr>
      <w:r>
        <w:rPr>
          <w:rFonts w:ascii="宋体" w:hAnsi="宋体" w:eastAsia="宋体" w:cs="宋体"/>
          <w:spacing w:val="1"/>
          <w:sz w:val="24"/>
          <w:szCs w:val="24"/>
          <w:highlight w:val="none"/>
        </w:rPr>
        <w:t>1）符合专业条件的投标人或者对招标文件作实质响应的投标人数量不足</w:t>
      </w:r>
      <w:r>
        <w:rPr>
          <w:rFonts w:ascii="宋体" w:hAnsi="宋体" w:eastAsia="宋体" w:cs="宋体"/>
          <w:spacing w:val="-7"/>
          <w:sz w:val="24"/>
          <w:szCs w:val="24"/>
          <w:highlight w:val="none"/>
        </w:rPr>
        <w:t>,导致进入详细评审、打分阶段的投标人不足3家的；</w:t>
      </w:r>
    </w:p>
    <w:p w14:paraId="0972BB6D">
      <w:pPr>
        <w:spacing w:before="168" w:line="218" w:lineRule="auto"/>
        <w:ind w:left="519"/>
        <w:outlineLvl w:val="9"/>
        <w:rPr>
          <w:rFonts w:ascii="宋体" w:hAnsi="宋体" w:eastAsia="宋体" w:cs="宋体"/>
          <w:sz w:val="24"/>
          <w:szCs w:val="24"/>
          <w:highlight w:val="none"/>
        </w:rPr>
      </w:pPr>
      <w:r>
        <w:rPr>
          <w:rFonts w:ascii="宋体" w:hAnsi="宋体" w:eastAsia="宋体" w:cs="宋体"/>
          <w:spacing w:val="-1"/>
          <w:sz w:val="24"/>
          <w:szCs w:val="24"/>
          <w:highlight w:val="none"/>
        </w:rPr>
        <w:t>2）投标人的报价均超过了采购预算；</w:t>
      </w:r>
    </w:p>
    <w:p w14:paraId="1B0F5BD8">
      <w:pPr>
        <w:spacing w:before="191" w:line="219" w:lineRule="auto"/>
        <w:ind w:left="521"/>
        <w:outlineLvl w:val="9"/>
        <w:rPr>
          <w:rFonts w:ascii="宋体" w:hAnsi="宋体" w:eastAsia="宋体" w:cs="宋体"/>
          <w:sz w:val="24"/>
          <w:szCs w:val="24"/>
          <w:highlight w:val="none"/>
        </w:rPr>
      </w:pPr>
      <w:r>
        <w:rPr>
          <w:rFonts w:ascii="宋体" w:hAnsi="宋体" w:eastAsia="宋体" w:cs="宋体"/>
          <w:spacing w:val="-1"/>
          <w:sz w:val="24"/>
          <w:szCs w:val="24"/>
          <w:highlight w:val="none"/>
        </w:rPr>
        <w:t>3）出现影响采购公正的违法、违规行为的；</w:t>
      </w:r>
    </w:p>
    <w:p w14:paraId="1154A050">
      <w:pPr>
        <w:spacing w:before="193" w:line="219" w:lineRule="auto"/>
        <w:ind w:left="510"/>
        <w:outlineLvl w:val="9"/>
        <w:rPr>
          <w:rFonts w:ascii="宋体" w:hAnsi="宋体" w:eastAsia="宋体" w:cs="宋体"/>
          <w:sz w:val="24"/>
          <w:szCs w:val="24"/>
          <w:highlight w:val="none"/>
        </w:rPr>
      </w:pPr>
      <w:r>
        <w:rPr>
          <w:rFonts w:ascii="宋体" w:hAnsi="宋体" w:eastAsia="宋体" w:cs="宋体"/>
          <w:spacing w:val="-1"/>
          <w:sz w:val="24"/>
          <w:szCs w:val="24"/>
          <w:highlight w:val="none"/>
        </w:rPr>
        <w:t>4）因重大变故，采购任务取消的。</w:t>
      </w:r>
    </w:p>
    <w:p w14:paraId="4CA00EF3">
      <w:pPr>
        <w:spacing w:before="20" w:line="349" w:lineRule="auto"/>
        <w:ind w:left="29" w:right="424" w:firstLine="16"/>
        <w:outlineLvl w:val="9"/>
        <w:rPr>
          <w:rFonts w:ascii="宋体" w:hAnsi="宋体" w:eastAsia="宋体" w:cs="宋体"/>
          <w:sz w:val="24"/>
          <w:szCs w:val="24"/>
          <w:highlight w:val="none"/>
        </w:rPr>
      </w:pPr>
      <w:r>
        <w:rPr>
          <w:rFonts w:ascii="宋体" w:hAnsi="宋体" w:eastAsia="宋体" w:cs="宋体"/>
          <w:spacing w:val="-2"/>
          <w:sz w:val="24"/>
          <w:szCs w:val="24"/>
          <w:highlight w:val="none"/>
        </w:rPr>
        <w:t>除前款第四项规定的情形外，项目废标后，如未变更采购方式，采购代理机构将依法重新组织招标。</w:t>
      </w:r>
    </w:p>
    <w:p w14:paraId="1DC0F809">
      <w:pPr>
        <w:spacing w:before="52" w:line="222" w:lineRule="auto"/>
        <w:ind w:left="175"/>
        <w:outlineLvl w:val="9"/>
        <w:rPr>
          <w:rFonts w:ascii="黑体" w:hAnsi="黑体" w:eastAsia="黑体" w:cs="黑体"/>
          <w:sz w:val="24"/>
          <w:szCs w:val="24"/>
          <w:highlight w:val="none"/>
        </w:rPr>
      </w:pPr>
      <w:r>
        <w:rPr>
          <w:rFonts w:ascii="黑体" w:hAnsi="黑体" w:eastAsia="黑体" w:cs="黑体"/>
          <w:b/>
          <w:bCs/>
          <w:spacing w:val="-5"/>
          <w:sz w:val="24"/>
          <w:szCs w:val="24"/>
          <w:highlight w:val="none"/>
        </w:rPr>
        <w:t>八、履约保证金</w:t>
      </w:r>
    </w:p>
    <w:p w14:paraId="2ED192E3">
      <w:pPr>
        <w:spacing w:before="165" w:line="219" w:lineRule="auto"/>
        <w:ind w:left="185"/>
        <w:outlineLvl w:val="9"/>
        <w:rPr>
          <w:rFonts w:ascii="宋体" w:hAnsi="宋体" w:eastAsia="宋体" w:cs="宋体"/>
          <w:sz w:val="24"/>
          <w:szCs w:val="24"/>
          <w:highlight w:val="none"/>
        </w:rPr>
      </w:pPr>
      <w:r>
        <w:rPr>
          <w:rFonts w:ascii="宋体" w:hAnsi="宋体" w:eastAsia="宋体" w:cs="宋体"/>
          <w:b/>
          <w:bCs/>
          <w:spacing w:val="-3"/>
          <w:sz w:val="24"/>
          <w:szCs w:val="24"/>
          <w:highlight w:val="none"/>
        </w:rPr>
        <w:t>30.履约保证金：</w:t>
      </w:r>
      <w:r>
        <w:rPr>
          <w:rFonts w:ascii="宋体" w:hAnsi="宋体" w:eastAsia="宋体" w:cs="宋体"/>
          <w:spacing w:val="-3"/>
          <w:sz w:val="24"/>
          <w:szCs w:val="24"/>
          <w:highlight w:val="none"/>
        </w:rPr>
        <w:t>见投标须知前附表</w:t>
      </w:r>
    </w:p>
    <w:p w14:paraId="439AC6F2">
      <w:pPr>
        <w:pStyle w:val="2"/>
        <w:spacing w:line="281" w:lineRule="auto"/>
        <w:outlineLvl w:val="9"/>
        <w:rPr>
          <w:highlight w:val="none"/>
        </w:rPr>
      </w:pPr>
    </w:p>
    <w:p w14:paraId="0BF2AFAE">
      <w:pPr>
        <w:spacing w:before="79" w:line="221" w:lineRule="auto"/>
        <w:ind w:left="186"/>
        <w:outlineLvl w:val="9"/>
        <w:rPr>
          <w:rFonts w:ascii="黑体" w:hAnsi="黑体" w:eastAsia="黑体" w:cs="黑体"/>
          <w:sz w:val="24"/>
          <w:szCs w:val="24"/>
          <w:highlight w:val="none"/>
        </w:rPr>
      </w:pPr>
      <w:r>
        <w:rPr>
          <w:rFonts w:ascii="黑体" w:hAnsi="黑体" w:eastAsia="黑体" w:cs="黑体"/>
          <w:b/>
          <w:bCs/>
          <w:spacing w:val="-7"/>
          <w:sz w:val="24"/>
          <w:szCs w:val="24"/>
          <w:highlight w:val="none"/>
        </w:rPr>
        <w:t>九、代理服务费</w:t>
      </w:r>
    </w:p>
    <w:p w14:paraId="6426665F">
      <w:pPr>
        <w:spacing w:before="167" w:line="219" w:lineRule="auto"/>
        <w:ind w:left="185"/>
        <w:outlineLvl w:val="9"/>
        <w:rPr>
          <w:rFonts w:ascii="宋体" w:hAnsi="宋体" w:eastAsia="宋体" w:cs="宋体"/>
          <w:sz w:val="24"/>
          <w:szCs w:val="24"/>
          <w:highlight w:val="none"/>
        </w:rPr>
      </w:pPr>
      <w:r>
        <w:rPr>
          <w:rFonts w:ascii="宋体" w:hAnsi="宋体" w:eastAsia="宋体" w:cs="宋体"/>
          <w:b/>
          <w:bCs/>
          <w:spacing w:val="-7"/>
          <w:sz w:val="24"/>
          <w:szCs w:val="24"/>
          <w:highlight w:val="none"/>
        </w:rPr>
        <w:t>31.代理服务费</w:t>
      </w:r>
    </w:p>
    <w:p w14:paraId="77A21508">
      <w:pPr>
        <w:spacing w:before="211" w:line="349" w:lineRule="auto"/>
        <w:ind w:left="200" w:right="481" w:firstLine="457"/>
        <w:outlineLvl w:val="9"/>
        <w:rPr>
          <w:rFonts w:ascii="宋体" w:hAnsi="宋体" w:eastAsia="宋体" w:cs="宋体"/>
          <w:sz w:val="24"/>
          <w:szCs w:val="24"/>
          <w:highlight w:val="none"/>
        </w:rPr>
      </w:pPr>
      <w:r>
        <w:rPr>
          <w:rFonts w:ascii="宋体" w:hAnsi="宋体" w:eastAsia="宋体" w:cs="宋体"/>
          <w:spacing w:val="-4"/>
          <w:sz w:val="24"/>
          <w:szCs w:val="24"/>
          <w:highlight w:val="none"/>
        </w:rPr>
        <w:t>31.1代理服务费按照招标文件第二部分“</w:t>
      </w:r>
      <w:r>
        <w:rPr>
          <w:rFonts w:ascii="宋体" w:hAnsi="宋体" w:eastAsia="宋体" w:cs="宋体"/>
          <w:spacing w:val="-5"/>
          <w:sz w:val="24"/>
          <w:szCs w:val="24"/>
          <w:highlight w:val="none"/>
        </w:rPr>
        <w:t>投标人须知前附表”中规定由</w:t>
      </w:r>
      <w:r>
        <w:rPr>
          <w:rFonts w:ascii="宋体" w:hAnsi="宋体" w:eastAsia="宋体" w:cs="宋体"/>
          <w:spacing w:val="-2"/>
          <w:sz w:val="24"/>
          <w:szCs w:val="24"/>
          <w:highlight w:val="none"/>
        </w:rPr>
        <w:t>中标人交纳，请投标人在测算投标报价时充分考虑这一因素。</w:t>
      </w:r>
    </w:p>
    <w:p w14:paraId="0ACB5749">
      <w:pPr>
        <w:spacing w:before="1" w:line="207" w:lineRule="auto"/>
        <w:ind w:left="213"/>
        <w:outlineLvl w:val="9"/>
        <w:rPr>
          <w:rFonts w:ascii="宋体" w:hAnsi="宋体" w:eastAsia="宋体" w:cs="宋体"/>
          <w:sz w:val="24"/>
          <w:szCs w:val="24"/>
          <w:highlight w:val="none"/>
        </w:rPr>
      </w:pPr>
      <w:r>
        <w:rPr>
          <w:rFonts w:ascii="宋体" w:hAnsi="宋体" w:eastAsia="宋体" w:cs="宋体"/>
          <w:spacing w:val="-5"/>
          <w:sz w:val="24"/>
          <w:szCs w:val="24"/>
          <w:highlight w:val="none"/>
        </w:rPr>
        <w:t>附:</w:t>
      </w:r>
      <w:r>
        <w:rPr>
          <w:highlight w:val="none"/>
        </w:rPr>
        <w:fldChar w:fldCharType="begin"/>
      </w:r>
      <w:r>
        <w:rPr>
          <w:highlight w:val="none"/>
        </w:rPr>
        <w:instrText xml:space="preserve"> HYPERLINK "http://www.cin.gov.cn/law/other/2003010201.doc" </w:instrText>
      </w:r>
      <w:r>
        <w:rPr>
          <w:highlight w:val="none"/>
        </w:rPr>
        <w:fldChar w:fldCharType="separate"/>
      </w:r>
      <w:r>
        <w:rPr>
          <w:rFonts w:ascii="宋体" w:hAnsi="宋体" w:eastAsia="宋体" w:cs="宋体"/>
          <w:spacing w:val="-5"/>
          <w:sz w:val="24"/>
          <w:szCs w:val="24"/>
          <w:highlight w:val="none"/>
          <w:u w:val="single" w:color="auto"/>
        </w:rPr>
        <w:t>招标代理服务计</w:t>
      </w:r>
      <w:r>
        <w:rPr>
          <w:rFonts w:ascii="宋体" w:hAnsi="宋体" w:eastAsia="宋体" w:cs="宋体"/>
          <w:spacing w:val="-5"/>
          <w:sz w:val="24"/>
          <w:szCs w:val="24"/>
          <w:highlight w:val="none"/>
          <w:u w:val="single" w:color="auto"/>
        </w:rPr>
        <w:fldChar w:fldCharType="end"/>
      </w:r>
      <w:r>
        <w:rPr>
          <w:rFonts w:ascii="宋体" w:hAnsi="宋体" w:eastAsia="宋体" w:cs="宋体"/>
          <w:spacing w:val="-5"/>
          <w:sz w:val="24"/>
          <w:szCs w:val="24"/>
          <w:highlight w:val="none"/>
        </w:rPr>
        <w:t>算方法</w:t>
      </w:r>
    </w:p>
    <w:tbl>
      <w:tblPr>
        <w:tblStyle w:val="10"/>
        <w:tblW w:w="8547" w:type="dxa"/>
        <w:tblInd w:w="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98"/>
        <w:gridCol w:w="1913"/>
        <w:gridCol w:w="1945"/>
        <w:gridCol w:w="1991"/>
      </w:tblGrid>
      <w:tr w14:paraId="2814F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7" w:hRule="atLeast"/>
        </w:trPr>
        <w:tc>
          <w:tcPr>
            <w:tcW w:w="2698" w:type="dxa"/>
            <w:vAlign w:val="top"/>
          </w:tcPr>
          <w:p w14:paraId="3D1FFB8C">
            <w:pPr>
              <w:pStyle w:val="11"/>
              <w:spacing w:before="60" w:line="345" w:lineRule="auto"/>
              <w:ind w:left="192" w:right="154" w:firstLine="1403"/>
              <w:outlineLvl w:val="9"/>
              <w:rPr>
                <w:highlight w:val="none"/>
              </w:rPr>
            </w:pPr>
            <w:r>
              <w:rPr>
                <w:spacing w:val="-5"/>
                <w:highlight w:val="none"/>
              </w:rPr>
              <w:t>服务类型</w:t>
            </w:r>
            <w:r>
              <w:rPr>
                <w:spacing w:val="-12"/>
                <w:highlight w:val="none"/>
              </w:rPr>
              <w:t>中标金额</w:t>
            </w:r>
          </w:p>
        </w:tc>
        <w:tc>
          <w:tcPr>
            <w:tcW w:w="1913" w:type="dxa"/>
            <w:vAlign w:val="top"/>
          </w:tcPr>
          <w:p w14:paraId="5707CE7F">
            <w:pPr>
              <w:spacing w:line="297" w:lineRule="auto"/>
              <w:outlineLvl w:val="9"/>
              <w:rPr>
                <w:rFonts w:ascii="Arial"/>
                <w:sz w:val="21"/>
                <w:highlight w:val="none"/>
              </w:rPr>
            </w:pPr>
          </w:p>
          <w:p w14:paraId="3A565A2A">
            <w:pPr>
              <w:pStyle w:val="11"/>
              <w:spacing w:before="78" w:line="219" w:lineRule="auto"/>
              <w:ind w:left="499"/>
              <w:outlineLvl w:val="9"/>
              <w:rPr>
                <w:highlight w:val="none"/>
              </w:rPr>
            </w:pPr>
            <w:r>
              <w:rPr>
                <w:spacing w:val="-6"/>
                <w:highlight w:val="none"/>
              </w:rPr>
              <w:t>货物招标</w:t>
            </w:r>
          </w:p>
        </w:tc>
        <w:tc>
          <w:tcPr>
            <w:tcW w:w="1945" w:type="dxa"/>
            <w:vAlign w:val="top"/>
          </w:tcPr>
          <w:p w14:paraId="64C76330">
            <w:pPr>
              <w:spacing w:line="298" w:lineRule="auto"/>
              <w:outlineLvl w:val="9"/>
              <w:rPr>
                <w:rFonts w:ascii="Arial"/>
                <w:sz w:val="21"/>
                <w:highlight w:val="none"/>
              </w:rPr>
            </w:pPr>
          </w:p>
          <w:p w14:paraId="796E94CE">
            <w:pPr>
              <w:pStyle w:val="11"/>
              <w:spacing w:before="78" w:line="219" w:lineRule="auto"/>
              <w:ind w:left="507"/>
              <w:outlineLvl w:val="9"/>
              <w:rPr>
                <w:highlight w:val="none"/>
              </w:rPr>
            </w:pPr>
            <w:r>
              <w:rPr>
                <w:spacing w:val="-4"/>
                <w:highlight w:val="none"/>
              </w:rPr>
              <w:t>服务招标</w:t>
            </w:r>
          </w:p>
        </w:tc>
        <w:tc>
          <w:tcPr>
            <w:tcW w:w="1991" w:type="dxa"/>
            <w:vAlign w:val="top"/>
          </w:tcPr>
          <w:p w14:paraId="320F802F">
            <w:pPr>
              <w:spacing w:line="298" w:lineRule="auto"/>
              <w:outlineLvl w:val="9"/>
              <w:rPr>
                <w:rFonts w:ascii="Arial"/>
                <w:sz w:val="21"/>
                <w:highlight w:val="none"/>
              </w:rPr>
            </w:pPr>
          </w:p>
          <w:p w14:paraId="4BDCA6DA">
            <w:pPr>
              <w:pStyle w:val="11"/>
              <w:spacing w:before="78" w:line="220" w:lineRule="auto"/>
              <w:ind w:left="536"/>
              <w:outlineLvl w:val="9"/>
              <w:rPr>
                <w:highlight w:val="none"/>
              </w:rPr>
            </w:pPr>
            <w:r>
              <w:rPr>
                <w:spacing w:val="-5"/>
                <w:highlight w:val="none"/>
              </w:rPr>
              <w:t>工程招标</w:t>
            </w:r>
          </w:p>
        </w:tc>
      </w:tr>
      <w:tr w14:paraId="5A25A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2698" w:type="dxa"/>
            <w:vAlign w:val="top"/>
          </w:tcPr>
          <w:p w14:paraId="3F49E56E">
            <w:pPr>
              <w:pStyle w:val="11"/>
              <w:spacing w:before="212" w:line="220" w:lineRule="auto"/>
              <w:ind w:left="718"/>
              <w:outlineLvl w:val="9"/>
              <w:rPr>
                <w:highlight w:val="none"/>
              </w:rPr>
            </w:pPr>
            <w:r>
              <w:rPr>
                <w:spacing w:val="-10"/>
                <w:highlight w:val="none"/>
              </w:rPr>
              <w:t>100万元以下</w:t>
            </w:r>
          </w:p>
        </w:tc>
        <w:tc>
          <w:tcPr>
            <w:tcW w:w="1913" w:type="dxa"/>
            <w:vAlign w:val="top"/>
          </w:tcPr>
          <w:p w14:paraId="3A4C5F36">
            <w:pPr>
              <w:pStyle w:val="11"/>
              <w:spacing w:before="152" w:line="239" w:lineRule="auto"/>
              <w:ind w:left="765"/>
              <w:outlineLvl w:val="9"/>
              <w:rPr>
                <w:highlight w:val="none"/>
              </w:rPr>
            </w:pPr>
            <w:r>
              <w:rPr>
                <w:spacing w:val="-10"/>
                <w:highlight w:val="none"/>
              </w:rPr>
              <w:t>1.5%</w:t>
            </w:r>
          </w:p>
        </w:tc>
        <w:tc>
          <w:tcPr>
            <w:tcW w:w="1945" w:type="dxa"/>
            <w:vAlign w:val="top"/>
          </w:tcPr>
          <w:p w14:paraId="37F81A66">
            <w:pPr>
              <w:pStyle w:val="11"/>
              <w:spacing w:before="152" w:line="239" w:lineRule="auto"/>
              <w:ind w:left="782"/>
              <w:outlineLvl w:val="9"/>
              <w:rPr>
                <w:highlight w:val="none"/>
              </w:rPr>
            </w:pPr>
            <w:r>
              <w:rPr>
                <w:spacing w:val="-10"/>
                <w:highlight w:val="none"/>
              </w:rPr>
              <w:t>1.5%</w:t>
            </w:r>
          </w:p>
        </w:tc>
        <w:tc>
          <w:tcPr>
            <w:tcW w:w="1991" w:type="dxa"/>
            <w:vAlign w:val="top"/>
          </w:tcPr>
          <w:p w14:paraId="1CBD16B7">
            <w:pPr>
              <w:pStyle w:val="11"/>
              <w:spacing w:before="152" w:line="239" w:lineRule="auto"/>
              <w:ind w:left="805"/>
              <w:outlineLvl w:val="9"/>
              <w:rPr>
                <w:highlight w:val="none"/>
              </w:rPr>
            </w:pPr>
            <w:r>
              <w:rPr>
                <w:spacing w:val="-10"/>
                <w:highlight w:val="none"/>
              </w:rPr>
              <w:t>1.0%</w:t>
            </w:r>
          </w:p>
        </w:tc>
      </w:tr>
      <w:tr w14:paraId="658CB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2698" w:type="dxa"/>
            <w:vAlign w:val="top"/>
          </w:tcPr>
          <w:p w14:paraId="396CC743">
            <w:pPr>
              <w:pStyle w:val="11"/>
              <w:spacing w:before="212" w:line="220" w:lineRule="auto"/>
              <w:ind w:left="718"/>
              <w:outlineLvl w:val="9"/>
              <w:rPr>
                <w:highlight w:val="none"/>
              </w:rPr>
            </w:pPr>
            <w:r>
              <w:rPr>
                <w:spacing w:val="-8"/>
                <w:highlight w:val="none"/>
              </w:rPr>
              <w:t>100-500万元</w:t>
            </w:r>
          </w:p>
        </w:tc>
        <w:tc>
          <w:tcPr>
            <w:tcW w:w="1913" w:type="dxa"/>
            <w:vAlign w:val="top"/>
          </w:tcPr>
          <w:p w14:paraId="419C2E6C">
            <w:pPr>
              <w:pStyle w:val="11"/>
              <w:spacing w:before="149" w:line="239" w:lineRule="auto"/>
              <w:ind w:left="765"/>
              <w:outlineLvl w:val="9"/>
              <w:rPr>
                <w:highlight w:val="none"/>
              </w:rPr>
            </w:pPr>
            <w:r>
              <w:rPr>
                <w:spacing w:val="-10"/>
                <w:highlight w:val="none"/>
              </w:rPr>
              <w:t>1.1%</w:t>
            </w:r>
          </w:p>
        </w:tc>
        <w:tc>
          <w:tcPr>
            <w:tcW w:w="1945" w:type="dxa"/>
            <w:vAlign w:val="top"/>
          </w:tcPr>
          <w:p w14:paraId="55C6B14B">
            <w:pPr>
              <w:pStyle w:val="11"/>
              <w:spacing w:before="149" w:line="239" w:lineRule="auto"/>
              <w:ind w:left="752"/>
              <w:outlineLvl w:val="9"/>
              <w:rPr>
                <w:highlight w:val="none"/>
              </w:rPr>
            </w:pPr>
            <w:r>
              <w:rPr>
                <w:spacing w:val="-5"/>
                <w:highlight w:val="none"/>
              </w:rPr>
              <w:t>0.8%</w:t>
            </w:r>
          </w:p>
        </w:tc>
        <w:tc>
          <w:tcPr>
            <w:tcW w:w="1991" w:type="dxa"/>
            <w:vAlign w:val="top"/>
          </w:tcPr>
          <w:p w14:paraId="3612A4DA">
            <w:pPr>
              <w:pStyle w:val="11"/>
              <w:spacing w:before="149" w:line="239" w:lineRule="auto"/>
              <w:ind w:left="775"/>
              <w:outlineLvl w:val="9"/>
              <w:rPr>
                <w:highlight w:val="none"/>
              </w:rPr>
            </w:pPr>
            <w:r>
              <w:rPr>
                <w:spacing w:val="-5"/>
                <w:highlight w:val="none"/>
              </w:rPr>
              <w:t>0.7%</w:t>
            </w:r>
          </w:p>
        </w:tc>
      </w:tr>
      <w:tr w14:paraId="32C40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2698" w:type="dxa"/>
            <w:vAlign w:val="top"/>
          </w:tcPr>
          <w:p w14:paraId="3B671AF3">
            <w:pPr>
              <w:pStyle w:val="11"/>
              <w:spacing w:before="213" w:line="220" w:lineRule="auto"/>
              <w:ind w:left="630"/>
              <w:outlineLvl w:val="9"/>
              <w:rPr>
                <w:highlight w:val="none"/>
              </w:rPr>
            </w:pPr>
            <w:r>
              <w:rPr>
                <w:spacing w:val="-5"/>
                <w:highlight w:val="none"/>
              </w:rPr>
              <w:t>500-1000万元</w:t>
            </w:r>
          </w:p>
        </w:tc>
        <w:tc>
          <w:tcPr>
            <w:tcW w:w="1913" w:type="dxa"/>
            <w:vAlign w:val="top"/>
          </w:tcPr>
          <w:p w14:paraId="3C83BCAE">
            <w:pPr>
              <w:pStyle w:val="11"/>
              <w:spacing w:before="153" w:line="239" w:lineRule="auto"/>
              <w:ind w:left="735"/>
              <w:outlineLvl w:val="9"/>
              <w:rPr>
                <w:highlight w:val="none"/>
              </w:rPr>
            </w:pPr>
            <w:r>
              <w:rPr>
                <w:spacing w:val="-5"/>
                <w:highlight w:val="none"/>
              </w:rPr>
              <w:t>0.8%</w:t>
            </w:r>
          </w:p>
        </w:tc>
        <w:tc>
          <w:tcPr>
            <w:tcW w:w="1945" w:type="dxa"/>
            <w:vAlign w:val="top"/>
          </w:tcPr>
          <w:p w14:paraId="109A78FA">
            <w:pPr>
              <w:pStyle w:val="11"/>
              <w:spacing w:before="153" w:line="239" w:lineRule="auto"/>
              <w:ind w:left="692"/>
              <w:outlineLvl w:val="9"/>
              <w:rPr>
                <w:highlight w:val="none"/>
              </w:rPr>
            </w:pPr>
            <w:r>
              <w:rPr>
                <w:spacing w:val="-4"/>
                <w:highlight w:val="none"/>
              </w:rPr>
              <w:t>0.45%</w:t>
            </w:r>
          </w:p>
        </w:tc>
        <w:tc>
          <w:tcPr>
            <w:tcW w:w="1991" w:type="dxa"/>
            <w:vAlign w:val="top"/>
          </w:tcPr>
          <w:p w14:paraId="306C5F50">
            <w:pPr>
              <w:pStyle w:val="11"/>
              <w:spacing w:before="153" w:line="239" w:lineRule="auto"/>
              <w:ind w:left="715"/>
              <w:outlineLvl w:val="9"/>
              <w:rPr>
                <w:highlight w:val="none"/>
              </w:rPr>
            </w:pPr>
            <w:r>
              <w:rPr>
                <w:spacing w:val="-4"/>
                <w:highlight w:val="none"/>
              </w:rPr>
              <w:t>0.55%</w:t>
            </w:r>
          </w:p>
        </w:tc>
      </w:tr>
      <w:tr w14:paraId="01E85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698" w:type="dxa"/>
            <w:vAlign w:val="top"/>
          </w:tcPr>
          <w:p w14:paraId="6289EE31">
            <w:pPr>
              <w:pStyle w:val="11"/>
              <w:spacing w:before="215" w:line="220" w:lineRule="auto"/>
              <w:ind w:left="595"/>
              <w:outlineLvl w:val="9"/>
              <w:rPr>
                <w:highlight w:val="none"/>
              </w:rPr>
            </w:pPr>
            <w:r>
              <w:rPr>
                <w:spacing w:val="-7"/>
                <w:highlight w:val="none"/>
              </w:rPr>
              <w:t>1000-5000万元</w:t>
            </w:r>
          </w:p>
        </w:tc>
        <w:tc>
          <w:tcPr>
            <w:tcW w:w="1913" w:type="dxa"/>
            <w:vAlign w:val="top"/>
          </w:tcPr>
          <w:p w14:paraId="5E5C9E92">
            <w:pPr>
              <w:pStyle w:val="11"/>
              <w:spacing w:before="152" w:line="239" w:lineRule="auto"/>
              <w:ind w:left="735"/>
              <w:outlineLvl w:val="9"/>
              <w:rPr>
                <w:highlight w:val="none"/>
              </w:rPr>
            </w:pPr>
            <w:r>
              <w:rPr>
                <w:spacing w:val="-5"/>
                <w:highlight w:val="none"/>
              </w:rPr>
              <w:t>0.5%</w:t>
            </w:r>
          </w:p>
        </w:tc>
        <w:tc>
          <w:tcPr>
            <w:tcW w:w="1945" w:type="dxa"/>
            <w:vAlign w:val="top"/>
          </w:tcPr>
          <w:p w14:paraId="3A639218">
            <w:pPr>
              <w:pStyle w:val="11"/>
              <w:spacing w:before="152" w:line="239" w:lineRule="auto"/>
              <w:ind w:left="692"/>
              <w:outlineLvl w:val="9"/>
              <w:rPr>
                <w:highlight w:val="none"/>
              </w:rPr>
            </w:pPr>
            <w:r>
              <w:rPr>
                <w:spacing w:val="-4"/>
                <w:highlight w:val="none"/>
              </w:rPr>
              <w:t>0.25%</w:t>
            </w:r>
          </w:p>
        </w:tc>
        <w:tc>
          <w:tcPr>
            <w:tcW w:w="1991" w:type="dxa"/>
            <w:vAlign w:val="top"/>
          </w:tcPr>
          <w:p w14:paraId="1927D741">
            <w:pPr>
              <w:pStyle w:val="11"/>
              <w:spacing w:before="152" w:line="239" w:lineRule="auto"/>
              <w:ind w:left="715"/>
              <w:outlineLvl w:val="9"/>
              <w:rPr>
                <w:highlight w:val="none"/>
              </w:rPr>
            </w:pPr>
            <w:r>
              <w:rPr>
                <w:spacing w:val="-4"/>
                <w:highlight w:val="none"/>
              </w:rPr>
              <w:t>0.35%</w:t>
            </w:r>
          </w:p>
        </w:tc>
      </w:tr>
      <w:tr w14:paraId="50F2F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698" w:type="dxa"/>
            <w:vAlign w:val="top"/>
          </w:tcPr>
          <w:p w14:paraId="7596F28D">
            <w:pPr>
              <w:pStyle w:val="11"/>
              <w:spacing w:before="218" w:line="220" w:lineRule="auto"/>
              <w:ind w:left="479"/>
              <w:outlineLvl w:val="9"/>
              <w:rPr>
                <w:highlight w:val="none"/>
              </w:rPr>
            </w:pPr>
            <w:r>
              <w:rPr>
                <w:spacing w:val="-6"/>
                <w:highlight w:val="none"/>
              </w:rPr>
              <w:t>5000万元-1亿元</w:t>
            </w:r>
          </w:p>
        </w:tc>
        <w:tc>
          <w:tcPr>
            <w:tcW w:w="1913" w:type="dxa"/>
            <w:vAlign w:val="top"/>
          </w:tcPr>
          <w:p w14:paraId="7E781DBE">
            <w:pPr>
              <w:pStyle w:val="11"/>
              <w:spacing w:before="153" w:line="239" w:lineRule="auto"/>
              <w:ind w:left="675"/>
              <w:outlineLvl w:val="9"/>
              <w:rPr>
                <w:highlight w:val="none"/>
              </w:rPr>
            </w:pPr>
            <w:r>
              <w:rPr>
                <w:spacing w:val="-4"/>
                <w:highlight w:val="none"/>
              </w:rPr>
              <w:t>0.25%</w:t>
            </w:r>
          </w:p>
        </w:tc>
        <w:tc>
          <w:tcPr>
            <w:tcW w:w="1945" w:type="dxa"/>
            <w:vAlign w:val="top"/>
          </w:tcPr>
          <w:p w14:paraId="5C1C184D">
            <w:pPr>
              <w:pStyle w:val="11"/>
              <w:spacing w:before="153" w:line="239" w:lineRule="auto"/>
              <w:ind w:left="752"/>
              <w:outlineLvl w:val="9"/>
              <w:rPr>
                <w:highlight w:val="none"/>
              </w:rPr>
            </w:pPr>
            <w:r>
              <w:rPr>
                <w:spacing w:val="-5"/>
                <w:highlight w:val="none"/>
              </w:rPr>
              <w:t>0.1%</w:t>
            </w:r>
          </w:p>
        </w:tc>
        <w:tc>
          <w:tcPr>
            <w:tcW w:w="1991" w:type="dxa"/>
            <w:vAlign w:val="top"/>
          </w:tcPr>
          <w:p w14:paraId="40D96615">
            <w:pPr>
              <w:pStyle w:val="11"/>
              <w:spacing w:before="153" w:line="239" w:lineRule="auto"/>
              <w:ind w:left="775"/>
              <w:outlineLvl w:val="9"/>
              <w:rPr>
                <w:highlight w:val="none"/>
              </w:rPr>
            </w:pPr>
            <w:r>
              <w:rPr>
                <w:spacing w:val="-5"/>
                <w:highlight w:val="none"/>
              </w:rPr>
              <w:t>0.2%</w:t>
            </w:r>
          </w:p>
        </w:tc>
      </w:tr>
      <w:tr w14:paraId="7E8F1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698" w:type="dxa"/>
            <w:vAlign w:val="top"/>
          </w:tcPr>
          <w:p w14:paraId="26F03F9F">
            <w:pPr>
              <w:pStyle w:val="11"/>
              <w:spacing w:before="216" w:line="220" w:lineRule="auto"/>
              <w:ind w:left="958"/>
              <w:outlineLvl w:val="9"/>
              <w:rPr>
                <w:highlight w:val="none"/>
              </w:rPr>
            </w:pPr>
            <w:r>
              <w:rPr>
                <w:spacing w:val="-10"/>
                <w:highlight w:val="none"/>
              </w:rPr>
              <w:t>1-5亿元</w:t>
            </w:r>
          </w:p>
        </w:tc>
        <w:tc>
          <w:tcPr>
            <w:tcW w:w="1913" w:type="dxa"/>
            <w:vAlign w:val="top"/>
          </w:tcPr>
          <w:p w14:paraId="5467B03D">
            <w:pPr>
              <w:pStyle w:val="11"/>
              <w:spacing w:before="156" w:line="239" w:lineRule="auto"/>
              <w:ind w:left="675"/>
              <w:outlineLvl w:val="9"/>
              <w:rPr>
                <w:highlight w:val="none"/>
              </w:rPr>
            </w:pPr>
            <w:r>
              <w:rPr>
                <w:spacing w:val="-4"/>
                <w:highlight w:val="none"/>
              </w:rPr>
              <w:t>0.05%</w:t>
            </w:r>
          </w:p>
        </w:tc>
        <w:tc>
          <w:tcPr>
            <w:tcW w:w="1945" w:type="dxa"/>
            <w:vAlign w:val="top"/>
          </w:tcPr>
          <w:p w14:paraId="0935DAAA">
            <w:pPr>
              <w:pStyle w:val="11"/>
              <w:spacing w:before="156" w:line="239" w:lineRule="auto"/>
              <w:ind w:left="692"/>
              <w:outlineLvl w:val="9"/>
              <w:rPr>
                <w:highlight w:val="none"/>
              </w:rPr>
            </w:pPr>
            <w:r>
              <w:rPr>
                <w:spacing w:val="-4"/>
                <w:highlight w:val="none"/>
              </w:rPr>
              <w:t>0.05%</w:t>
            </w:r>
          </w:p>
        </w:tc>
        <w:tc>
          <w:tcPr>
            <w:tcW w:w="1991" w:type="dxa"/>
            <w:vAlign w:val="top"/>
          </w:tcPr>
          <w:p w14:paraId="2C9DDD7B">
            <w:pPr>
              <w:pStyle w:val="11"/>
              <w:spacing w:before="156" w:line="239" w:lineRule="auto"/>
              <w:ind w:left="715"/>
              <w:outlineLvl w:val="9"/>
              <w:rPr>
                <w:highlight w:val="none"/>
              </w:rPr>
            </w:pPr>
            <w:r>
              <w:rPr>
                <w:spacing w:val="-4"/>
                <w:highlight w:val="none"/>
              </w:rPr>
              <w:t>0.05%</w:t>
            </w:r>
          </w:p>
        </w:tc>
      </w:tr>
      <w:tr w14:paraId="62482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698" w:type="dxa"/>
            <w:vAlign w:val="top"/>
          </w:tcPr>
          <w:p w14:paraId="0977E26E">
            <w:pPr>
              <w:pStyle w:val="11"/>
              <w:spacing w:before="219" w:line="220" w:lineRule="auto"/>
              <w:ind w:left="873"/>
              <w:outlineLvl w:val="9"/>
              <w:rPr>
                <w:highlight w:val="none"/>
              </w:rPr>
            </w:pPr>
            <w:r>
              <w:rPr>
                <w:spacing w:val="-6"/>
                <w:highlight w:val="none"/>
              </w:rPr>
              <w:t>5-10亿元</w:t>
            </w:r>
          </w:p>
        </w:tc>
        <w:tc>
          <w:tcPr>
            <w:tcW w:w="1913" w:type="dxa"/>
            <w:vAlign w:val="top"/>
          </w:tcPr>
          <w:p w14:paraId="6555A1D8">
            <w:pPr>
              <w:pStyle w:val="11"/>
              <w:spacing w:before="159" w:line="239" w:lineRule="auto"/>
              <w:ind w:left="613"/>
              <w:outlineLvl w:val="9"/>
              <w:rPr>
                <w:highlight w:val="none"/>
              </w:rPr>
            </w:pPr>
            <w:r>
              <w:rPr>
                <w:spacing w:val="-4"/>
                <w:highlight w:val="none"/>
              </w:rPr>
              <w:t>0.035%</w:t>
            </w:r>
          </w:p>
        </w:tc>
        <w:tc>
          <w:tcPr>
            <w:tcW w:w="1945" w:type="dxa"/>
            <w:vAlign w:val="top"/>
          </w:tcPr>
          <w:p w14:paraId="6AC1D84C">
            <w:pPr>
              <w:pStyle w:val="11"/>
              <w:spacing w:before="159" w:line="239" w:lineRule="auto"/>
              <w:ind w:left="632"/>
              <w:outlineLvl w:val="9"/>
              <w:rPr>
                <w:highlight w:val="none"/>
              </w:rPr>
            </w:pPr>
            <w:r>
              <w:rPr>
                <w:spacing w:val="-4"/>
                <w:highlight w:val="none"/>
              </w:rPr>
              <w:t>0.035%</w:t>
            </w:r>
          </w:p>
        </w:tc>
        <w:tc>
          <w:tcPr>
            <w:tcW w:w="1991" w:type="dxa"/>
            <w:vAlign w:val="top"/>
          </w:tcPr>
          <w:p w14:paraId="7DB6196E">
            <w:pPr>
              <w:pStyle w:val="11"/>
              <w:spacing w:before="159" w:line="239" w:lineRule="auto"/>
              <w:ind w:left="655"/>
              <w:outlineLvl w:val="9"/>
              <w:rPr>
                <w:highlight w:val="none"/>
              </w:rPr>
            </w:pPr>
            <w:r>
              <w:rPr>
                <w:spacing w:val="-4"/>
                <w:highlight w:val="none"/>
              </w:rPr>
              <w:t>0.035%</w:t>
            </w:r>
          </w:p>
        </w:tc>
      </w:tr>
      <w:tr w14:paraId="6F1CE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2698" w:type="dxa"/>
            <w:vAlign w:val="top"/>
          </w:tcPr>
          <w:p w14:paraId="28373935">
            <w:pPr>
              <w:pStyle w:val="11"/>
              <w:spacing w:before="220" w:line="220" w:lineRule="auto"/>
              <w:ind w:left="838"/>
              <w:outlineLvl w:val="9"/>
              <w:rPr>
                <w:highlight w:val="none"/>
              </w:rPr>
            </w:pPr>
            <w:r>
              <w:rPr>
                <w:spacing w:val="-9"/>
                <w:highlight w:val="none"/>
              </w:rPr>
              <w:t>10-50亿元</w:t>
            </w:r>
          </w:p>
        </w:tc>
        <w:tc>
          <w:tcPr>
            <w:tcW w:w="1913" w:type="dxa"/>
            <w:vAlign w:val="top"/>
          </w:tcPr>
          <w:p w14:paraId="25BE84E1">
            <w:pPr>
              <w:pStyle w:val="11"/>
              <w:spacing w:before="157" w:line="239" w:lineRule="auto"/>
              <w:ind w:left="613"/>
              <w:outlineLvl w:val="9"/>
              <w:rPr>
                <w:highlight w:val="none"/>
              </w:rPr>
            </w:pPr>
            <w:r>
              <w:rPr>
                <w:spacing w:val="-4"/>
                <w:highlight w:val="none"/>
              </w:rPr>
              <w:t>0.008%</w:t>
            </w:r>
          </w:p>
        </w:tc>
        <w:tc>
          <w:tcPr>
            <w:tcW w:w="1945" w:type="dxa"/>
            <w:vAlign w:val="top"/>
          </w:tcPr>
          <w:p w14:paraId="75E2F3C3">
            <w:pPr>
              <w:pStyle w:val="11"/>
              <w:spacing w:before="157" w:line="239" w:lineRule="auto"/>
              <w:ind w:left="632"/>
              <w:outlineLvl w:val="9"/>
              <w:rPr>
                <w:highlight w:val="none"/>
              </w:rPr>
            </w:pPr>
            <w:r>
              <w:rPr>
                <w:spacing w:val="-4"/>
                <w:highlight w:val="none"/>
              </w:rPr>
              <w:t>0.008%</w:t>
            </w:r>
          </w:p>
        </w:tc>
        <w:tc>
          <w:tcPr>
            <w:tcW w:w="1991" w:type="dxa"/>
            <w:vAlign w:val="top"/>
          </w:tcPr>
          <w:p w14:paraId="66731081">
            <w:pPr>
              <w:pStyle w:val="11"/>
              <w:spacing w:before="157" w:line="239" w:lineRule="auto"/>
              <w:ind w:left="655"/>
              <w:outlineLvl w:val="9"/>
              <w:rPr>
                <w:highlight w:val="none"/>
              </w:rPr>
            </w:pPr>
            <w:r>
              <w:rPr>
                <w:spacing w:val="-4"/>
                <w:highlight w:val="none"/>
              </w:rPr>
              <w:t>0.008%</w:t>
            </w:r>
          </w:p>
        </w:tc>
      </w:tr>
    </w:tbl>
    <w:p w14:paraId="005B2E9F">
      <w:pPr>
        <w:pStyle w:val="2"/>
        <w:outlineLvl w:val="9"/>
        <w:rPr>
          <w:highlight w:val="none"/>
        </w:rPr>
      </w:pPr>
    </w:p>
    <w:p w14:paraId="393B6181">
      <w:pPr>
        <w:outlineLvl w:val="9"/>
        <w:rPr>
          <w:highlight w:val="none"/>
        </w:rPr>
        <w:sectPr>
          <w:headerReference r:id="rId27" w:type="default"/>
          <w:footerReference r:id="rId28" w:type="default"/>
          <w:pgSz w:w="11850" w:h="16781"/>
          <w:pgMar w:top="400" w:right="1499" w:bottom="1011" w:left="1777" w:header="0" w:footer="766" w:gutter="0"/>
          <w:pgNumType w:fmt="decimal"/>
          <w:cols w:space="720" w:num="1"/>
        </w:sectPr>
      </w:pPr>
    </w:p>
    <w:p w14:paraId="30A334B9">
      <w:pPr>
        <w:spacing w:before="19"/>
        <w:outlineLvl w:val="9"/>
        <w:rPr>
          <w:highlight w:val="none"/>
        </w:rPr>
      </w:pPr>
    </w:p>
    <w:p w14:paraId="55BC9891">
      <w:pPr>
        <w:spacing w:before="19"/>
        <w:outlineLvl w:val="9"/>
        <w:rPr>
          <w:highlight w:val="none"/>
        </w:rPr>
      </w:pPr>
    </w:p>
    <w:p w14:paraId="25CECB90">
      <w:pPr>
        <w:spacing w:before="18"/>
        <w:outlineLvl w:val="9"/>
        <w:rPr>
          <w:highlight w:val="none"/>
        </w:rPr>
      </w:pPr>
    </w:p>
    <w:p w14:paraId="0ED95C9C">
      <w:pPr>
        <w:spacing w:before="18"/>
        <w:outlineLvl w:val="9"/>
        <w:rPr>
          <w:highlight w:val="none"/>
        </w:rPr>
      </w:pPr>
    </w:p>
    <w:tbl>
      <w:tblPr>
        <w:tblStyle w:val="10"/>
        <w:tblW w:w="8547" w:type="dxa"/>
        <w:tblInd w:w="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98"/>
        <w:gridCol w:w="1913"/>
        <w:gridCol w:w="1945"/>
        <w:gridCol w:w="1991"/>
      </w:tblGrid>
      <w:tr w14:paraId="0FDD26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2698" w:type="dxa"/>
            <w:vAlign w:val="top"/>
          </w:tcPr>
          <w:p w14:paraId="33CC2039">
            <w:pPr>
              <w:pStyle w:val="11"/>
              <w:spacing w:before="217" w:line="220" w:lineRule="auto"/>
              <w:ind w:left="753"/>
              <w:outlineLvl w:val="9"/>
              <w:rPr>
                <w:highlight w:val="none"/>
              </w:rPr>
            </w:pPr>
            <w:r>
              <w:rPr>
                <w:spacing w:val="-5"/>
                <w:highlight w:val="none"/>
              </w:rPr>
              <w:t>50-100亿元</w:t>
            </w:r>
          </w:p>
        </w:tc>
        <w:tc>
          <w:tcPr>
            <w:tcW w:w="1913" w:type="dxa"/>
            <w:vAlign w:val="top"/>
          </w:tcPr>
          <w:p w14:paraId="798157A6">
            <w:pPr>
              <w:pStyle w:val="11"/>
              <w:spacing w:before="156" w:line="239" w:lineRule="auto"/>
              <w:ind w:left="613"/>
              <w:outlineLvl w:val="9"/>
              <w:rPr>
                <w:highlight w:val="none"/>
              </w:rPr>
            </w:pPr>
            <w:r>
              <w:rPr>
                <w:spacing w:val="-4"/>
                <w:highlight w:val="none"/>
              </w:rPr>
              <w:t>0.006%</w:t>
            </w:r>
          </w:p>
        </w:tc>
        <w:tc>
          <w:tcPr>
            <w:tcW w:w="1945" w:type="dxa"/>
            <w:vAlign w:val="top"/>
          </w:tcPr>
          <w:p w14:paraId="716DDD81">
            <w:pPr>
              <w:pStyle w:val="11"/>
              <w:spacing w:before="156" w:line="239" w:lineRule="auto"/>
              <w:ind w:left="632"/>
              <w:outlineLvl w:val="9"/>
              <w:rPr>
                <w:highlight w:val="none"/>
              </w:rPr>
            </w:pPr>
            <w:r>
              <w:rPr>
                <w:spacing w:val="-4"/>
                <w:highlight w:val="none"/>
              </w:rPr>
              <w:t>0.006%</w:t>
            </w:r>
          </w:p>
        </w:tc>
        <w:tc>
          <w:tcPr>
            <w:tcW w:w="1991" w:type="dxa"/>
            <w:vAlign w:val="top"/>
          </w:tcPr>
          <w:p w14:paraId="262AD8B2">
            <w:pPr>
              <w:pStyle w:val="11"/>
              <w:spacing w:before="156" w:line="239" w:lineRule="auto"/>
              <w:ind w:left="655"/>
              <w:outlineLvl w:val="9"/>
              <w:rPr>
                <w:highlight w:val="none"/>
              </w:rPr>
            </w:pPr>
            <w:r>
              <w:rPr>
                <w:spacing w:val="-4"/>
                <w:highlight w:val="none"/>
              </w:rPr>
              <w:t>0.006%</w:t>
            </w:r>
          </w:p>
        </w:tc>
      </w:tr>
      <w:tr w14:paraId="1F2AB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98" w:type="dxa"/>
            <w:vAlign w:val="top"/>
          </w:tcPr>
          <w:p w14:paraId="35B33707">
            <w:pPr>
              <w:pStyle w:val="11"/>
              <w:spacing w:before="216" w:line="220" w:lineRule="auto"/>
              <w:ind w:left="718"/>
              <w:outlineLvl w:val="9"/>
              <w:rPr>
                <w:highlight w:val="none"/>
              </w:rPr>
            </w:pPr>
            <w:r>
              <w:rPr>
                <w:spacing w:val="-8"/>
                <w:highlight w:val="none"/>
              </w:rPr>
              <w:t>100亿元以上</w:t>
            </w:r>
          </w:p>
        </w:tc>
        <w:tc>
          <w:tcPr>
            <w:tcW w:w="1913" w:type="dxa"/>
            <w:vAlign w:val="top"/>
          </w:tcPr>
          <w:p w14:paraId="20D240A2">
            <w:pPr>
              <w:pStyle w:val="11"/>
              <w:spacing w:before="156" w:line="239" w:lineRule="auto"/>
              <w:ind w:left="613"/>
              <w:outlineLvl w:val="9"/>
              <w:rPr>
                <w:highlight w:val="none"/>
              </w:rPr>
            </w:pPr>
            <w:r>
              <w:rPr>
                <w:spacing w:val="-4"/>
                <w:highlight w:val="none"/>
              </w:rPr>
              <w:t>0.004%</w:t>
            </w:r>
          </w:p>
        </w:tc>
        <w:tc>
          <w:tcPr>
            <w:tcW w:w="1945" w:type="dxa"/>
            <w:vAlign w:val="top"/>
          </w:tcPr>
          <w:p w14:paraId="4E8D25E3">
            <w:pPr>
              <w:pStyle w:val="11"/>
              <w:spacing w:before="156" w:line="239" w:lineRule="auto"/>
              <w:ind w:left="632"/>
              <w:outlineLvl w:val="9"/>
              <w:rPr>
                <w:highlight w:val="none"/>
              </w:rPr>
            </w:pPr>
            <w:r>
              <w:rPr>
                <w:spacing w:val="-4"/>
                <w:highlight w:val="none"/>
              </w:rPr>
              <w:t>0.004%</w:t>
            </w:r>
          </w:p>
        </w:tc>
        <w:tc>
          <w:tcPr>
            <w:tcW w:w="1991" w:type="dxa"/>
            <w:vAlign w:val="top"/>
          </w:tcPr>
          <w:p w14:paraId="5B4C2F41">
            <w:pPr>
              <w:pStyle w:val="11"/>
              <w:spacing w:before="156" w:line="239" w:lineRule="auto"/>
              <w:ind w:left="655"/>
              <w:outlineLvl w:val="9"/>
              <w:rPr>
                <w:highlight w:val="none"/>
              </w:rPr>
            </w:pPr>
            <w:r>
              <w:rPr>
                <w:spacing w:val="-4"/>
                <w:highlight w:val="none"/>
              </w:rPr>
              <w:t>0.004%</w:t>
            </w:r>
          </w:p>
        </w:tc>
      </w:tr>
    </w:tbl>
    <w:p w14:paraId="019CD08F">
      <w:pPr>
        <w:pStyle w:val="2"/>
        <w:spacing w:line="394" w:lineRule="auto"/>
        <w:outlineLvl w:val="9"/>
        <w:rPr>
          <w:highlight w:val="none"/>
        </w:rPr>
      </w:pPr>
    </w:p>
    <w:p w14:paraId="595BDFEF">
      <w:pPr>
        <w:spacing w:before="78" w:line="365" w:lineRule="auto"/>
        <w:ind w:left="175" w:right="512"/>
        <w:outlineLvl w:val="9"/>
        <w:rPr>
          <w:rFonts w:ascii="宋体" w:hAnsi="宋体" w:eastAsia="宋体" w:cs="宋体"/>
          <w:sz w:val="24"/>
          <w:szCs w:val="24"/>
          <w:highlight w:val="none"/>
        </w:rPr>
      </w:pPr>
      <w:r>
        <w:rPr>
          <w:rFonts w:ascii="宋体" w:hAnsi="宋体" w:eastAsia="宋体" w:cs="宋体"/>
          <w:spacing w:val="2"/>
          <w:sz w:val="24"/>
          <w:szCs w:val="24"/>
          <w:highlight w:val="none"/>
        </w:rPr>
        <w:t>注:1.按本表费率计算的收费为招标代理服务全过程的收费基准价格，单独</w:t>
      </w:r>
      <w:r>
        <w:rPr>
          <w:rFonts w:ascii="宋体" w:hAnsi="宋体" w:eastAsia="宋体" w:cs="宋体"/>
          <w:spacing w:val="-1"/>
          <w:sz w:val="24"/>
          <w:szCs w:val="24"/>
          <w:highlight w:val="none"/>
        </w:rPr>
        <w:t>提供编制招标文件(有标底的含标底）服务的，可按规定标准的30%计收。</w:t>
      </w:r>
    </w:p>
    <w:p w14:paraId="334AA936">
      <w:pPr>
        <w:spacing w:line="358" w:lineRule="auto"/>
        <w:ind w:left="179" w:right="517" w:firstLine="1"/>
        <w:outlineLvl w:val="9"/>
        <w:rPr>
          <w:rFonts w:ascii="宋体" w:hAnsi="宋体" w:eastAsia="宋体" w:cs="宋体"/>
          <w:sz w:val="24"/>
          <w:szCs w:val="24"/>
          <w:highlight w:val="none"/>
        </w:rPr>
      </w:pPr>
      <w:r>
        <w:rPr>
          <w:rFonts w:ascii="宋体" w:hAnsi="宋体" w:eastAsia="宋体" w:cs="宋体"/>
          <w:spacing w:val="1"/>
          <w:sz w:val="24"/>
          <w:szCs w:val="24"/>
          <w:highlight w:val="none"/>
        </w:rPr>
        <w:t>2.招标代理服务收费按差额定率累进法计算。例如</w:t>
      </w:r>
      <w:r>
        <w:rPr>
          <w:rFonts w:ascii="宋体" w:hAnsi="宋体" w:eastAsia="宋体" w:cs="宋体"/>
          <w:sz w:val="24"/>
          <w:szCs w:val="24"/>
          <w:highlight w:val="none"/>
        </w:rPr>
        <w:t>:某工程招标代理业务中</w:t>
      </w:r>
      <w:r>
        <w:rPr>
          <w:rFonts w:ascii="宋体" w:hAnsi="宋体" w:eastAsia="宋体" w:cs="宋体"/>
          <w:spacing w:val="1"/>
          <w:sz w:val="24"/>
          <w:szCs w:val="24"/>
          <w:highlight w:val="none"/>
        </w:rPr>
        <w:t>标金额为6000万元，计算招标代理服务收费额如下:</w:t>
      </w:r>
    </w:p>
    <w:p w14:paraId="624388D2">
      <w:pPr>
        <w:spacing w:line="220" w:lineRule="auto"/>
        <w:ind w:left="210"/>
        <w:outlineLvl w:val="9"/>
        <w:rPr>
          <w:rFonts w:ascii="宋体" w:hAnsi="宋体" w:eastAsia="宋体" w:cs="宋体"/>
          <w:sz w:val="24"/>
          <w:szCs w:val="24"/>
          <w:highlight w:val="none"/>
        </w:rPr>
      </w:pPr>
      <w:r>
        <w:rPr>
          <w:rFonts w:ascii="宋体" w:hAnsi="宋体" w:eastAsia="宋体" w:cs="宋体"/>
          <w:spacing w:val="-7"/>
          <w:sz w:val="24"/>
          <w:szCs w:val="24"/>
          <w:highlight w:val="none"/>
        </w:rPr>
        <w:t>100万元×1.0%=1万元</w:t>
      </w:r>
    </w:p>
    <w:p w14:paraId="5923B2A3">
      <w:pPr>
        <w:spacing w:before="191" w:line="299" w:lineRule="auto"/>
        <w:ind w:left="114" w:right="4976" w:firstLine="146"/>
        <w:outlineLvl w:val="9"/>
        <w:rPr>
          <w:rFonts w:ascii="宋体" w:hAnsi="宋体" w:eastAsia="宋体" w:cs="宋体"/>
          <w:sz w:val="24"/>
          <w:szCs w:val="24"/>
          <w:highlight w:val="none"/>
        </w:rPr>
      </w:pPr>
      <w:r>
        <w:rPr>
          <w:rFonts w:ascii="宋体" w:hAnsi="宋体" w:eastAsia="宋体" w:cs="宋体"/>
          <w:spacing w:val="-7"/>
          <w:sz w:val="24"/>
          <w:szCs w:val="24"/>
          <w:highlight w:val="none"/>
        </w:rPr>
        <w:t>(500-100）万元×0.7%=2.8万元</w:t>
      </w:r>
      <w:r>
        <w:rPr>
          <w:rFonts w:ascii="宋体" w:hAnsi="宋体" w:eastAsia="宋体" w:cs="宋体"/>
          <w:spacing w:val="-4"/>
          <w:sz w:val="24"/>
          <w:szCs w:val="24"/>
          <w:highlight w:val="none"/>
        </w:rPr>
        <w:t>(1000-500）</w:t>
      </w:r>
    </w:p>
    <w:p w14:paraId="4D647085">
      <w:pPr>
        <w:spacing w:before="82" w:line="220" w:lineRule="auto"/>
        <w:ind w:left="106"/>
        <w:outlineLvl w:val="9"/>
        <w:rPr>
          <w:rFonts w:ascii="宋体" w:hAnsi="宋体" w:eastAsia="宋体" w:cs="宋体"/>
          <w:sz w:val="24"/>
          <w:szCs w:val="24"/>
          <w:highlight w:val="none"/>
        </w:rPr>
      </w:pPr>
      <w:r>
        <w:rPr>
          <w:rFonts w:ascii="宋体" w:hAnsi="宋体" w:eastAsia="宋体" w:cs="宋体"/>
          <w:spacing w:val="-3"/>
          <w:sz w:val="24"/>
          <w:szCs w:val="24"/>
          <w:highlight w:val="none"/>
        </w:rPr>
        <w:t>×0.55%=2.75万元</w:t>
      </w:r>
    </w:p>
    <w:p w14:paraId="64B53D11">
      <w:pPr>
        <w:spacing w:before="189" w:line="222" w:lineRule="auto"/>
        <w:ind w:left="114"/>
        <w:outlineLvl w:val="9"/>
        <w:rPr>
          <w:rFonts w:ascii="宋体" w:hAnsi="宋体" w:eastAsia="宋体" w:cs="宋体"/>
          <w:sz w:val="24"/>
          <w:szCs w:val="24"/>
          <w:highlight w:val="none"/>
        </w:rPr>
      </w:pPr>
      <w:r>
        <w:rPr>
          <w:rFonts w:ascii="宋体" w:hAnsi="宋体" w:eastAsia="宋体" w:cs="宋体"/>
          <w:spacing w:val="-8"/>
          <w:sz w:val="24"/>
          <w:szCs w:val="24"/>
          <w:highlight w:val="none"/>
        </w:rPr>
        <w:t>(5000-1000）</w:t>
      </w:r>
    </w:p>
    <w:p w14:paraId="678B8FE0">
      <w:pPr>
        <w:spacing w:before="186" w:line="220" w:lineRule="auto"/>
        <w:ind w:left="106"/>
        <w:outlineLvl w:val="9"/>
        <w:rPr>
          <w:rFonts w:ascii="宋体" w:hAnsi="宋体" w:eastAsia="宋体" w:cs="宋体"/>
          <w:sz w:val="24"/>
          <w:szCs w:val="24"/>
          <w:highlight w:val="none"/>
        </w:rPr>
      </w:pPr>
      <w:r>
        <w:rPr>
          <w:rFonts w:ascii="宋体" w:hAnsi="宋体" w:eastAsia="宋体" w:cs="宋体"/>
          <w:spacing w:val="-10"/>
          <w:sz w:val="24"/>
          <w:szCs w:val="24"/>
          <w:highlight w:val="none"/>
        </w:rPr>
        <w:t>×0.35%=14万元(6000</w:t>
      </w:r>
    </w:p>
    <w:p w14:paraId="4E2CE1B0">
      <w:pPr>
        <w:spacing w:before="192" w:line="220" w:lineRule="auto"/>
        <w:ind w:left="70"/>
        <w:outlineLvl w:val="9"/>
        <w:rPr>
          <w:rFonts w:ascii="宋体" w:hAnsi="宋体" w:eastAsia="宋体" w:cs="宋体"/>
          <w:sz w:val="24"/>
          <w:szCs w:val="24"/>
          <w:highlight w:val="none"/>
        </w:rPr>
      </w:pPr>
      <w:r>
        <w:rPr>
          <w:rFonts w:ascii="宋体" w:hAnsi="宋体" w:eastAsia="宋体" w:cs="宋体"/>
          <w:spacing w:val="-8"/>
          <w:sz w:val="24"/>
          <w:szCs w:val="24"/>
          <w:highlight w:val="none"/>
        </w:rPr>
        <w:t>-5000）×0.2%=2万元</w:t>
      </w:r>
    </w:p>
    <w:p w14:paraId="28AD179A">
      <w:pPr>
        <w:spacing w:before="168" w:line="219" w:lineRule="auto"/>
        <w:ind w:left="32"/>
        <w:outlineLvl w:val="9"/>
        <w:rPr>
          <w:rFonts w:ascii="宋体" w:hAnsi="宋体" w:eastAsia="宋体" w:cs="宋体"/>
          <w:sz w:val="24"/>
          <w:szCs w:val="24"/>
          <w:highlight w:val="none"/>
        </w:rPr>
      </w:pPr>
      <w:r>
        <w:rPr>
          <w:rFonts w:ascii="宋体" w:hAnsi="宋体" w:eastAsia="宋体" w:cs="宋体"/>
          <w:spacing w:val="-1"/>
          <w:sz w:val="24"/>
          <w:szCs w:val="24"/>
          <w:highlight w:val="none"/>
        </w:rPr>
        <w:t>合计收费=1+2.8+2.75+14+2=22.55（万元）</w:t>
      </w:r>
    </w:p>
    <w:p w14:paraId="4BCA34D6">
      <w:pPr>
        <w:pStyle w:val="2"/>
        <w:spacing w:line="287" w:lineRule="auto"/>
        <w:outlineLvl w:val="9"/>
        <w:rPr>
          <w:highlight w:val="none"/>
        </w:rPr>
      </w:pPr>
    </w:p>
    <w:p w14:paraId="2DB6939C">
      <w:pPr>
        <w:spacing w:before="78" w:line="458" w:lineRule="auto"/>
        <w:ind w:left="39" w:right="416" w:hanging="8"/>
        <w:outlineLvl w:val="9"/>
        <w:rPr>
          <w:rFonts w:ascii="宋体" w:hAnsi="宋体" w:eastAsia="宋体" w:cs="宋体"/>
          <w:sz w:val="24"/>
          <w:szCs w:val="24"/>
          <w:highlight w:val="none"/>
        </w:rPr>
      </w:pPr>
      <w:r>
        <w:rPr>
          <w:rFonts w:ascii="宋体" w:hAnsi="宋体" w:eastAsia="宋体" w:cs="宋体"/>
          <w:spacing w:val="2"/>
          <w:sz w:val="24"/>
          <w:szCs w:val="24"/>
          <w:highlight w:val="none"/>
        </w:rPr>
        <w:t>注:招标代理服务费没有协商费用的以最高投标限价（招标控制价）为基数按</w:t>
      </w:r>
      <w:r>
        <w:rPr>
          <w:rFonts w:ascii="宋体" w:hAnsi="宋体" w:eastAsia="宋体" w:cs="宋体"/>
          <w:spacing w:val="-3"/>
          <w:sz w:val="24"/>
          <w:szCs w:val="24"/>
          <w:highlight w:val="none"/>
        </w:rPr>
        <w:t>收费标准计取；</w:t>
      </w:r>
    </w:p>
    <w:p w14:paraId="455D9507">
      <w:pPr>
        <w:spacing w:before="1" w:line="222" w:lineRule="auto"/>
        <w:ind w:left="37"/>
        <w:outlineLvl w:val="9"/>
        <w:rPr>
          <w:rFonts w:ascii="黑体" w:hAnsi="黑体" w:eastAsia="黑体" w:cs="黑体"/>
          <w:sz w:val="24"/>
          <w:szCs w:val="24"/>
          <w:highlight w:val="none"/>
        </w:rPr>
      </w:pPr>
      <w:r>
        <w:rPr>
          <w:rFonts w:ascii="黑体" w:hAnsi="黑体" w:eastAsia="黑体" w:cs="黑体"/>
          <w:b/>
          <w:bCs/>
          <w:spacing w:val="-5"/>
          <w:sz w:val="24"/>
          <w:szCs w:val="24"/>
          <w:highlight w:val="none"/>
        </w:rPr>
        <w:t>十、签订、审核合同</w:t>
      </w:r>
    </w:p>
    <w:p w14:paraId="1D2858E3">
      <w:pPr>
        <w:spacing w:before="164" w:line="220" w:lineRule="auto"/>
        <w:ind w:left="41"/>
        <w:outlineLvl w:val="9"/>
        <w:rPr>
          <w:rFonts w:ascii="宋体" w:hAnsi="宋体" w:eastAsia="宋体" w:cs="宋体"/>
          <w:sz w:val="24"/>
          <w:szCs w:val="24"/>
          <w:highlight w:val="none"/>
        </w:rPr>
      </w:pPr>
      <w:r>
        <w:rPr>
          <w:rFonts w:ascii="宋体" w:hAnsi="宋体" w:eastAsia="宋体" w:cs="宋体"/>
          <w:b/>
          <w:bCs/>
          <w:spacing w:val="-8"/>
          <w:sz w:val="24"/>
          <w:szCs w:val="24"/>
          <w:highlight w:val="none"/>
        </w:rPr>
        <w:t>32.中标通知</w:t>
      </w:r>
    </w:p>
    <w:p w14:paraId="0D7581E6">
      <w:pPr>
        <w:spacing w:before="212" w:line="342" w:lineRule="auto"/>
        <w:ind w:left="30" w:right="390" w:firstLine="492"/>
        <w:outlineLvl w:val="9"/>
        <w:rPr>
          <w:rFonts w:ascii="宋体" w:hAnsi="宋体" w:eastAsia="宋体" w:cs="宋体"/>
          <w:sz w:val="24"/>
          <w:szCs w:val="24"/>
          <w:highlight w:val="none"/>
        </w:rPr>
      </w:pPr>
      <w:r>
        <w:rPr>
          <w:rFonts w:ascii="宋体" w:hAnsi="宋体" w:eastAsia="宋体" w:cs="宋体"/>
          <w:spacing w:val="-1"/>
          <w:sz w:val="24"/>
          <w:szCs w:val="24"/>
          <w:highlight w:val="none"/>
        </w:rPr>
        <w:t>32.1中标人确定后,采购代理机构将发布中标公告，并以书面</w:t>
      </w:r>
      <w:r>
        <w:rPr>
          <w:rFonts w:ascii="宋体" w:hAnsi="宋体" w:eastAsia="宋体" w:cs="宋体"/>
          <w:spacing w:val="-2"/>
          <w:sz w:val="24"/>
          <w:szCs w:val="24"/>
          <w:highlight w:val="none"/>
        </w:rPr>
        <w:t>形式向中标</w:t>
      </w:r>
      <w:r>
        <w:rPr>
          <w:rFonts w:ascii="宋体" w:hAnsi="宋体" w:eastAsia="宋体" w:cs="宋体"/>
          <w:sz w:val="24"/>
          <w:szCs w:val="24"/>
          <w:highlight w:val="none"/>
        </w:rPr>
        <w:t>人发出中标通知书，但该中标结果的有效性不依赖于未</w:t>
      </w:r>
      <w:r>
        <w:rPr>
          <w:rFonts w:ascii="宋体" w:hAnsi="宋体" w:eastAsia="宋体" w:cs="宋体"/>
          <w:spacing w:val="-1"/>
          <w:sz w:val="24"/>
          <w:szCs w:val="24"/>
          <w:highlight w:val="none"/>
        </w:rPr>
        <w:t>中标的投标人是否已经收到该通知。中标人应缴纳代理服务费并经采购代理机构确认后，委派专人持介绍信或授权书和身份证件前往采购代理机构领取中标通知书。中标通知书对采购人和中标人具有同等法律效力。中标通知书发出以后，采购人改变中标结</w:t>
      </w:r>
      <w:r>
        <w:rPr>
          <w:rFonts w:ascii="宋体" w:hAnsi="宋体" w:eastAsia="宋体" w:cs="宋体"/>
          <w:spacing w:val="-2"/>
          <w:sz w:val="24"/>
          <w:szCs w:val="24"/>
          <w:highlight w:val="none"/>
        </w:rPr>
        <w:t>果或者中标人放弃中标，应当承担相应的法律责任。</w:t>
      </w:r>
    </w:p>
    <w:p w14:paraId="62E83A8E">
      <w:pPr>
        <w:spacing w:before="187" w:line="294" w:lineRule="auto"/>
        <w:ind w:left="53" w:right="395" w:firstLine="467"/>
        <w:outlineLvl w:val="9"/>
        <w:rPr>
          <w:rFonts w:ascii="宋体" w:hAnsi="宋体" w:eastAsia="宋体" w:cs="宋体"/>
          <w:sz w:val="24"/>
          <w:szCs w:val="24"/>
          <w:highlight w:val="none"/>
        </w:rPr>
      </w:pPr>
      <w:r>
        <w:rPr>
          <w:rFonts w:ascii="宋体" w:hAnsi="宋体" w:eastAsia="宋体" w:cs="宋体"/>
          <w:spacing w:val="-4"/>
          <w:sz w:val="24"/>
          <w:szCs w:val="24"/>
          <w:highlight w:val="none"/>
        </w:rPr>
        <w:t>32.2采购代理机构对未中标的投标人不作未中标原因的解释，但中标结果</w:t>
      </w:r>
      <w:r>
        <w:rPr>
          <w:rFonts w:ascii="宋体" w:hAnsi="宋体" w:eastAsia="宋体" w:cs="宋体"/>
          <w:spacing w:val="-2"/>
          <w:sz w:val="24"/>
          <w:szCs w:val="24"/>
          <w:highlight w:val="none"/>
        </w:rPr>
        <w:t>的有效性不以未中标的投标人是否收到相应的通知为前提。</w:t>
      </w:r>
    </w:p>
    <w:p w14:paraId="29E0E9B3">
      <w:pPr>
        <w:spacing w:before="164" w:line="219" w:lineRule="auto"/>
        <w:ind w:left="523"/>
        <w:outlineLvl w:val="9"/>
        <w:rPr>
          <w:rFonts w:ascii="宋体" w:hAnsi="宋体" w:eastAsia="宋体" w:cs="宋体"/>
          <w:sz w:val="24"/>
          <w:szCs w:val="24"/>
          <w:highlight w:val="none"/>
        </w:rPr>
      </w:pPr>
      <w:r>
        <w:rPr>
          <w:rFonts w:ascii="宋体" w:hAnsi="宋体" w:eastAsia="宋体" w:cs="宋体"/>
          <w:spacing w:val="-4"/>
          <w:sz w:val="24"/>
          <w:szCs w:val="24"/>
          <w:highlight w:val="none"/>
        </w:rPr>
        <w:t>32.3中标通知书是合同的组成部分。</w:t>
      </w:r>
    </w:p>
    <w:p w14:paraId="7CF31703">
      <w:pPr>
        <w:spacing w:line="219" w:lineRule="auto"/>
        <w:outlineLvl w:val="9"/>
        <w:rPr>
          <w:rFonts w:ascii="宋体" w:hAnsi="宋体" w:eastAsia="宋体" w:cs="宋体"/>
          <w:sz w:val="24"/>
          <w:szCs w:val="24"/>
          <w:highlight w:val="none"/>
        </w:rPr>
        <w:sectPr>
          <w:headerReference r:id="rId29" w:type="default"/>
          <w:footerReference r:id="rId30" w:type="default"/>
          <w:pgSz w:w="11850" w:h="16781"/>
          <w:pgMar w:top="400" w:right="1499" w:bottom="1011" w:left="1777" w:header="0" w:footer="766" w:gutter="0"/>
          <w:pgNumType w:fmt="decimal"/>
          <w:cols w:space="720" w:num="1"/>
        </w:sectPr>
      </w:pPr>
    </w:p>
    <w:p w14:paraId="24EBB270">
      <w:pPr>
        <w:pStyle w:val="2"/>
        <w:spacing w:line="243" w:lineRule="auto"/>
        <w:outlineLvl w:val="9"/>
        <w:rPr>
          <w:highlight w:val="none"/>
        </w:rPr>
      </w:pPr>
    </w:p>
    <w:p w14:paraId="6CC65571">
      <w:pPr>
        <w:pStyle w:val="2"/>
        <w:spacing w:line="243" w:lineRule="auto"/>
        <w:outlineLvl w:val="9"/>
        <w:rPr>
          <w:highlight w:val="none"/>
        </w:rPr>
      </w:pPr>
    </w:p>
    <w:p w14:paraId="262DF5E5">
      <w:pPr>
        <w:pStyle w:val="2"/>
        <w:spacing w:line="243" w:lineRule="auto"/>
        <w:outlineLvl w:val="9"/>
        <w:rPr>
          <w:highlight w:val="none"/>
        </w:rPr>
      </w:pPr>
    </w:p>
    <w:p w14:paraId="506B4884">
      <w:pPr>
        <w:pStyle w:val="2"/>
        <w:spacing w:line="243" w:lineRule="auto"/>
        <w:outlineLvl w:val="9"/>
        <w:rPr>
          <w:highlight w:val="none"/>
        </w:rPr>
      </w:pPr>
    </w:p>
    <w:p w14:paraId="200FBFED">
      <w:pPr>
        <w:spacing w:before="78" w:line="221" w:lineRule="auto"/>
        <w:ind w:left="41"/>
        <w:outlineLvl w:val="9"/>
        <w:rPr>
          <w:rFonts w:ascii="宋体" w:hAnsi="宋体" w:eastAsia="宋体" w:cs="宋体"/>
          <w:sz w:val="24"/>
          <w:szCs w:val="24"/>
          <w:highlight w:val="none"/>
        </w:rPr>
      </w:pPr>
      <w:r>
        <w:rPr>
          <w:rFonts w:ascii="宋体" w:hAnsi="宋体" w:eastAsia="宋体" w:cs="宋体"/>
          <w:b/>
          <w:bCs/>
          <w:spacing w:val="-8"/>
          <w:sz w:val="24"/>
          <w:szCs w:val="24"/>
          <w:highlight w:val="none"/>
        </w:rPr>
        <w:t>33.签订合同</w:t>
      </w:r>
    </w:p>
    <w:p w14:paraId="74EDE8FD">
      <w:pPr>
        <w:spacing w:before="186" w:line="219" w:lineRule="auto"/>
        <w:ind w:left="523"/>
        <w:outlineLvl w:val="9"/>
        <w:rPr>
          <w:rFonts w:ascii="宋体" w:hAnsi="宋体" w:eastAsia="宋体" w:cs="宋体"/>
          <w:sz w:val="24"/>
          <w:szCs w:val="24"/>
          <w:highlight w:val="none"/>
        </w:rPr>
      </w:pPr>
      <w:r>
        <w:rPr>
          <w:rFonts w:ascii="宋体" w:hAnsi="宋体" w:eastAsia="宋体" w:cs="宋体"/>
          <w:spacing w:val="-6"/>
          <w:sz w:val="24"/>
          <w:szCs w:val="24"/>
          <w:highlight w:val="none"/>
        </w:rPr>
        <w:t>33.1中标人须在中标通知书发出之日起15日内与采购人签订采购合同。</w:t>
      </w:r>
    </w:p>
    <w:p w14:paraId="136F39F2">
      <w:pPr>
        <w:spacing w:before="209" w:line="319" w:lineRule="auto"/>
        <w:ind w:left="32" w:right="112" w:firstLine="491"/>
        <w:outlineLvl w:val="9"/>
        <w:rPr>
          <w:rFonts w:ascii="宋体" w:hAnsi="宋体" w:eastAsia="宋体" w:cs="宋体"/>
          <w:sz w:val="24"/>
          <w:szCs w:val="24"/>
          <w:highlight w:val="none"/>
        </w:rPr>
      </w:pPr>
      <w:r>
        <w:rPr>
          <w:rFonts w:ascii="宋体" w:hAnsi="宋体" w:eastAsia="宋体" w:cs="宋体"/>
          <w:spacing w:val="-4"/>
          <w:sz w:val="24"/>
          <w:szCs w:val="24"/>
          <w:highlight w:val="none"/>
        </w:rPr>
        <w:t>33.2中标人须按照招标文件、投标文件及评标过程中的有关澄清、</w:t>
      </w:r>
      <w:r>
        <w:rPr>
          <w:rFonts w:ascii="宋体" w:hAnsi="宋体" w:eastAsia="宋体" w:cs="宋体"/>
          <w:spacing w:val="-5"/>
          <w:sz w:val="24"/>
          <w:szCs w:val="24"/>
          <w:highlight w:val="none"/>
        </w:rPr>
        <w:t>说明或</w:t>
      </w:r>
      <w:r>
        <w:rPr>
          <w:rFonts w:ascii="宋体" w:hAnsi="宋体" w:eastAsia="宋体" w:cs="宋体"/>
          <w:spacing w:val="-1"/>
          <w:sz w:val="24"/>
          <w:szCs w:val="24"/>
          <w:highlight w:val="none"/>
        </w:rPr>
        <w:t>者补正文件的内容与采购人签订合同。中标人不得再与采购人签订背离合同实</w:t>
      </w:r>
      <w:r>
        <w:rPr>
          <w:rFonts w:ascii="宋体" w:hAnsi="宋体" w:eastAsia="宋体" w:cs="宋体"/>
          <w:spacing w:val="-2"/>
          <w:sz w:val="24"/>
          <w:szCs w:val="24"/>
          <w:highlight w:val="none"/>
        </w:rPr>
        <w:t>质性内容的其他协议或声明。</w:t>
      </w:r>
    </w:p>
    <w:p w14:paraId="7A21C94A">
      <w:pPr>
        <w:spacing w:before="185" w:line="318" w:lineRule="auto"/>
        <w:ind w:left="32" w:right="69" w:firstLine="491"/>
        <w:outlineLvl w:val="9"/>
        <w:rPr>
          <w:rFonts w:ascii="宋体" w:hAnsi="宋体" w:eastAsia="宋体" w:cs="宋体"/>
          <w:sz w:val="24"/>
          <w:szCs w:val="24"/>
          <w:highlight w:val="none"/>
        </w:rPr>
      </w:pPr>
      <w:r>
        <w:rPr>
          <w:rFonts w:ascii="宋体" w:hAnsi="宋体" w:eastAsia="宋体" w:cs="宋体"/>
          <w:spacing w:val="-2"/>
          <w:sz w:val="24"/>
          <w:szCs w:val="24"/>
          <w:highlight w:val="none"/>
        </w:rPr>
        <w:t>33.3采购人如需追加与合同标的相同的货物，在不改变合同其他条款的前</w:t>
      </w:r>
      <w:r>
        <w:rPr>
          <w:rFonts w:ascii="宋体" w:hAnsi="宋体" w:eastAsia="宋体" w:cs="宋体"/>
          <w:spacing w:val="-1"/>
          <w:sz w:val="24"/>
          <w:szCs w:val="24"/>
          <w:highlight w:val="none"/>
        </w:rPr>
        <w:t>提下，提交追加合同的申请经审核后，可与中标人签订补充合同，但所有补充合同的采购金额不得超过原合同金额的百分之十。</w:t>
      </w:r>
    </w:p>
    <w:p w14:paraId="42302F7F">
      <w:pPr>
        <w:spacing w:before="188" w:line="296" w:lineRule="auto"/>
        <w:ind w:left="33" w:right="50" w:firstLine="488"/>
        <w:outlineLvl w:val="9"/>
        <w:rPr>
          <w:rFonts w:ascii="宋体" w:hAnsi="宋体" w:eastAsia="宋体" w:cs="宋体"/>
          <w:sz w:val="24"/>
          <w:szCs w:val="24"/>
          <w:highlight w:val="none"/>
        </w:rPr>
      </w:pPr>
      <w:r>
        <w:rPr>
          <w:rFonts w:ascii="宋体" w:hAnsi="宋体" w:eastAsia="宋体" w:cs="宋体"/>
          <w:spacing w:val="-2"/>
          <w:sz w:val="24"/>
          <w:szCs w:val="24"/>
          <w:highlight w:val="none"/>
        </w:rPr>
        <w:t>33.4中标人一旦中标及签订合同后，不得转包，亦不得</w:t>
      </w:r>
      <w:r>
        <w:rPr>
          <w:rFonts w:ascii="宋体" w:hAnsi="宋体" w:eastAsia="宋体" w:cs="宋体"/>
          <w:spacing w:val="-3"/>
          <w:sz w:val="24"/>
          <w:szCs w:val="24"/>
          <w:highlight w:val="none"/>
        </w:rPr>
        <w:t>将合同全部及任何</w:t>
      </w:r>
      <w:r>
        <w:rPr>
          <w:rFonts w:ascii="宋体" w:hAnsi="宋体" w:eastAsia="宋体" w:cs="宋体"/>
          <w:spacing w:val="-2"/>
          <w:sz w:val="24"/>
          <w:szCs w:val="24"/>
          <w:highlight w:val="none"/>
        </w:rPr>
        <w:t>权利、义务向第三方转让。</w:t>
      </w:r>
    </w:p>
    <w:p w14:paraId="5CC0BF2A">
      <w:pPr>
        <w:spacing w:before="183" w:line="293" w:lineRule="auto"/>
        <w:ind w:left="33" w:right="112" w:firstLine="490"/>
        <w:outlineLvl w:val="9"/>
        <w:rPr>
          <w:rFonts w:ascii="宋体" w:hAnsi="宋体" w:eastAsia="宋体" w:cs="宋体"/>
          <w:sz w:val="24"/>
          <w:szCs w:val="24"/>
          <w:highlight w:val="none"/>
        </w:rPr>
      </w:pPr>
      <w:r>
        <w:rPr>
          <w:rFonts w:ascii="宋体" w:hAnsi="宋体" w:eastAsia="宋体" w:cs="宋体"/>
          <w:spacing w:val="-4"/>
          <w:sz w:val="24"/>
          <w:szCs w:val="24"/>
          <w:highlight w:val="none"/>
        </w:rPr>
        <w:t>33.5中标人不履行合同的，采购人可在报经同级人民政府财政部门</w:t>
      </w:r>
      <w:r>
        <w:rPr>
          <w:rFonts w:ascii="宋体" w:hAnsi="宋体" w:eastAsia="宋体" w:cs="宋体"/>
          <w:spacing w:val="-5"/>
          <w:sz w:val="24"/>
          <w:szCs w:val="24"/>
          <w:highlight w:val="none"/>
        </w:rPr>
        <w:t>核准后</w:t>
      </w:r>
      <w:r>
        <w:rPr>
          <w:rFonts w:ascii="宋体" w:hAnsi="宋体" w:eastAsia="宋体" w:cs="宋体"/>
          <w:spacing w:val="-3"/>
          <w:sz w:val="24"/>
          <w:szCs w:val="24"/>
          <w:highlight w:val="none"/>
        </w:rPr>
        <w:t>,与排位在中标人之后的第一位中标候选投标人签订合同，以此类推；或在报</w:t>
      </w:r>
      <w:r>
        <w:rPr>
          <w:rFonts w:ascii="宋体" w:hAnsi="宋体" w:eastAsia="宋体" w:cs="宋体"/>
          <w:spacing w:val="-1"/>
          <w:sz w:val="24"/>
          <w:szCs w:val="24"/>
          <w:highlight w:val="none"/>
        </w:rPr>
        <w:t>经同级人民政府财政部门核准后重新组织采购。</w:t>
      </w:r>
    </w:p>
    <w:p w14:paraId="354388D3">
      <w:pPr>
        <w:spacing w:before="169" w:line="219" w:lineRule="auto"/>
        <w:ind w:left="523"/>
        <w:outlineLvl w:val="9"/>
        <w:rPr>
          <w:rFonts w:ascii="宋体" w:hAnsi="宋体" w:eastAsia="宋体" w:cs="宋体"/>
          <w:sz w:val="24"/>
          <w:szCs w:val="24"/>
          <w:highlight w:val="none"/>
        </w:rPr>
      </w:pPr>
      <w:r>
        <w:rPr>
          <w:rFonts w:ascii="宋体" w:hAnsi="宋体" w:eastAsia="宋体" w:cs="宋体"/>
          <w:spacing w:val="-2"/>
          <w:sz w:val="24"/>
          <w:szCs w:val="24"/>
          <w:highlight w:val="none"/>
        </w:rPr>
        <w:t>33.6违反32.1条、32.2条的规定</w:t>
      </w:r>
      <w:r>
        <w:rPr>
          <w:rFonts w:ascii="宋体" w:hAnsi="宋体" w:eastAsia="宋体" w:cs="宋体"/>
          <w:spacing w:val="-3"/>
          <w:sz w:val="24"/>
          <w:szCs w:val="24"/>
          <w:highlight w:val="none"/>
        </w:rPr>
        <w:t>，给对方造成损失的，应承担赔偿责任</w:t>
      </w:r>
    </w:p>
    <w:p w14:paraId="1E9C65AE">
      <w:pPr>
        <w:spacing w:before="155" w:line="121" w:lineRule="exact"/>
        <w:ind w:left="542"/>
        <w:outlineLvl w:val="9"/>
        <w:rPr>
          <w:rFonts w:ascii="宋体" w:hAnsi="宋体" w:eastAsia="宋体" w:cs="宋体"/>
          <w:sz w:val="24"/>
          <w:szCs w:val="24"/>
          <w:highlight w:val="none"/>
        </w:rPr>
      </w:pPr>
      <w:r>
        <w:rPr>
          <w:rFonts w:ascii="宋体" w:hAnsi="宋体" w:eastAsia="宋体" w:cs="宋体"/>
          <w:position w:val="1"/>
          <w:sz w:val="24"/>
          <w:szCs w:val="24"/>
          <w:highlight w:val="none"/>
        </w:rPr>
        <w:t>。</w:t>
      </w:r>
    </w:p>
    <w:p w14:paraId="48D2CFA9">
      <w:pPr>
        <w:spacing w:before="200" w:line="220" w:lineRule="auto"/>
        <w:ind w:left="41"/>
        <w:outlineLvl w:val="9"/>
        <w:rPr>
          <w:rFonts w:ascii="宋体" w:hAnsi="宋体" w:eastAsia="宋体" w:cs="宋体"/>
          <w:sz w:val="24"/>
          <w:szCs w:val="24"/>
          <w:highlight w:val="none"/>
        </w:rPr>
      </w:pPr>
      <w:r>
        <w:rPr>
          <w:rFonts w:ascii="宋体" w:hAnsi="宋体" w:eastAsia="宋体" w:cs="宋体"/>
          <w:b/>
          <w:bCs/>
          <w:spacing w:val="-7"/>
          <w:sz w:val="24"/>
          <w:szCs w:val="24"/>
          <w:highlight w:val="none"/>
        </w:rPr>
        <w:t>34.审核合同</w:t>
      </w:r>
    </w:p>
    <w:p w14:paraId="560647F2">
      <w:pPr>
        <w:spacing w:before="188" w:line="222" w:lineRule="auto"/>
        <w:ind w:left="518" w:right="254" w:firstLine="5"/>
        <w:outlineLvl w:val="9"/>
        <w:rPr>
          <w:rFonts w:ascii="宋体" w:hAnsi="宋体" w:eastAsia="宋体" w:cs="宋体"/>
          <w:sz w:val="24"/>
          <w:szCs w:val="24"/>
          <w:highlight w:val="none"/>
        </w:rPr>
      </w:pPr>
      <w:r>
        <w:rPr>
          <w:rFonts w:ascii="宋体" w:hAnsi="宋体" w:eastAsia="宋体" w:cs="宋体"/>
          <w:spacing w:val="-3"/>
          <w:sz w:val="24"/>
          <w:szCs w:val="24"/>
          <w:highlight w:val="none"/>
        </w:rPr>
        <w:t>34.1中标人持政府采购合同于签订合同之日起3个工作日内进行备案留</w:t>
      </w:r>
      <w:r>
        <w:rPr>
          <w:rFonts w:ascii="宋体" w:hAnsi="宋体" w:eastAsia="宋体" w:cs="宋体"/>
          <w:spacing w:val="-5"/>
          <w:sz w:val="24"/>
          <w:szCs w:val="24"/>
          <w:highlight w:val="none"/>
        </w:rPr>
        <w:t>存。</w:t>
      </w:r>
    </w:p>
    <w:p w14:paraId="0867C607">
      <w:pPr>
        <w:pStyle w:val="2"/>
        <w:spacing w:line="272" w:lineRule="auto"/>
        <w:outlineLvl w:val="9"/>
        <w:rPr>
          <w:highlight w:val="none"/>
        </w:rPr>
      </w:pPr>
    </w:p>
    <w:p w14:paraId="32E39A3F">
      <w:pPr>
        <w:spacing w:before="79" w:line="221" w:lineRule="auto"/>
        <w:ind w:left="37"/>
        <w:outlineLvl w:val="9"/>
        <w:rPr>
          <w:rFonts w:ascii="黑体" w:hAnsi="黑体" w:eastAsia="黑体" w:cs="黑体"/>
          <w:sz w:val="24"/>
          <w:szCs w:val="24"/>
          <w:highlight w:val="none"/>
        </w:rPr>
      </w:pPr>
      <w:r>
        <w:rPr>
          <w:rFonts w:ascii="黑体" w:hAnsi="黑体" w:eastAsia="黑体" w:cs="黑体"/>
          <w:b/>
          <w:bCs/>
          <w:spacing w:val="-5"/>
          <w:sz w:val="24"/>
          <w:szCs w:val="24"/>
          <w:highlight w:val="none"/>
        </w:rPr>
        <w:t>十一、处罚、询问和质疑</w:t>
      </w:r>
    </w:p>
    <w:p w14:paraId="78629F77">
      <w:pPr>
        <w:spacing w:before="171" w:line="224" w:lineRule="auto"/>
        <w:ind w:left="41"/>
        <w:outlineLvl w:val="9"/>
        <w:rPr>
          <w:rFonts w:ascii="宋体" w:hAnsi="宋体" w:eastAsia="宋体" w:cs="宋体"/>
          <w:sz w:val="24"/>
          <w:szCs w:val="24"/>
          <w:highlight w:val="none"/>
        </w:rPr>
      </w:pPr>
      <w:r>
        <w:rPr>
          <w:rFonts w:ascii="宋体" w:hAnsi="宋体" w:eastAsia="宋体" w:cs="宋体"/>
          <w:b/>
          <w:bCs/>
          <w:spacing w:val="-8"/>
          <w:sz w:val="24"/>
          <w:szCs w:val="24"/>
          <w:highlight w:val="none"/>
        </w:rPr>
        <w:t>35.处罚</w:t>
      </w:r>
    </w:p>
    <w:p w14:paraId="43411A3B">
      <w:pPr>
        <w:spacing w:before="204" w:line="358" w:lineRule="auto"/>
        <w:ind w:left="35" w:right="115" w:firstLine="488"/>
        <w:outlineLvl w:val="9"/>
        <w:rPr>
          <w:rFonts w:ascii="宋体" w:hAnsi="宋体" w:eastAsia="宋体" w:cs="宋体"/>
          <w:sz w:val="24"/>
          <w:szCs w:val="24"/>
          <w:highlight w:val="none"/>
        </w:rPr>
      </w:pPr>
      <w:r>
        <w:rPr>
          <w:rFonts w:ascii="宋体" w:hAnsi="宋体" w:eastAsia="宋体" w:cs="宋体"/>
          <w:spacing w:val="-4"/>
          <w:sz w:val="24"/>
          <w:szCs w:val="24"/>
          <w:highlight w:val="none"/>
        </w:rPr>
        <w:t>35.1发生下列情况之一，投标人的保证金不予退还；情节严重的将其列入不良记录名单。</w:t>
      </w:r>
    </w:p>
    <w:p w14:paraId="4958776C">
      <w:pPr>
        <w:spacing w:line="219" w:lineRule="auto"/>
        <w:ind w:left="551"/>
        <w:outlineLvl w:val="9"/>
        <w:rPr>
          <w:rFonts w:ascii="宋体" w:hAnsi="宋体" w:eastAsia="宋体" w:cs="宋体"/>
          <w:sz w:val="24"/>
          <w:szCs w:val="24"/>
          <w:highlight w:val="none"/>
        </w:rPr>
      </w:pPr>
      <w:r>
        <w:rPr>
          <w:rFonts w:ascii="宋体" w:hAnsi="宋体" w:eastAsia="宋体" w:cs="宋体"/>
          <w:spacing w:val="-3"/>
          <w:sz w:val="24"/>
          <w:szCs w:val="24"/>
          <w:highlight w:val="none"/>
        </w:rPr>
        <w:t>1）开标后在投标有效期内，投标人撤回其投标；</w:t>
      </w:r>
    </w:p>
    <w:p w14:paraId="39DA9354">
      <w:pPr>
        <w:spacing w:before="190" w:line="219" w:lineRule="auto"/>
        <w:ind w:left="519"/>
        <w:outlineLvl w:val="9"/>
        <w:rPr>
          <w:rFonts w:ascii="宋体" w:hAnsi="宋体" w:eastAsia="宋体" w:cs="宋体"/>
          <w:sz w:val="24"/>
          <w:szCs w:val="24"/>
          <w:highlight w:val="none"/>
        </w:rPr>
      </w:pPr>
      <w:r>
        <w:rPr>
          <w:rFonts w:ascii="宋体" w:hAnsi="宋体" w:eastAsia="宋体" w:cs="宋体"/>
          <w:spacing w:val="-1"/>
          <w:sz w:val="24"/>
          <w:szCs w:val="24"/>
          <w:highlight w:val="none"/>
        </w:rPr>
        <w:t>2）中标后无正当理由不与采购人签订合同的；</w:t>
      </w:r>
    </w:p>
    <w:p w14:paraId="39C6BC31">
      <w:pPr>
        <w:spacing w:before="190" w:line="219" w:lineRule="auto"/>
        <w:ind w:left="523"/>
        <w:outlineLvl w:val="9"/>
        <w:rPr>
          <w:rFonts w:ascii="宋体" w:hAnsi="宋体" w:eastAsia="宋体" w:cs="宋体"/>
          <w:sz w:val="24"/>
          <w:szCs w:val="24"/>
          <w:highlight w:val="none"/>
        </w:rPr>
      </w:pPr>
      <w:r>
        <w:rPr>
          <w:rFonts w:ascii="宋体" w:hAnsi="宋体" w:eastAsia="宋体" w:cs="宋体"/>
          <w:spacing w:val="-1"/>
          <w:sz w:val="24"/>
          <w:szCs w:val="24"/>
          <w:highlight w:val="none"/>
        </w:rPr>
        <w:t>3）中标人与采购人订立背离合同实质性内容的其他协议；</w:t>
      </w:r>
    </w:p>
    <w:p w14:paraId="49426FF1">
      <w:pPr>
        <w:spacing w:before="216" w:line="295" w:lineRule="auto"/>
        <w:ind w:left="38" w:right="139" w:firstLine="472"/>
        <w:outlineLvl w:val="9"/>
        <w:rPr>
          <w:rFonts w:ascii="宋体" w:hAnsi="宋体" w:eastAsia="宋体" w:cs="宋体"/>
          <w:sz w:val="24"/>
          <w:szCs w:val="24"/>
          <w:highlight w:val="none"/>
        </w:rPr>
      </w:pPr>
      <w:r>
        <w:rPr>
          <w:rFonts w:ascii="宋体" w:hAnsi="宋体" w:eastAsia="宋体" w:cs="宋体"/>
          <w:spacing w:val="3"/>
          <w:sz w:val="24"/>
          <w:szCs w:val="24"/>
          <w:highlight w:val="none"/>
        </w:rPr>
        <w:t>4）将中标项目转让给他人，或者在投标文</w:t>
      </w:r>
      <w:r>
        <w:rPr>
          <w:rFonts w:ascii="宋体" w:hAnsi="宋体" w:eastAsia="宋体" w:cs="宋体"/>
          <w:spacing w:val="2"/>
          <w:sz w:val="24"/>
          <w:szCs w:val="24"/>
          <w:highlight w:val="none"/>
        </w:rPr>
        <w:t>件中未说明，且未经采购代理</w:t>
      </w:r>
      <w:r>
        <w:rPr>
          <w:rFonts w:ascii="宋体" w:hAnsi="宋体" w:eastAsia="宋体" w:cs="宋体"/>
          <w:spacing w:val="-1"/>
          <w:sz w:val="24"/>
          <w:szCs w:val="24"/>
          <w:highlight w:val="none"/>
        </w:rPr>
        <w:t>机构同意，将中标项目分包给他人的；</w:t>
      </w:r>
    </w:p>
    <w:p w14:paraId="3B693D09">
      <w:pPr>
        <w:spacing w:before="161" w:line="219" w:lineRule="auto"/>
        <w:ind w:left="523"/>
        <w:outlineLvl w:val="9"/>
        <w:rPr>
          <w:rFonts w:ascii="宋体" w:hAnsi="宋体" w:eastAsia="宋体" w:cs="宋体"/>
          <w:sz w:val="24"/>
          <w:szCs w:val="24"/>
          <w:highlight w:val="none"/>
        </w:rPr>
      </w:pPr>
      <w:r>
        <w:rPr>
          <w:rFonts w:ascii="宋体" w:hAnsi="宋体" w:eastAsia="宋体" w:cs="宋体"/>
          <w:spacing w:val="-2"/>
          <w:sz w:val="24"/>
          <w:szCs w:val="24"/>
          <w:highlight w:val="none"/>
        </w:rPr>
        <w:t>5）存在串通投标行为的；</w:t>
      </w:r>
    </w:p>
    <w:p w14:paraId="728C8364">
      <w:pPr>
        <w:spacing w:before="192" w:line="219" w:lineRule="auto"/>
        <w:ind w:left="518"/>
        <w:outlineLvl w:val="9"/>
        <w:rPr>
          <w:rFonts w:ascii="宋体" w:hAnsi="宋体" w:eastAsia="宋体" w:cs="宋体"/>
          <w:sz w:val="24"/>
          <w:szCs w:val="24"/>
          <w:highlight w:val="none"/>
        </w:rPr>
      </w:pPr>
      <w:r>
        <w:rPr>
          <w:rFonts w:ascii="宋体" w:hAnsi="宋体" w:eastAsia="宋体" w:cs="宋体"/>
          <w:spacing w:val="-1"/>
          <w:sz w:val="24"/>
          <w:szCs w:val="24"/>
          <w:highlight w:val="none"/>
        </w:rPr>
        <w:t>6）存在弄虚作假或提供虚假材料谋取中标的；</w:t>
      </w:r>
    </w:p>
    <w:p w14:paraId="157E0563">
      <w:pPr>
        <w:spacing w:before="194" w:line="219" w:lineRule="auto"/>
        <w:ind w:left="527"/>
        <w:outlineLvl w:val="9"/>
        <w:rPr>
          <w:rFonts w:ascii="宋体" w:hAnsi="宋体" w:eastAsia="宋体" w:cs="宋体"/>
          <w:sz w:val="24"/>
          <w:szCs w:val="24"/>
          <w:highlight w:val="none"/>
        </w:rPr>
      </w:pPr>
      <w:r>
        <w:rPr>
          <w:rFonts w:ascii="宋体" w:hAnsi="宋体" w:eastAsia="宋体" w:cs="宋体"/>
          <w:spacing w:val="-1"/>
          <w:sz w:val="24"/>
          <w:szCs w:val="24"/>
          <w:highlight w:val="none"/>
        </w:rPr>
        <w:t>7）投标人其他未按招标文件规定和合同约定履行义务的行为。</w:t>
      </w:r>
    </w:p>
    <w:p w14:paraId="46E16830">
      <w:pPr>
        <w:spacing w:line="219" w:lineRule="auto"/>
        <w:outlineLvl w:val="9"/>
        <w:rPr>
          <w:rFonts w:ascii="宋体" w:hAnsi="宋体" w:eastAsia="宋体" w:cs="宋体"/>
          <w:sz w:val="24"/>
          <w:szCs w:val="24"/>
          <w:highlight w:val="none"/>
        </w:rPr>
        <w:sectPr>
          <w:footerReference r:id="rId31" w:type="default"/>
          <w:pgSz w:w="11850" w:h="16781"/>
          <w:pgMar w:top="400" w:right="1777" w:bottom="1011" w:left="1777" w:header="0" w:footer="766" w:gutter="0"/>
          <w:pgNumType w:fmt="decimal"/>
          <w:cols w:space="720" w:num="1"/>
        </w:sectPr>
      </w:pPr>
    </w:p>
    <w:p w14:paraId="6DF746B5">
      <w:pPr>
        <w:pStyle w:val="2"/>
        <w:spacing w:line="242" w:lineRule="auto"/>
        <w:outlineLvl w:val="9"/>
        <w:rPr>
          <w:highlight w:val="none"/>
        </w:rPr>
      </w:pPr>
    </w:p>
    <w:p w14:paraId="60D003D1">
      <w:pPr>
        <w:pStyle w:val="2"/>
        <w:spacing w:line="243" w:lineRule="auto"/>
        <w:outlineLvl w:val="9"/>
        <w:rPr>
          <w:highlight w:val="none"/>
        </w:rPr>
      </w:pPr>
    </w:p>
    <w:p w14:paraId="6386DD1C">
      <w:pPr>
        <w:pStyle w:val="2"/>
        <w:spacing w:line="243" w:lineRule="auto"/>
        <w:outlineLvl w:val="9"/>
        <w:rPr>
          <w:highlight w:val="none"/>
        </w:rPr>
      </w:pPr>
    </w:p>
    <w:p w14:paraId="4291C66F">
      <w:pPr>
        <w:pStyle w:val="2"/>
        <w:spacing w:line="243" w:lineRule="auto"/>
        <w:outlineLvl w:val="9"/>
        <w:rPr>
          <w:highlight w:val="none"/>
        </w:rPr>
      </w:pPr>
    </w:p>
    <w:p w14:paraId="5985D4FC">
      <w:pPr>
        <w:spacing w:before="78" w:line="221" w:lineRule="auto"/>
        <w:ind w:left="41"/>
        <w:outlineLvl w:val="9"/>
        <w:rPr>
          <w:rFonts w:ascii="宋体" w:hAnsi="宋体" w:eastAsia="宋体" w:cs="宋体"/>
          <w:sz w:val="24"/>
          <w:szCs w:val="24"/>
          <w:highlight w:val="none"/>
        </w:rPr>
      </w:pPr>
      <w:r>
        <w:rPr>
          <w:rFonts w:ascii="宋体" w:hAnsi="宋体" w:eastAsia="宋体" w:cs="宋体"/>
          <w:b/>
          <w:bCs/>
          <w:spacing w:val="-8"/>
          <w:sz w:val="24"/>
          <w:szCs w:val="24"/>
          <w:highlight w:val="none"/>
        </w:rPr>
        <w:t>36．询问</w:t>
      </w:r>
    </w:p>
    <w:p w14:paraId="11B792CA">
      <w:pPr>
        <w:spacing w:before="186" w:line="221" w:lineRule="auto"/>
        <w:ind w:left="545" w:right="258" w:hanging="22"/>
        <w:outlineLvl w:val="9"/>
        <w:rPr>
          <w:rFonts w:ascii="宋体" w:hAnsi="宋体" w:eastAsia="宋体" w:cs="宋体"/>
          <w:sz w:val="24"/>
          <w:szCs w:val="24"/>
          <w:highlight w:val="none"/>
        </w:rPr>
      </w:pPr>
      <w:r>
        <w:rPr>
          <w:rFonts w:ascii="宋体" w:hAnsi="宋体" w:eastAsia="宋体" w:cs="宋体"/>
          <w:spacing w:val="-1"/>
          <w:sz w:val="24"/>
          <w:szCs w:val="24"/>
          <w:highlight w:val="none"/>
        </w:rPr>
        <w:t>36.1投标人对采购事项有疑问的，可以向采购人或采购代理机构提出询</w:t>
      </w:r>
      <w:r>
        <w:rPr>
          <w:rFonts w:ascii="宋体" w:hAnsi="宋体" w:eastAsia="宋体" w:cs="宋体"/>
          <w:spacing w:val="-19"/>
          <w:sz w:val="24"/>
          <w:szCs w:val="24"/>
          <w:highlight w:val="none"/>
        </w:rPr>
        <w:t>问。</w:t>
      </w:r>
    </w:p>
    <w:p w14:paraId="79953186">
      <w:pPr>
        <w:spacing w:before="188" w:line="219" w:lineRule="auto"/>
        <w:ind w:left="41"/>
        <w:outlineLvl w:val="9"/>
        <w:rPr>
          <w:rFonts w:ascii="宋体" w:hAnsi="宋体" w:eastAsia="宋体" w:cs="宋体"/>
          <w:sz w:val="24"/>
          <w:szCs w:val="24"/>
          <w:highlight w:val="none"/>
        </w:rPr>
      </w:pPr>
      <w:r>
        <w:rPr>
          <w:rFonts w:ascii="宋体" w:hAnsi="宋体" w:eastAsia="宋体" w:cs="宋体"/>
          <w:b/>
          <w:bCs/>
          <w:spacing w:val="-5"/>
          <w:sz w:val="24"/>
          <w:szCs w:val="24"/>
          <w:highlight w:val="none"/>
        </w:rPr>
        <w:t>37.投标人有权就招标事宜提出质疑</w:t>
      </w:r>
    </w:p>
    <w:p w14:paraId="188A4B1D">
      <w:pPr>
        <w:spacing w:before="212" w:line="293" w:lineRule="auto"/>
        <w:ind w:left="32" w:right="90" w:firstLine="491"/>
        <w:outlineLvl w:val="9"/>
        <w:rPr>
          <w:rFonts w:ascii="宋体" w:hAnsi="宋体" w:eastAsia="宋体" w:cs="宋体"/>
          <w:sz w:val="24"/>
          <w:szCs w:val="24"/>
          <w:highlight w:val="none"/>
        </w:rPr>
      </w:pPr>
      <w:r>
        <w:rPr>
          <w:rFonts w:ascii="宋体" w:hAnsi="宋体" w:eastAsia="宋体" w:cs="宋体"/>
          <w:spacing w:val="-4"/>
          <w:sz w:val="24"/>
          <w:szCs w:val="24"/>
          <w:highlight w:val="none"/>
        </w:rPr>
        <w:t>37.1投标人认为招标文件、采购过程和中标结果使自已的权益受到损害的</w:t>
      </w:r>
      <w:r>
        <w:rPr>
          <w:rFonts w:ascii="宋体" w:hAnsi="宋体" w:eastAsia="宋体" w:cs="宋体"/>
          <w:spacing w:val="-3"/>
          <w:sz w:val="24"/>
          <w:szCs w:val="24"/>
          <w:highlight w:val="none"/>
        </w:rPr>
        <w:t>,可以在知道或者应知其权益受到损害之日起7个工作日内，以</w:t>
      </w:r>
      <w:r>
        <w:rPr>
          <w:rFonts w:ascii="宋体" w:hAnsi="宋体" w:eastAsia="宋体" w:cs="宋体"/>
          <w:spacing w:val="-4"/>
          <w:sz w:val="24"/>
          <w:szCs w:val="24"/>
          <w:highlight w:val="none"/>
        </w:rPr>
        <w:t>书面形式提出质疑。</w:t>
      </w:r>
    </w:p>
    <w:p w14:paraId="4E8F568A">
      <w:pPr>
        <w:spacing w:before="184" w:line="319" w:lineRule="auto"/>
        <w:ind w:left="30" w:right="117" w:firstLine="492"/>
        <w:outlineLvl w:val="9"/>
        <w:rPr>
          <w:rFonts w:ascii="宋体" w:hAnsi="宋体" w:eastAsia="宋体" w:cs="宋体"/>
          <w:sz w:val="24"/>
          <w:szCs w:val="24"/>
          <w:highlight w:val="none"/>
        </w:rPr>
      </w:pPr>
      <w:r>
        <w:rPr>
          <w:rFonts w:ascii="宋体" w:hAnsi="宋体" w:eastAsia="宋体" w:cs="宋体"/>
          <w:spacing w:val="-4"/>
          <w:sz w:val="24"/>
          <w:szCs w:val="24"/>
          <w:highlight w:val="none"/>
        </w:rPr>
        <w:t>37.2质疑应当按照《中华人民共和国政府采购法》、《中华人民共和国政</w:t>
      </w:r>
      <w:r>
        <w:rPr>
          <w:rFonts w:ascii="宋体" w:hAnsi="宋体" w:eastAsia="宋体" w:cs="宋体"/>
          <w:spacing w:val="-1"/>
          <w:sz w:val="24"/>
          <w:szCs w:val="24"/>
          <w:highlight w:val="none"/>
        </w:rPr>
        <w:t>府采购法实施条例》、《政府采购供应商投诉处理办法》等法律法规的相关规定，以书面形式向采购代理机构提出。</w:t>
      </w:r>
    </w:p>
    <w:p w14:paraId="5DB9F8E7">
      <w:pPr>
        <w:spacing w:before="191" w:line="316" w:lineRule="auto"/>
        <w:ind w:left="31" w:right="91" w:firstLine="491"/>
        <w:outlineLvl w:val="9"/>
        <w:rPr>
          <w:rFonts w:ascii="宋体" w:hAnsi="宋体" w:eastAsia="宋体" w:cs="宋体"/>
          <w:sz w:val="24"/>
          <w:szCs w:val="24"/>
          <w:highlight w:val="none"/>
        </w:rPr>
      </w:pPr>
      <w:r>
        <w:rPr>
          <w:rFonts w:ascii="宋体" w:hAnsi="宋体" w:eastAsia="宋体" w:cs="宋体"/>
          <w:spacing w:val="-4"/>
          <w:sz w:val="24"/>
          <w:szCs w:val="24"/>
          <w:highlight w:val="none"/>
        </w:rPr>
        <w:t>37.3质疑书应当附上相关证明材料，否则质疑将视为无有效证据支持，将</w:t>
      </w:r>
      <w:r>
        <w:rPr>
          <w:rFonts w:ascii="宋体" w:hAnsi="宋体" w:eastAsia="宋体" w:cs="宋体"/>
          <w:spacing w:val="-1"/>
          <w:sz w:val="24"/>
          <w:szCs w:val="24"/>
          <w:highlight w:val="none"/>
        </w:rPr>
        <w:t>被予以驳回，并不得以上述理由要求延长质疑有效期。未递交投标文件的投标</w:t>
      </w:r>
      <w:r>
        <w:rPr>
          <w:rFonts w:ascii="宋体" w:hAnsi="宋体" w:eastAsia="宋体" w:cs="宋体"/>
          <w:sz w:val="24"/>
          <w:szCs w:val="24"/>
          <w:highlight w:val="none"/>
        </w:rPr>
        <w:t>人，其未参加后续采购活动，不得对递交投标文件截止后的采购过程、采购结</w:t>
      </w:r>
      <w:r>
        <w:rPr>
          <w:rFonts w:ascii="宋体" w:hAnsi="宋体" w:eastAsia="宋体" w:cs="宋体"/>
          <w:spacing w:val="-1"/>
          <w:sz w:val="24"/>
          <w:szCs w:val="24"/>
          <w:highlight w:val="none"/>
        </w:rPr>
        <w:t>果提出质疑。</w:t>
      </w:r>
    </w:p>
    <w:p w14:paraId="2A6DF754">
      <w:pPr>
        <w:spacing w:before="3" w:line="256" w:lineRule="auto"/>
        <w:ind w:left="34" w:right="129" w:firstLine="1"/>
        <w:outlineLvl w:val="9"/>
        <w:rPr>
          <w:rFonts w:ascii="宋体" w:hAnsi="宋体" w:eastAsia="宋体" w:cs="宋体"/>
          <w:sz w:val="24"/>
          <w:szCs w:val="24"/>
          <w:highlight w:val="none"/>
        </w:rPr>
      </w:pPr>
      <w:r>
        <w:rPr>
          <w:rFonts w:ascii="宋体" w:hAnsi="宋体" w:eastAsia="宋体" w:cs="宋体"/>
          <w:spacing w:val="-4"/>
          <w:sz w:val="24"/>
          <w:szCs w:val="24"/>
          <w:highlight w:val="none"/>
        </w:rPr>
        <w:t>37.4质疑人可以采取直接送达或者邮寄方式提交质疑书。采购代理机构收到质</w:t>
      </w:r>
      <w:r>
        <w:rPr>
          <w:rFonts w:ascii="宋体" w:hAnsi="宋体" w:eastAsia="宋体" w:cs="宋体"/>
          <w:spacing w:val="-1"/>
          <w:sz w:val="24"/>
          <w:szCs w:val="24"/>
          <w:highlight w:val="none"/>
        </w:rPr>
        <w:t>疑书后，对质疑书进行审查，对符合质疑条件的</w:t>
      </w:r>
      <w:r>
        <w:rPr>
          <w:rFonts w:ascii="宋体" w:hAnsi="宋体" w:eastAsia="宋体" w:cs="宋体"/>
          <w:spacing w:val="-2"/>
          <w:sz w:val="24"/>
          <w:szCs w:val="24"/>
          <w:highlight w:val="none"/>
        </w:rPr>
        <w:t>将办理签收手续，自签收质疑</w:t>
      </w:r>
      <w:r>
        <w:rPr>
          <w:rFonts w:ascii="宋体" w:hAnsi="宋体" w:eastAsia="宋体" w:cs="宋体"/>
          <w:spacing w:val="-4"/>
          <w:sz w:val="24"/>
          <w:szCs w:val="24"/>
          <w:highlight w:val="none"/>
        </w:rPr>
        <w:t>书之日起即为受理。</w:t>
      </w:r>
    </w:p>
    <w:p w14:paraId="6710E389">
      <w:pPr>
        <w:spacing w:before="186" w:line="318" w:lineRule="auto"/>
        <w:ind w:left="31" w:right="112" w:firstLine="491"/>
        <w:outlineLvl w:val="9"/>
        <w:rPr>
          <w:rFonts w:ascii="宋体" w:hAnsi="宋体" w:eastAsia="宋体" w:cs="宋体"/>
          <w:sz w:val="24"/>
          <w:szCs w:val="24"/>
          <w:highlight w:val="none"/>
        </w:rPr>
      </w:pPr>
      <w:r>
        <w:rPr>
          <w:rFonts w:ascii="宋体" w:hAnsi="宋体" w:eastAsia="宋体" w:cs="宋体"/>
          <w:spacing w:val="-4"/>
          <w:sz w:val="24"/>
          <w:szCs w:val="24"/>
          <w:highlight w:val="none"/>
        </w:rPr>
        <w:t>37.5采购代理机构将在受理书面质疑后7个工作日内</w:t>
      </w:r>
      <w:r>
        <w:rPr>
          <w:rFonts w:ascii="宋体" w:hAnsi="宋体" w:eastAsia="宋体" w:cs="宋体"/>
          <w:spacing w:val="-5"/>
          <w:sz w:val="24"/>
          <w:szCs w:val="24"/>
          <w:highlight w:val="none"/>
        </w:rPr>
        <w:t>审查质疑事项，作出</w:t>
      </w:r>
      <w:r>
        <w:rPr>
          <w:rFonts w:ascii="宋体" w:hAnsi="宋体" w:eastAsia="宋体" w:cs="宋体"/>
          <w:spacing w:val="-1"/>
          <w:sz w:val="24"/>
          <w:szCs w:val="24"/>
          <w:highlight w:val="none"/>
        </w:rPr>
        <w:t>答复或相关处理决定，并以书面形式通知质疑人和其他相关投标人，但答复的</w:t>
      </w:r>
      <w:r>
        <w:rPr>
          <w:rFonts w:ascii="宋体" w:hAnsi="宋体" w:eastAsia="宋体" w:cs="宋体"/>
          <w:spacing w:val="-3"/>
          <w:sz w:val="24"/>
          <w:szCs w:val="24"/>
          <w:highlight w:val="none"/>
        </w:rPr>
        <w:t>内容不涉及商业秘密。</w:t>
      </w:r>
    </w:p>
    <w:p w14:paraId="29CA5DDE">
      <w:pPr>
        <w:spacing w:before="185" w:line="318" w:lineRule="auto"/>
        <w:ind w:left="30" w:right="115" w:firstLine="492"/>
        <w:outlineLvl w:val="9"/>
        <w:rPr>
          <w:rFonts w:ascii="宋体" w:hAnsi="宋体" w:eastAsia="宋体" w:cs="宋体"/>
          <w:sz w:val="24"/>
          <w:szCs w:val="24"/>
          <w:highlight w:val="none"/>
        </w:rPr>
      </w:pPr>
      <w:r>
        <w:rPr>
          <w:rFonts w:ascii="宋体" w:hAnsi="宋体" w:eastAsia="宋体" w:cs="宋体"/>
          <w:spacing w:val="-4"/>
          <w:sz w:val="24"/>
          <w:szCs w:val="24"/>
          <w:highlight w:val="none"/>
        </w:rPr>
        <w:t>37.6投标人进行虚假和恶意质疑的，采购代理机构将提请有关部门将其列</w:t>
      </w:r>
      <w:r>
        <w:rPr>
          <w:rFonts w:ascii="宋体" w:hAnsi="宋体" w:eastAsia="宋体" w:cs="宋体"/>
          <w:spacing w:val="-1"/>
          <w:sz w:val="24"/>
          <w:szCs w:val="24"/>
          <w:highlight w:val="none"/>
        </w:rPr>
        <w:t>入不良记录名单，在一至三年内禁止参加政府采购活动，并将处理决定在相关</w:t>
      </w:r>
      <w:r>
        <w:rPr>
          <w:rFonts w:ascii="宋体" w:hAnsi="宋体" w:eastAsia="宋体" w:cs="宋体"/>
          <w:spacing w:val="-3"/>
          <w:sz w:val="24"/>
          <w:szCs w:val="24"/>
          <w:highlight w:val="none"/>
        </w:rPr>
        <w:t>政府采购媒体上公布。</w:t>
      </w:r>
    </w:p>
    <w:p w14:paraId="6C7AF984">
      <w:pPr>
        <w:spacing w:before="192" w:line="292" w:lineRule="auto"/>
        <w:ind w:left="51" w:right="115" w:firstLine="472"/>
        <w:outlineLvl w:val="9"/>
        <w:rPr>
          <w:rFonts w:ascii="宋体" w:hAnsi="宋体" w:eastAsia="宋体" w:cs="宋体"/>
          <w:sz w:val="24"/>
          <w:szCs w:val="24"/>
          <w:highlight w:val="none"/>
        </w:rPr>
      </w:pPr>
      <w:r>
        <w:rPr>
          <w:rFonts w:ascii="宋体" w:hAnsi="宋体" w:eastAsia="宋体" w:cs="宋体"/>
          <w:spacing w:val="-4"/>
          <w:sz w:val="24"/>
          <w:szCs w:val="24"/>
          <w:highlight w:val="none"/>
        </w:rPr>
        <w:t>37.7质疑人对答复不满意以及采购代理机构未在规定的时间内作出答复的</w:t>
      </w:r>
      <w:r>
        <w:rPr>
          <w:rFonts w:ascii="宋体" w:hAnsi="宋体" w:eastAsia="宋体" w:cs="宋体"/>
          <w:spacing w:val="-7"/>
          <w:sz w:val="24"/>
          <w:szCs w:val="24"/>
          <w:highlight w:val="none"/>
        </w:rPr>
        <w:t>,可以在答复期满后15个工作日内向上级部门投拆。</w:t>
      </w:r>
    </w:p>
    <w:p w14:paraId="59C2DF08">
      <w:pPr>
        <w:spacing w:before="168" w:line="219" w:lineRule="auto"/>
        <w:ind w:left="526"/>
        <w:outlineLvl w:val="9"/>
        <w:rPr>
          <w:rFonts w:ascii="宋体" w:hAnsi="宋体" w:eastAsia="宋体" w:cs="宋体"/>
          <w:sz w:val="24"/>
          <w:szCs w:val="24"/>
          <w:highlight w:val="none"/>
        </w:rPr>
      </w:pPr>
      <w:r>
        <w:rPr>
          <w:rFonts w:ascii="宋体" w:hAnsi="宋体" w:eastAsia="宋体" w:cs="宋体"/>
          <w:spacing w:val="-1"/>
          <w:sz w:val="24"/>
          <w:szCs w:val="24"/>
          <w:highlight w:val="none"/>
        </w:rPr>
        <w:t>37.8供应商在法定质疑期内一次性提出针对同一采购程序环节的质疑。</w:t>
      </w:r>
    </w:p>
    <w:p w14:paraId="6F48948A">
      <w:pPr>
        <w:pStyle w:val="2"/>
        <w:spacing w:line="279" w:lineRule="auto"/>
        <w:outlineLvl w:val="9"/>
        <w:rPr>
          <w:highlight w:val="none"/>
        </w:rPr>
      </w:pPr>
    </w:p>
    <w:p w14:paraId="29FB73E7">
      <w:pPr>
        <w:spacing w:before="78" w:line="221" w:lineRule="auto"/>
        <w:ind w:left="39"/>
        <w:outlineLvl w:val="9"/>
        <w:rPr>
          <w:rFonts w:ascii="黑体" w:hAnsi="黑体" w:eastAsia="黑体" w:cs="黑体"/>
          <w:sz w:val="24"/>
          <w:szCs w:val="24"/>
          <w:highlight w:val="none"/>
        </w:rPr>
      </w:pPr>
      <w:r>
        <w:rPr>
          <w:rFonts w:ascii="黑体" w:hAnsi="黑体" w:eastAsia="黑体" w:cs="黑体"/>
          <w:b/>
          <w:bCs/>
          <w:spacing w:val="-5"/>
          <w:sz w:val="24"/>
          <w:szCs w:val="24"/>
          <w:highlight w:val="none"/>
        </w:rPr>
        <w:t>十二、保密和披露</w:t>
      </w:r>
    </w:p>
    <w:p w14:paraId="4C81ED00">
      <w:pPr>
        <w:spacing w:before="171" w:line="220" w:lineRule="auto"/>
        <w:ind w:left="41"/>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38.保密和披露</w:t>
      </w:r>
    </w:p>
    <w:p w14:paraId="492B20AF">
      <w:pPr>
        <w:spacing w:before="215" w:line="337" w:lineRule="auto"/>
        <w:ind w:left="31" w:right="115" w:firstLine="494"/>
        <w:jc w:val="both"/>
        <w:outlineLvl w:val="9"/>
        <w:rPr>
          <w:rFonts w:ascii="宋体" w:hAnsi="宋体" w:eastAsia="宋体" w:cs="宋体"/>
          <w:sz w:val="24"/>
          <w:szCs w:val="24"/>
          <w:highlight w:val="none"/>
        </w:rPr>
      </w:pPr>
      <w:r>
        <w:rPr>
          <w:rFonts w:ascii="宋体" w:hAnsi="宋体" w:eastAsia="宋体" w:cs="宋体"/>
          <w:spacing w:val="-4"/>
          <w:sz w:val="24"/>
          <w:szCs w:val="24"/>
          <w:highlight w:val="none"/>
        </w:rPr>
        <w:t>38.1投标人自领取招标文件之日起，须承担本招标项目保密义务，不得将</w:t>
      </w:r>
      <w:r>
        <w:rPr>
          <w:rFonts w:ascii="宋体" w:hAnsi="宋体" w:eastAsia="宋体" w:cs="宋体"/>
          <w:spacing w:val="-1"/>
          <w:sz w:val="24"/>
          <w:szCs w:val="24"/>
          <w:highlight w:val="none"/>
        </w:rPr>
        <w:t>因本次招标获得的信息向第三人外传。由采购人向投标人提供的图纸、详细资料、样品、模型、模件和所有其它资料，被视为保密资料，仅被用于它所规定</w:t>
      </w:r>
    </w:p>
    <w:p w14:paraId="3DD1BD25">
      <w:pPr>
        <w:spacing w:line="337" w:lineRule="auto"/>
        <w:outlineLvl w:val="9"/>
        <w:rPr>
          <w:rFonts w:ascii="宋体" w:hAnsi="宋体" w:eastAsia="宋体" w:cs="宋体"/>
          <w:sz w:val="24"/>
          <w:szCs w:val="24"/>
          <w:highlight w:val="none"/>
        </w:rPr>
        <w:sectPr>
          <w:footerReference r:id="rId32" w:type="default"/>
          <w:pgSz w:w="11850" w:h="16781"/>
          <w:pgMar w:top="400" w:right="1777" w:bottom="1011" w:left="1777" w:header="0" w:footer="766" w:gutter="0"/>
          <w:pgNumType w:fmt="decimal"/>
          <w:cols w:space="720" w:num="1"/>
        </w:sectPr>
      </w:pPr>
    </w:p>
    <w:p w14:paraId="5986DFDB">
      <w:pPr>
        <w:pStyle w:val="2"/>
        <w:spacing w:line="247" w:lineRule="auto"/>
        <w:outlineLvl w:val="9"/>
        <w:rPr>
          <w:highlight w:val="none"/>
        </w:rPr>
      </w:pPr>
    </w:p>
    <w:p w14:paraId="6C23221C">
      <w:pPr>
        <w:pStyle w:val="2"/>
        <w:spacing w:line="247" w:lineRule="auto"/>
        <w:outlineLvl w:val="9"/>
        <w:rPr>
          <w:highlight w:val="none"/>
        </w:rPr>
      </w:pPr>
    </w:p>
    <w:p w14:paraId="3BFD52E3">
      <w:pPr>
        <w:pStyle w:val="2"/>
        <w:spacing w:line="248" w:lineRule="auto"/>
        <w:outlineLvl w:val="9"/>
        <w:rPr>
          <w:highlight w:val="none"/>
        </w:rPr>
      </w:pPr>
    </w:p>
    <w:p w14:paraId="59C80F30">
      <w:pPr>
        <w:pStyle w:val="2"/>
        <w:spacing w:line="248" w:lineRule="auto"/>
        <w:outlineLvl w:val="9"/>
        <w:rPr>
          <w:highlight w:val="none"/>
        </w:rPr>
      </w:pPr>
    </w:p>
    <w:p w14:paraId="79E43BB2">
      <w:pPr>
        <w:spacing w:before="78" w:line="338" w:lineRule="auto"/>
        <w:ind w:left="29" w:right="124" w:firstLine="21"/>
        <w:outlineLvl w:val="9"/>
        <w:rPr>
          <w:rFonts w:ascii="宋体" w:hAnsi="宋体" w:eastAsia="宋体" w:cs="宋体"/>
          <w:sz w:val="24"/>
          <w:szCs w:val="24"/>
          <w:highlight w:val="none"/>
        </w:rPr>
      </w:pPr>
      <w:r>
        <w:rPr>
          <w:rFonts w:ascii="宋体" w:hAnsi="宋体" w:eastAsia="宋体" w:cs="宋体"/>
          <w:spacing w:val="-1"/>
          <w:sz w:val="24"/>
          <w:szCs w:val="24"/>
          <w:highlight w:val="none"/>
        </w:rPr>
        <w:t>的用途。除非得到采购人的同意，不能向任何第三方透露</w:t>
      </w:r>
      <w:r>
        <w:rPr>
          <w:rFonts w:ascii="宋体" w:hAnsi="宋体" w:eastAsia="宋体" w:cs="宋体"/>
          <w:spacing w:val="-2"/>
          <w:sz w:val="24"/>
          <w:szCs w:val="24"/>
          <w:highlight w:val="none"/>
        </w:rPr>
        <w:t>。开标结束后，应采</w:t>
      </w:r>
      <w:r>
        <w:rPr>
          <w:rFonts w:ascii="宋体" w:hAnsi="宋体" w:eastAsia="宋体" w:cs="宋体"/>
          <w:spacing w:val="-1"/>
          <w:sz w:val="24"/>
          <w:szCs w:val="24"/>
          <w:highlight w:val="none"/>
        </w:rPr>
        <w:t>购人要求，投标人应归还所有从采购人处获得的保密资料。</w:t>
      </w:r>
    </w:p>
    <w:p w14:paraId="65EC34A1">
      <w:pPr>
        <w:spacing w:before="188" w:line="293" w:lineRule="auto"/>
        <w:ind w:left="35" w:right="143" w:firstLine="488"/>
        <w:outlineLvl w:val="9"/>
        <w:rPr>
          <w:rFonts w:ascii="宋体" w:hAnsi="宋体" w:eastAsia="宋体" w:cs="宋体"/>
          <w:sz w:val="24"/>
          <w:szCs w:val="24"/>
          <w:highlight w:val="none"/>
        </w:rPr>
      </w:pPr>
      <w:r>
        <w:rPr>
          <w:rFonts w:ascii="宋体" w:hAnsi="宋体" w:eastAsia="宋体" w:cs="宋体"/>
          <w:spacing w:val="3"/>
          <w:sz w:val="24"/>
          <w:szCs w:val="24"/>
          <w:highlight w:val="none"/>
        </w:rPr>
        <w:t>38.2采购代理机构有权将投标人提供的所有资料向有关政府部门</w:t>
      </w:r>
      <w:r>
        <w:rPr>
          <w:rFonts w:ascii="宋体" w:hAnsi="宋体" w:eastAsia="宋体" w:cs="宋体"/>
          <w:spacing w:val="2"/>
          <w:sz w:val="24"/>
          <w:szCs w:val="24"/>
          <w:highlight w:val="none"/>
        </w:rPr>
        <w:t>或评审</w:t>
      </w:r>
      <w:r>
        <w:rPr>
          <w:rFonts w:ascii="宋体" w:hAnsi="宋体" w:eastAsia="宋体" w:cs="宋体"/>
          <w:spacing w:val="-1"/>
          <w:sz w:val="24"/>
          <w:szCs w:val="24"/>
          <w:highlight w:val="none"/>
        </w:rPr>
        <w:t>标书的有关人员披露。</w:t>
      </w:r>
    </w:p>
    <w:p w14:paraId="5E2DA78A">
      <w:pPr>
        <w:spacing w:before="189" w:line="337" w:lineRule="auto"/>
        <w:ind w:left="32" w:right="91" w:firstLine="491"/>
        <w:outlineLvl w:val="9"/>
        <w:rPr>
          <w:rFonts w:ascii="宋体" w:hAnsi="宋体" w:eastAsia="宋体" w:cs="宋体"/>
          <w:sz w:val="24"/>
          <w:szCs w:val="24"/>
          <w:highlight w:val="none"/>
        </w:rPr>
      </w:pPr>
      <w:r>
        <w:rPr>
          <w:rFonts w:ascii="宋体" w:hAnsi="宋体" w:eastAsia="宋体" w:cs="宋体"/>
          <w:spacing w:val="-4"/>
          <w:sz w:val="24"/>
          <w:szCs w:val="24"/>
          <w:highlight w:val="none"/>
        </w:rPr>
        <w:t>38.3在采购代理机构认为适当时、国家机关调查、审查、审计时以及其他</w:t>
      </w:r>
      <w:r>
        <w:rPr>
          <w:rFonts w:ascii="宋体" w:hAnsi="宋体" w:eastAsia="宋体" w:cs="宋体"/>
          <w:sz w:val="24"/>
          <w:szCs w:val="24"/>
          <w:highlight w:val="none"/>
        </w:rPr>
        <w:t>符合法律规定的情形下，采购代理机构无须事先征求投标人同意而可以披露关于采购过程、合同文本、签署情况的资料、投标人</w:t>
      </w:r>
      <w:r>
        <w:rPr>
          <w:rFonts w:ascii="宋体" w:hAnsi="宋体" w:eastAsia="宋体" w:cs="宋体"/>
          <w:spacing w:val="-1"/>
          <w:sz w:val="24"/>
          <w:szCs w:val="24"/>
          <w:highlight w:val="none"/>
        </w:rPr>
        <w:t>的名称及地址、投标文件的</w:t>
      </w:r>
      <w:r>
        <w:rPr>
          <w:rFonts w:ascii="宋体" w:hAnsi="宋体" w:eastAsia="宋体" w:cs="宋体"/>
          <w:spacing w:val="-4"/>
          <w:sz w:val="24"/>
          <w:szCs w:val="24"/>
          <w:highlight w:val="none"/>
        </w:rPr>
        <w:t>有关信息以及补充条款等，但应当在合理的必要范围内。对任何已经公</w:t>
      </w:r>
      <w:r>
        <w:rPr>
          <w:rFonts w:ascii="宋体" w:hAnsi="宋体" w:eastAsia="宋体" w:cs="宋体"/>
          <w:spacing w:val="-5"/>
          <w:sz w:val="24"/>
          <w:szCs w:val="24"/>
          <w:highlight w:val="none"/>
        </w:rPr>
        <w:t>布过的</w:t>
      </w:r>
      <w:r>
        <w:rPr>
          <w:rFonts w:ascii="宋体" w:hAnsi="宋体" w:eastAsia="宋体" w:cs="宋体"/>
          <w:spacing w:val="-2"/>
          <w:sz w:val="24"/>
          <w:szCs w:val="24"/>
          <w:highlight w:val="none"/>
        </w:rPr>
        <w:t>内容或与之内容相同的资料，以及投标人已经泄露或</w:t>
      </w:r>
      <w:r>
        <w:rPr>
          <w:rFonts w:ascii="宋体" w:hAnsi="宋体" w:eastAsia="宋体" w:cs="宋体"/>
          <w:spacing w:val="-3"/>
          <w:sz w:val="24"/>
          <w:szCs w:val="24"/>
          <w:highlight w:val="none"/>
        </w:rPr>
        <w:t>公开的，无须再承担保密</w:t>
      </w:r>
      <w:r>
        <w:rPr>
          <w:rFonts w:ascii="宋体" w:hAnsi="宋体" w:eastAsia="宋体" w:cs="宋体"/>
          <w:spacing w:val="-6"/>
          <w:sz w:val="24"/>
          <w:szCs w:val="24"/>
          <w:highlight w:val="none"/>
        </w:rPr>
        <w:t>责任</w:t>
      </w:r>
    </w:p>
    <w:p w14:paraId="6A91BCF8">
      <w:pPr>
        <w:spacing w:line="337" w:lineRule="auto"/>
        <w:outlineLvl w:val="9"/>
        <w:rPr>
          <w:rFonts w:ascii="宋体" w:hAnsi="宋体" w:eastAsia="宋体" w:cs="宋体"/>
          <w:sz w:val="24"/>
          <w:szCs w:val="24"/>
          <w:highlight w:val="none"/>
        </w:rPr>
        <w:sectPr>
          <w:footerReference r:id="rId33" w:type="default"/>
          <w:pgSz w:w="11850" w:h="16781"/>
          <w:pgMar w:top="400" w:right="1777" w:bottom="1011" w:left="1777" w:header="0" w:footer="766" w:gutter="0"/>
          <w:pgNumType w:fmt="decimal"/>
          <w:cols w:space="720" w:num="1"/>
        </w:sectPr>
      </w:pPr>
    </w:p>
    <w:p w14:paraId="24050CD2">
      <w:pPr>
        <w:pStyle w:val="2"/>
        <w:spacing w:line="278" w:lineRule="auto"/>
        <w:outlineLvl w:val="9"/>
        <w:rPr>
          <w:highlight w:val="none"/>
        </w:rPr>
      </w:pPr>
    </w:p>
    <w:p w14:paraId="65DE475C">
      <w:pPr>
        <w:pStyle w:val="2"/>
        <w:spacing w:line="278" w:lineRule="auto"/>
        <w:outlineLvl w:val="9"/>
        <w:rPr>
          <w:highlight w:val="none"/>
        </w:rPr>
      </w:pPr>
    </w:p>
    <w:p w14:paraId="72E30565">
      <w:pPr>
        <w:pStyle w:val="2"/>
        <w:spacing w:line="279" w:lineRule="auto"/>
        <w:outlineLvl w:val="9"/>
        <w:rPr>
          <w:highlight w:val="none"/>
        </w:rPr>
      </w:pPr>
    </w:p>
    <w:p w14:paraId="755F7CDD">
      <w:pPr>
        <w:pStyle w:val="2"/>
        <w:spacing w:line="279" w:lineRule="auto"/>
        <w:outlineLvl w:val="9"/>
        <w:rPr>
          <w:highlight w:val="none"/>
        </w:rPr>
      </w:pPr>
    </w:p>
    <w:p w14:paraId="2B9AD743">
      <w:pPr>
        <w:pStyle w:val="2"/>
        <w:spacing w:line="279" w:lineRule="auto"/>
        <w:outlineLvl w:val="9"/>
        <w:rPr>
          <w:highlight w:val="none"/>
        </w:rPr>
      </w:pPr>
    </w:p>
    <w:p w14:paraId="364F6B35">
      <w:pPr>
        <w:spacing w:before="78" w:line="219" w:lineRule="auto"/>
        <w:ind w:left="69"/>
        <w:outlineLvl w:val="9"/>
        <w:rPr>
          <w:rFonts w:ascii="宋体" w:hAnsi="宋体" w:eastAsia="宋体" w:cs="宋体"/>
          <w:sz w:val="24"/>
          <w:szCs w:val="24"/>
          <w:highlight w:val="none"/>
        </w:rPr>
      </w:pPr>
      <w:r>
        <w:rPr>
          <w:rFonts w:ascii="宋体" w:hAnsi="宋体" w:eastAsia="宋体" w:cs="宋体"/>
          <w:spacing w:val="-13"/>
          <w:sz w:val="24"/>
          <w:szCs w:val="24"/>
          <w:highlight w:val="none"/>
        </w:rPr>
        <w:t>附件：</w:t>
      </w:r>
    </w:p>
    <w:p w14:paraId="7084A022">
      <w:pPr>
        <w:spacing w:before="32" w:line="225" w:lineRule="auto"/>
        <w:ind w:left="3671"/>
        <w:outlineLvl w:val="9"/>
        <w:rPr>
          <w:rFonts w:ascii="宋体" w:hAnsi="宋体" w:eastAsia="宋体" w:cs="宋体"/>
          <w:sz w:val="30"/>
          <w:szCs w:val="30"/>
          <w:highlight w:val="none"/>
        </w:rPr>
      </w:pPr>
      <w:r>
        <w:rPr>
          <w:rFonts w:ascii="宋体" w:hAnsi="宋体" w:eastAsia="宋体" w:cs="宋体"/>
          <w:b/>
          <w:bCs/>
          <w:spacing w:val="10"/>
          <w:sz w:val="30"/>
          <w:szCs w:val="30"/>
          <w:highlight w:val="none"/>
        </w:rPr>
        <w:t>质疑函范本</w:t>
      </w:r>
    </w:p>
    <w:p w14:paraId="2B0D72DA">
      <w:pPr>
        <w:pStyle w:val="2"/>
        <w:spacing w:line="308" w:lineRule="auto"/>
        <w:outlineLvl w:val="9"/>
        <w:rPr>
          <w:highlight w:val="none"/>
        </w:rPr>
      </w:pPr>
    </w:p>
    <w:p w14:paraId="64C3FE78">
      <w:pPr>
        <w:spacing w:before="78" w:line="219" w:lineRule="auto"/>
        <w:ind w:left="40"/>
        <w:outlineLvl w:val="9"/>
        <w:rPr>
          <w:rFonts w:ascii="宋体" w:hAnsi="宋体" w:eastAsia="宋体" w:cs="宋体"/>
          <w:sz w:val="24"/>
          <w:szCs w:val="24"/>
          <w:highlight w:val="none"/>
        </w:rPr>
      </w:pPr>
      <w:r>
        <w:rPr>
          <w:rFonts w:ascii="宋体" w:hAnsi="宋体" w:eastAsia="宋体" w:cs="宋体"/>
          <w:spacing w:val="-3"/>
          <w:sz w:val="24"/>
          <w:szCs w:val="24"/>
          <w:highlight w:val="none"/>
        </w:rPr>
        <w:t>一、质疑供应商基本信息</w:t>
      </w:r>
    </w:p>
    <w:p w14:paraId="13BB8594">
      <w:pPr>
        <w:spacing w:before="92" w:line="219" w:lineRule="auto"/>
        <w:ind w:left="35"/>
        <w:outlineLvl w:val="9"/>
        <w:rPr>
          <w:rFonts w:ascii="宋体" w:hAnsi="宋体" w:eastAsia="宋体" w:cs="宋体"/>
          <w:sz w:val="24"/>
          <w:szCs w:val="24"/>
          <w:highlight w:val="none"/>
        </w:rPr>
      </w:pPr>
      <w:r>
        <w:rPr>
          <w:rFonts w:ascii="宋体" w:hAnsi="宋体" w:eastAsia="宋体" w:cs="宋体"/>
          <w:spacing w:val="-3"/>
          <w:sz w:val="24"/>
          <w:szCs w:val="24"/>
          <w:highlight w:val="none"/>
        </w:rPr>
        <w:t>质疑供应商：</w:t>
      </w:r>
    </w:p>
    <w:p w14:paraId="02221012">
      <w:pPr>
        <w:pStyle w:val="2"/>
        <w:spacing w:line="262" w:lineRule="auto"/>
        <w:outlineLvl w:val="9"/>
        <w:rPr>
          <w:highlight w:val="none"/>
        </w:rPr>
      </w:pPr>
      <w:r>
        <w:rPr>
          <w:highlight w:val="none"/>
        </w:rPr>
        <w:drawing>
          <wp:anchor distT="0" distB="0" distL="0" distR="0" simplePos="0" relativeHeight="251662336" behindDoc="0" locked="0" layoutInCell="1" allowOverlap="1">
            <wp:simplePos x="0" y="0"/>
            <wp:positionH relativeFrom="column">
              <wp:posOffset>15240</wp:posOffset>
            </wp:positionH>
            <wp:positionV relativeFrom="paragraph">
              <wp:posOffset>140970</wp:posOffset>
            </wp:positionV>
            <wp:extent cx="4750435"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5"/>
                    <a:stretch>
                      <a:fillRect/>
                    </a:stretch>
                  </pic:blipFill>
                  <pic:spPr>
                    <a:xfrm>
                      <a:off x="0" y="0"/>
                      <a:ext cx="4750308" cy="6350"/>
                    </a:xfrm>
                    <a:prstGeom prst="rect">
                      <a:avLst/>
                    </a:prstGeom>
                  </pic:spPr>
                </pic:pic>
              </a:graphicData>
            </a:graphic>
          </wp:anchor>
        </w:drawing>
      </w:r>
    </w:p>
    <w:p w14:paraId="5E2B5996">
      <w:pPr>
        <w:spacing w:before="78" w:line="223" w:lineRule="auto"/>
        <w:ind w:left="31"/>
        <w:outlineLvl w:val="9"/>
        <w:rPr>
          <w:sz w:val="24"/>
          <w:szCs w:val="24"/>
          <w:highlight w:val="none"/>
        </w:rPr>
      </w:pPr>
      <w:r>
        <w:rPr>
          <w:rFonts w:ascii="宋体" w:hAnsi="宋体" w:eastAsia="宋体" w:cs="宋体"/>
          <w:spacing w:val="-8"/>
          <w:sz w:val="24"/>
          <w:szCs w:val="24"/>
          <w:highlight w:val="none"/>
        </w:rPr>
        <w:t>地址：</w:t>
      </w:r>
      <w:r>
        <w:rPr>
          <w:position w:val="-2"/>
          <w:sz w:val="24"/>
          <w:szCs w:val="24"/>
          <w:highlight w:val="none"/>
        </w:rPr>
        <w:drawing>
          <wp:inline distT="0" distB="0" distL="0" distR="0">
            <wp:extent cx="2221865" cy="698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6"/>
                    <a:stretch>
                      <a:fillRect/>
                    </a:stretch>
                  </pic:blipFill>
                  <pic:spPr>
                    <a:xfrm>
                      <a:off x="0" y="0"/>
                      <a:ext cx="2221991" cy="7619"/>
                    </a:xfrm>
                    <a:prstGeom prst="rect">
                      <a:avLst/>
                    </a:prstGeom>
                  </pic:spPr>
                </pic:pic>
              </a:graphicData>
            </a:graphic>
          </wp:inline>
        </w:drawing>
      </w:r>
    </w:p>
    <w:p w14:paraId="37FA8288">
      <w:pPr>
        <w:spacing w:before="89" w:line="215" w:lineRule="auto"/>
        <w:ind w:left="49"/>
        <w:outlineLvl w:val="9"/>
        <w:rPr>
          <w:sz w:val="24"/>
          <w:szCs w:val="24"/>
          <w:highlight w:val="none"/>
        </w:rPr>
      </w:pPr>
      <w:r>
        <w:rPr>
          <w:rFonts w:ascii="宋体" w:hAnsi="宋体" w:eastAsia="宋体" w:cs="宋体"/>
          <w:spacing w:val="-14"/>
          <w:sz w:val="24"/>
          <w:szCs w:val="24"/>
          <w:highlight w:val="none"/>
        </w:rPr>
        <w:t>邮编：</w:t>
      </w:r>
      <w:r>
        <w:rPr>
          <w:position w:val="-3"/>
          <w:sz w:val="24"/>
          <w:szCs w:val="24"/>
          <w:highlight w:val="none"/>
        </w:rPr>
        <w:drawing>
          <wp:inline distT="0" distB="0" distL="0" distR="0">
            <wp:extent cx="2582545" cy="698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7"/>
                    <a:stretch>
                      <a:fillRect/>
                    </a:stretch>
                  </pic:blipFill>
                  <pic:spPr>
                    <a:xfrm>
                      <a:off x="0" y="0"/>
                      <a:ext cx="2583179" cy="7619"/>
                    </a:xfrm>
                    <a:prstGeom prst="rect">
                      <a:avLst/>
                    </a:prstGeom>
                  </pic:spPr>
                </pic:pic>
              </a:graphicData>
            </a:graphic>
          </wp:inline>
        </w:drawing>
      </w:r>
    </w:p>
    <w:p w14:paraId="3739F592">
      <w:pPr>
        <w:spacing w:before="123" w:line="215" w:lineRule="auto"/>
        <w:ind w:left="32"/>
        <w:outlineLvl w:val="9"/>
        <w:rPr>
          <w:sz w:val="24"/>
          <w:szCs w:val="24"/>
          <w:highlight w:val="none"/>
        </w:rPr>
      </w:pPr>
      <w:r>
        <w:rPr>
          <w:rFonts w:ascii="宋体" w:hAnsi="宋体" w:eastAsia="宋体" w:cs="宋体"/>
          <w:spacing w:val="-5"/>
          <w:sz w:val="24"/>
          <w:szCs w:val="24"/>
          <w:highlight w:val="none"/>
        </w:rPr>
        <w:t>联系人：</w:t>
      </w:r>
      <w:r>
        <w:rPr>
          <w:position w:val="-3"/>
          <w:sz w:val="24"/>
          <w:szCs w:val="24"/>
          <w:highlight w:val="none"/>
        </w:rPr>
        <w:drawing>
          <wp:inline distT="0" distB="0" distL="0" distR="0">
            <wp:extent cx="2067560" cy="698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8"/>
                    <a:stretch>
                      <a:fillRect/>
                    </a:stretch>
                  </pic:blipFill>
                  <pic:spPr>
                    <a:xfrm>
                      <a:off x="0" y="0"/>
                      <a:ext cx="2068067" cy="7619"/>
                    </a:xfrm>
                    <a:prstGeom prst="rect">
                      <a:avLst/>
                    </a:prstGeom>
                  </pic:spPr>
                </pic:pic>
              </a:graphicData>
            </a:graphic>
          </wp:inline>
        </w:drawing>
      </w:r>
    </w:p>
    <w:p w14:paraId="133C6A5A">
      <w:pPr>
        <w:spacing w:before="198" w:line="221" w:lineRule="auto"/>
        <w:ind w:left="52"/>
        <w:outlineLvl w:val="9"/>
        <w:rPr>
          <w:sz w:val="24"/>
          <w:szCs w:val="24"/>
          <w:highlight w:val="none"/>
        </w:rPr>
      </w:pPr>
      <w:r>
        <w:rPr>
          <w:rFonts w:ascii="宋体" w:hAnsi="宋体" w:eastAsia="宋体" w:cs="宋体"/>
          <w:spacing w:val="-4"/>
          <w:sz w:val="24"/>
          <w:szCs w:val="24"/>
          <w:highlight w:val="none"/>
        </w:rPr>
        <w:t>联系电话：</w:t>
      </w:r>
      <w:r>
        <w:rPr>
          <w:position w:val="-2"/>
          <w:sz w:val="24"/>
          <w:szCs w:val="24"/>
          <w:highlight w:val="none"/>
        </w:rPr>
        <w:drawing>
          <wp:inline distT="0" distB="0" distL="0" distR="0">
            <wp:extent cx="2276475" cy="698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9"/>
                    <a:stretch>
                      <a:fillRect/>
                    </a:stretch>
                  </pic:blipFill>
                  <pic:spPr>
                    <a:xfrm>
                      <a:off x="0" y="0"/>
                      <a:ext cx="2276856" cy="7619"/>
                    </a:xfrm>
                    <a:prstGeom prst="rect">
                      <a:avLst/>
                    </a:prstGeom>
                  </pic:spPr>
                </pic:pic>
              </a:graphicData>
            </a:graphic>
          </wp:inline>
        </w:drawing>
      </w:r>
    </w:p>
    <w:p w14:paraId="558EFEEF">
      <w:pPr>
        <w:spacing w:before="188" w:line="219" w:lineRule="auto"/>
        <w:ind w:left="150"/>
        <w:outlineLvl w:val="9"/>
        <w:rPr>
          <w:rFonts w:ascii="宋体" w:hAnsi="宋体" w:eastAsia="宋体" w:cs="宋体"/>
          <w:sz w:val="24"/>
          <w:szCs w:val="24"/>
          <w:highlight w:val="none"/>
        </w:rPr>
      </w:pPr>
      <w:r>
        <w:rPr>
          <w:rFonts w:ascii="宋体" w:hAnsi="宋体" w:eastAsia="宋体" w:cs="宋体"/>
          <w:spacing w:val="-3"/>
          <w:sz w:val="24"/>
          <w:szCs w:val="24"/>
          <w:highlight w:val="none"/>
        </w:rPr>
        <w:t>授权代表：</w:t>
      </w:r>
    </w:p>
    <w:p w14:paraId="50585C0A">
      <w:pPr>
        <w:spacing w:before="71" w:line="221" w:lineRule="auto"/>
        <w:ind w:left="35"/>
        <w:outlineLvl w:val="9"/>
        <w:rPr>
          <w:rFonts w:ascii="宋体" w:hAnsi="宋体" w:eastAsia="宋体" w:cs="宋体"/>
          <w:sz w:val="24"/>
          <w:szCs w:val="24"/>
          <w:highlight w:val="none"/>
        </w:rPr>
      </w:pPr>
      <w:r>
        <w:rPr>
          <w:rFonts w:ascii="宋体" w:hAnsi="宋体" w:eastAsia="宋体" w:cs="宋体"/>
          <w:spacing w:val="-4"/>
          <w:sz w:val="24"/>
          <w:szCs w:val="24"/>
          <w:highlight w:val="none"/>
        </w:rPr>
        <w:t>联系电话：</w:t>
      </w:r>
    </w:p>
    <w:p w14:paraId="2F1C9BBB">
      <w:pPr>
        <w:spacing w:before="91" w:line="215" w:lineRule="auto"/>
        <w:ind w:left="31"/>
        <w:outlineLvl w:val="9"/>
        <w:rPr>
          <w:sz w:val="24"/>
          <w:szCs w:val="24"/>
          <w:highlight w:val="none"/>
        </w:rPr>
      </w:pPr>
      <w:r>
        <w:rPr>
          <w:rFonts w:ascii="宋体" w:hAnsi="宋体" w:eastAsia="宋体" w:cs="宋体"/>
          <w:spacing w:val="-7"/>
          <w:sz w:val="24"/>
          <w:szCs w:val="24"/>
          <w:highlight w:val="none"/>
        </w:rPr>
        <w:t>地址：</w:t>
      </w:r>
      <w:r>
        <w:rPr>
          <w:position w:val="-3"/>
          <w:sz w:val="24"/>
          <w:szCs w:val="24"/>
          <w:highlight w:val="none"/>
        </w:rPr>
        <w:drawing>
          <wp:inline distT="0" distB="0" distL="0" distR="0">
            <wp:extent cx="2221865" cy="762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10"/>
                    <a:stretch>
                      <a:fillRect/>
                    </a:stretch>
                  </pic:blipFill>
                  <pic:spPr>
                    <a:xfrm>
                      <a:off x="0" y="0"/>
                      <a:ext cx="2221992" cy="7620"/>
                    </a:xfrm>
                    <a:prstGeom prst="rect">
                      <a:avLst/>
                    </a:prstGeom>
                  </pic:spPr>
                </pic:pic>
              </a:graphicData>
            </a:graphic>
          </wp:inline>
        </w:drawing>
      </w:r>
    </w:p>
    <w:p w14:paraId="2BD64A95">
      <w:pPr>
        <w:spacing w:before="103" w:line="219" w:lineRule="auto"/>
        <w:ind w:left="49"/>
        <w:outlineLvl w:val="9"/>
        <w:rPr>
          <w:sz w:val="24"/>
          <w:szCs w:val="24"/>
          <w:highlight w:val="none"/>
        </w:rPr>
      </w:pPr>
      <w:r>
        <w:rPr>
          <w:rFonts w:ascii="宋体" w:hAnsi="宋体" w:eastAsia="宋体" w:cs="宋体"/>
          <w:spacing w:val="-14"/>
          <w:sz w:val="24"/>
          <w:szCs w:val="24"/>
          <w:highlight w:val="none"/>
        </w:rPr>
        <w:t>邮编：</w:t>
      </w:r>
      <w:r>
        <w:rPr>
          <w:position w:val="-2"/>
          <w:sz w:val="24"/>
          <w:szCs w:val="24"/>
          <w:highlight w:val="none"/>
        </w:rPr>
        <w:drawing>
          <wp:inline distT="0" distB="0" distL="0" distR="0">
            <wp:extent cx="2506345" cy="762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11"/>
                    <a:stretch>
                      <a:fillRect/>
                    </a:stretch>
                  </pic:blipFill>
                  <pic:spPr>
                    <a:xfrm>
                      <a:off x="0" y="0"/>
                      <a:ext cx="2506979" cy="7620"/>
                    </a:xfrm>
                    <a:prstGeom prst="rect">
                      <a:avLst/>
                    </a:prstGeom>
                  </pic:spPr>
                </pic:pic>
              </a:graphicData>
            </a:graphic>
          </wp:inline>
        </w:drawing>
      </w:r>
    </w:p>
    <w:p w14:paraId="28C31094">
      <w:pPr>
        <w:spacing w:before="96" w:line="219" w:lineRule="auto"/>
        <w:ind w:left="40"/>
        <w:outlineLvl w:val="9"/>
        <w:rPr>
          <w:rFonts w:ascii="宋体" w:hAnsi="宋体" w:eastAsia="宋体" w:cs="宋体"/>
          <w:sz w:val="24"/>
          <w:szCs w:val="24"/>
          <w:highlight w:val="none"/>
        </w:rPr>
      </w:pPr>
      <w:r>
        <w:rPr>
          <w:rFonts w:ascii="宋体" w:hAnsi="宋体" w:eastAsia="宋体" w:cs="宋体"/>
          <w:spacing w:val="-3"/>
          <w:sz w:val="24"/>
          <w:szCs w:val="24"/>
          <w:highlight w:val="none"/>
        </w:rPr>
        <w:t>二、质疑项目基本情况</w:t>
      </w:r>
    </w:p>
    <w:p w14:paraId="22F2450D">
      <w:pPr>
        <w:spacing w:before="92" w:line="220" w:lineRule="auto"/>
        <w:ind w:left="35"/>
        <w:outlineLvl w:val="9"/>
        <w:rPr>
          <w:rFonts w:ascii="宋体" w:hAnsi="宋体" w:eastAsia="宋体" w:cs="宋体"/>
          <w:sz w:val="24"/>
          <w:szCs w:val="24"/>
          <w:highlight w:val="none"/>
        </w:rPr>
      </w:pPr>
      <w:r>
        <w:rPr>
          <w:rFonts w:ascii="宋体" w:hAnsi="宋体" w:eastAsia="宋体" w:cs="宋体"/>
          <w:spacing w:val="-3"/>
          <w:sz w:val="24"/>
          <w:szCs w:val="24"/>
          <w:highlight w:val="none"/>
        </w:rPr>
        <w:t>质疑项目的名称：</w:t>
      </w:r>
    </w:p>
    <w:p w14:paraId="2D29F1EA">
      <w:pPr>
        <w:pStyle w:val="2"/>
        <w:spacing w:line="282" w:lineRule="auto"/>
        <w:outlineLvl w:val="9"/>
        <w:rPr>
          <w:highlight w:val="none"/>
        </w:rPr>
      </w:pPr>
      <w:r>
        <w:rPr>
          <w:highlight w:val="none"/>
        </w:rPr>
        <w:drawing>
          <wp:anchor distT="0" distB="0" distL="0" distR="0" simplePos="0" relativeHeight="251661312" behindDoc="0" locked="0" layoutInCell="1" allowOverlap="1">
            <wp:simplePos x="0" y="0"/>
            <wp:positionH relativeFrom="column">
              <wp:posOffset>15240</wp:posOffset>
            </wp:positionH>
            <wp:positionV relativeFrom="paragraph">
              <wp:posOffset>140970</wp:posOffset>
            </wp:positionV>
            <wp:extent cx="4443730" cy="635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12"/>
                    <a:stretch>
                      <a:fillRect/>
                    </a:stretch>
                  </pic:blipFill>
                  <pic:spPr>
                    <a:xfrm>
                      <a:off x="0" y="0"/>
                      <a:ext cx="4443983" cy="6350"/>
                    </a:xfrm>
                    <a:prstGeom prst="rect">
                      <a:avLst/>
                    </a:prstGeom>
                  </pic:spPr>
                </pic:pic>
              </a:graphicData>
            </a:graphic>
          </wp:anchor>
        </w:drawing>
      </w:r>
    </w:p>
    <w:p w14:paraId="6344F3FE">
      <w:pPr>
        <w:spacing w:before="78" w:line="215" w:lineRule="auto"/>
        <w:ind w:left="32"/>
        <w:outlineLvl w:val="9"/>
        <w:rPr>
          <w:sz w:val="24"/>
          <w:szCs w:val="24"/>
          <w:highlight w:val="none"/>
        </w:rPr>
      </w:pPr>
      <w:r>
        <w:rPr>
          <w:rFonts w:ascii="宋体" w:hAnsi="宋体" w:eastAsia="宋体" w:cs="宋体"/>
          <w:spacing w:val="-3"/>
          <w:sz w:val="24"/>
          <w:szCs w:val="24"/>
          <w:highlight w:val="none"/>
        </w:rPr>
        <w:t>质疑项目的编号：</w:t>
      </w:r>
      <w:r>
        <w:rPr>
          <w:position w:val="-3"/>
          <w:sz w:val="24"/>
          <w:szCs w:val="24"/>
          <w:highlight w:val="none"/>
        </w:rPr>
        <w:drawing>
          <wp:inline distT="0" distB="0" distL="0" distR="0">
            <wp:extent cx="1915160" cy="762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13"/>
                    <a:stretch>
                      <a:fillRect/>
                    </a:stretch>
                  </pic:blipFill>
                  <pic:spPr>
                    <a:xfrm>
                      <a:off x="0" y="0"/>
                      <a:ext cx="1915667" cy="7620"/>
                    </a:xfrm>
                    <a:prstGeom prst="rect">
                      <a:avLst/>
                    </a:prstGeom>
                  </pic:spPr>
                </pic:pic>
              </a:graphicData>
            </a:graphic>
          </wp:inline>
        </w:drawing>
      </w:r>
    </w:p>
    <w:p w14:paraId="50EC9C52">
      <w:pPr>
        <w:spacing w:before="199" w:line="215" w:lineRule="auto"/>
        <w:ind w:left="31"/>
        <w:outlineLvl w:val="9"/>
        <w:rPr>
          <w:sz w:val="24"/>
          <w:szCs w:val="24"/>
          <w:highlight w:val="none"/>
        </w:rPr>
      </w:pPr>
      <w:r>
        <w:rPr>
          <w:rFonts w:ascii="宋体" w:hAnsi="宋体" w:eastAsia="宋体" w:cs="宋体"/>
          <w:spacing w:val="-4"/>
          <w:sz w:val="24"/>
          <w:szCs w:val="24"/>
          <w:highlight w:val="none"/>
        </w:rPr>
        <w:t>包号：</w:t>
      </w:r>
      <w:r>
        <w:rPr>
          <w:position w:val="-3"/>
          <w:sz w:val="24"/>
          <w:szCs w:val="24"/>
          <w:highlight w:val="none"/>
        </w:rPr>
        <w:drawing>
          <wp:inline distT="0" distB="0" distL="0" distR="0">
            <wp:extent cx="2069465" cy="762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14"/>
                    <a:stretch>
                      <a:fillRect/>
                    </a:stretch>
                  </pic:blipFill>
                  <pic:spPr>
                    <a:xfrm>
                      <a:off x="0" y="0"/>
                      <a:ext cx="2069591" cy="7620"/>
                    </a:xfrm>
                    <a:prstGeom prst="rect">
                      <a:avLst/>
                    </a:prstGeom>
                  </pic:spPr>
                </pic:pic>
              </a:graphicData>
            </a:graphic>
          </wp:inline>
        </w:drawing>
      </w:r>
    </w:p>
    <w:p w14:paraId="75CBB27E">
      <w:pPr>
        <w:spacing w:before="195" w:line="219" w:lineRule="auto"/>
        <w:ind w:left="30"/>
        <w:outlineLvl w:val="9"/>
        <w:rPr>
          <w:rFonts w:ascii="宋体" w:hAnsi="宋体" w:eastAsia="宋体" w:cs="宋体"/>
          <w:sz w:val="24"/>
          <w:szCs w:val="24"/>
          <w:highlight w:val="none"/>
        </w:rPr>
      </w:pPr>
      <w:r>
        <w:rPr>
          <w:rFonts w:ascii="宋体" w:hAnsi="宋体" w:eastAsia="宋体" w:cs="宋体"/>
          <w:spacing w:val="-3"/>
          <w:sz w:val="24"/>
          <w:szCs w:val="24"/>
          <w:highlight w:val="none"/>
        </w:rPr>
        <w:t>采购人名称：</w:t>
      </w:r>
    </w:p>
    <w:p w14:paraId="1DC3CFFD">
      <w:pPr>
        <w:pStyle w:val="2"/>
        <w:spacing w:line="357" w:lineRule="auto"/>
        <w:outlineLvl w:val="9"/>
        <w:rPr>
          <w:highlight w:val="none"/>
        </w:rPr>
      </w:pPr>
    </w:p>
    <w:p w14:paraId="23860168">
      <w:pPr>
        <w:spacing w:before="1" w:line="12" w:lineRule="exact"/>
        <w:ind w:left="22"/>
        <w:outlineLvl w:val="9"/>
        <w:rPr>
          <w:highlight w:val="none"/>
        </w:rPr>
      </w:pPr>
      <w:r>
        <w:rPr>
          <w:highlight w:val="none"/>
        </w:rPr>
        <w:drawing>
          <wp:inline distT="0" distB="0" distL="0" distR="0">
            <wp:extent cx="4749800" cy="762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05"/>
                    <a:stretch>
                      <a:fillRect/>
                    </a:stretch>
                  </pic:blipFill>
                  <pic:spPr>
                    <a:xfrm>
                      <a:off x="0" y="0"/>
                      <a:ext cx="4750308" cy="7620"/>
                    </a:xfrm>
                    <a:prstGeom prst="rect">
                      <a:avLst/>
                    </a:prstGeom>
                  </pic:spPr>
                </pic:pic>
              </a:graphicData>
            </a:graphic>
          </wp:inline>
        </w:drawing>
      </w:r>
    </w:p>
    <w:p w14:paraId="6BF37AB7">
      <w:pPr>
        <w:spacing w:before="200" w:line="219" w:lineRule="auto"/>
        <w:ind w:left="30"/>
        <w:outlineLvl w:val="9"/>
        <w:rPr>
          <w:rFonts w:ascii="宋体" w:hAnsi="宋体" w:eastAsia="宋体" w:cs="宋体"/>
          <w:sz w:val="24"/>
          <w:szCs w:val="24"/>
          <w:highlight w:val="none"/>
        </w:rPr>
      </w:pPr>
      <w:r>
        <w:rPr>
          <w:rFonts w:ascii="宋体" w:hAnsi="宋体" w:eastAsia="宋体" w:cs="宋体"/>
          <w:spacing w:val="-1"/>
          <w:sz w:val="24"/>
          <w:szCs w:val="24"/>
          <w:highlight w:val="none"/>
        </w:rPr>
        <w:t>采购文件获取日期：</w:t>
      </w:r>
    </w:p>
    <w:p w14:paraId="6F7C5D82">
      <w:pPr>
        <w:pStyle w:val="2"/>
        <w:spacing w:line="244" w:lineRule="auto"/>
        <w:outlineLvl w:val="9"/>
        <w:rPr>
          <w:highlight w:val="none"/>
        </w:rPr>
      </w:pPr>
    </w:p>
    <w:p w14:paraId="5A4D7613">
      <w:pPr>
        <w:pStyle w:val="2"/>
        <w:spacing w:line="245" w:lineRule="auto"/>
        <w:outlineLvl w:val="9"/>
        <w:rPr>
          <w:highlight w:val="none"/>
        </w:rPr>
      </w:pPr>
      <w:r>
        <w:rPr>
          <w:highlight w:val="none"/>
        </w:rPr>
        <w:drawing>
          <wp:anchor distT="0" distB="0" distL="0" distR="0" simplePos="0" relativeHeight="251660288" behindDoc="0" locked="0" layoutInCell="1" allowOverlap="1">
            <wp:simplePos x="0" y="0"/>
            <wp:positionH relativeFrom="column">
              <wp:posOffset>13970</wp:posOffset>
            </wp:positionH>
            <wp:positionV relativeFrom="paragraph">
              <wp:posOffset>73025</wp:posOffset>
            </wp:positionV>
            <wp:extent cx="4291330" cy="762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15"/>
                    <a:stretch>
                      <a:fillRect/>
                    </a:stretch>
                  </pic:blipFill>
                  <pic:spPr>
                    <a:xfrm>
                      <a:off x="0" y="0"/>
                      <a:ext cx="4291583" cy="7620"/>
                    </a:xfrm>
                    <a:prstGeom prst="rect">
                      <a:avLst/>
                    </a:prstGeom>
                  </pic:spPr>
                </pic:pic>
              </a:graphicData>
            </a:graphic>
          </wp:anchor>
        </w:drawing>
      </w:r>
    </w:p>
    <w:p w14:paraId="6A024B8C">
      <w:pPr>
        <w:spacing w:before="78" w:line="219" w:lineRule="auto"/>
        <w:ind w:left="31"/>
        <w:outlineLvl w:val="9"/>
        <w:rPr>
          <w:rFonts w:ascii="宋体" w:hAnsi="宋体" w:eastAsia="宋体" w:cs="宋体"/>
          <w:sz w:val="24"/>
          <w:szCs w:val="24"/>
          <w:highlight w:val="none"/>
        </w:rPr>
      </w:pPr>
      <w:r>
        <w:rPr>
          <w:rFonts w:ascii="宋体" w:hAnsi="宋体" w:eastAsia="宋体" w:cs="宋体"/>
          <w:spacing w:val="-1"/>
          <w:sz w:val="24"/>
          <w:szCs w:val="24"/>
          <w:highlight w:val="none"/>
        </w:rPr>
        <w:t>三、质疑事项具体内容</w:t>
      </w:r>
    </w:p>
    <w:p w14:paraId="5510DAF7">
      <w:pPr>
        <w:spacing w:before="97" w:line="220" w:lineRule="auto"/>
        <w:ind w:left="32"/>
        <w:outlineLvl w:val="9"/>
        <w:rPr>
          <w:rFonts w:ascii="宋体" w:hAnsi="宋体" w:eastAsia="宋体" w:cs="宋体"/>
          <w:sz w:val="24"/>
          <w:szCs w:val="24"/>
          <w:highlight w:val="none"/>
        </w:rPr>
      </w:pPr>
      <w:r>
        <w:rPr>
          <w:rFonts w:ascii="宋体" w:hAnsi="宋体" w:eastAsia="宋体" w:cs="宋体"/>
          <w:spacing w:val="-10"/>
          <w:sz w:val="24"/>
          <w:szCs w:val="24"/>
          <w:highlight w:val="none"/>
        </w:rPr>
        <w:t>质疑事项1：</w:t>
      </w:r>
    </w:p>
    <w:p w14:paraId="090D16B3">
      <w:pPr>
        <w:pStyle w:val="2"/>
        <w:spacing w:line="353" w:lineRule="auto"/>
        <w:outlineLvl w:val="9"/>
        <w:rPr>
          <w:highlight w:val="none"/>
        </w:rPr>
      </w:pPr>
    </w:p>
    <w:p w14:paraId="57FBD382">
      <w:pPr>
        <w:spacing w:before="1" w:line="12" w:lineRule="exact"/>
        <w:ind w:left="22"/>
        <w:outlineLvl w:val="9"/>
        <w:rPr>
          <w:highlight w:val="none"/>
        </w:rPr>
      </w:pPr>
      <w:r>
        <w:rPr>
          <w:highlight w:val="none"/>
        </w:rPr>
        <w:drawing>
          <wp:inline distT="0" distB="0" distL="0" distR="0">
            <wp:extent cx="4749800" cy="762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16"/>
                    <a:stretch>
                      <a:fillRect/>
                    </a:stretch>
                  </pic:blipFill>
                  <pic:spPr>
                    <a:xfrm>
                      <a:off x="0" y="0"/>
                      <a:ext cx="4750308" cy="7620"/>
                    </a:xfrm>
                    <a:prstGeom prst="rect">
                      <a:avLst/>
                    </a:prstGeom>
                  </pic:spPr>
                </pic:pic>
              </a:graphicData>
            </a:graphic>
          </wp:inline>
        </w:drawing>
      </w:r>
    </w:p>
    <w:p w14:paraId="5C059DBD">
      <w:pPr>
        <w:spacing w:before="101" w:line="219" w:lineRule="auto"/>
        <w:ind w:left="31"/>
        <w:outlineLvl w:val="9"/>
        <w:rPr>
          <w:rFonts w:ascii="宋体" w:hAnsi="宋体" w:eastAsia="宋体" w:cs="宋体"/>
          <w:sz w:val="24"/>
          <w:szCs w:val="24"/>
          <w:highlight w:val="none"/>
        </w:rPr>
      </w:pPr>
      <w:r>
        <w:rPr>
          <w:rFonts w:ascii="宋体" w:hAnsi="宋体" w:eastAsia="宋体" w:cs="宋体"/>
          <w:spacing w:val="-3"/>
          <w:sz w:val="24"/>
          <w:szCs w:val="24"/>
          <w:highlight w:val="none"/>
        </w:rPr>
        <w:t>事实依据：</w:t>
      </w:r>
    </w:p>
    <w:p w14:paraId="0A6619A6">
      <w:pPr>
        <w:pStyle w:val="2"/>
        <w:spacing w:line="319" w:lineRule="auto"/>
        <w:outlineLvl w:val="9"/>
        <w:rPr>
          <w:highlight w:val="none"/>
        </w:rPr>
      </w:pPr>
    </w:p>
    <w:p w14:paraId="40B758D8">
      <w:pPr>
        <w:spacing w:before="1" w:line="12" w:lineRule="exact"/>
        <w:ind w:left="22"/>
        <w:outlineLvl w:val="9"/>
        <w:rPr>
          <w:highlight w:val="none"/>
        </w:rPr>
      </w:pPr>
      <w:r>
        <w:rPr>
          <w:highlight w:val="none"/>
        </w:rPr>
        <w:drawing>
          <wp:inline distT="0" distB="0" distL="0" distR="0">
            <wp:extent cx="4958715" cy="762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17"/>
                    <a:stretch>
                      <a:fillRect/>
                    </a:stretch>
                  </pic:blipFill>
                  <pic:spPr>
                    <a:xfrm>
                      <a:off x="0" y="0"/>
                      <a:ext cx="4959095" cy="7620"/>
                    </a:xfrm>
                    <a:prstGeom prst="rect">
                      <a:avLst/>
                    </a:prstGeom>
                  </pic:spPr>
                </pic:pic>
              </a:graphicData>
            </a:graphic>
          </wp:inline>
        </w:drawing>
      </w:r>
    </w:p>
    <w:p w14:paraId="10AF632F">
      <w:pPr>
        <w:spacing w:before="94" w:line="219" w:lineRule="auto"/>
        <w:ind w:left="35"/>
        <w:outlineLvl w:val="9"/>
        <w:rPr>
          <w:rFonts w:ascii="宋体" w:hAnsi="宋体" w:eastAsia="宋体" w:cs="宋体"/>
          <w:sz w:val="24"/>
          <w:szCs w:val="24"/>
          <w:highlight w:val="none"/>
        </w:rPr>
      </w:pPr>
      <w:r>
        <w:rPr>
          <w:rFonts w:ascii="宋体" w:hAnsi="宋体" w:eastAsia="宋体" w:cs="宋体"/>
          <w:spacing w:val="-4"/>
          <w:sz w:val="24"/>
          <w:szCs w:val="24"/>
          <w:highlight w:val="none"/>
        </w:rPr>
        <w:t>法律依据：</w:t>
      </w:r>
    </w:p>
    <w:p w14:paraId="0B581E2B">
      <w:pPr>
        <w:pStyle w:val="2"/>
        <w:spacing w:line="357" w:lineRule="auto"/>
        <w:outlineLvl w:val="9"/>
        <w:rPr>
          <w:highlight w:val="none"/>
        </w:rPr>
      </w:pPr>
    </w:p>
    <w:p w14:paraId="1D537571">
      <w:pPr>
        <w:spacing w:before="1" w:line="12" w:lineRule="exact"/>
        <w:ind w:left="24"/>
        <w:outlineLvl w:val="9"/>
        <w:rPr>
          <w:highlight w:val="none"/>
        </w:rPr>
      </w:pPr>
      <w:r>
        <w:rPr>
          <w:highlight w:val="none"/>
        </w:rPr>
        <w:drawing>
          <wp:inline distT="0" distB="0" distL="0" distR="0">
            <wp:extent cx="4958715" cy="762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18"/>
                    <a:stretch>
                      <a:fillRect/>
                    </a:stretch>
                  </pic:blipFill>
                  <pic:spPr>
                    <a:xfrm>
                      <a:off x="0" y="0"/>
                      <a:ext cx="4959095" cy="7620"/>
                    </a:xfrm>
                    <a:prstGeom prst="rect">
                      <a:avLst/>
                    </a:prstGeom>
                  </pic:spPr>
                </pic:pic>
              </a:graphicData>
            </a:graphic>
          </wp:inline>
        </w:drawing>
      </w:r>
    </w:p>
    <w:p w14:paraId="5755B628">
      <w:pPr>
        <w:spacing w:before="105" w:line="220" w:lineRule="auto"/>
        <w:ind w:left="35"/>
        <w:outlineLvl w:val="9"/>
        <w:rPr>
          <w:rFonts w:ascii="宋体" w:hAnsi="宋体" w:eastAsia="宋体" w:cs="宋体"/>
          <w:sz w:val="24"/>
          <w:szCs w:val="24"/>
          <w:highlight w:val="none"/>
        </w:rPr>
      </w:pPr>
      <w:r>
        <w:rPr>
          <w:rFonts w:ascii="宋体" w:hAnsi="宋体" w:eastAsia="宋体" w:cs="宋体"/>
          <w:spacing w:val="-4"/>
          <w:sz w:val="24"/>
          <w:szCs w:val="24"/>
          <w:highlight w:val="none"/>
        </w:rPr>
        <w:t>质疑事项2</w:t>
      </w:r>
    </w:p>
    <w:p w14:paraId="4049753D">
      <w:pPr>
        <w:spacing w:before="214" w:line="55" w:lineRule="exact"/>
        <w:ind w:firstLine="63"/>
        <w:outlineLvl w:val="9"/>
        <w:rPr>
          <w:highlight w:val="none"/>
        </w:rPr>
      </w:pPr>
      <w:r>
        <w:rPr>
          <w:position w:val="-1"/>
          <w:highlight w:val="none"/>
        </w:rPr>
        <w:drawing>
          <wp:inline distT="0" distB="0" distL="0" distR="0">
            <wp:extent cx="270510" cy="3492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19"/>
                    <a:stretch>
                      <a:fillRect/>
                    </a:stretch>
                  </pic:blipFill>
                  <pic:spPr>
                    <a:xfrm>
                      <a:off x="0" y="0"/>
                      <a:ext cx="270842" cy="35134"/>
                    </a:xfrm>
                    <a:prstGeom prst="rect">
                      <a:avLst/>
                    </a:prstGeom>
                  </pic:spPr>
                </pic:pic>
              </a:graphicData>
            </a:graphic>
          </wp:inline>
        </w:drawing>
      </w:r>
    </w:p>
    <w:p w14:paraId="73D80ABF">
      <w:pPr>
        <w:spacing w:before="181" w:line="220" w:lineRule="auto"/>
        <w:ind w:left="78"/>
        <w:outlineLvl w:val="9"/>
        <w:rPr>
          <w:rFonts w:ascii="宋体" w:hAnsi="宋体" w:eastAsia="宋体" w:cs="宋体"/>
          <w:sz w:val="24"/>
          <w:szCs w:val="24"/>
          <w:highlight w:val="none"/>
        </w:rPr>
      </w:pPr>
      <w:r>
        <w:rPr>
          <w:rFonts w:ascii="宋体" w:hAnsi="宋体" w:eastAsia="宋体" w:cs="宋体"/>
          <w:spacing w:val="-4"/>
          <w:sz w:val="24"/>
          <w:szCs w:val="24"/>
          <w:highlight w:val="none"/>
        </w:rPr>
        <w:t>四、与质疑事项相关的质疑请求</w:t>
      </w:r>
    </w:p>
    <w:p w14:paraId="3F736671">
      <w:pPr>
        <w:spacing w:line="220" w:lineRule="auto"/>
        <w:outlineLvl w:val="9"/>
        <w:rPr>
          <w:rFonts w:ascii="宋体" w:hAnsi="宋体" w:eastAsia="宋体" w:cs="宋体"/>
          <w:sz w:val="24"/>
          <w:szCs w:val="24"/>
          <w:highlight w:val="none"/>
        </w:rPr>
        <w:sectPr>
          <w:footerReference r:id="rId34" w:type="default"/>
          <w:pgSz w:w="11850" w:h="16781"/>
          <w:pgMar w:top="400" w:right="1777" w:bottom="1011" w:left="1777" w:header="0" w:footer="766" w:gutter="0"/>
          <w:pgNumType w:fmt="decimal"/>
          <w:cols w:space="720" w:num="1"/>
        </w:sectPr>
      </w:pPr>
    </w:p>
    <w:p w14:paraId="3260CCAF">
      <w:pPr>
        <w:pStyle w:val="2"/>
        <w:spacing w:line="241" w:lineRule="auto"/>
        <w:outlineLvl w:val="9"/>
        <w:rPr>
          <w:highlight w:val="none"/>
        </w:rPr>
      </w:pPr>
    </w:p>
    <w:p w14:paraId="0365514C">
      <w:pPr>
        <w:pStyle w:val="2"/>
        <w:spacing w:line="241" w:lineRule="auto"/>
        <w:outlineLvl w:val="9"/>
        <w:rPr>
          <w:highlight w:val="none"/>
        </w:rPr>
      </w:pPr>
    </w:p>
    <w:p w14:paraId="05DD4FF5">
      <w:pPr>
        <w:pStyle w:val="2"/>
        <w:spacing w:line="242" w:lineRule="auto"/>
        <w:outlineLvl w:val="9"/>
        <w:rPr>
          <w:highlight w:val="none"/>
        </w:rPr>
      </w:pPr>
    </w:p>
    <w:p w14:paraId="26E1051D">
      <w:pPr>
        <w:pStyle w:val="2"/>
        <w:spacing w:line="242" w:lineRule="auto"/>
        <w:outlineLvl w:val="9"/>
        <w:rPr>
          <w:highlight w:val="none"/>
        </w:rPr>
      </w:pPr>
    </w:p>
    <w:p w14:paraId="11B06424">
      <w:pPr>
        <w:spacing w:before="78" w:line="220" w:lineRule="auto"/>
        <w:ind w:left="29"/>
        <w:outlineLvl w:val="9"/>
        <w:rPr>
          <w:rFonts w:ascii="宋体" w:hAnsi="宋体" w:eastAsia="宋体" w:cs="宋体"/>
          <w:sz w:val="24"/>
          <w:szCs w:val="24"/>
          <w:highlight w:val="none"/>
        </w:rPr>
      </w:pPr>
      <w:r>
        <w:rPr>
          <w:rFonts w:ascii="宋体" w:hAnsi="宋体" w:eastAsia="宋体" w:cs="宋体"/>
          <w:spacing w:val="-4"/>
          <w:sz w:val="24"/>
          <w:szCs w:val="24"/>
          <w:highlight w:val="none"/>
        </w:rPr>
        <w:t>请求：</w:t>
      </w:r>
    </w:p>
    <w:p w14:paraId="2630F69D">
      <w:pPr>
        <w:pStyle w:val="2"/>
        <w:spacing w:line="262" w:lineRule="auto"/>
        <w:outlineLvl w:val="9"/>
        <w:rPr>
          <w:highlight w:val="none"/>
        </w:rPr>
      </w:pPr>
      <w:r>
        <w:rPr>
          <w:highlight w:val="none"/>
        </w:rPr>
        <w:drawing>
          <wp:anchor distT="0" distB="0" distL="0" distR="0" simplePos="0" relativeHeight="251663360" behindDoc="0" locked="0" layoutInCell="1" allowOverlap="1">
            <wp:simplePos x="0" y="0"/>
            <wp:positionH relativeFrom="column">
              <wp:posOffset>13970</wp:posOffset>
            </wp:positionH>
            <wp:positionV relativeFrom="paragraph">
              <wp:posOffset>138430</wp:posOffset>
            </wp:positionV>
            <wp:extent cx="5265420" cy="635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20"/>
                    <a:stretch>
                      <a:fillRect/>
                    </a:stretch>
                  </pic:blipFill>
                  <pic:spPr>
                    <a:xfrm>
                      <a:off x="0" y="0"/>
                      <a:ext cx="5265420" cy="6350"/>
                    </a:xfrm>
                    <a:prstGeom prst="rect">
                      <a:avLst/>
                    </a:prstGeom>
                  </pic:spPr>
                </pic:pic>
              </a:graphicData>
            </a:graphic>
          </wp:anchor>
        </w:drawing>
      </w:r>
    </w:p>
    <w:p w14:paraId="1582F3B6">
      <w:pPr>
        <w:spacing w:before="78" w:line="219" w:lineRule="auto"/>
        <w:ind w:left="31"/>
        <w:outlineLvl w:val="9"/>
        <w:rPr>
          <w:rFonts w:ascii="宋体" w:hAnsi="宋体" w:eastAsia="宋体" w:cs="宋体"/>
          <w:sz w:val="24"/>
          <w:szCs w:val="24"/>
          <w:highlight w:val="none"/>
        </w:rPr>
      </w:pPr>
      <w:r>
        <w:rPr>
          <w:rFonts w:ascii="宋体" w:hAnsi="宋体" w:eastAsia="宋体" w:cs="宋体"/>
          <w:spacing w:val="-5"/>
          <w:sz w:val="24"/>
          <w:szCs w:val="24"/>
          <w:highlight w:val="none"/>
        </w:rPr>
        <w:t>签字(签章)：公章：</w:t>
      </w:r>
    </w:p>
    <w:p w14:paraId="13486369">
      <w:pPr>
        <w:spacing w:before="95" w:line="220" w:lineRule="auto"/>
        <w:ind w:left="116"/>
        <w:outlineLvl w:val="9"/>
        <w:rPr>
          <w:rFonts w:ascii="宋体" w:hAnsi="宋体" w:eastAsia="宋体" w:cs="宋体"/>
          <w:sz w:val="24"/>
          <w:szCs w:val="24"/>
          <w:highlight w:val="none"/>
        </w:rPr>
      </w:pPr>
      <w:r>
        <w:rPr>
          <w:rFonts w:ascii="宋体" w:hAnsi="宋体" w:eastAsia="宋体" w:cs="宋体"/>
          <w:spacing w:val="-23"/>
          <w:sz w:val="24"/>
          <w:szCs w:val="24"/>
          <w:highlight w:val="none"/>
        </w:rPr>
        <w:t>日期：</w:t>
      </w:r>
    </w:p>
    <w:p w14:paraId="70E2B8D6">
      <w:pPr>
        <w:spacing w:before="95" w:line="219" w:lineRule="auto"/>
        <w:ind w:left="35"/>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质疑函制作说明：</w:t>
      </w:r>
    </w:p>
    <w:p w14:paraId="54D0BF35">
      <w:pPr>
        <w:spacing w:before="91" w:line="219" w:lineRule="auto"/>
        <w:ind w:left="488"/>
        <w:outlineLvl w:val="9"/>
        <w:rPr>
          <w:rFonts w:ascii="宋体" w:hAnsi="宋体" w:eastAsia="宋体" w:cs="宋体"/>
          <w:sz w:val="24"/>
          <w:szCs w:val="24"/>
          <w:highlight w:val="none"/>
        </w:rPr>
      </w:pPr>
      <w:r>
        <w:rPr>
          <w:rFonts w:ascii="宋体" w:hAnsi="宋体" w:eastAsia="宋体" w:cs="宋体"/>
          <w:spacing w:val="-1"/>
          <w:sz w:val="24"/>
          <w:szCs w:val="24"/>
          <w:highlight w:val="none"/>
        </w:rPr>
        <w:t>1.供应商提出质疑时，应提交质疑函和必要的证明</w:t>
      </w:r>
      <w:r>
        <w:rPr>
          <w:rFonts w:ascii="宋体" w:hAnsi="宋体" w:eastAsia="宋体" w:cs="宋体"/>
          <w:spacing w:val="-2"/>
          <w:sz w:val="24"/>
          <w:szCs w:val="24"/>
          <w:highlight w:val="none"/>
        </w:rPr>
        <w:t>材料。</w:t>
      </w:r>
    </w:p>
    <w:p w14:paraId="07232EC9">
      <w:pPr>
        <w:spacing w:before="117" w:line="268" w:lineRule="auto"/>
        <w:ind w:left="41" w:right="1131" w:firstLine="418"/>
        <w:outlineLvl w:val="9"/>
        <w:rPr>
          <w:rFonts w:ascii="宋体" w:hAnsi="宋体" w:eastAsia="宋体" w:cs="宋体"/>
          <w:sz w:val="24"/>
          <w:szCs w:val="24"/>
          <w:highlight w:val="none"/>
        </w:rPr>
      </w:pPr>
      <w:r>
        <w:rPr>
          <w:rFonts w:ascii="宋体" w:hAnsi="宋体" w:eastAsia="宋体" w:cs="宋体"/>
          <w:sz w:val="24"/>
          <w:szCs w:val="24"/>
          <w:highlight w:val="none"/>
        </w:rPr>
        <w:t>2.质疑供应商若委托代理人进行质疑的，</w:t>
      </w:r>
      <w:r>
        <w:rPr>
          <w:rFonts w:ascii="宋体" w:hAnsi="宋体" w:eastAsia="宋体" w:cs="宋体"/>
          <w:spacing w:val="-1"/>
          <w:sz w:val="24"/>
          <w:szCs w:val="24"/>
          <w:highlight w:val="none"/>
        </w:rPr>
        <w:t>质疑函应按要求列明“授权代表”的有关内容，并在附件中提交由质疑供应商签</w:t>
      </w:r>
      <w:r>
        <w:rPr>
          <w:rFonts w:ascii="宋体" w:hAnsi="宋体" w:eastAsia="宋体" w:cs="宋体"/>
          <w:spacing w:val="-2"/>
          <w:sz w:val="24"/>
          <w:szCs w:val="24"/>
          <w:highlight w:val="none"/>
        </w:rPr>
        <w:t>署的授权委托书。授权委托</w:t>
      </w:r>
      <w:r>
        <w:rPr>
          <w:rFonts w:ascii="宋体" w:hAnsi="宋体" w:eastAsia="宋体" w:cs="宋体"/>
          <w:spacing w:val="-1"/>
          <w:sz w:val="24"/>
          <w:szCs w:val="24"/>
          <w:highlight w:val="none"/>
        </w:rPr>
        <w:t>书应载明代理人的姓名或者名称、代理事项、具体权限、期限和相关事项。</w:t>
      </w:r>
    </w:p>
    <w:p w14:paraId="5435FF73">
      <w:pPr>
        <w:spacing w:before="70" w:line="219" w:lineRule="auto"/>
        <w:ind w:left="461"/>
        <w:outlineLvl w:val="9"/>
        <w:rPr>
          <w:rFonts w:ascii="宋体" w:hAnsi="宋体" w:eastAsia="宋体" w:cs="宋体"/>
          <w:sz w:val="24"/>
          <w:szCs w:val="24"/>
          <w:highlight w:val="none"/>
        </w:rPr>
      </w:pPr>
      <w:r>
        <w:rPr>
          <w:rFonts w:ascii="宋体" w:hAnsi="宋体" w:eastAsia="宋体" w:cs="宋体"/>
          <w:sz w:val="24"/>
          <w:szCs w:val="24"/>
          <w:highlight w:val="none"/>
        </w:rPr>
        <w:t>3.质疑供应商若对项目的某一分包进行质疑，质疑函中应列明具体分包号</w:t>
      </w:r>
    </w:p>
    <w:p w14:paraId="2CBC16A6">
      <w:pPr>
        <w:spacing w:before="154" w:line="121" w:lineRule="exact"/>
        <w:ind w:left="480"/>
        <w:outlineLvl w:val="9"/>
        <w:rPr>
          <w:rFonts w:ascii="宋体" w:hAnsi="宋体" w:eastAsia="宋体" w:cs="宋体"/>
          <w:sz w:val="24"/>
          <w:szCs w:val="24"/>
          <w:highlight w:val="none"/>
        </w:rPr>
      </w:pPr>
      <w:r>
        <w:rPr>
          <w:rFonts w:ascii="宋体" w:hAnsi="宋体" w:eastAsia="宋体" w:cs="宋体"/>
          <w:position w:val="1"/>
          <w:sz w:val="24"/>
          <w:szCs w:val="24"/>
          <w:highlight w:val="none"/>
        </w:rPr>
        <w:t>。</w:t>
      </w:r>
    </w:p>
    <w:p w14:paraId="3308D5A2">
      <w:pPr>
        <w:spacing w:before="105" w:line="219" w:lineRule="auto"/>
        <w:ind w:left="450"/>
        <w:outlineLvl w:val="9"/>
        <w:rPr>
          <w:rFonts w:ascii="宋体" w:hAnsi="宋体" w:eastAsia="宋体" w:cs="宋体"/>
          <w:sz w:val="24"/>
          <w:szCs w:val="24"/>
          <w:highlight w:val="none"/>
        </w:rPr>
      </w:pPr>
      <w:r>
        <w:rPr>
          <w:rFonts w:ascii="宋体" w:hAnsi="宋体" w:eastAsia="宋体" w:cs="宋体"/>
          <w:sz w:val="24"/>
          <w:szCs w:val="24"/>
          <w:highlight w:val="none"/>
        </w:rPr>
        <w:t>4.质疑函的质疑事项应具体、明确，并有必要的事实依据和法律依据。</w:t>
      </w:r>
    </w:p>
    <w:p w14:paraId="1CE09B1D">
      <w:pPr>
        <w:spacing w:before="95" w:line="220" w:lineRule="auto"/>
        <w:ind w:left="461"/>
        <w:outlineLvl w:val="9"/>
        <w:rPr>
          <w:rFonts w:ascii="宋体" w:hAnsi="宋体" w:eastAsia="宋体" w:cs="宋体"/>
          <w:sz w:val="24"/>
          <w:szCs w:val="24"/>
          <w:highlight w:val="none"/>
        </w:rPr>
      </w:pPr>
      <w:r>
        <w:rPr>
          <w:rFonts w:ascii="宋体" w:hAnsi="宋体" w:eastAsia="宋体" w:cs="宋体"/>
          <w:spacing w:val="-1"/>
          <w:sz w:val="24"/>
          <w:szCs w:val="24"/>
          <w:highlight w:val="none"/>
        </w:rPr>
        <w:t>5.质疑函的质疑请求应与质疑事项相关。</w:t>
      </w:r>
    </w:p>
    <w:p w14:paraId="645A7E71">
      <w:pPr>
        <w:spacing w:before="48" w:line="237" w:lineRule="auto"/>
        <w:ind w:left="38" w:right="1340" w:firstLine="417"/>
        <w:outlineLvl w:val="9"/>
        <w:rPr>
          <w:rFonts w:ascii="宋体" w:hAnsi="宋体" w:eastAsia="宋体" w:cs="宋体"/>
          <w:sz w:val="24"/>
          <w:szCs w:val="24"/>
          <w:highlight w:val="none"/>
        </w:rPr>
      </w:pPr>
      <w:r>
        <w:rPr>
          <w:rFonts w:ascii="宋体" w:hAnsi="宋体" w:eastAsia="宋体" w:cs="宋体"/>
          <w:sz w:val="24"/>
          <w:szCs w:val="24"/>
          <w:highlight w:val="none"/>
        </w:rPr>
        <w:t>6.质疑供应商为自然人的，质疑函应由本人签字；质疑供应商为法人或</w:t>
      </w:r>
      <w:r>
        <w:rPr>
          <w:rFonts w:ascii="宋体" w:hAnsi="宋体" w:eastAsia="宋体" w:cs="宋体"/>
          <w:spacing w:val="-1"/>
          <w:sz w:val="24"/>
          <w:szCs w:val="24"/>
          <w:highlight w:val="none"/>
        </w:rPr>
        <w:t>者其他组织的，质疑函应由法定代表人、主要负责人，</w:t>
      </w:r>
      <w:r>
        <w:rPr>
          <w:rFonts w:ascii="宋体" w:hAnsi="宋体" w:eastAsia="宋体" w:cs="宋体"/>
          <w:spacing w:val="-2"/>
          <w:sz w:val="24"/>
          <w:szCs w:val="24"/>
          <w:highlight w:val="none"/>
        </w:rPr>
        <w:t>或者其授权代表签字</w:t>
      </w:r>
      <w:r>
        <w:rPr>
          <w:rFonts w:ascii="宋体" w:hAnsi="宋体" w:eastAsia="宋体" w:cs="宋体"/>
          <w:spacing w:val="-3"/>
          <w:sz w:val="24"/>
          <w:szCs w:val="24"/>
          <w:highlight w:val="none"/>
        </w:rPr>
        <w:t>或者盖章，并加盖公章。</w:t>
      </w:r>
    </w:p>
    <w:p w14:paraId="6F25E685">
      <w:pPr>
        <w:spacing w:before="4" w:line="219" w:lineRule="auto"/>
        <w:ind w:left="37"/>
        <w:outlineLvl w:val="9"/>
        <w:rPr>
          <w:rFonts w:ascii="宋体" w:hAnsi="宋体" w:eastAsia="宋体" w:cs="宋体"/>
          <w:sz w:val="24"/>
          <w:szCs w:val="24"/>
          <w:highlight w:val="none"/>
        </w:rPr>
      </w:pPr>
      <w:r>
        <w:rPr>
          <w:rFonts w:ascii="宋体" w:hAnsi="宋体" w:eastAsia="宋体" w:cs="宋体"/>
          <w:sz w:val="24"/>
          <w:szCs w:val="24"/>
          <w:highlight w:val="none"/>
        </w:rPr>
        <w:t>7.供应商在法定质疑期内一次性提出针对同一采购程序环节的质疑。</w:t>
      </w:r>
    </w:p>
    <w:p w14:paraId="59308BC1">
      <w:pPr>
        <w:spacing w:before="239"/>
        <w:outlineLvl w:val="9"/>
        <w:rPr>
          <w:highlight w:val="none"/>
        </w:rPr>
      </w:pPr>
    </w:p>
    <w:tbl>
      <w:tblPr>
        <w:tblStyle w:val="10"/>
        <w:tblW w:w="9233" w:type="dxa"/>
        <w:tblInd w:w="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0"/>
        <w:gridCol w:w="8133"/>
      </w:tblGrid>
      <w:tr w14:paraId="5B91D2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7" w:hRule="atLeast"/>
        </w:trPr>
        <w:tc>
          <w:tcPr>
            <w:tcW w:w="1100" w:type="dxa"/>
            <w:tcBorders>
              <w:bottom w:val="nil"/>
            </w:tcBorders>
            <w:vAlign w:val="top"/>
          </w:tcPr>
          <w:p w14:paraId="193777E3">
            <w:pPr>
              <w:pStyle w:val="11"/>
              <w:spacing w:before="113" w:line="220" w:lineRule="auto"/>
              <w:ind w:left="10"/>
              <w:outlineLvl w:val="9"/>
              <w:rPr>
                <w:highlight w:val="none"/>
                <w:u w:val="none"/>
                <w:shd w:val="clear" w:color="auto" w:fill="auto"/>
              </w:rPr>
            </w:pPr>
            <w:r>
              <w:rPr>
                <w:spacing w:val="43"/>
                <w:highlight w:val="none"/>
                <w:u w:val="none"/>
                <w:shd w:val="clear" w:color="auto" w:fill="auto"/>
              </w:rPr>
              <w:t>质疑函</w:t>
            </w:r>
          </w:p>
          <w:p w14:paraId="1C127088">
            <w:pPr>
              <w:pStyle w:val="11"/>
              <w:spacing w:before="92" w:line="275" w:lineRule="auto"/>
              <w:ind w:left="13" w:right="260" w:hanging="5"/>
              <w:outlineLvl w:val="9"/>
              <w:rPr>
                <w:highlight w:val="none"/>
                <w:u w:val="none"/>
                <w:shd w:val="clear" w:color="auto" w:fill="auto"/>
              </w:rPr>
            </w:pPr>
            <w:r>
              <w:rPr>
                <w:spacing w:val="35"/>
                <w:highlight w:val="none"/>
                <w:u w:val="none"/>
                <w:shd w:val="clear" w:color="auto" w:fill="auto"/>
              </w:rPr>
              <w:t>接收方</w:t>
            </w:r>
            <w:r>
              <w:rPr>
                <w:highlight w:val="none"/>
                <w:u w:val="none"/>
                <w:shd w:val="clear" w:color="auto" w:fill="auto"/>
              </w:rPr>
              <w:t>式</w:t>
            </w:r>
          </w:p>
        </w:tc>
        <w:tc>
          <w:tcPr>
            <w:tcW w:w="8133" w:type="dxa"/>
            <w:vAlign w:val="top"/>
          </w:tcPr>
          <w:p w14:paraId="3A5D42C0">
            <w:pPr>
              <w:spacing w:before="319" w:line="228" w:lineRule="auto"/>
              <w:ind w:left="472"/>
              <w:outlineLvl w:val="9"/>
              <w:rPr>
                <w:highlight w:val="none"/>
                <w:u w:val="none"/>
                <w:shd w:val="clear" w:color="auto" w:fill="auto"/>
              </w:rPr>
            </w:pPr>
            <w:r>
              <w:rPr>
                <w:rFonts w:ascii="MS Gothic" w:hAnsi="MS Gothic" w:eastAsia="MS Gothic" w:cs="MS Gothic"/>
                <w:spacing w:val="2"/>
                <w:highlight w:val="none"/>
                <w:u w:val="none"/>
                <w:shd w:val="clear" w:color="auto" w:fill="auto"/>
              </w:rPr>
              <w:t>☑</w:t>
            </w:r>
            <w:r>
              <w:rPr>
                <w:spacing w:val="2"/>
                <w:highlight w:val="none"/>
                <w:u w:val="none"/>
                <w:shd w:val="clear" w:color="auto" w:fill="auto"/>
              </w:rPr>
              <w:t>质疑递交（或邮寄）地址：</w:t>
            </w:r>
            <w:r>
              <w:rPr>
                <w:rFonts w:hint="eastAsia"/>
                <w:spacing w:val="2"/>
                <w:highlight w:val="none"/>
                <w:u w:val="none"/>
                <w:shd w:val="clear" w:color="auto" w:fill="auto"/>
              </w:rPr>
              <w:t>新疆阿克苏地区温宿县长兴街15号阿克苏药品集散中心（一期）办公楼2层238室</w:t>
            </w:r>
            <w:r>
              <w:rPr>
                <w:rFonts w:hint="eastAsia"/>
                <w:spacing w:val="2"/>
                <w:highlight w:val="none"/>
                <w:u w:val="none"/>
                <w:shd w:val="clear" w:color="auto" w:fill="auto"/>
                <w:lang w:val="en-US" w:eastAsia="zh-CN"/>
              </w:rPr>
              <w:t>阿能（阿克苏）项目管理有限公司。齐元鑫、张黎</w:t>
            </w:r>
            <w:r>
              <w:rPr>
                <w:spacing w:val="2"/>
                <w:highlight w:val="none"/>
                <w:u w:val="none"/>
                <w:shd w:val="clear" w:color="auto" w:fill="auto"/>
              </w:rPr>
              <w:t>15292</w:t>
            </w:r>
            <w:r>
              <w:rPr>
                <w:rFonts w:hint="eastAsia"/>
                <w:spacing w:val="2"/>
                <w:highlight w:val="none"/>
                <w:u w:val="none"/>
                <w:shd w:val="clear" w:color="auto" w:fill="auto"/>
                <w:lang w:val="en-US" w:eastAsia="zh-CN"/>
              </w:rPr>
              <w:t>520014</w:t>
            </w:r>
            <w:r>
              <w:rPr>
                <w:spacing w:val="2"/>
                <w:highlight w:val="none"/>
                <w:u w:val="none"/>
                <w:shd w:val="clear" w:color="auto" w:fill="auto"/>
              </w:rPr>
              <w:t>、</w:t>
            </w:r>
            <w:r>
              <w:rPr>
                <w:rFonts w:hint="eastAsia" w:eastAsia="宋体"/>
                <w:spacing w:val="2"/>
                <w:highlight w:val="none"/>
                <w:u w:val="none"/>
                <w:shd w:val="clear" w:color="auto" w:fill="auto"/>
                <w:lang w:eastAsia="zh-CN"/>
              </w:rPr>
              <w:t>15299591234</w:t>
            </w:r>
            <w:r>
              <w:rPr>
                <w:spacing w:val="2"/>
                <w:highlight w:val="none"/>
                <w:u w:val="none"/>
                <w:shd w:val="clear" w:color="auto" w:fill="auto"/>
              </w:rPr>
              <w:t>收；</w:t>
            </w:r>
          </w:p>
        </w:tc>
      </w:tr>
    </w:tbl>
    <w:p w14:paraId="39E69DB0">
      <w:pPr>
        <w:spacing w:before="76" w:line="246" w:lineRule="auto"/>
        <w:ind w:left="172" w:right="1256" w:firstLine="224"/>
        <w:outlineLvl w:val="9"/>
        <w:rPr>
          <w:rFonts w:ascii="宋体" w:hAnsi="宋体" w:eastAsia="宋体" w:cs="宋体"/>
          <w:sz w:val="24"/>
          <w:szCs w:val="24"/>
          <w:highlight w:val="none"/>
        </w:rPr>
      </w:pPr>
      <w:r>
        <w:rPr>
          <w:rFonts w:ascii="宋体" w:hAnsi="宋体" w:eastAsia="宋体" w:cs="宋体"/>
          <w:b/>
          <w:bCs/>
          <w:spacing w:val="-5"/>
          <w:sz w:val="24"/>
          <w:szCs w:val="24"/>
          <w:highlight w:val="none"/>
        </w:rPr>
        <w:t>注：质疑函附件应提供营业执照扫描件、法定代表人身份证扫描件、授权</w:t>
      </w:r>
      <w:r>
        <w:rPr>
          <w:rFonts w:ascii="宋体" w:hAnsi="宋体" w:eastAsia="宋体" w:cs="宋体"/>
          <w:b/>
          <w:bCs/>
          <w:spacing w:val="-4"/>
          <w:sz w:val="24"/>
          <w:szCs w:val="24"/>
          <w:highlight w:val="none"/>
        </w:rPr>
        <w:t>委托人应附供应商授权委托书及被委托人身份证扫描件、获取磋商文件回</w:t>
      </w:r>
      <w:r>
        <w:rPr>
          <w:rFonts w:ascii="宋体" w:hAnsi="宋体" w:eastAsia="宋体" w:cs="宋体"/>
          <w:b/>
          <w:bCs/>
          <w:spacing w:val="-6"/>
          <w:sz w:val="24"/>
          <w:szCs w:val="24"/>
          <w:highlight w:val="none"/>
        </w:rPr>
        <w:t>执单。</w:t>
      </w:r>
    </w:p>
    <w:p w14:paraId="071FB1E5">
      <w:pPr>
        <w:spacing w:before="286" w:line="219" w:lineRule="auto"/>
        <w:ind w:left="155"/>
        <w:outlineLvl w:val="9"/>
        <w:rPr>
          <w:rFonts w:ascii="宋体" w:hAnsi="宋体" w:eastAsia="宋体" w:cs="宋体"/>
          <w:sz w:val="24"/>
          <w:szCs w:val="24"/>
          <w:highlight w:val="none"/>
        </w:rPr>
      </w:pPr>
      <w:r>
        <w:rPr>
          <w:rFonts w:ascii="宋体" w:hAnsi="宋体" w:eastAsia="宋体" w:cs="宋体"/>
          <w:spacing w:val="-1"/>
          <w:sz w:val="24"/>
          <w:szCs w:val="24"/>
          <w:highlight w:val="none"/>
        </w:rPr>
        <w:t>其他需补充的内容：见供应商须知前附表</w:t>
      </w:r>
    </w:p>
    <w:p w14:paraId="65E22DF0">
      <w:pPr>
        <w:spacing w:line="219" w:lineRule="auto"/>
        <w:outlineLvl w:val="9"/>
        <w:rPr>
          <w:rFonts w:ascii="宋体" w:hAnsi="宋体" w:eastAsia="宋体" w:cs="宋体"/>
          <w:sz w:val="24"/>
          <w:szCs w:val="24"/>
          <w:highlight w:val="none"/>
        </w:rPr>
        <w:sectPr>
          <w:footerReference r:id="rId35" w:type="default"/>
          <w:pgSz w:w="11850" w:h="16781"/>
          <w:pgMar w:top="400" w:right="813" w:bottom="1011" w:left="1777" w:header="0" w:footer="766" w:gutter="0"/>
          <w:pgNumType w:fmt="decimal"/>
          <w:cols w:space="720" w:num="1"/>
        </w:sectPr>
      </w:pPr>
    </w:p>
    <w:p w14:paraId="229002C9">
      <w:pPr>
        <w:pStyle w:val="2"/>
        <w:spacing w:line="264" w:lineRule="auto"/>
        <w:rPr>
          <w:highlight w:val="none"/>
        </w:rPr>
      </w:pPr>
    </w:p>
    <w:p w14:paraId="16A47971">
      <w:pPr>
        <w:pStyle w:val="2"/>
        <w:spacing w:line="264" w:lineRule="auto"/>
        <w:rPr>
          <w:highlight w:val="none"/>
        </w:rPr>
      </w:pPr>
    </w:p>
    <w:p w14:paraId="664ED7BF">
      <w:pPr>
        <w:pStyle w:val="2"/>
        <w:spacing w:line="264" w:lineRule="auto"/>
        <w:rPr>
          <w:highlight w:val="none"/>
        </w:rPr>
      </w:pPr>
    </w:p>
    <w:p w14:paraId="41D735BD">
      <w:pPr>
        <w:pStyle w:val="2"/>
        <w:spacing w:line="264" w:lineRule="auto"/>
        <w:rPr>
          <w:highlight w:val="none"/>
        </w:rPr>
      </w:pPr>
    </w:p>
    <w:p w14:paraId="1FB43812">
      <w:pPr>
        <w:pStyle w:val="2"/>
        <w:spacing w:line="264" w:lineRule="auto"/>
        <w:rPr>
          <w:highlight w:val="none"/>
        </w:rPr>
      </w:pPr>
    </w:p>
    <w:p w14:paraId="199FBF76">
      <w:pPr>
        <w:spacing w:before="110" w:line="227" w:lineRule="auto"/>
        <w:ind w:left="2960"/>
        <w:outlineLvl w:val="0"/>
        <w:rPr>
          <w:rFonts w:ascii="黑体" w:hAnsi="黑体" w:eastAsia="黑体" w:cs="黑体"/>
          <w:sz w:val="34"/>
          <w:szCs w:val="34"/>
          <w:highlight w:val="none"/>
        </w:rPr>
      </w:pPr>
      <w:bookmarkStart w:id="10" w:name="_Toc25598_WPSOffice_Level1"/>
      <w:r>
        <w:rPr>
          <w:rFonts w:ascii="黑体" w:hAnsi="黑体" w:eastAsia="黑体" w:cs="黑体"/>
          <w:b/>
          <w:bCs/>
          <w:spacing w:val="11"/>
          <w:sz w:val="34"/>
          <w:szCs w:val="34"/>
          <w:highlight w:val="none"/>
        </w:rPr>
        <w:t>第三部分采购需求</w:t>
      </w:r>
      <w:bookmarkEnd w:id="10"/>
    </w:p>
    <w:p w14:paraId="202D9164">
      <w:pPr>
        <w:pStyle w:val="2"/>
        <w:spacing w:line="247" w:lineRule="auto"/>
        <w:rPr>
          <w:highlight w:val="none"/>
        </w:rPr>
      </w:pPr>
    </w:p>
    <w:p w14:paraId="6D726004">
      <w:pPr>
        <w:spacing w:before="91" w:line="219" w:lineRule="auto"/>
        <w:jc w:val="center"/>
        <w:outlineLvl w:val="9"/>
        <w:rPr>
          <w:rFonts w:ascii="宋体" w:hAnsi="宋体" w:eastAsia="宋体" w:cs="宋体"/>
          <w:sz w:val="28"/>
          <w:szCs w:val="28"/>
          <w:highlight w:val="none"/>
        </w:rPr>
      </w:pPr>
      <w:r>
        <w:rPr>
          <w:rFonts w:hint="eastAsia" w:ascii="宋体" w:hAnsi="宋体" w:eastAsia="宋体" w:cs="宋体"/>
          <w:spacing w:val="-1"/>
          <w:sz w:val="28"/>
          <w:szCs w:val="28"/>
          <w:highlight w:val="none"/>
          <w:lang w:eastAsia="zh-CN"/>
        </w:rPr>
        <w:t>采购2026年困难群众冬季取暖煤</w:t>
      </w:r>
      <w:r>
        <w:rPr>
          <w:rFonts w:hint="eastAsia" w:ascii="宋体" w:hAnsi="宋体" w:eastAsia="宋体" w:cs="宋体"/>
          <w:spacing w:val="-1"/>
          <w:sz w:val="28"/>
          <w:szCs w:val="28"/>
          <w:highlight w:val="none"/>
          <w:lang w:val="en-US" w:eastAsia="zh-CN"/>
        </w:rPr>
        <w:t>项目</w:t>
      </w:r>
      <w:r>
        <w:rPr>
          <w:rFonts w:ascii="宋体" w:hAnsi="宋体" w:eastAsia="宋体" w:cs="宋体"/>
          <w:spacing w:val="-1"/>
          <w:sz w:val="28"/>
          <w:szCs w:val="28"/>
          <w:highlight w:val="none"/>
        </w:rPr>
        <w:t>需求清单</w:t>
      </w:r>
    </w:p>
    <w:p w14:paraId="11AFC53C">
      <w:pPr>
        <w:spacing w:before="18"/>
        <w:outlineLvl w:val="9"/>
        <w:rPr>
          <w:highlight w:val="none"/>
        </w:rPr>
      </w:pPr>
    </w:p>
    <w:tbl>
      <w:tblPr>
        <w:tblStyle w:val="10"/>
        <w:tblW w:w="9121"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4"/>
        <w:gridCol w:w="1200"/>
        <w:gridCol w:w="2673"/>
        <w:gridCol w:w="955"/>
        <w:gridCol w:w="1349"/>
        <w:gridCol w:w="2390"/>
      </w:tblGrid>
      <w:tr w14:paraId="2D90F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554" w:type="dxa"/>
            <w:vAlign w:val="top"/>
          </w:tcPr>
          <w:p w14:paraId="19F3F6E7">
            <w:pPr>
              <w:spacing w:line="348" w:lineRule="auto"/>
              <w:jc w:val="left"/>
              <w:outlineLvl w:val="9"/>
              <w:rPr>
                <w:rFonts w:ascii="Arial"/>
                <w:sz w:val="21"/>
                <w:highlight w:val="none"/>
              </w:rPr>
            </w:pPr>
          </w:p>
          <w:p w14:paraId="7CB74EB8">
            <w:pPr>
              <w:pStyle w:val="11"/>
              <w:spacing w:before="78" w:line="220" w:lineRule="auto"/>
              <w:ind w:left="22"/>
              <w:jc w:val="left"/>
              <w:outlineLvl w:val="9"/>
              <w:rPr>
                <w:highlight w:val="none"/>
              </w:rPr>
            </w:pPr>
            <w:r>
              <w:rPr>
                <w:spacing w:val="-5"/>
                <w:highlight w:val="none"/>
              </w:rPr>
              <w:t>序号</w:t>
            </w:r>
          </w:p>
        </w:tc>
        <w:tc>
          <w:tcPr>
            <w:tcW w:w="1200" w:type="dxa"/>
            <w:vAlign w:val="top"/>
          </w:tcPr>
          <w:p w14:paraId="628C3E6F">
            <w:pPr>
              <w:spacing w:line="365" w:lineRule="auto"/>
              <w:jc w:val="left"/>
              <w:outlineLvl w:val="9"/>
              <w:rPr>
                <w:rFonts w:ascii="Arial"/>
                <w:sz w:val="21"/>
                <w:highlight w:val="none"/>
              </w:rPr>
            </w:pPr>
          </w:p>
          <w:p w14:paraId="723E2497">
            <w:pPr>
              <w:pStyle w:val="11"/>
              <w:spacing w:before="78" w:line="207" w:lineRule="auto"/>
              <w:ind w:left="142"/>
              <w:jc w:val="left"/>
              <w:outlineLvl w:val="9"/>
              <w:rPr>
                <w:highlight w:val="none"/>
              </w:rPr>
            </w:pPr>
            <w:r>
              <w:rPr>
                <w:spacing w:val="-15"/>
                <w:highlight w:val="none"/>
              </w:rPr>
              <w:t>品目名称</w:t>
            </w:r>
          </w:p>
        </w:tc>
        <w:tc>
          <w:tcPr>
            <w:tcW w:w="2673" w:type="dxa"/>
            <w:vAlign w:val="top"/>
          </w:tcPr>
          <w:p w14:paraId="2D3A40C7">
            <w:pPr>
              <w:spacing w:line="349" w:lineRule="auto"/>
              <w:jc w:val="left"/>
              <w:outlineLvl w:val="9"/>
              <w:rPr>
                <w:rFonts w:ascii="Arial"/>
                <w:sz w:val="21"/>
                <w:highlight w:val="none"/>
              </w:rPr>
            </w:pPr>
          </w:p>
          <w:p w14:paraId="3D61FFC5">
            <w:pPr>
              <w:pStyle w:val="11"/>
              <w:spacing w:before="78" w:line="219" w:lineRule="auto"/>
              <w:jc w:val="center"/>
              <w:outlineLvl w:val="9"/>
              <w:rPr>
                <w:highlight w:val="none"/>
              </w:rPr>
            </w:pPr>
            <w:r>
              <w:rPr>
                <w:spacing w:val="-5"/>
                <w:highlight w:val="none"/>
              </w:rPr>
              <w:t>技术参数要求</w:t>
            </w:r>
          </w:p>
        </w:tc>
        <w:tc>
          <w:tcPr>
            <w:tcW w:w="955" w:type="dxa"/>
            <w:vAlign w:val="top"/>
          </w:tcPr>
          <w:p w14:paraId="6CAD0016">
            <w:pPr>
              <w:spacing w:line="349" w:lineRule="auto"/>
              <w:jc w:val="center"/>
              <w:outlineLvl w:val="9"/>
              <w:rPr>
                <w:rFonts w:ascii="Arial"/>
                <w:sz w:val="21"/>
                <w:highlight w:val="none"/>
              </w:rPr>
            </w:pPr>
          </w:p>
          <w:p w14:paraId="11F50B06">
            <w:pPr>
              <w:pStyle w:val="11"/>
              <w:spacing w:before="78" w:line="219" w:lineRule="auto"/>
              <w:ind w:left="21"/>
              <w:jc w:val="center"/>
              <w:outlineLvl w:val="9"/>
              <w:rPr>
                <w:spacing w:val="-6"/>
                <w:highlight w:val="none"/>
              </w:rPr>
            </w:pPr>
            <w:r>
              <w:rPr>
                <w:spacing w:val="-6"/>
                <w:highlight w:val="none"/>
              </w:rPr>
              <w:t>数量</w:t>
            </w:r>
          </w:p>
          <w:p w14:paraId="595B7C4A">
            <w:pPr>
              <w:pStyle w:val="11"/>
              <w:spacing w:before="78" w:line="219" w:lineRule="auto"/>
              <w:ind w:left="21"/>
              <w:jc w:val="center"/>
              <w:outlineLvl w:val="9"/>
              <w:rPr>
                <w:highlight w:val="none"/>
              </w:rPr>
            </w:pPr>
            <w:r>
              <w:rPr>
                <w:spacing w:val="-6"/>
                <w:highlight w:val="none"/>
              </w:rPr>
              <w:t>（吨）</w:t>
            </w:r>
          </w:p>
        </w:tc>
        <w:tc>
          <w:tcPr>
            <w:tcW w:w="1349" w:type="dxa"/>
            <w:vAlign w:val="top"/>
          </w:tcPr>
          <w:p w14:paraId="6F29461A">
            <w:pPr>
              <w:spacing w:line="346" w:lineRule="auto"/>
              <w:jc w:val="center"/>
              <w:outlineLvl w:val="9"/>
              <w:rPr>
                <w:rFonts w:ascii="Arial"/>
                <w:sz w:val="21"/>
                <w:highlight w:val="none"/>
              </w:rPr>
            </w:pPr>
          </w:p>
          <w:p w14:paraId="2F0B83ED">
            <w:pPr>
              <w:pStyle w:val="11"/>
              <w:spacing w:before="78" w:line="218" w:lineRule="auto"/>
              <w:jc w:val="center"/>
              <w:outlineLvl w:val="9"/>
              <w:rPr>
                <w:spacing w:val="-10"/>
                <w:highlight w:val="none"/>
              </w:rPr>
            </w:pPr>
            <w:r>
              <w:rPr>
                <w:spacing w:val="-10"/>
                <w:highlight w:val="none"/>
              </w:rPr>
              <w:t>总价</w:t>
            </w:r>
          </w:p>
          <w:p w14:paraId="412F60FD">
            <w:pPr>
              <w:pStyle w:val="11"/>
              <w:spacing w:before="78" w:line="218" w:lineRule="auto"/>
              <w:jc w:val="center"/>
              <w:outlineLvl w:val="9"/>
              <w:rPr>
                <w:highlight w:val="none"/>
              </w:rPr>
            </w:pPr>
            <w:r>
              <w:rPr>
                <w:spacing w:val="-10"/>
                <w:highlight w:val="none"/>
              </w:rPr>
              <w:t>（元/吨）</w:t>
            </w:r>
          </w:p>
        </w:tc>
        <w:tc>
          <w:tcPr>
            <w:tcW w:w="2390" w:type="dxa"/>
            <w:vAlign w:val="top"/>
          </w:tcPr>
          <w:p w14:paraId="43DF05E6">
            <w:pPr>
              <w:spacing w:line="348" w:lineRule="auto"/>
              <w:jc w:val="left"/>
              <w:outlineLvl w:val="9"/>
              <w:rPr>
                <w:rFonts w:ascii="Arial"/>
                <w:sz w:val="21"/>
                <w:highlight w:val="none"/>
              </w:rPr>
            </w:pPr>
          </w:p>
          <w:p w14:paraId="4A6279FD">
            <w:pPr>
              <w:pStyle w:val="11"/>
              <w:spacing w:before="78" w:line="220" w:lineRule="auto"/>
              <w:ind w:left="146"/>
              <w:jc w:val="left"/>
              <w:outlineLvl w:val="9"/>
              <w:rPr>
                <w:highlight w:val="none"/>
              </w:rPr>
            </w:pPr>
            <w:r>
              <w:rPr>
                <w:spacing w:val="-7"/>
                <w:highlight w:val="none"/>
              </w:rPr>
              <w:t>备注</w:t>
            </w:r>
          </w:p>
        </w:tc>
      </w:tr>
      <w:tr w14:paraId="1E846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4" w:hRule="atLeast"/>
        </w:trPr>
        <w:tc>
          <w:tcPr>
            <w:tcW w:w="554" w:type="dxa"/>
            <w:vAlign w:val="top"/>
          </w:tcPr>
          <w:p w14:paraId="24B3D61D">
            <w:pPr>
              <w:spacing w:line="275" w:lineRule="auto"/>
              <w:jc w:val="left"/>
              <w:outlineLvl w:val="9"/>
              <w:rPr>
                <w:rFonts w:ascii="Arial"/>
                <w:sz w:val="21"/>
                <w:highlight w:val="none"/>
              </w:rPr>
            </w:pPr>
          </w:p>
          <w:p w14:paraId="7A036E3E">
            <w:pPr>
              <w:spacing w:line="276" w:lineRule="auto"/>
              <w:jc w:val="left"/>
              <w:outlineLvl w:val="9"/>
              <w:rPr>
                <w:rFonts w:ascii="Arial"/>
                <w:sz w:val="21"/>
                <w:highlight w:val="none"/>
              </w:rPr>
            </w:pPr>
          </w:p>
          <w:p w14:paraId="4FA45F46">
            <w:pPr>
              <w:spacing w:line="276" w:lineRule="auto"/>
              <w:jc w:val="left"/>
              <w:outlineLvl w:val="9"/>
              <w:rPr>
                <w:rFonts w:ascii="Arial"/>
                <w:sz w:val="21"/>
                <w:highlight w:val="none"/>
              </w:rPr>
            </w:pPr>
          </w:p>
          <w:p w14:paraId="67B11B22">
            <w:pPr>
              <w:pStyle w:val="11"/>
              <w:spacing w:before="78" w:line="241" w:lineRule="auto"/>
              <w:ind w:left="281"/>
              <w:jc w:val="left"/>
              <w:outlineLvl w:val="9"/>
              <w:rPr>
                <w:highlight w:val="none"/>
              </w:rPr>
            </w:pPr>
            <w:r>
              <w:rPr>
                <w:highlight w:val="none"/>
              </w:rPr>
              <w:t>1</w:t>
            </w:r>
          </w:p>
        </w:tc>
        <w:tc>
          <w:tcPr>
            <w:tcW w:w="1200" w:type="dxa"/>
            <w:vAlign w:val="top"/>
          </w:tcPr>
          <w:p w14:paraId="75F3022F">
            <w:pPr>
              <w:spacing w:line="269" w:lineRule="auto"/>
              <w:jc w:val="left"/>
              <w:outlineLvl w:val="9"/>
              <w:rPr>
                <w:rFonts w:ascii="Arial"/>
                <w:sz w:val="21"/>
                <w:highlight w:val="none"/>
              </w:rPr>
            </w:pPr>
          </w:p>
          <w:p w14:paraId="6B382CC3">
            <w:pPr>
              <w:spacing w:line="269" w:lineRule="auto"/>
              <w:jc w:val="left"/>
              <w:outlineLvl w:val="9"/>
              <w:rPr>
                <w:rFonts w:ascii="Arial"/>
                <w:sz w:val="21"/>
                <w:highlight w:val="none"/>
              </w:rPr>
            </w:pPr>
          </w:p>
          <w:p w14:paraId="36D19EAB">
            <w:pPr>
              <w:spacing w:line="270" w:lineRule="auto"/>
              <w:jc w:val="left"/>
              <w:outlineLvl w:val="9"/>
              <w:rPr>
                <w:rFonts w:ascii="Arial"/>
                <w:sz w:val="21"/>
                <w:highlight w:val="none"/>
              </w:rPr>
            </w:pPr>
          </w:p>
          <w:p w14:paraId="541B71F0">
            <w:pPr>
              <w:pStyle w:val="11"/>
              <w:spacing w:before="78" w:line="220" w:lineRule="auto"/>
              <w:jc w:val="center"/>
              <w:outlineLvl w:val="9"/>
              <w:rPr>
                <w:highlight w:val="none"/>
              </w:rPr>
            </w:pPr>
            <w:r>
              <w:rPr>
                <w:rFonts w:hint="eastAsia"/>
                <w:spacing w:val="-6"/>
                <w:highlight w:val="none"/>
                <w:lang w:val="en-US" w:eastAsia="zh-CN"/>
              </w:rPr>
              <w:t>生活用煤</w:t>
            </w:r>
          </w:p>
        </w:tc>
        <w:tc>
          <w:tcPr>
            <w:tcW w:w="2673" w:type="dxa"/>
            <w:vAlign w:val="top"/>
          </w:tcPr>
          <w:p w14:paraId="2B4781EB">
            <w:pPr>
              <w:pStyle w:val="11"/>
              <w:spacing w:before="1" w:line="254" w:lineRule="auto"/>
              <w:ind w:left="144" w:right="236" w:firstLine="3"/>
              <w:jc w:val="left"/>
              <w:outlineLvl w:val="9"/>
              <w:rPr>
                <w:highlight w:val="none"/>
              </w:rPr>
            </w:pPr>
            <w:r>
              <w:rPr>
                <w:rFonts w:hint="eastAsia"/>
                <w:spacing w:val="-2"/>
                <w:highlight w:val="none"/>
              </w:rPr>
              <w:t>无烟煤块;挥发份</w:t>
            </w:r>
            <w:r>
              <w:rPr>
                <w:rFonts w:hint="eastAsia"/>
                <w:spacing w:val="-2"/>
                <w:highlight w:val="none"/>
                <w:lang w:eastAsia="zh-CN"/>
              </w:rPr>
              <w:t>：</w:t>
            </w:r>
            <w:r>
              <w:rPr>
                <w:rFonts w:hint="eastAsia"/>
                <w:spacing w:val="-2"/>
                <w:highlight w:val="none"/>
              </w:rPr>
              <w:t>Vdaf (1</w:t>
            </w:r>
            <w:r>
              <w:rPr>
                <w:rFonts w:hint="eastAsia"/>
                <w:spacing w:val="-2"/>
                <w:highlight w:val="none"/>
                <w:lang w:val="en-US" w:eastAsia="zh-CN"/>
              </w:rPr>
              <w:t>1</w:t>
            </w:r>
            <w:bookmarkStart w:id="28" w:name="_GoBack"/>
            <w:bookmarkEnd w:id="28"/>
            <w:r>
              <w:rPr>
                <w:rFonts w:hint="eastAsia"/>
                <w:spacing w:val="-2"/>
                <w:highlight w:val="none"/>
              </w:rPr>
              <w:t>%-20%);高位发热量≥5030K，块煤&gt;20cm，石块含量&lt;3%o，煤沫&lt;5%</w:t>
            </w:r>
          </w:p>
        </w:tc>
        <w:tc>
          <w:tcPr>
            <w:tcW w:w="955" w:type="dxa"/>
            <w:vAlign w:val="top"/>
          </w:tcPr>
          <w:p w14:paraId="3BEB8209">
            <w:pPr>
              <w:spacing w:line="264" w:lineRule="auto"/>
              <w:jc w:val="center"/>
              <w:outlineLvl w:val="9"/>
              <w:rPr>
                <w:rFonts w:ascii="Arial"/>
                <w:sz w:val="21"/>
                <w:highlight w:val="none"/>
              </w:rPr>
            </w:pPr>
          </w:p>
          <w:p w14:paraId="32184FA9">
            <w:pPr>
              <w:spacing w:line="264" w:lineRule="auto"/>
              <w:jc w:val="center"/>
              <w:outlineLvl w:val="9"/>
              <w:rPr>
                <w:rFonts w:ascii="Arial"/>
                <w:sz w:val="21"/>
                <w:highlight w:val="none"/>
              </w:rPr>
            </w:pPr>
          </w:p>
          <w:p w14:paraId="54ED79F8">
            <w:pPr>
              <w:spacing w:line="264" w:lineRule="auto"/>
              <w:jc w:val="center"/>
              <w:outlineLvl w:val="9"/>
              <w:rPr>
                <w:rFonts w:ascii="Arial"/>
                <w:sz w:val="21"/>
                <w:highlight w:val="none"/>
              </w:rPr>
            </w:pPr>
          </w:p>
          <w:p w14:paraId="58D1DF3C">
            <w:pPr>
              <w:spacing w:line="264" w:lineRule="auto"/>
              <w:jc w:val="center"/>
              <w:outlineLvl w:val="9"/>
              <w:rPr>
                <w:rFonts w:ascii="Arial"/>
                <w:sz w:val="21"/>
                <w:highlight w:val="none"/>
              </w:rPr>
            </w:pPr>
          </w:p>
          <w:p w14:paraId="6C5704EC">
            <w:pPr>
              <w:pStyle w:val="11"/>
              <w:spacing w:before="78"/>
              <w:jc w:val="center"/>
              <w:outlineLvl w:val="9"/>
              <w:rPr>
                <w:rFonts w:hint="default" w:eastAsia="宋体"/>
                <w:highlight w:val="none"/>
                <w:lang w:val="en-US" w:eastAsia="zh-CN"/>
              </w:rPr>
            </w:pPr>
            <w:r>
              <w:rPr>
                <w:rFonts w:hint="eastAsia"/>
                <w:spacing w:val="-5"/>
                <w:highlight w:val="none"/>
                <w:lang w:val="en-US" w:eastAsia="zh-CN"/>
              </w:rPr>
              <w:t>3400</w:t>
            </w:r>
          </w:p>
        </w:tc>
        <w:tc>
          <w:tcPr>
            <w:tcW w:w="1349" w:type="dxa"/>
            <w:vAlign w:val="top"/>
          </w:tcPr>
          <w:p w14:paraId="4888DE37">
            <w:pPr>
              <w:spacing w:line="308" w:lineRule="auto"/>
              <w:jc w:val="center"/>
              <w:outlineLvl w:val="9"/>
              <w:rPr>
                <w:rFonts w:ascii="Arial"/>
                <w:sz w:val="21"/>
                <w:highlight w:val="none"/>
              </w:rPr>
            </w:pPr>
          </w:p>
          <w:p w14:paraId="58E49D72">
            <w:pPr>
              <w:spacing w:line="308" w:lineRule="auto"/>
              <w:jc w:val="center"/>
              <w:outlineLvl w:val="9"/>
              <w:rPr>
                <w:rFonts w:ascii="Arial"/>
                <w:sz w:val="21"/>
                <w:highlight w:val="none"/>
              </w:rPr>
            </w:pPr>
          </w:p>
          <w:p w14:paraId="60EB1817">
            <w:pPr>
              <w:spacing w:line="309" w:lineRule="auto"/>
              <w:jc w:val="center"/>
              <w:outlineLvl w:val="9"/>
              <w:rPr>
                <w:rFonts w:ascii="Arial"/>
                <w:sz w:val="21"/>
                <w:highlight w:val="none"/>
              </w:rPr>
            </w:pPr>
          </w:p>
          <w:p w14:paraId="66DD1536">
            <w:pPr>
              <w:pStyle w:val="11"/>
              <w:spacing w:before="78" w:line="239" w:lineRule="auto"/>
              <w:jc w:val="center"/>
              <w:outlineLvl w:val="9"/>
              <w:rPr>
                <w:highlight w:val="none"/>
              </w:rPr>
            </w:pPr>
            <w:r>
              <w:rPr>
                <w:rFonts w:hint="eastAsia"/>
                <w:spacing w:val="-2"/>
                <w:highlight w:val="none"/>
                <w:lang w:val="en-US" w:eastAsia="zh-CN"/>
              </w:rPr>
              <w:t>170</w:t>
            </w:r>
            <w:r>
              <w:rPr>
                <w:spacing w:val="-2"/>
                <w:highlight w:val="none"/>
              </w:rPr>
              <w:t>0000.00</w:t>
            </w:r>
          </w:p>
        </w:tc>
        <w:tc>
          <w:tcPr>
            <w:tcW w:w="2390" w:type="dxa"/>
            <w:vAlign w:val="top"/>
          </w:tcPr>
          <w:p w14:paraId="7E77CDCA">
            <w:pPr>
              <w:jc w:val="left"/>
              <w:outlineLvl w:val="9"/>
              <w:rPr>
                <w:rFonts w:hint="eastAsia" w:ascii="宋体" w:hAnsi="宋体" w:eastAsia="宋体" w:cs="宋体"/>
                <w:snapToGrid w:val="0"/>
                <w:color w:val="000000"/>
                <w:spacing w:val="-2"/>
                <w:kern w:val="0"/>
                <w:sz w:val="24"/>
                <w:szCs w:val="24"/>
                <w:highlight w:val="none"/>
                <w:lang w:val="en-US" w:eastAsia="zh-CN" w:bidi="ar-SA"/>
              </w:rPr>
            </w:pPr>
            <w:r>
              <w:rPr>
                <w:rFonts w:hint="eastAsia" w:ascii="宋体" w:hAnsi="宋体" w:eastAsia="宋体" w:cs="宋体"/>
                <w:snapToGrid w:val="0"/>
                <w:color w:val="000000"/>
                <w:spacing w:val="-2"/>
                <w:kern w:val="0"/>
                <w:sz w:val="24"/>
                <w:szCs w:val="24"/>
                <w:highlight w:val="none"/>
                <w:lang w:val="en-US" w:eastAsia="zh-CN" w:bidi="ar-SA"/>
              </w:rPr>
              <w:t>需提供证明材料：不限于检测报告、技术彩页、白皮书、产品说明书等技术资料未提供或所提供资料不符合要求将被视为无效投标</w:t>
            </w:r>
          </w:p>
          <w:p w14:paraId="52BD6B5F">
            <w:pPr>
              <w:jc w:val="left"/>
              <w:outlineLvl w:val="9"/>
              <w:rPr>
                <w:rFonts w:ascii="Arial"/>
                <w:sz w:val="21"/>
                <w:highlight w:val="none"/>
              </w:rPr>
            </w:pPr>
          </w:p>
        </w:tc>
      </w:tr>
      <w:tr w14:paraId="16DF5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4" w:hRule="atLeast"/>
        </w:trPr>
        <w:tc>
          <w:tcPr>
            <w:tcW w:w="9121" w:type="dxa"/>
            <w:gridSpan w:val="6"/>
            <w:vAlign w:val="top"/>
          </w:tcPr>
          <w:p w14:paraId="2F20F2B7">
            <w:pPr>
              <w:spacing w:line="246" w:lineRule="auto"/>
              <w:outlineLvl w:val="9"/>
              <w:rPr>
                <w:rFonts w:ascii="Arial"/>
                <w:sz w:val="21"/>
                <w:highlight w:val="none"/>
              </w:rPr>
            </w:pPr>
          </w:p>
          <w:p w14:paraId="5508E4F6">
            <w:pPr>
              <w:pStyle w:val="11"/>
              <w:spacing w:before="78" w:line="222" w:lineRule="auto"/>
              <w:ind w:left="168" w:right="114" w:firstLine="12"/>
              <w:outlineLvl w:val="9"/>
              <w:rPr>
                <w:highlight w:val="none"/>
              </w:rPr>
            </w:pPr>
            <w:r>
              <w:rPr>
                <w:spacing w:val="-5"/>
                <w:highlight w:val="none"/>
              </w:rPr>
              <w:t>1.质量标准:满足采购需求所要求的内容，满足国家及地方规范要求，并能通过当地主</w:t>
            </w:r>
            <w:r>
              <w:rPr>
                <w:spacing w:val="-4"/>
                <w:highlight w:val="none"/>
              </w:rPr>
              <w:t>管部门及委托方审查验收(必须是无烟煤、块煤).</w:t>
            </w:r>
          </w:p>
          <w:p w14:paraId="6A5B8030">
            <w:pPr>
              <w:pStyle w:val="11"/>
              <w:spacing w:before="305" w:line="221" w:lineRule="auto"/>
              <w:ind w:left="162" w:right="17" w:firstLine="2"/>
              <w:outlineLvl w:val="9"/>
              <w:rPr>
                <w:highlight w:val="none"/>
              </w:rPr>
            </w:pPr>
            <w:r>
              <w:rPr>
                <w:spacing w:val="-4"/>
                <w:highlight w:val="none"/>
              </w:rPr>
              <w:t>2.合同履行期限:2026年10月</w:t>
            </w:r>
            <w:r>
              <w:rPr>
                <w:rFonts w:hint="eastAsia"/>
                <w:spacing w:val="-4"/>
                <w:highlight w:val="none"/>
                <w:lang w:val="en-US" w:eastAsia="zh-CN"/>
              </w:rPr>
              <w:t>下</w:t>
            </w:r>
            <w:r>
              <w:rPr>
                <w:spacing w:val="-4"/>
                <w:highlight w:val="none"/>
              </w:rPr>
              <w:t>旬左右</w:t>
            </w:r>
            <w:r>
              <w:rPr>
                <w:rFonts w:hint="eastAsia"/>
                <w:spacing w:val="-4"/>
                <w:highlight w:val="none"/>
                <w:lang w:eastAsia="zh-CN"/>
              </w:rPr>
              <w:t>，</w:t>
            </w:r>
            <w:r>
              <w:rPr>
                <w:spacing w:val="-4"/>
                <w:highlight w:val="none"/>
              </w:rPr>
              <w:t>供货期限为10日历天(具体时间以采购人通知为准).</w:t>
            </w:r>
          </w:p>
          <w:p w14:paraId="0535B5F1">
            <w:pPr>
              <w:pStyle w:val="11"/>
              <w:spacing w:before="311" w:line="226" w:lineRule="auto"/>
              <w:ind w:left="169"/>
              <w:outlineLvl w:val="9"/>
              <w:rPr>
                <w:sz w:val="31"/>
                <w:szCs w:val="31"/>
                <w:highlight w:val="none"/>
              </w:rPr>
            </w:pPr>
            <w:r>
              <w:rPr>
                <w:b/>
                <w:bCs/>
                <w:spacing w:val="16"/>
                <w:sz w:val="31"/>
                <w:szCs w:val="31"/>
                <w:highlight w:val="none"/>
              </w:rPr>
              <w:t>备注:</w:t>
            </w:r>
          </w:p>
          <w:p w14:paraId="063204C5">
            <w:pPr>
              <w:pStyle w:val="11"/>
              <w:spacing w:before="306" w:line="219" w:lineRule="auto"/>
              <w:ind w:left="180"/>
              <w:outlineLvl w:val="9"/>
              <w:rPr>
                <w:rFonts w:hint="eastAsia" w:eastAsia="宋体"/>
                <w:highlight w:val="none"/>
                <w:lang w:eastAsia="zh-CN"/>
              </w:rPr>
            </w:pPr>
            <w:r>
              <w:rPr>
                <w:spacing w:val="-3"/>
                <w:highlight w:val="none"/>
              </w:rPr>
              <w:t>1.总数量以实际供应数量为准结算(提供过磅单)</w:t>
            </w:r>
            <w:r>
              <w:rPr>
                <w:rFonts w:hint="eastAsia"/>
                <w:spacing w:val="-3"/>
                <w:highlight w:val="none"/>
                <w:lang w:eastAsia="zh-CN"/>
              </w:rPr>
              <w:t>。</w:t>
            </w:r>
          </w:p>
          <w:p w14:paraId="3F078EA1">
            <w:pPr>
              <w:pStyle w:val="11"/>
              <w:spacing w:before="310" w:line="222" w:lineRule="auto"/>
              <w:ind w:left="169" w:hanging="4"/>
              <w:outlineLvl w:val="9"/>
              <w:rPr>
                <w:rFonts w:hint="eastAsia"/>
                <w:spacing w:val="-4"/>
                <w:highlight w:val="none"/>
                <w:lang w:val="en-US" w:eastAsia="zh-CN"/>
              </w:rPr>
            </w:pPr>
            <w:r>
              <w:rPr>
                <w:spacing w:val="-4"/>
                <w:highlight w:val="none"/>
              </w:rPr>
              <w:t>2.</w:t>
            </w:r>
            <w:r>
              <w:rPr>
                <w:rFonts w:hint="eastAsia"/>
                <w:spacing w:val="-4"/>
                <w:highlight w:val="none"/>
                <w:lang w:val="en-US" w:eastAsia="zh-CN"/>
              </w:rPr>
              <w:t>需在甲方指定地点过磅、验收。</w:t>
            </w:r>
          </w:p>
          <w:p w14:paraId="7696C6F6">
            <w:pPr>
              <w:pStyle w:val="11"/>
              <w:spacing w:before="310" w:line="222" w:lineRule="auto"/>
              <w:ind w:left="169" w:hanging="4"/>
              <w:outlineLvl w:val="9"/>
              <w:rPr>
                <w:highlight w:val="none"/>
              </w:rPr>
            </w:pPr>
            <w:r>
              <w:rPr>
                <w:rFonts w:hint="eastAsia"/>
                <w:spacing w:val="-4"/>
                <w:highlight w:val="none"/>
                <w:lang w:val="en-US" w:eastAsia="zh-CN"/>
              </w:rPr>
              <w:t>3.</w:t>
            </w:r>
            <w:r>
              <w:rPr>
                <w:spacing w:val="-4"/>
                <w:highlight w:val="none"/>
              </w:rPr>
              <w:t>乙方供货时必须严格按照以上参数标准及配送要求执行(不允</w:t>
            </w:r>
            <w:r>
              <w:rPr>
                <w:spacing w:val="-5"/>
                <w:highlight w:val="none"/>
              </w:rPr>
              <w:t>许负偏离)，否则甲方不</w:t>
            </w:r>
            <w:r>
              <w:rPr>
                <w:spacing w:val="-6"/>
                <w:highlight w:val="none"/>
              </w:rPr>
              <w:t>予以验收。</w:t>
            </w:r>
          </w:p>
          <w:p w14:paraId="05DEBC46">
            <w:pPr>
              <w:pStyle w:val="11"/>
              <w:spacing w:before="304" w:line="218" w:lineRule="auto"/>
              <w:ind w:left="167"/>
              <w:outlineLvl w:val="9"/>
              <w:rPr>
                <w:highlight w:val="none"/>
              </w:rPr>
            </w:pPr>
            <w:r>
              <w:rPr>
                <w:rFonts w:hint="eastAsia"/>
                <w:spacing w:val="-4"/>
                <w:highlight w:val="none"/>
                <w:lang w:val="en-US" w:eastAsia="zh-CN"/>
              </w:rPr>
              <w:t>4</w:t>
            </w:r>
            <w:r>
              <w:rPr>
                <w:spacing w:val="-4"/>
                <w:highlight w:val="none"/>
              </w:rPr>
              <w:t>.投标报价应包含:报价含煤炭价格、装车费、运费、卸车费、发票、场</w:t>
            </w:r>
            <w:r>
              <w:rPr>
                <w:spacing w:val="-5"/>
                <w:highlight w:val="none"/>
              </w:rPr>
              <w:t>地堆煤费等。</w:t>
            </w:r>
          </w:p>
        </w:tc>
      </w:tr>
    </w:tbl>
    <w:p w14:paraId="21CD3C84">
      <w:pPr>
        <w:pStyle w:val="2"/>
        <w:spacing w:line="246" w:lineRule="auto"/>
        <w:outlineLvl w:val="9"/>
        <w:rPr>
          <w:highlight w:val="none"/>
        </w:rPr>
      </w:pPr>
    </w:p>
    <w:p w14:paraId="59E07D8D">
      <w:pPr>
        <w:spacing w:before="78" w:line="219" w:lineRule="auto"/>
        <w:ind w:left="206"/>
        <w:outlineLvl w:val="9"/>
        <w:rPr>
          <w:rFonts w:ascii="宋体" w:hAnsi="宋体" w:eastAsia="宋体" w:cs="宋体"/>
          <w:sz w:val="24"/>
          <w:szCs w:val="24"/>
          <w:highlight w:val="none"/>
        </w:rPr>
      </w:pPr>
      <w:r>
        <w:rPr>
          <w:rFonts w:ascii="宋体" w:hAnsi="宋体" w:eastAsia="宋体" w:cs="宋体"/>
          <w:b/>
          <w:bCs/>
          <w:spacing w:val="-8"/>
          <w:sz w:val="24"/>
          <w:szCs w:val="24"/>
          <w:highlight w:val="none"/>
        </w:rPr>
        <w:t>以上内容要全完响应，否则做无效投标处理。</w:t>
      </w:r>
    </w:p>
    <w:p w14:paraId="5FE47592">
      <w:pPr>
        <w:spacing w:line="219" w:lineRule="auto"/>
        <w:outlineLvl w:val="9"/>
        <w:rPr>
          <w:rFonts w:ascii="宋体" w:hAnsi="宋体" w:eastAsia="宋体" w:cs="宋体"/>
          <w:sz w:val="24"/>
          <w:szCs w:val="24"/>
          <w:highlight w:val="none"/>
        </w:rPr>
        <w:sectPr>
          <w:footerReference r:id="rId36" w:type="default"/>
          <w:pgSz w:w="11906" w:h="16840"/>
          <w:pgMar w:top="400" w:right="981" w:bottom="1147" w:left="1785" w:header="0" w:footer="902" w:gutter="0"/>
          <w:pgNumType w:fmt="decimal"/>
          <w:cols w:space="720" w:num="1"/>
        </w:sectPr>
      </w:pPr>
    </w:p>
    <w:p w14:paraId="0249CBC2">
      <w:pPr>
        <w:pStyle w:val="2"/>
        <w:spacing w:line="314" w:lineRule="auto"/>
        <w:rPr>
          <w:highlight w:val="none"/>
        </w:rPr>
      </w:pPr>
    </w:p>
    <w:p w14:paraId="3138DD47">
      <w:pPr>
        <w:pStyle w:val="2"/>
        <w:spacing w:line="315" w:lineRule="auto"/>
        <w:rPr>
          <w:highlight w:val="none"/>
        </w:rPr>
      </w:pPr>
    </w:p>
    <w:p w14:paraId="76D3BD63">
      <w:pPr>
        <w:spacing w:before="111" w:line="216" w:lineRule="auto"/>
        <w:ind w:left="3713"/>
        <w:outlineLvl w:val="0"/>
        <w:rPr>
          <w:rFonts w:ascii="黑体" w:hAnsi="黑体" w:eastAsia="黑体" w:cs="黑体"/>
          <w:sz w:val="34"/>
          <w:szCs w:val="34"/>
          <w:highlight w:val="none"/>
        </w:rPr>
      </w:pPr>
      <w:bookmarkStart w:id="11" w:name="_Toc15566_WPSOffice_Level1"/>
      <w:r>
        <w:rPr>
          <w:rFonts w:ascii="黑体" w:hAnsi="黑体" w:eastAsia="黑体" w:cs="黑体"/>
          <w:b/>
          <w:bCs/>
          <w:spacing w:val="8"/>
          <w:sz w:val="34"/>
          <w:szCs w:val="34"/>
          <w:highlight w:val="none"/>
        </w:rPr>
        <w:t>第四部分评审方法</w:t>
      </w:r>
      <w:bookmarkEnd w:id="11"/>
    </w:p>
    <w:tbl>
      <w:tblPr>
        <w:tblStyle w:val="10"/>
        <w:tblW w:w="92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2"/>
        <w:gridCol w:w="538"/>
        <w:gridCol w:w="7576"/>
        <w:gridCol w:w="567"/>
      </w:tblGrid>
      <w:tr w14:paraId="27E03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8" w:hRule="atLeast"/>
        </w:trPr>
        <w:tc>
          <w:tcPr>
            <w:tcW w:w="562" w:type="dxa"/>
            <w:vMerge w:val="restart"/>
            <w:tcBorders>
              <w:bottom w:val="nil"/>
            </w:tcBorders>
            <w:vAlign w:val="top"/>
          </w:tcPr>
          <w:p w14:paraId="64E026C6">
            <w:pPr>
              <w:outlineLvl w:val="9"/>
              <w:rPr>
                <w:rFonts w:ascii="Arial"/>
                <w:sz w:val="21"/>
                <w:highlight w:val="none"/>
              </w:rPr>
            </w:pPr>
          </w:p>
        </w:tc>
        <w:tc>
          <w:tcPr>
            <w:tcW w:w="538" w:type="dxa"/>
            <w:vMerge w:val="restart"/>
            <w:tcBorders>
              <w:bottom w:val="nil"/>
            </w:tcBorders>
            <w:textDirection w:val="tbRlV"/>
            <w:vAlign w:val="top"/>
          </w:tcPr>
          <w:p w14:paraId="715A5D42">
            <w:pPr>
              <w:spacing w:before="283" w:line="189" w:lineRule="auto"/>
              <w:ind w:left="5588"/>
              <w:outlineLvl w:val="9"/>
              <w:rPr>
                <w:rFonts w:ascii="仿宋" w:hAnsi="仿宋" w:eastAsia="仿宋" w:cs="仿宋"/>
                <w:sz w:val="24"/>
                <w:szCs w:val="24"/>
                <w:highlight w:val="none"/>
              </w:rPr>
            </w:pPr>
            <w:r>
              <w:rPr>
                <w:rFonts w:ascii="仿宋" w:hAnsi="仿宋" w:eastAsia="仿宋" w:cs="仿宋"/>
                <w:spacing w:val="46"/>
                <w:sz w:val="24"/>
                <w:szCs w:val="24"/>
                <w:highlight w:val="none"/>
              </w:rPr>
              <w:t>资格性审查</w:t>
            </w:r>
          </w:p>
        </w:tc>
        <w:tc>
          <w:tcPr>
            <w:tcW w:w="7576" w:type="dxa"/>
            <w:vAlign w:val="top"/>
          </w:tcPr>
          <w:p w14:paraId="33396660">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1.具有独立承担民事责任的能力：</w:t>
            </w:r>
          </w:p>
          <w:p w14:paraId="26138383">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供应商为法人的，提供营业执照或法人登记证或批准文件原件扫描件；供应商为其他组织的，提供依法登记证书原件扫描件；</w:t>
            </w:r>
          </w:p>
          <w:p w14:paraId="0428CC03">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供应商为个体工商户的，提供个体工商户营业执照原件扫描件；</w:t>
            </w:r>
          </w:p>
        </w:tc>
        <w:tc>
          <w:tcPr>
            <w:tcW w:w="567" w:type="dxa"/>
            <w:vAlign w:val="top"/>
          </w:tcPr>
          <w:p w14:paraId="09CF0612">
            <w:pPr>
              <w:outlineLvl w:val="9"/>
              <w:rPr>
                <w:rFonts w:ascii="Arial"/>
                <w:sz w:val="21"/>
                <w:highlight w:val="none"/>
              </w:rPr>
            </w:pPr>
          </w:p>
        </w:tc>
      </w:tr>
      <w:tr w14:paraId="63AF9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3" w:hRule="atLeast"/>
        </w:trPr>
        <w:tc>
          <w:tcPr>
            <w:tcW w:w="562" w:type="dxa"/>
            <w:vMerge w:val="continue"/>
            <w:tcBorders>
              <w:top w:val="nil"/>
              <w:bottom w:val="nil"/>
            </w:tcBorders>
            <w:vAlign w:val="top"/>
          </w:tcPr>
          <w:p w14:paraId="23D7CC9B">
            <w:pPr>
              <w:outlineLvl w:val="9"/>
              <w:rPr>
                <w:rFonts w:ascii="Arial"/>
                <w:sz w:val="21"/>
                <w:highlight w:val="none"/>
              </w:rPr>
            </w:pPr>
          </w:p>
        </w:tc>
        <w:tc>
          <w:tcPr>
            <w:tcW w:w="538" w:type="dxa"/>
            <w:vMerge w:val="continue"/>
            <w:tcBorders>
              <w:top w:val="nil"/>
              <w:bottom w:val="nil"/>
            </w:tcBorders>
            <w:textDirection w:val="tbRlV"/>
            <w:vAlign w:val="top"/>
          </w:tcPr>
          <w:p w14:paraId="5513ABA0">
            <w:pPr>
              <w:outlineLvl w:val="9"/>
              <w:rPr>
                <w:rFonts w:ascii="Arial"/>
                <w:sz w:val="21"/>
                <w:highlight w:val="none"/>
              </w:rPr>
            </w:pPr>
          </w:p>
        </w:tc>
        <w:tc>
          <w:tcPr>
            <w:tcW w:w="7576" w:type="dxa"/>
            <w:vAlign w:val="top"/>
          </w:tcPr>
          <w:p w14:paraId="0106316B">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2.具有良好的商业信誉和健全的财务会计制度：</w:t>
            </w:r>
          </w:p>
          <w:p w14:paraId="6A3266C4">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提供2025年财务审计报告或财务报表(成立不足一年提供成立至今财务报表，至少包含资产负债表）或提供其基本开户银行在投标截止日前。</w:t>
            </w:r>
          </w:p>
        </w:tc>
        <w:tc>
          <w:tcPr>
            <w:tcW w:w="567" w:type="dxa"/>
            <w:vAlign w:val="top"/>
          </w:tcPr>
          <w:p w14:paraId="14732A8E">
            <w:pPr>
              <w:outlineLvl w:val="9"/>
              <w:rPr>
                <w:rFonts w:ascii="Arial"/>
                <w:sz w:val="21"/>
                <w:highlight w:val="none"/>
              </w:rPr>
            </w:pPr>
          </w:p>
        </w:tc>
      </w:tr>
      <w:tr w14:paraId="1D456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trPr>
        <w:tc>
          <w:tcPr>
            <w:tcW w:w="562" w:type="dxa"/>
            <w:vMerge w:val="continue"/>
            <w:tcBorders>
              <w:top w:val="nil"/>
              <w:bottom w:val="nil"/>
            </w:tcBorders>
            <w:vAlign w:val="top"/>
          </w:tcPr>
          <w:p w14:paraId="1C707E93">
            <w:pPr>
              <w:outlineLvl w:val="9"/>
              <w:rPr>
                <w:rFonts w:ascii="Arial"/>
                <w:sz w:val="21"/>
                <w:highlight w:val="none"/>
              </w:rPr>
            </w:pPr>
          </w:p>
        </w:tc>
        <w:tc>
          <w:tcPr>
            <w:tcW w:w="538" w:type="dxa"/>
            <w:vMerge w:val="continue"/>
            <w:tcBorders>
              <w:top w:val="nil"/>
              <w:bottom w:val="nil"/>
            </w:tcBorders>
            <w:textDirection w:val="tbRlV"/>
            <w:vAlign w:val="top"/>
          </w:tcPr>
          <w:p w14:paraId="6A31B837">
            <w:pPr>
              <w:outlineLvl w:val="9"/>
              <w:rPr>
                <w:rFonts w:ascii="Arial"/>
                <w:sz w:val="21"/>
                <w:highlight w:val="none"/>
              </w:rPr>
            </w:pPr>
          </w:p>
        </w:tc>
        <w:tc>
          <w:tcPr>
            <w:tcW w:w="7576" w:type="dxa"/>
            <w:vAlign w:val="top"/>
          </w:tcPr>
          <w:p w14:paraId="26EC17D5">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3.具有履行合同所必需的设备和专业技术能力：</w:t>
            </w:r>
          </w:p>
          <w:p w14:paraId="698E9482">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《供应商具有履行合同所必需的设备和专业技术能力提供声明函》</w:t>
            </w:r>
          </w:p>
        </w:tc>
        <w:tc>
          <w:tcPr>
            <w:tcW w:w="567" w:type="dxa"/>
            <w:vAlign w:val="top"/>
          </w:tcPr>
          <w:p w14:paraId="16CA00B1">
            <w:pPr>
              <w:outlineLvl w:val="9"/>
              <w:rPr>
                <w:rFonts w:ascii="Arial"/>
                <w:sz w:val="21"/>
                <w:highlight w:val="none"/>
              </w:rPr>
            </w:pPr>
          </w:p>
        </w:tc>
      </w:tr>
      <w:tr w14:paraId="5B7E6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5" w:hRule="atLeast"/>
        </w:trPr>
        <w:tc>
          <w:tcPr>
            <w:tcW w:w="562" w:type="dxa"/>
            <w:vMerge w:val="continue"/>
            <w:tcBorders>
              <w:top w:val="nil"/>
              <w:bottom w:val="nil"/>
            </w:tcBorders>
            <w:vAlign w:val="top"/>
          </w:tcPr>
          <w:p w14:paraId="351FE888">
            <w:pPr>
              <w:outlineLvl w:val="9"/>
              <w:rPr>
                <w:rFonts w:ascii="Arial"/>
                <w:sz w:val="21"/>
                <w:highlight w:val="none"/>
              </w:rPr>
            </w:pPr>
          </w:p>
        </w:tc>
        <w:tc>
          <w:tcPr>
            <w:tcW w:w="538" w:type="dxa"/>
            <w:vMerge w:val="continue"/>
            <w:tcBorders>
              <w:top w:val="nil"/>
              <w:bottom w:val="nil"/>
            </w:tcBorders>
            <w:textDirection w:val="tbRlV"/>
            <w:vAlign w:val="top"/>
          </w:tcPr>
          <w:p w14:paraId="5E89F6C5">
            <w:pPr>
              <w:outlineLvl w:val="9"/>
              <w:rPr>
                <w:rFonts w:ascii="Arial"/>
                <w:sz w:val="21"/>
                <w:highlight w:val="none"/>
              </w:rPr>
            </w:pPr>
          </w:p>
        </w:tc>
        <w:tc>
          <w:tcPr>
            <w:tcW w:w="7576" w:type="dxa"/>
            <w:vAlign w:val="top"/>
          </w:tcPr>
          <w:p w14:paraId="0C3F5424">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4.有依法缴纳税收和社会保障资金的良好记录</w:t>
            </w:r>
          </w:p>
          <w:p w14:paraId="3477AB67">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①、提供投标截止日前近半年任意一个月完税证明；依法免税的，应提供相应文件（扫描件）证明其依法免税。</w:t>
            </w:r>
          </w:p>
          <w:p w14:paraId="38A65374">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②、提供投标截止日前近半年任意一个月盖有社保局公章的社保缴纳证明（社保缴纳证明中含法定代表人或授权委托人的社保明细）；依法不需要缴纳社会保险的，应提供相应文件（扫描件）证明其依法不需要缴纳社会保险。</w:t>
            </w:r>
          </w:p>
        </w:tc>
        <w:tc>
          <w:tcPr>
            <w:tcW w:w="567" w:type="dxa"/>
            <w:vAlign w:val="top"/>
          </w:tcPr>
          <w:p w14:paraId="5E77089B">
            <w:pPr>
              <w:outlineLvl w:val="9"/>
              <w:rPr>
                <w:rFonts w:ascii="Arial"/>
                <w:sz w:val="21"/>
                <w:highlight w:val="none"/>
              </w:rPr>
            </w:pPr>
          </w:p>
        </w:tc>
      </w:tr>
      <w:tr w14:paraId="73AA7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1" w:hRule="atLeast"/>
        </w:trPr>
        <w:tc>
          <w:tcPr>
            <w:tcW w:w="562" w:type="dxa"/>
            <w:vMerge w:val="continue"/>
            <w:tcBorders>
              <w:top w:val="nil"/>
              <w:bottom w:val="nil"/>
            </w:tcBorders>
            <w:vAlign w:val="top"/>
          </w:tcPr>
          <w:p w14:paraId="164CA809">
            <w:pPr>
              <w:outlineLvl w:val="9"/>
              <w:rPr>
                <w:rFonts w:ascii="Arial"/>
                <w:sz w:val="21"/>
                <w:highlight w:val="none"/>
              </w:rPr>
            </w:pPr>
          </w:p>
        </w:tc>
        <w:tc>
          <w:tcPr>
            <w:tcW w:w="538" w:type="dxa"/>
            <w:vMerge w:val="continue"/>
            <w:tcBorders>
              <w:top w:val="nil"/>
              <w:bottom w:val="nil"/>
            </w:tcBorders>
            <w:textDirection w:val="tbRlV"/>
            <w:vAlign w:val="top"/>
          </w:tcPr>
          <w:p w14:paraId="594AC64C">
            <w:pPr>
              <w:outlineLvl w:val="9"/>
              <w:rPr>
                <w:rFonts w:ascii="Arial"/>
                <w:sz w:val="21"/>
                <w:highlight w:val="none"/>
              </w:rPr>
            </w:pPr>
          </w:p>
        </w:tc>
        <w:tc>
          <w:tcPr>
            <w:tcW w:w="7576" w:type="dxa"/>
            <w:vAlign w:val="top"/>
          </w:tcPr>
          <w:p w14:paraId="6D4F95F0">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5.参加政府采购活动前三年内，在经营活动中没有重大违法记录：提供书面声明。</w:t>
            </w:r>
          </w:p>
        </w:tc>
        <w:tc>
          <w:tcPr>
            <w:tcW w:w="567" w:type="dxa"/>
            <w:vAlign w:val="top"/>
          </w:tcPr>
          <w:p w14:paraId="52A9675F">
            <w:pPr>
              <w:outlineLvl w:val="9"/>
              <w:rPr>
                <w:rFonts w:ascii="Arial"/>
                <w:sz w:val="21"/>
                <w:highlight w:val="none"/>
              </w:rPr>
            </w:pPr>
          </w:p>
        </w:tc>
      </w:tr>
      <w:tr w14:paraId="0EB85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9" w:hRule="atLeast"/>
        </w:trPr>
        <w:tc>
          <w:tcPr>
            <w:tcW w:w="562" w:type="dxa"/>
            <w:vMerge w:val="continue"/>
            <w:tcBorders>
              <w:top w:val="nil"/>
              <w:bottom w:val="nil"/>
            </w:tcBorders>
            <w:vAlign w:val="top"/>
          </w:tcPr>
          <w:p w14:paraId="015D4CB0">
            <w:pPr>
              <w:outlineLvl w:val="9"/>
              <w:rPr>
                <w:rFonts w:ascii="Arial"/>
                <w:sz w:val="21"/>
                <w:highlight w:val="none"/>
              </w:rPr>
            </w:pPr>
          </w:p>
        </w:tc>
        <w:tc>
          <w:tcPr>
            <w:tcW w:w="538" w:type="dxa"/>
            <w:vMerge w:val="continue"/>
            <w:tcBorders>
              <w:top w:val="nil"/>
              <w:bottom w:val="nil"/>
            </w:tcBorders>
            <w:textDirection w:val="tbRlV"/>
            <w:vAlign w:val="top"/>
          </w:tcPr>
          <w:p w14:paraId="438FAF5F">
            <w:pPr>
              <w:outlineLvl w:val="9"/>
              <w:rPr>
                <w:rFonts w:ascii="Arial"/>
                <w:sz w:val="21"/>
                <w:highlight w:val="none"/>
              </w:rPr>
            </w:pPr>
          </w:p>
        </w:tc>
        <w:tc>
          <w:tcPr>
            <w:tcW w:w="7576" w:type="dxa"/>
            <w:vAlign w:val="top"/>
          </w:tcPr>
          <w:p w14:paraId="549598F2">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6.符合法律、行政法规规定的其他条件：提供①单位负责人为同一人或者存在直接控股、管理关系的不同供应商不得参加同一合同项下的政府采购活动的《声明函》；提供②为采购项目提供整体设计、规范编制或者项目管理、监理、检测等服务的供应商，不得再参加该采购项目的其他采购活动的《声明函》</w:t>
            </w:r>
          </w:p>
        </w:tc>
        <w:tc>
          <w:tcPr>
            <w:tcW w:w="567" w:type="dxa"/>
            <w:vAlign w:val="top"/>
          </w:tcPr>
          <w:p w14:paraId="033D5072">
            <w:pPr>
              <w:outlineLvl w:val="9"/>
              <w:rPr>
                <w:rFonts w:ascii="Arial"/>
                <w:sz w:val="21"/>
                <w:highlight w:val="none"/>
              </w:rPr>
            </w:pPr>
          </w:p>
        </w:tc>
      </w:tr>
      <w:tr w14:paraId="73B80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2" w:hRule="atLeast"/>
        </w:trPr>
        <w:tc>
          <w:tcPr>
            <w:tcW w:w="562" w:type="dxa"/>
            <w:vMerge w:val="continue"/>
            <w:tcBorders>
              <w:top w:val="nil"/>
              <w:bottom w:val="nil"/>
            </w:tcBorders>
            <w:vAlign w:val="top"/>
          </w:tcPr>
          <w:p w14:paraId="1CA05789">
            <w:pPr>
              <w:outlineLvl w:val="9"/>
              <w:rPr>
                <w:rFonts w:ascii="Arial"/>
                <w:sz w:val="21"/>
                <w:highlight w:val="none"/>
              </w:rPr>
            </w:pPr>
          </w:p>
        </w:tc>
        <w:tc>
          <w:tcPr>
            <w:tcW w:w="538" w:type="dxa"/>
            <w:vMerge w:val="continue"/>
            <w:tcBorders>
              <w:top w:val="nil"/>
              <w:bottom w:val="nil"/>
            </w:tcBorders>
            <w:textDirection w:val="tbRlV"/>
            <w:vAlign w:val="top"/>
          </w:tcPr>
          <w:p w14:paraId="75CDA3E7">
            <w:pPr>
              <w:outlineLvl w:val="9"/>
              <w:rPr>
                <w:rFonts w:ascii="Arial"/>
                <w:sz w:val="21"/>
                <w:highlight w:val="none"/>
              </w:rPr>
            </w:pPr>
          </w:p>
        </w:tc>
        <w:tc>
          <w:tcPr>
            <w:tcW w:w="7576" w:type="dxa"/>
            <w:vAlign w:val="top"/>
          </w:tcPr>
          <w:p w14:paraId="2C165A82">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7.其他要求：</w:t>
            </w:r>
          </w:p>
          <w:p w14:paraId="33B549AB">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供应商存在“信用中国”网站（</w:t>
            </w:r>
            <w:r>
              <w:rPr>
                <w:rFonts w:ascii="仿宋" w:hAnsi="仿宋" w:eastAsia="仿宋" w:cs="仿宋"/>
                <w:spacing w:val="-1"/>
                <w:sz w:val="24"/>
                <w:szCs w:val="24"/>
                <w:highlight w:val="none"/>
              </w:rPr>
              <w:fldChar w:fldCharType="begin"/>
            </w:r>
            <w:r>
              <w:rPr>
                <w:rFonts w:ascii="仿宋" w:hAnsi="仿宋" w:eastAsia="仿宋" w:cs="仿宋"/>
                <w:spacing w:val="-1"/>
                <w:sz w:val="24"/>
                <w:szCs w:val="24"/>
                <w:highlight w:val="none"/>
              </w:rPr>
              <w:instrText xml:space="preserve"> HYPERLINK "https://www.creditchina.gov.cn" </w:instrText>
            </w:r>
            <w:r>
              <w:rPr>
                <w:rFonts w:ascii="仿宋" w:hAnsi="仿宋" w:eastAsia="仿宋" w:cs="仿宋"/>
                <w:spacing w:val="-1"/>
                <w:sz w:val="24"/>
                <w:szCs w:val="24"/>
                <w:highlight w:val="none"/>
              </w:rPr>
              <w:fldChar w:fldCharType="separate"/>
            </w:r>
            <w:r>
              <w:rPr>
                <w:rFonts w:ascii="仿宋" w:hAnsi="仿宋" w:eastAsia="仿宋" w:cs="仿宋"/>
                <w:spacing w:val="-1"/>
                <w:sz w:val="24"/>
                <w:szCs w:val="24"/>
                <w:highlight w:val="none"/>
              </w:rPr>
              <w:t>www.creditchina.gov.cn</w:t>
            </w:r>
            <w:r>
              <w:rPr>
                <w:rFonts w:ascii="仿宋" w:hAnsi="仿宋" w:eastAsia="仿宋" w:cs="仿宋"/>
                <w:spacing w:val="-1"/>
                <w:sz w:val="24"/>
                <w:szCs w:val="24"/>
                <w:highlight w:val="none"/>
              </w:rPr>
              <w:fldChar w:fldCharType="end"/>
            </w:r>
            <w:r>
              <w:rPr>
                <w:rFonts w:ascii="仿宋" w:hAnsi="仿宋" w:eastAsia="仿宋" w:cs="仿宋"/>
                <w:spacing w:val="-1"/>
                <w:sz w:val="24"/>
                <w:szCs w:val="24"/>
                <w:highlight w:val="none"/>
              </w:rPr>
              <w:t>)、中国政府采购网（</w:t>
            </w:r>
            <w:r>
              <w:rPr>
                <w:rFonts w:ascii="仿宋" w:hAnsi="仿宋" w:eastAsia="仿宋" w:cs="仿宋"/>
                <w:spacing w:val="-1"/>
                <w:sz w:val="24"/>
                <w:szCs w:val="24"/>
                <w:highlight w:val="none"/>
              </w:rPr>
              <w:fldChar w:fldCharType="begin"/>
            </w:r>
            <w:r>
              <w:rPr>
                <w:rFonts w:ascii="仿宋" w:hAnsi="仿宋" w:eastAsia="仿宋" w:cs="仿宋"/>
                <w:spacing w:val="-1"/>
                <w:sz w:val="24"/>
                <w:szCs w:val="24"/>
                <w:highlight w:val="none"/>
              </w:rPr>
              <w:instrText xml:space="preserve"> HYPERLINK "https://www.ccgp.gov.cn" </w:instrText>
            </w:r>
            <w:r>
              <w:rPr>
                <w:rFonts w:ascii="仿宋" w:hAnsi="仿宋" w:eastAsia="仿宋" w:cs="仿宋"/>
                <w:spacing w:val="-1"/>
                <w:sz w:val="24"/>
                <w:szCs w:val="24"/>
                <w:highlight w:val="none"/>
              </w:rPr>
              <w:fldChar w:fldCharType="separate"/>
            </w:r>
            <w:r>
              <w:rPr>
                <w:rFonts w:ascii="仿宋" w:hAnsi="仿宋" w:eastAsia="仿宋" w:cs="仿宋"/>
                <w:spacing w:val="-1"/>
                <w:sz w:val="24"/>
                <w:szCs w:val="24"/>
                <w:highlight w:val="none"/>
              </w:rPr>
              <w:t>www.ccgp.gov.cn</w:t>
            </w:r>
            <w:r>
              <w:rPr>
                <w:rFonts w:ascii="仿宋" w:hAnsi="仿宋" w:eastAsia="仿宋" w:cs="仿宋"/>
                <w:spacing w:val="-1"/>
                <w:sz w:val="24"/>
                <w:szCs w:val="24"/>
                <w:highlight w:val="none"/>
              </w:rPr>
              <w:fldChar w:fldCharType="end"/>
            </w:r>
            <w:r>
              <w:rPr>
                <w:rFonts w:ascii="仿宋" w:hAnsi="仿宋" w:eastAsia="仿宋" w:cs="仿宋"/>
                <w:spacing w:val="-1"/>
                <w:sz w:val="24"/>
                <w:szCs w:val="24"/>
                <w:highlight w:val="none"/>
              </w:rPr>
              <w:t>）中被列入失信被执行人、重大税收违法案件当事人名单、政府采购严重违法失信行为记录名单的禁止参与参与本项目，响应文件无效。（由招标代理机构或采购人自行查询）</w:t>
            </w:r>
          </w:p>
        </w:tc>
        <w:tc>
          <w:tcPr>
            <w:tcW w:w="567" w:type="dxa"/>
            <w:vAlign w:val="top"/>
          </w:tcPr>
          <w:p w14:paraId="664736A2">
            <w:pPr>
              <w:outlineLvl w:val="9"/>
              <w:rPr>
                <w:rFonts w:ascii="Arial"/>
                <w:sz w:val="21"/>
                <w:highlight w:val="none"/>
              </w:rPr>
            </w:pPr>
          </w:p>
        </w:tc>
      </w:tr>
      <w:tr w14:paraId="311BE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562" w:type="dxa"/>
            <w:vMerge w:val="continue"/>
            <w:tcBorders>
              <w:top w:val="nil"/>
              <w:bottom w:val="nil"/>
            </w:tcBorders>
            <w:vAlign w:val="top"/>
          </w:tcPr>
          <w:p w14:paraId="1746239B">
            <w:pPr>
              <w:outlineLvl w:val="9"/>
              <w:rPr>
                <w:rFonts w:ascii="Arial"/>
                <w:sz w:val="21"/>
                <w:highlight w:val="none"/>
              </w:rPr>
            </w:pPr>
          </w:p>
        </w:tc>
        <w:tc>
          <w:tcPr>
            <w:tcW w:w="538" w:type="dxa"/>
            <w:vMerge w:val="continue"/>
            <w:tcBorders>
              <w:top w:val="nil"/>
              <w:bottom w:val="nil"/>
            </w:tcBorders>
            <w:textDirection w:val="tbRlV"/>
            <w:vAlign w:val="top"/>
          </w:tcPr>
          <w:p w14:paraId="78CD0F58">
            <w:pPr>
              <w:outlineLvl w:val="9"/>
              <w:rPr>
                <w:rFonts w:ascii="Arial"/>
                <w:sz w:val="21"/>
                <w:highlight w:val="none"/>
              </w:rPr>
            </w:pPr>
          </w:p>
        </w:tc>
        <w:tc>
          <w:tcPr>
            <w:tcW w:w="7576" w:type="dxa"/>
            <w:vMerge w:val="restart"/>
            <w:vAlign w:val="top"/>
          </w:tcPr>
          <w:p w14:paraId="5CED17B2">
            <w:pPr>
              <w:spacing w:before="145" w:line="195" w:lineRule="auto"/>
              <w:ind w:left="10"/>
              <w:outlineLvl w:val="9"/>
              <w:rPr>
                <w:rFonts w:ascii="仿宋" w:hAnsi="仿宋" w:eastAsia="仿宋" w:cs="仿宋"/>
                <w:spacing w:val="-1"/>
                <w:sz w:val="24"/>
                <w:szCs w:val="24"/>
                <w:highlight w:val="none"/>
              </w:rPr>
            </w:pPr>
            <w:r>
              <w:rPr>
                <w:rFonts w:ascii="仿宋" w:hAnsi="仿宋" w:eastAsia="仿宋" w:cs="仿宋"/>
                <w:spacing w:val="-1"/>
                <w:sz w:val="24"/>
                <w:szCs w:val="24"/>
                <w:highlight w:val="none"/>
              </w:rPr>
              <w:t>8.法定代表人身份证明及授权委托书（格式见附件三），法人代表或其委托代理人应提交本人身份证，委托代理人还应提交《法人代表授权委托书》</w:t>
            </w:r>
          </w:p>
        </w:tc>
        <w:tc>
          <w:tcPr>
            <w:tcW w:w="567" w:type="dxa"/>
            <w:vAlign w:val="top"/>
          </w:tcPr>
          <w:p w14:paraId="1B724C03">
            <w:pPr>
              <w:outlineLvl w:val="9"/>
              <w:rPr>
                <w:rFonts w:ascii="Arial"/>
                <w:sz w:val="21"/>
                <w:highlight w:val="none"/>
              </w:rPr>
            </w:pPr>
          </w:p>
        </w:tc>
      </w:tr>
      <w:tr w14:paraId="42791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562" w:type="dxa"/>
            <w:vMerge w:val="continue"/>
            <w:tcBorders>
              <w:top w:val="nil"/>
            </w:tcBorders>
            <w:vAlign w:val="top"/>
          </w:tcPr>
          <w:p w14:paraId="20676504">
            <w:pPr>
              <w:outlineLvl w:val="9"/>
              <w:rPr>
                <w:rFonts w:ascii="Arial"/>
                <w:sz w:val="21"/>
                <w:highlight w:val="none"/>
              </w:rPr>
            </w:pPr>
          </w:p>
        </w:tc>
        <w:tc>
          <w:tcPr>
            <w:tcW w:w="538" w:type="dxa"/>
            <w:vMerge w:val="continue"/>
            <w:tcBorders>
              <w:top w:val="nil"/>
            </w:tcBorders>
            <w:textDirection w:val="tbRlV"/>
            <w:vAlign w:val="top"/>
          </w:tcPr>
          <w:p w14:paraId="53238BD6">
            <w:pPr>
              <w:outlineLvl w:val="9"/>
              <w:rPr>
                <w:rFonts w:ascii="Arial"/>
                <w:sz w:val="21"/>
                <w:highlight w:val="none"/>
              </w:rPr>
            </w:pPr>
          </w:p>
        </w:tc>
        <w:tc>
          <w:tcPr>
            <w:tcW w:w="7576" w:type="dxa"/>
            <w:vMerge w:val="continue"/>
            <w:vAlign w:val="top"/>
          </w:tcPr>
          <w:p w14:paraId="6BB5DAD0">
            <w:pPr>
              <w:spacing w:before="236" w:line="221" w:lineRule="auto"/>
              <w:ind w:left="28"/>
              <w:outlineLvl w:val="9"/>
              <w:rPr>
                <w:rFonts w:ascii="仿宋" w:hAnsi="仿宋" w:eastAsia="仿宋" w:cs="仿宋"/>
                <w:sz w:val="24"/>
                <w:szCs w:val="24"/>
                <w:highlight w:val="none"/>
              </w:rPr>
            </w:pPr>
          </w:p>
        </w:tc>
        <w:tc>
          <w:tcPr>
            <w:tcW w:w="567" w:type="dxa"/>
            <w:vAlign w:val="top"/>
          </w:tcPr>
          <w:p w14:paraId="688BC671">
            <w:pPr>
              <w:outlineLvl w:val="9"/>
              <w:rPr>
                <w:rFonts w:ascii="Arial"/>
                <w:sz w:val="21"/>
                <w:highlight w:val="none"/>
              </w:rPr>
            </w:pPr>
          </w:p>
        </w:tc>
      </w:tr>
      <w:tr w14:paraId="78367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9243" w:type="dxa"/>
            <w:gridSpan w:val="4"/>
            <w:vAlign w:val="top"/>
          </w:tcPr>
          <w:p w14:paraId="5C8B1012">
            <w:pPr>
              <w:pStyle w:val="11"/>
              <w:spacing w:before="170" w:line="219" w:lineRule="auto"/>
              <w:ind w:left="22"/>
              <w:outlineLvl w:val="9"/>
              <w:rPr>
                <w:highlight w:val="none"/>
              </w:rPr>
            </w:pPr>
            <w:r>
              <w:rPr>
                <w:b/>
                <w:bCs/>
                <w:spacing w:val="-4"/>
                <w:highlight w:val="none"/>
              </w:rPr>
              <w:t>注：以上检查内容必须全部满足检查标准，否则视为无效投标。</w:t>
            </w:r>
          </w:p>
        </w:tc>
      </w:tr>
    </w:tbl>
    <w:p w14:paraId="5F3D3554">
      <w:pPr>
        <w:pStyle w:val="2"/>
        <w:rPr>
          <w:highlight w:val="none"/>
        </w:rPr>
      </w:pPr>
    </w:p>
    <w:p w14:paraId="02CC13EB">
      <w:pPr>
        <w:rPr>
          <w:highlight w:val="none"/>
        </w:rPr>
        <w:sectPr>
          <w:headerReference r:id="rId37" w:type="default"/>
          <w:footerReference r:id="rId38" w:type="default"/>
          <w:pgSz w:w="11906" w:h="16840"/>
          <w:pgMar w:top="1091" w:right="1328" w:bottom="165" w:left="1328" w:header="1077" w:footer="0" w:gutter="0"/>
          <w:pgNumType w:fmt="decimal"/>
          <w:cols w:space="720" w:num="1"/>
        </w:sectPr>
      </w:pPr>
    </w:p>
    <w:p w14:paraId="3357F825">
      <w:pPr>
        <w:spacing w:before="22"/>
        <w:rPr>
          <w:highlight w:val="none"/>
        </w:rPr>
      </w:pPr>
    </w:p>
    <w:p w14:paraId="6B1B18DA">
      <w:pPr>
        <w:spacing w:before="22"/>
        <w:rPr>
          <w:highlight w:val="none"/>
        </w:rPr>
      </w:pPr>
    </w:p>
    <w:p w14:paraId="26DAAFFD">
      <w:pPr>
        <w:spacing w:before="22"/>
        <w:rPr>
          <w:highlight w:val="none"/>
        </w:rPr>
      </w:pPr>
    </w:p>
    <w:p w14:paraId="4D56615B">
      <w:pPr>
        <w:spacing w:before="22"/>
        <w:rPr>
          <w:highlight w:val="none"/>
        </w:rPr>
      </w:pPr>
    </w:p>
    <w:p w14:paraId="5D0BCDC2">
      <w:pPr>
        <w:spacing w:before="21"/>
        <w:outlineLvl w:val="9"/>
        <w:rPr>
          <w:highlight w:val="none"/>
        </w:rPr>
      </w:pPr>
    </w:p>
    <w:tbl>
      <w:tblPr>
        <w:tblStyle w:val="10"/>
        <w:tblW w:w="92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2"/>
        <w:gridCol w:w="538"/>
        <w:gridCol w:w="7576"/>
        <w:gridCol w:w="567"/>
      </w:tblGrid>
      <w:tr w14:paraId="7DB51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562" w:type="dxa"/>
            <w:vMerge w:val="restart"/>
            <w:tcBorders>
              <w:bottom w:val="nil"/>
            </w:tcBorders>
            <w:vAlign w:val="top"/>
          </w:tcPr>
          <w:p w14:paraId="1A3FFB3D">
            <w:pPr>
              <w:outlineLvl w:val="9"/>
              <w:rPr>
                <w:rFonts w:ascii="Arial"/>
                <w:sz w:val="21"/>
                <w:highlight w:val="none"/>
              </w:rPr>
            </w:pPr>
          </w:p>
        </w:tc>
        <w:tc>
          <w:tcPr>
            <w:tcW w:w="538" w:type="dxa"/>
            <w:vMerge w:val="restart"/>
            <w:tcBorders>
              <w:bottom w:val="nil"/>
            </w:tcBorders>
            <w:textDirection w:val="tbRlV"/>
            <w:vAlign w:val="top"/>
          </w:tcPr>
          <w:p w14:paraId="65C64B69">
            <w:pPr>
              <w:spacing w:before="282" w:line="188" w:lineRule="auto"/>
              <w:ind w:left="1661"/>
              <w:outlineLvl w:val="9"/>
              <w:rPr>
                <w:rFonts w:ascii="仿宋" w:hAnsi="仿宋" w:eastAsia="仿宋" w:cs="仿宋"/>
                <w:sz w:val="24"/>
                <w:szCs w:val="24"/>
                <w:highlight w:val="none"/>
              </w:rPr>
            </w:pPr>
            <w:r>
              <w:rPr>
                <w:rFonts w:ascii="仿宋" w:hAnsi="仿宋" w:eastAsia="仿宋" w:cs="仿宋"/>
                <w:spacing w:val="46"/>
                <w:sz w:val="24"/>
                <w:szCs w:val="24"/>
                <w:highlight w:val="none"/>
              </w:rPr>
              <w:t>符合性审查</w:t>
            </w:r>
          </w:p>
        </w:tc>
        <w:tc>
          <w:tcPr>
            <w:tcW w:w="7576" w:type="dxa"/>
            <w:vAlign w:val="top"/>
          </w:tcPr>
          <w:p w14:paraId="79522799">
            <w:pPr>
              <w:spacing w:before="215" w:line="200" w:lineRule="auto"/>
              <w:ind w:left="12"/>
              <w:outlineLvl w:val="9"/>
              <w:rPr>
                <w:rFonts w:ascii="仿宋" w:hAnsi="仿宋" w:eastAsia="仿宋" w:cs="仿宋"/>
                <w:sz w:val="24"/>
                <w:szCs w:val="24"/>
                <w:highlight w:val="none"/>
              </w:rPr>
            </w:pPr>
            <w:r>
              <w:rPr>
                <w:rFonts w:ascii="仿宋" w:hAnsi="仿宋" w:eastAsia="仿宋" w:cs="仿宋"/>
                <w:spacing w:val="-1"/>
                <w:sz w:val="24"/>
                <w:szCs w:val="24"/>
                <w:highlight w:val="none"/>
              </w:rPr>
              <w:t>投标文件格式不符合招标文件要求的；</w:t>
            </w:r>
          </w:p>
        </w:tc>
        <w:tc>
          <w:tcPr>
            <w:tcW w:w="567" w:type="dxa"/>
            <w:vAlign w:val="top"/>
          </w:tcPr>
          <w:p w14:paraId="2D4CFF16">
            <w:pPr>
              <w:outlineLvl w:val="9"/>
              <w:rPr>
                <w:rFonts w:ascii="Arial"/>
                <w:sz w:val="21"/>
                <w:highlight w:val="none"/>
              </w:rPr>
            </w:pPr>
          </w:p>
        </w:tc>
      </w:tr>
      <w:tr w14:paraId="4B300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562" w:type="dxa"/>
            <w:vMerge w:val="continue"/>
            <w:tcBorders>
              <w:top w:val="nil"/>
              <w:bottom w:val="nil"/>
            </w:tcBorders>
            <w:vAlign w:val="top"/>
          </w:tcPr>
          <w:p w14:paraId="2C8F8087">
            <w:pPr>
              <w:outlineLvl w:val="9"/>
              <w:rPr>
                <w:rFonts w:ascii="Arial"/>
                <w:sz w:val="21"/>
                <w:highlight w:val="none"/>
              </w:rPr>
            </w:pPr>
          </w:p>
        </w:tc>
        <w:tc>
          <w:tcPr>
            <w:tcW w:w="538" w:type="dxa"/>
            <w:vMerge w:val="continue"/>
            <w:tcBorders>
              <w:top w:val="nil"/>
              <w:bottom w:val="nil"/>
            </w:tcBorders>
            <w:textDirection w:val="tbRlV"/>
            <w:vAlign w:val="top"/>
          </w:tcPr>
          <w:p w14:paraId="013ADDC0">
            <w:pPr>
              <w:outlineLvl w:val="9"/>
              <w:rPr>
                <w:rFonts w:ascii="Arial"/>
                <w:sz w:val="21"/>
                <w:highlight w:val="none"/>
              </w:rPr>
            </w:pPr>
          </w:p>
        </w:tc>
        <w:tc>
          <w:tcPr>
            <w:tcW w:w="7576" w:type="dxa"/>
            <w:vAlign w:val="top"/>
          </w:tcPr>
          <w:p w14:paraId="5D043322">
            <w:pPr>
              <w:spacing w:before="212" w:line="199" w:lineRule="auto"/>
              <w:ind w:left="15"/>
              <w:outlineLvl w:val="9"/>
              <w:rPr>
                <w:rFonts w:ascii="仿宋" w:hAnsi="仿宋" w:eastAsia="仿宋" w:cs="仿宋"/>
                <w:sz w:val="24"/>
                <w:szCs w:val="24"/>
                <w:highlight w:val="none"/>
              </w:rPr>
            </w:pPr>
            <w:r>
              <w:rPr>
                <w:rFonts w:ascii="仿宋" w:hAnsi="仿宋" w:eastAsia="仿宋" w:cs="仿宋"/>
                <w:spacing w:val="-2"/>
                <w:sz w:val="24"/>
                <w:szCs w:val="24"/>
                <w:highlight w:val="none"/>
              </w:rPr>
              <w:t>未按招标文件规定要求签署、盖章的；</w:t>
            </w:r>
          </w:p>
        </w:tc>
        <w:tc>
          <w:tcPr>
            <w:tcW w:w="567" w:type="dxa"/>
            <w:vAlign w:val="top"/>
          </w:tcPr>
          <w:p w14:paraId="260232D6">
            <w:pPr>
              <w:outlineLvl w:val="9"/>
              <w:rPr>
                <w:rFonts w:ascii="Arial"/>
                <w:sz w:val="21"/>
                <w:highlight w:val="none"/>
              </w:rPr>
            </w:pPr>
          </w:p>
        </w:tc>
      </w:tr>
      <w:tr w14:paraId="5F4FC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62" w:type="dxa"/>
            <w:vMerge w:val="continue"/>
            <w:tcBorders>
              <w:top w:val="nil"/>
              <w:bottom w:val="nil"/>
            </w:tcBorders>
            <w:vAlign w:val="top"/>
          </w:tcPr>
          <w:p w14:paraId="0B082AD9">
            <w:pPr>
              <w:outlineLvl w:val="9"/>
              <w:rPr>
                <w:rFonts w:ascii="Arial"/>
                <w:sz w:val="21"/>
                <w:highlight w:val="none"/>
              </w:rPr>
            </w:pPr>
          </w:p>
        </w:tc>
        <w:tc>
          <w:tcPr>
            <w:tcW w:w="538" w:type="dxa"/>
            <w:vMerge w:val="continue"/>
            <w:tcBorders>
              <w:top w:val="nil"/>
              <w:bottom w:val="nil"/>
            </w:tcBorders>
            <w:textDirection w:val="tbRlV"/>
            <w:vAlign w:val="top"/>
          </w:tcPr>
          <w:p w14:paraId="7D467EE1">
            <w:pPr>
              <w:outlineLvl w:val="9"/>
              <w:rPr>
                <w:rFonts w:ascii="Arial"/>
                <w:sz w:val="21"/>
                <w:highlight w:val="none"/>
              </w:rPr>
            </w:pPr>
          </w:p>
        </w:tc>
        <w:tc>
          <w:tcPr>
            <w:tcW w:w="7576" w:type="dxa"/>
            <w:vAlign w:val="top"/>
          </w:tcPr>
          <w:p w14:paraId="33B0CBF4">
            <w:pPr>
              <w:spacing w:before="232" w:line="197" w:lineRule="auto"/>
              <w:ind w:left="15"/>
              <w:outlineLvl w:val="9"/>
              <w:rPr>
                <w:rFonts w:ascii="仿宋" w:hAnsi="仿宋" w:eastAsia="仿宋" w:cs="仿宋"/>
                <w:sz w:val="24"/>
                <w:szCs w:val="24"/>
                <w:highlight w:val="none"/>
              </w:rPr>
            </w:pPr>
            <w:r>
              <w:rPr>
                <w:rFonts w:ascii="仿宋" w:hAnsi="仿宋" w:eastAsia="仿宋" w:cs="仿宋"/>
                <w:spacing w:val="-1"/>
                <w:sz w:val="24"/>
                <w:szCs w:val="24"/>
                <w:highlight w:val="none"/>
              </w:rPr>
              <w:t>未按招标文件规定要求合同履约期限的；</w:t>
            </w:r>
          </w:p>
        </w:tc>
        <w:tc>
          <w:tcPr>
            <w:tcW w:w="567" w:type="dxa"/>
            <w:vAlign w:val="top"/>
          </w:tcPr>
          <w:p w14:paraId="3A18373C">
            <w:pPr>
              <w:outlineLvl w:val="9"/>
              <w:rPr>
                <w:rFonts w:ascii="Arial"/>
                <w:sz w:val="21"/>
                <w:highlight w:val="none"/>
              </w:rPr>
            </w:pPr>
          </w:p>
        </w:tc>
      </w:tr>
      <w:tr w14:paraId="19C3F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562" w:type="dxa"/>
            <w:vMerge w:val="continue"/>
            <w:tcBorders>
              <w:top w:val="nil"/>
              <w:bottom w:val="nil"/>
            </w:tcBorders>
            <w:vAlign w:val="top"/>
          </w:tcPr>
          <w:p w14:paraId="6D07893B">
            <w:pPr>
              <w:outlineLvl w:val="9"/>
              <w:rPr>
                <w:rFonts w:ascii="Arial"/>
                <w:sz w:val="21"/>
                <w:highlight w:val="none"/>
              </w:rPr>
            </w:pPr>
          </w:p>
        </w:tc>
        <w:tc>
          <w:tcPr>
            <w:tcW w:w="538" w:type="dxa"/>
            <w:vMerge w:val="continue"/>
            <w:tcBorders>
              <w:top w:val="nil"/>
              <w:bottom w:val="nil"/>
            </w:tcBorders>
            <w:textDirection w:val="tbRlV"/>
            <w:vAlign w:val="top"/>
          </w:tcPr>
          <w:p w14:paraId="427F7018">
            <w:pPr>
              <w:outlineLvl w:val="9"/>
              <w:rPr>
                <w:rFonts w:ascii="Arial"/>
                <w:sz w:val="21"/>
                <w:highlight w:val="none"/>
              </w:rPr>
            </w:pPr>
          </w:p>
        </w:tc>
        <w:tc>
          <w:tcPr>
            <w:tcW w:w="7576" w:type="dxa"/>
            <w:vAlign w:val="top"/>
          </w:tcPr>
          <w:p w14:paraId="4B39563B">
            <w:pPr>
              <w:spacing w:before="311" w:line="197" w:lineRule="auto"/>
              <w:ind w:left="12"/>
              <w:outlineLvl w:val="9"/>
              <w:rPr>
                <w:rFonts w:ascii="仿宋" w:hAnsi="仿宋" w:eastAsia="仿宋" w:cs="仿宋"/>
                <w:sz w:val="24"/>
                <w:szCs w:val="24"/>
                <w:highlight w:val="none"/>
              </w:rPr>
            </w:pPr>
            <w:r>
              <w:rPr>
                <w:rFonts w:ascii="仿宋" w:hAnsi="仿宋" w:eastAsia="仿宋" w:cs="仿宋"/>
                <w:spacing w:val="-1"/>
                <w:sz w:val="24"/>
                <w:szCs w:val="24"/>
                <w:highlight w:val="none"/>
              </w:rPr>
              <w:t>投标人的报价超过了采购预算或最高限价的；</w:t>
            </w:r>
          </w:p>
        </w:tc>
        <w:tc>
          <w:tcPr>
            <w:tcW w:w="567" w:type="dxa"/>
            <w:vAlign w:val="top"/>
          </w:tcPr>
          <w:p w14:paraId="0880D99D">
            <w:pPr>
              <w:outlineLvl w:val="9"/>
              <w:rPr>
                <w:rFonts w:ascii="Arial"/>
                <w:sz w:val="21"/>
                <w:highlight w:val="none"/>
              </w:rPr>
            </w:pPr>
          </w:p>
        </w:tc>
      </w:tr>
      <w:tr w14:paraId="35630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562" w:type="dxa"/>
            <w:vMerge w:val="continue"/>
            <w:tcBorders>
              <w:top w:val="nil"/>
              <w:bottom w:val="nil"/>
            </w:tcBorders>
            <w:vAlign w:val="top"/>
          </w:tcPr>
          <w:p w14:paraId="3B98F35E">
            <w:pPr>
              <w:outlineLvl w:val="9"/>
              <w:rPr>
                <w:rFonts w:ascii="Arial"/>
                <w:sz w:val="21"/>
                <w:highlight w:val="none"/>
              </w:rPr>
            </w:pPr>
          </w:p>
        </w:tc>
        <w:tc>
          <w:tcPr>
            <w:tcW w:w="538" w:type="dxa"/>
            <w:vMerge w:val="continue"/>
            <w:tcBorders>
              <w:top w:val="nil"/>
              <w:bottom w:val="nil"/>
            </w:tcBorders>
            <w:textDirection w:val="tbRlV"/>
            <w:vAlign w:val="top"/>
          </w:tcPr>
          <w:p w14:paraId="777B791C">
            <w:pPr>
              <w:outlineLvl w:val="9"/>
              <w:rPr>
                <w:rFonts w:ascii="Arial"/>
                <w:sz w:val="21"/>
                <w:highlight w:val="none"/>
              </w:rPr>
            </w:pPr>
          </w:p>
        </w:tc>
        <w:tc>
          <w:tcPr>
            <w:tcW w:w="7576" w:type="dxa"/>
            <w:vAlign w:val="top"/>
          </w:tcPr>
          <w:p w14:paraId="0B5B226C">
            <w:pPr>
              <w:spacing w:before="228" w:line="196" w:lineRule="auto"/>
              <w:ind w:left="12"/>
              <w:outlineLvl w:val="9"/>
              <w:rPr>
                <w:rFonts w:ascii="仿宋" w:hAnsi="仿宋" w:eastAsia="仿宋" w:cs="仿宋"/>
                <w:sz w:val="24"/>
                <w:szCs w:val="24"/>
                <w:highlight w:val="none"/>
              </w:rPr>
            </w:pPr>
            <w:r>
              <w:rPr>
                <w:rFonts w:ascii="仿宋" w:hAnsi="仿宋" w:eastAsia="仿宋" w:cs="仿宋"/>
                <w:spacing w:val="-2"/>
                <w:sz w:val="24"/>
                <w:szCs w:val="24"/>
                <w:highlight w:val="none"/>
              </w:rPr>
              <w:t>投标有效期不足的；</w:t>
            </w:r>
          </w:p>
        </w:tc>
        <w:tc>
          <w:tcPr>
            <w:tcW w:w="567" w:type="dxa"/>
            <w:vAlign w:val="top"/>
          </w:tcPr>
          <w:p w14:paraId="58109662">
            <w:pPr>
              <w:outlineLvl w:val="9"/>
              <w:rPr>
                <w:rFonts w:ascii="Arial"/>
                <w:sz w:val="21"/>
                <w:highlight w:val="none"/>
              </w:rPr>
            </w:pPr>
          </w:p>
        </w:tc>
      </w:tr>
      <w:tr w14:paraId="34EB1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562" w:type="dxa"/>
            <w:vMerge w:val="continue"/>
            <w:tcBorders>
              <w:top w:val="nil"/>
              <w:bottom w:val="nil"/>
            </w:tcBorders>
            <w:vAlign w:val="top"/>
          </w:tcPr>
          <w:p w14:paraId="00D9A7D3">
            <w:pPr>
              <w:outlineLvl w:val="9"/>
              <w:rPr>
                <w:rFonts w:ascii="Arial"/>
                <w:sz w:val="21"/>
                <w:highlight w:val="none"/>
              </w:rPr>
            </w:pPr>
          </w:p>
        </w:tc>
        <w:tc>
          <w:tcPr>
            <w:tcW w:w="538" w:type="dxa"/>
            <w:vMerge w:val="continue"/>
            <w:tcBorders>
              <w:top w:val="nil"/>
              <w:bottom w:val="nil"/>
            </w:tcBorders>
            <w:textDirection w:val="tbRlV"/>
            <w:vAlign w:val="top"/>
          </w:tcPr>
          <w:p w14:paraId="08F64E54">
            <w:pPr>
              <w:outlineLvl w:val="9"/>
              <w:rPr>
                <w:rFonts w:ascii="Arial"/>
                <w:sz w:val="21"/>
                <w:highlight w:val="none"/>
              </w:rPr>
            </w:pPr>
          </w:p>
        </w:tc>
        <w:tc>
          <w:tcPr>
            <w:tcW w:w="7576" w:type="dxa"/>
            <w:vAlign w:val="top"/>
          </w:tcPr>
          <w:p w14:paraId="05B93E52">
            <w:pPr>
              <w:spacing w:before="272" w:line="196" w:lineRule="auto"/>
              <w:ind w:left="19"/>
              <w:outlineLvl w:val="9"/>
              <w:rPr>
                <w:rFonts w:ascii="仿宋" w:hAnsi="仿宋" w:eastAsia="仿宋" w:cs="仿宋"/>
                <w:sz w:val="24"/>
                <w:szCs w:val="24"/>
                <w:highlight w:val="none"/>
              </w:rPr>
            </w:pPr>
            <w:r>
              <w:rPr>
                <w:rFonts w:ascii="仿宋" w:hAnsi="仿宋" w:eastAsia="仿宋" w:cs="仿宋"/>
                <w:spacing w:val="-1"/>
                <w:sz w:val="24"/>
                <w:szCs w:val="24"/>
                <w:highlight w:val="none"/>
              </w:rPr>
              <w:t>不符合招标文件中规定的实质性要求和条件</w:t>
            </w:r>
            <w:r>
              <w:rPr>
                <w:rFonts w:ascii="仿宋" w:hAnsi="仿宋" w:eastAsia="仿宋" w:cs="仿宋"/>
                <w:spacing w:val="-2"/>
                <w:sz w:val="24"/>
                <w:szCs w:val="24"/>
                <w:highlight w:val="none"/>
              </w:rPr>
              <w:t>的；</w:t>
            </w:r>
          </w:p>
        </w:tc>
        <w:tc>
          <w:tcPr>
            <w:tcW w:w="567" w:type="dxa"/>
            <w:vAlign w:val="top"/>
          </w:tcPr>
          <w:p w14:paraId="06C16CAF">
            <w:pPr>
              <w:outlineLvl w:val="9"/>
              <w:rPr>
                <w:rFonts w:ascii="Arial"/>
                <w:sz w:val="21"/>
                <w:highlight w:val="none"/>
              </w:rPr>
            </w:pPr>
          </w:p>
        </w:tc>
      </w:tr>
      <w:tr w14:paraId="16A2B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562" w:type="dxa"/>
            <w:vMerge w:val="continue"/>
            <w:tcBorders>
              <w:top w:val="nil"/>
              <w:bottom w:val="nil"/>
            </w:tcBorders>
            <w:vAlign w:val="top"/>
          </w:tcPr>
          <w:p w14:paraId="103CB3F3">
            <w:pPr>
              <w:outlineLvl w:val="9"/>
              <w:rPr>
                <w:rFonts w:ascii="Arial"/>
                <w:sz w:val="21"/>
                <w:highlight w:val="none"/>
              </w:rPr>
            </w:pPr>
          </w:p>
        </w:tc>
        <w:tc>
          <w:tcPr>
            <w:tcW w:w="538" w:type="dxa"/>
            <w:vMerge w:val="continue"/>
            <w:tcBorders>
              <w:top w:val="nil"/>
              <w:bottom w:val="nil"/>
            </w:tcBorders>
            <w:textDirection w:val="tbRlV"/>
            <w:vAlign w:val="top"/>
          </w:tcPr>
          <w:p w14:paraId="64EA4739">
            <w:pPr>
              <w:outlineLvl w:val="9"/>
              <w:rPr>
                <w:rFonts w:ascii="Arial"/>
                <w:sz w:val="21"/>
                <w:highlight w:val="none"/>
              </w:rPr>
            </w:pPr>
          </w:p>
        </w:tc>
        <w:tc>
          <w:tcPr>
            <w:tcW w:w="7576" w:type="dxa"/>
            <w:vAlign w:val="top"/>
          </w:tcPr>
          <w:p w14:paraId="4BFC9D3A">
            <w:pPr>
              <w:spacing w:before="172" w:line="196" w:lineRule="auto"/>
              <w:ind w:left="10"/>
              <w:outlineLvl w:val="9"/>
              <w:rPr>
                <w:rFonts w:ascii="仿宋" w:hAnsi="仿宋" w:eastAsia="仿宋" w:cs="仿宋"/>
                <w:sz w:val="24"/>
                <w:szCs w:val="24"/>
                <w:highlight w:val="none"/>
              </w:rPr>
            </w:pPr>
            <w:r>
              <w:rPr>
                <w:rFonts w:ascii="仿宋" w:hAnsi="仿宋" w:eastAsia="仿宋" w:cs="仿宋"/>
                <w:spacing w:val="-1"/>
                <w:sz w:val="24"/>
                <w:szCs w:val="24"/>
                <w:highlight w:val="none"/>
              </w:rPr>
              <w:t>联合体投标文件未附联合体投标协议书的（如有</w:t>
            </w:r>
            <w:r>
              <w:rPr>
                <w:rFonts w:ascii="仿宋" w:hAnsi="仿宋" w:eastAsia="仿宋" w:cs="仿宋"/>
                <w:spacing w:val="3"/>
                <w:sz w:val="24"/>
                <w:szCs w:val="24"/>
                <w:highlight w:val="none"/>
              </w:rPr>
              <w:t>）；</w:t>
            </w:r>
          </w:p>
        </w:tc>
        <w:tc>
          <w:tcPr>
            <w:tcW w:w="567" w:type="dxa"/>
            <w:vAlign w:val="top"/>
          </w:tcPr>
          <w:p w14:paraId="4F9C7BF1">
            <w:pPr>
              <w:outlineLvl w:val="9"/>
              <w:rPr>
                <w:rFonts w:ascii="Arial"/>
                <w:sz w:val="21"/>
                <w:highlight w:val="none"/>
              </w:rPr>
            </w:pPr>
          </w:p>
        </w:tc>
      </w:tr>
      <w:tr w14:paraId="15627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 w:hRule="atLeast"/>
        </w:trPr>
        <w:tc>
          <w:tcPr>
            <w:tcW w:w="562" w:type="dxa"/>
            <w:vMerge w:val="continue"/>
            <w:tcBorders>
              <w:top w:val="nil"/>
            </w:tcBorders>
            <w:vAlign w:val="top"/>
          </w:tcPr>
          <w:p w14:paraId="4FBA7F67">
            <w:pPr>
              <w:outlineLvl w:val="9"/>
              <w:rPr>
                <w:rFonts w:ascii="Arial"/>
                <w:sz w:val="21"/>
                <w:highlight w:val="none"/>
              </w:rPr>
            </w:pPr>
          </w:p>
        </w:tc>
        <w:tc>
          <w:tcPr>
            <w:tcW w:w="538" w:type="dxa"/>
            <w:vMerge w:val="continue"/>
            <w:tcBorders>
              <w:top w:val="nil"/>
            </w:tcBorders>
            <w:textDirection w:val="tbRlV"/>
            <w:vAlign w:val="top"/>
          </w:tcPr>
          <w:p w14:paraId="57258CE9">
            <w:pPr>
              <w:outlineLvl w:val="9"/>
              <w:rPr>
                <w:rFonts w:ascii="Arial"/>
                <w:sz w:val="21"/>
                <w:highlight w:val="none"/>
              </w:rPr>
            </w:pPr>
          </w:p>
        </w:tc>
        <w:tc>
          <w:tcPr>
            <w:tcW w:w="7576" w:type="dxa"/>
            <w:vAlign w:val="top"/>
          </w:tcPr>
          <w:p w14:paraId="7FC5E7DC">
            <w:pPr>
              <w:spacing w:before="145" w:line="195" w:lineRule="auto"/>
              <w:ind w:left="10"/>
              <w:outlineLvl w:val="9"/>
              <w:rPr>
                <w:rFonts w:ascii="仿宋" w:hAnsi="仿宋" w:eastAsia="仿宋" w:cs="仿宋"/>
                <w:sz w:val="24"/>
                <w:szCs w:val="24"/>
                <w:highlight w:val="none"/>
              </w:rPr>
            </w:pPr>
            <w:r>
              <w:rPr>
                <w:rFonts w:ascii="仿宋" w:hAnsi="仿宋" w:eastAsia="仿宋" w:cs="仿宋"/>
                <w:spacing w:val="-1"/>
                <w:sz w:val="24"/>
                <w:szCs w:val="24"/>
                <w:highlight w:val="none"/>
              </w:rPr>
              <w:t>有串通投标或弄虚作假或有其他违法行为的；</w:t>
            </w:r>
          </w:p>
        </w:tc>
        <w:tc>
          <w:tcPr>
            <w:tcW w:w="567" w:type="dxa"/>
            <w:vAlign w:val="top"/>
          </w:tcPr>
          <w:p w14:paraId="17E9D1E2">
            <w:pPr>
              <w:outlineLvl w:val="9"/>
              <w:rPr>
                <w:rFonts w:ascii="Arial"/>
                <w:sz w:val="21"/>
                <w:highlight w:val="none"/>
              </w:rPr>
            </w:pPr>
          </w:p>
        </w:tc>
      </w:tr>
      <w:tr w14:paraId="48E94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562" w:type="dxa"/>
            <w:vAlign w:val="top"/>
          </w:tcPr>
          <w:p w14:paraId="5F236A4C">
            <w:pPr>
              <w:outlineLvl w:val="9"/>
              <w:rPr>
                <w:rFonts w:ascii="Arial"/>
                <w:sz w:val="21"/>
                <w:highlight w:val="none"/>
              </w:rPr>
            </w:pPr>
          </w:p>
        </w:tc>
        <w:tc>
          <w:tcPr>
            <w:tcW w:w="538" w:type="dxa"/>
            <w:vAlign w:val="top"/>
          </w:tcPr>
          <w:p w14:paraId="51C693DA">
            <w:pPr>
              <w:outlineLvl w:val="9"/>
              <w:rPr>
                <w:rFonts w:ascii="Arial"/>
                <w:sz w:val="21"/>
                <w:highlight w:val="none"/>
              </w:rPr>
            </w:pPr>
          </w:p>
        </w:tc>
        <w:tc>
          <w:tcPr>
            <w:tcW w:w="7576" w:type="dxa"/>
            <w:vAlign w:val="top"/>
          </w:tcPr>
          <w:p w14:paraId="707D2933">
            <w:pPr>
              <w:spacing w:before="144" w:line="196" w:lineRule="auto"/>
              <w:ind w:left="12"/>
              <w:outlineLvl w:val="9"/>
              <w:rPr>
                <w:rFonts w:ascii="仿宋" w:hAnsi="仿宋" w:eastAsia="仿宋" w:cs="仿宋"/>
                <w:sz w:val="24"/>
                <w:szCs w:val="24"/>
                <w:highlight w:val="none"/>
              </w:rPr>
            </w:pPr>
            <w:r>
              <w:rPr>
                <w:rFonts w:ascii="仿宋" w:hAnsi="仿宋" w:eastAsia="仿宋" w:cs="仿宋"/>
                <w:spacing w:val="-1"/>
                <w:sz w:val="24"/>
                <w:szCs w:val="24"/>
                <w:highlight w:val="none"/>
              </w:rPr>
              <w:t>投标人名称或组织结构与报名时不一致且无有效变更证明的；</w:t>
            </w:r>
          </w:p>
        </w:tc>
        <w:tc>
          <w:tcPr>
            <w:tcW w:w="567" w:type="dxa"/>
            <w:vAlign w:val="top"/>
          </w:tcPr>
          <w:p w14:paraId="7A34D721">
            <w:pPr>
              <w:outlineLvl w:val="9"/>
              <w:rPr>
                <w:rFonts w:ascii="Arial"/>
                <w:sz w:val="21"/>
                <w:highlight w:val="none"/>
              </w:rPr>
            </w:pPr>
          </w:p>
        </w:tc>
      </w:tr>
      <w:tr w14:paraId="2ACC9F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562" w:type="dxa"/>
            <w:vAlign w:val="top"/>
          </w:tcPr>
          <w:p w14:paraId="05EBD924">
            <w:pPr>
              <w:outlineLvl w:val="9"/>
              <w:rPr>
                <w:rFonts w:ascii="Arial"/>
                <w:sz w:val="21"/>
                <w:highlight w:val="none"/>
              </w:rPr>
            </w:pPr>
          </w:p>
        </w:tc>
        <w:tc>
          <w:tcPr>
            <w:tcW w:w="538" w:type="dxa"/>
            <w:vAlign w:val="top"/>
          </w:tcPr>
          <w:p w14:paraId="1C519104">
            <w:pPr>
              <w:outlineLvl w:val="9"/>
              <w:rPr>
                <w:rFonts w:ascii="Arial"/>
                <w:sz w:val="21"/>
                <w:highlight w:val="none"/>
              </w:rPr>
            </w:pPr>
          </w:p>
        </w:tc>
        <w:tc>
          <w:tcPr>
            <w:tcW w:w="7576" w:type="dxa"/>
            <w:vAlign w:val="top"/>
          </w:tcPr>
          <w:p w14:paraId="177E69EC">
            <w:pPr>
              <w:spacing w:before="167" w:line="196" w:lineRule="auto"/>
              <w:ind w:left="12"/>
              <w:outlineLvl w:val="9"/>
              <w:rPr>
                <w:rFonts w:ascii="仿宋" w:hAnsi="仿宋" w:eastAsia="仿宋" w:cs="仿宋"/>
                <w:sz w:val="24"/>
                <w:szCs w:val="24"/>
                <w:highlight w:val="none"/>
              </w:rPr>
            </w:pPr>
            <w:r>
              <w:rPr>
                <w:rFonts w:ascii="仿宋" w:hAnsi="仿宋" w:eastAsia="仿宋" w:cs="仿宋"/>
                <w:spacing w:val="-1"/>
                <w:sz w:val="24"/>
                <w:szCs w:val="24"/>
                <w:highlight w:val="none"/>
              </w:rPr>
              <w:t>投标文件含有采购人不能接受的附加条件的；</w:t>
            </w:r>
          </w:p>
        </w:tc>
        <w:tc>
          <w:tcPr>
            <w:tcW w:w="567" w:type="dxa"/>
            <w:vAlign w:val="top"/>
          </w:tcPr>
          <w:p w14:paraId="167DC8BD">
            <w:pPr>
              <w:outlineLvl w:val="9"/>
              <w:rPr>
                <w:rFonts w:ascii="Arial"/>
                <w:sz w:val="21"/>
                <w:highlight w:val="none"/>
              </w:rPr>
            </w:pPr>
          </w:p>
        </w:tc>
      </w:tr>
      <w:tr w14:paraId="207E2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562" w:type="dxa"/>
            <w:vAlign w:val="top"/>
          </w:tcPr>
          <w:p w14:paraId="6C3053A2">
            <w:pPr>
              <w:outlineLvl w:val="9"/>
              <w:rPr>
                <w:rFonts w:ascii="Arial"/>
                <w:sz w:val="21"/>
                <w:highlight w:val="none"/>
              </w:rPr>
            </w:pPr>
          </w:p>
        </w:tc>
        <w:tc>
          <w:tcPr>
            <w:tcW w:w="538" w:type="dxa"/>
            <w:vAlign w:val="top"/>
          </w:tcPr>
          <w:p w14:paraId="3B338046">
            <w:pPr>
              <w:outlineLvl w:val="9"/>
              <w:rPr>
                <w:rFonts w:ascii="Arial"/>
                <w:sz w:val="21"/>
                <w:highlight w:val="none"/>
              </w:rPr>
            </w:pPr>
          </w:p>
        </w:tc>
        <w:tc>
          <w:tcPr>
            <w:tcW w:w="7576" w:type="dxa"/>
            <w:vAlign w:val="top"/>
          </w:tcPr>
          <w:p w14:paraId="5A642785">
            <w:pPr>
              <w:spacing w:before="133" w:line="196" w:lineRule="auto"/>
              <w:ind w:left="21"/>
              <w:outlineLvl w:val="9"/>
              <w:rPr>
                <w:rFonts w:ascii="仿宋" w:hAnsi="仿宋" w:eastAsia="仿宋" w:cs="仿宋"/>
                <w:sz w:val="24"/>
                <w:szCs w:val="24"/>
                <w:highlight w:val="none"/>
              </w:rPr>
            </w:pPr>
            <w:r>
              <w:rPr>
                <w:rFonts w:ascii="仿宋" w:hAnsi="仿宋" w:eastAsia="仿宋" w:cs="仿宋"/>
                <w:spacing w:val="-1"/>
                <w:sz w:val="24"/>
                <w:szCs w:val="24"/>
                <w:highlight w:val="none"/>
              </w:rPr>
              <w:t>法律、法规及本招标文件规定的其他无效投标的情形；</w:t>
            </w:r>
          </w:p>
        </w:tc>
        <w:tc>
          <w:tcPr>
            <w:tcW w:w="567" w:type="dxa"/>
            <w:vAlign w:val="top"/>
          </w:tcPr>
          <w:p w14:paraId="48A1F59E">
            <w:pPr>
              <w:outlineLvl w:val="9"/>
              <w:rPr>
                <w:rFonts w:ascii="Arial"/>
                <w:sz w:val="21"/>
                <w:highlight w:val="none"/>
              </w:rPr>
            </w:pPr>
          </w:p>
        </w:tc>
      </w:tr>
      <w:tr w14:paraId="09BD7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9243" w:type="dxa"/>
            <w:gridSpan w:val="4"/>
            <w:vAlign w:val="top"/>
          </w:tcPr>
          <w:p w14:paraId="5D39E4F4">
            <w:pPr>
              <w:pStyle w:val="11"/>
              <w:spacing w:before="169" w:line="219" w:lineRule="auto"/>
              <w:ind w:left="22"/>
              <w:outlineLvl w:val="9"/>
              <w:rPr>
                <w:highlight w:val="none"/>
              </w:rPr>
            </w:pPr>
            <w:r>
              <w:rPr>
                <w:b/>
                <w:bCs/>
                <w:spacing w:val="-4"/>
                <w:highlight w:val="none"/>
              </w:rPr>
              <w:t>注：以上检查内容必须全部满足检查标准，否则视为无效投标。</w:t>
            </w:r>
          </w:p>
        </w:tc>
      </w:tr>
    </w:tbl>
    <w:p w14:paraId="0F3C7EBD">
      <w:pPr>
        <w:pStyle w:val="2"/>
        <w:outlineLvl w:val="9"/>
        <w:rPr>
          <w:highlight w:val="none"/>
        </w:rPr>
      </w:pPr>
    </w:p>
    <w:p w14:paraId="0FEC59AD">
      <w:pPr>
        <w:outlineLvl w:val="9"/>
        <w:rPr>
          <w:highlight w:val="none"/>
        </w:rPr>
        <w:sectPr>
          <w:footerReference r:id="rId39" w:type="default"/>
          <w:pgSz w:w="11906" w:h="16840"/>
          <w:pgMar w:top="1091" w:right="1328" w:bottom="165" w:left="1328" w:header="1077" w:footer="0" w:gutter="0"/>
          <w:pgNumType w:fmt="decimal"/>
          <w:cols w:space="720" w:num="1"/>
        </w:sectPr>
      </w:pPr>
    </w:p>
    <w:p w14:paraId="0103452C">
      <w:pPr>
        <w:pStyle w:val="2"/>
        <w:spacing w:line="251" w:lineRule="auto"/>
        <w:outlineLvl w:val="9"/>
        <w:rPr>
          <w:highlight w:val="none"/>
        </w:rPr>
      </w:pPr>
    </w:p>
    <w:p w14:paraId="6152D1AC">
      <w:pPr>
        <w:pStyle w:val="2"/>
        <w:spacing w:line="251" w:lineRule="auto"/>
        <w:outlineLvl w:val="9"/>
        <w:rPr>
          <w:highlight w:val="none"/>
        </w:rPr>
      </w:pPr>
    </w:p>
    <w:p w14:paraId="6230C7EB">
      <w:pPr>
        <w:pStyle w:val="2"/>
        <w:spacing w:line="251" w:lineRule="auto"/>
        <w:outlineLvl w:val="9"/>
        <w:rPr>
          <w:highlight w:val="none"/>
        </w:rPr>
      </w:pPr>
    </w:p>
    <w:p w14:paraId="0BDF48CC">
      <w:pPr>
        <w:spacing w:before="78" w:line="220" w:lineRule="auto"/>
        <w:ind w:left="1015"/>
        <w:outlineLvl w:val="9"/>
        <w:rPr>
          <w:rFonts w:ascii="宋体" w:hAnsi="宋体" w:eastAsia="宋体" w:cs="宋体"/>
          <w:sz w:val="24"/>
          <w:szCs w:val="24"/>
          <w:highlight w:val="none"/>
        </w:rPr>
      </w:pPr>
      <w:bookmarkStart w:id="12" w:name="bookmark18"/>
      <w:bookmarkEnd w:id="12"/>
      <w:r>
        <w:rPr>
          <w:rFonts w:ascii="宋体" w:hAnsi="宋体" w:eastAsia="宋体" w:cs="宋体"/>
          <w:b/>
          <w:bCs/>
          <w:spacing w:val="-7"/>
          <w:sz w:val="24"/>
          <w:szCs w:val="24"/>
          <w:highlight w:val="none"/>
        </w:rPr>
        <w:t>一、评分标准</w:t>
      </w:r>
    </w:p>
    <w:p w14:paraId="2FF5842B">
      <w:pPr>
        <w:spacing w:line="56" w:lineRule="exact"/>
        <w:outlineLvl w:val="9"/>
        <w:rPr>
          <w:highlight w:val="none"/>
        </w:rPr>
      </w:pPr>
    </w:p>
    <w:tbl>
      <w:tblPr>
        <w:tblStyle w:val="10"/>
        <w:tblW w:w="9627"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0"/>
        <w:gridCol w:w="758"/>
        <w:gridCol w:w="7609"/>
      </w:tblGrid>
      <w:tr w14:paraId="3B5BF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1260" w:type="dxa"/>
            <w:tcBorders>
              <w:top w:val="single" w:color="000000" w:sz="8" w:space="0"/>
              <w:left w:val="single" w:color="000000" w:sz="8" w:space="0"/>
            </w:tcBorders>
            <w:vAlign w:val="top"/>
          </w:tcPr>
          <w:p w14:paraId="3DD4D0E4">
            <w:pPr>
              <w:spacing w:before="113" w:line="222" w:lineRule="auto"/>
              <w:ind w:left="180"/>
              <w:outlineLvl w:val="9"/>
              <w:rPr>
                <w:rFonts w:ascii="仿宋" w:hAnsi="仿宋" w:eastAsia="仿宋" w:cs="仿宋"/>
                <w:sz w:val="24"/>
                <w:szCs w:val="24"/>
                <w:highlight w:val="none"/>
              </w:rPr>
            </w:pPr>
            <w:r>
              <w:rPr>
                <w:rFonts w:ascii="仿宋" w:hAnsi="仿宋" w:eastAsia="仿宋" w:cs="仿宋"/>
                <w:spacing w:val="-7"/>
                <w:sz w:val="24"/>
                <w:szCs w:val="24"/>
                <w:highlight w:val="none"/>
              </w:rPr>
              <w:t>考核项目</w:t>
            </w:r>
          </w:p>
        </w:tc>
        <w:tc>
          <w:tcPr>
            <w:tcW w:w="758" w:type="dxa"/>
            <w:tcBorders>
              <w:top w:val="single" w:color="000000" w:sz="8" w:space="0"/>
            </w:tcBorders>
            <w:vAlign w:val="top"/>
          </w:tcPr>
          <w:p w14:paraId="645B3546">
            <w:pPr>
              <w:spacing w:before="112" w:line="223" w:lineRule="auto"/>
              <w:ind w:left="140"/>
              <w:outlineLvl w:val="9"/>
              <w:rPr>
                <w:rFonts w:ascii="仿宋" w:hAnsi="仿宋" w:eastAsia="仿宋" w:cs="仿宋"/>
                <w:sz w:val="24"/>
                <w:szCs w:val="24"/>
                <w:highlight w:val="none"/>
              </w:rPr>
            </w:pPr>
            <w:r>
              <w:rPr>
                <w:rFonts w:ascii="仿宋" w:hAnsi="仿宋" w:eastAsia="仿宋" w:cs="仿宋"/>
                <w:spacing w:val="-10"/>
                <w:sz w:val="24"/>
                <w:szCs w:val="24"/>
                <w:highlight w:val="none"/>
              </w:rPr>
              <w:t>分数</w:t>
            </w:r>
          </w:p>
        </w:tc>
        <w:tc>
          <w:tcPr>
            <w:tcW w:w="7609" w:type="dxa"/>
            <w:tcBorders>
              <w:top w:val="single" w:color="000000" w:sz="8" w:space="0"/>
              <w:right w:val="single" w:color="000000" w:sz="8" w:space="0"/>
            </w:tcBorders>
            <w:vAlign w:val="top"/>
          </w:tcPr>
          <w:p w14:paraId="58F18A02">
            <w:pPr>
              <w:spacing w:before="113" w:line="222" w:lineRule="auto"/>
              <w:ind w:left="3344"/>
              <w:outlineLvl w:val="9"/>
              <w:rPr>
                <w:rFonts w:ascii="仿宋" w:hAnsi="仿宋" w:eastAsia="仿宋" w:cs="仿宋"/>
                <w:sz w:val="24"/>
                <w:szCs w:val="24"/>
                <w:highlight w:val="none"/>
              </w:rPr>
            </w:pPr>
            <w:r>
              <w:rPr>
                <w:rFonts w:ascii="仿宋" w:hAnsi="仿宋" w:eastAsia="仿宋" w:cs="仿宋"/>
                <w:spacing w:val="-7"/>
                <w:sz w:val="24"/>
                <w:szCs w:val="24"/>
                <w:highlight w:val="none"/>
              </w:rPr>
              <w:t>评分标准</w:t>
            </w:r>
          </w:p>
        </w:tc>
      </w:tr>
      <w:tr w14:paraId="1CC5E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9627" w:type="dxa"/>
            <w:gridSpan w:val="3"/>
            <w:tcBorders>
              <w:left w:val="single" w:color="000000" w:sz="8" w:space="0"/>
              <w:right w:val="single" w:color="000000" w:sz="8" w:space="0"/>
            </w:tcBorders>
            <w:vAlign w:val="top"/>
          </w:tcPr>
          <w:p w14:paraId="40226A1D">
            <w:pPr>
              <w:spacing w:before="92" w:line="222" w:lineRule="auto"/>
              <w:ind w:left="140"/>
              <w:outlineLvl w:val="9"/>
              <w:rPr>
                <w:rFonts w:ascii="仿宋" w:hAnsi="仿宋" w:eastAsia="仿宋" w:cs="仿宋"/>
                <w:sz w:val="24"/>
                <w:szCs w:val="24"/>
                <w:highlight w:val="none"/>
              </w:rPr>
            </w:pPr>
            <w:r>
              <w:rPr>
                <w:rFonts w:ascii="仿宋" w:hAnsi="仿宋" w:eastAsia="仿宋" w:cs="仿宋"/>
                <w:spacing w:val="-5"/>
                <w:sz w:val="24"/>
                <w:szCs w:val="24"/>
                <w:highlight w:val="none"/>
              </w:rPr>
              <w:t>投标报价（权重30%）</w:t>
            </w:r>
          </w:p>
        </w:tc>
      </w:tr>
      <w:tr w14:paraId="6EB30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9" w:hRule="atLeast"/>
        </w:trPr>
        <w:tc>
          <w:tcPr>
            <w:tcW w:w="1260" w:type="dxa"/>
            <w:tcBorders>
              <w:left w:val="single" w:color="000000" w:sz="8" w:space="0"/>
            </w:tcBorders>
            <w:vAlign w:val="top"/>
          </w:tcPr>
          <w:p w14:paraId="0F2C3204">
            <w:pPr>
              <w:spacing w:line="260" w:lineRule="auto"/>
              <w:outlineLvl w:val="9"/>
              <w:rPr>
                <w:rFonts w:ascii="Arial"/>
                <w:sz w:val="21"/>
                <w:highlight w:val="none"/>
              </w:rPr>
            </w:pPr>
          </w:p>
          <w:p w14:paraId="190F14A2">
            <w:pPr>
              <w:spacing w:line="260" w:lineRule="auto"/>
              <w:outlineLvl w:val="9"/>
              <w:rPr>
                <w:rFonts w:ascii="Arial"/>
                <w:sz w:val="21"/>
                <w:highlight w:val="none"/>
              </w:rPr>
            </w:pPr>
          </w:p>
          <w:p w14:paraId="2105130F">
            <w:pPr>
              <w:spacing w:line="260" w:lineRule="auto"/>
              <w:outlineLvl w:val="9"/>
              <w:rPr>
                <w:rFonts w:ascii="Arial"/>
                <w:sz w:val="21"/>
                <w:highlight w:val="none"/>
              </w:rPr>
            </w:pPr>
          </w:p>
          <w:p w14:paraId="42145AC3">
            <w:pPr>
              <w:spacing w:line="260" w:lineRule="auto"/>
              <w:outlineLvl w:val="9"/>
              <w:rPr>
                <w:rFonts w:ascii="Arial"/>
                <w:sz w:val="21"/>
                <w:highlight w:val="none"/>
              </w:rPr>
            </w:pPr>
          </w:p>
          <w:p w14:paraId="6AC7D1B5">
            <w:pPr>
              <w:spacing w:before="78" w:line="222" w:lineRule="auto"/>
              <w:ind w:left="176"/>
              <w:outlineLvl w:val="9"/>
              <w:rPr>
                <w:rFonts w:ascii="仿宋" w:hAnsi="仿宋" w:eastAsia="仿宋" w:cs="仿宋"/>
                <w:sz w:val="24"/>
                <w:szCs w:val="24"/>
                <w:highlight w:val="none"/>
              </w:rPr>
            </w:pPr>
            <w:r>
              <w:rPr>
                <w:rFonts w:ascii="仿宋" w:hAnsi="仿宋" w:eastAsia="仿宋" w:cs="仿宋"/>
                <w:spacing w:val="-6"/>
                <w:sz w:val="24"/>
                <w:szCs w:val="24"/>
                <w:highlight w:val="none"/>
              </w:rPr>
              <w:t>投标报价</w:t>
            </w:r>
          </w:p>
        </w:tc>
        <w:tc>
          <w:tcPr>
            <w:tcW w:w="758" w:type="dxa"/>
            <w:vAlign w:val="top"/>
          </w:tcPr>
          <w:p w14:paraId="1095A39B">
            <w:pPr>
              <w:spacing w:line="259" w:lineRule="auto"/>
              <w:outlineLvl w:val="9"/>
              <w:rPr>
                <w:rFonts w:ascii="Arial"/>
                <w:sz w:val="21"/>
                <w:highlight w:val="none"/>
              </w:rPr>
            </w:pPr>
          </w:p>
          <w:p w14:paraId="25850E82">
            <w:pPr>
              <w:spacing w:line="260" w:lineRule="auto"/>
              <w:outlineLvl w:val="9"/>
              <w:rPr>
                <w:rFonts w:ascii="Arial"/>
                <w:sz w:val="21"/>
                <w:highlight w:val="none"/>
              </w:rPr>
            </w:pPr>
          </w:p>
          <w:p w14:paraId="61DFB00A">
            <w:pPr>
              <w:spacing w:line="260" w:lineRule="auto"/>
              <w:outlineLvl w:val="9"/>
              <w:rPr>
                <w:rFonts w:ascii="Arial"/>
                <w:sz w:val="21"/>
                <w:highlight w:val="none"/>
              </w:rPr>
            </w:pPr>
          </w:p>
          <w:p w14:paraId="0E7F8990">
            <w:pPr>
              <w:spacing w:line="260" w:lineRule="auto"/>
              <w:outlineLvl w:val="9"/>
              <w:rPr>
                <w:rFonts w:ascii="Arial"/>
                <w:sz w:val="21"/>
                <w:highlight w:val="none"/>
              </w:rPr>
            </w:pPr>
          </w:p>
          <w:p w14:paraId="47E5B8FB">
            <w:pPr>
              <w:spacing w:before="78" w:line="224" w:lineRule="auto"/>
              <w:outlineLvl w:val="9"/>
              <w:rPr>
                <w:rFonts w:ascii="仿宋" w:hAnsi="仿宋" w:eastAsia="仿宋" w:cs="仿宋"/>
                <w:sz w:val="24"/>
                <w:szCs w:val="24"/>
                <w:highlight w:val="none"/>
              </w:rPr>
            </w:pPr>
            <w:r>
              <w:rPr>
                <w:rFonts w:ascii="仿宋" w:hAnsi="仿宋" w:eastAsia="仿宋" w:cs="仿宋"/>
                <w:spacing w:val="-6"/>
                <w:sz w:val="24"/>
                <w:szCs w:val="24"/>
                <w:highlight w:val="none"/>
              </w:rPr>
              <w:t>30分</w:t>
            </w:r>
          </w:p>
        </w:tc>
        <w:tc>
          <w:tcPr>
            <w:tcW w:w="7609" w:type="dxa"/>
            <w:tcBorders>
              <w:right w:val="single" w:color="000000" w:sz="8" w:space="0"/>
            </w:tcBorders>
            <w:vAlign w:val="top"/>
          </w:tcPr>
          <w:p w14:paraId="44FD0347">
            <w:pPr>
              <w:spacing w:before="57" w:line="222" w:lineRule="auto"/>
              <w:ind w:left="122"/>
              <w:outlineLvl w:val="9"/>
              <w:rPr>
                <w:rFonts w:ascii="仿宋" w:hAnsi="仿宋" w:eastAsia="仿宋" w:cs="仿宋"/>
                <w:sz w:val="24"/>
                <w:szCs w:val="24"/>
                <w:highlight w:val="none"/>
              </w:rPr>
            </w:pPr>
            <w:r>
              <w:rPr>
                <w:rFonts w:ascii="仿宋" w:hAnsi="仿宋" w:eastAsia="仿宋" w:cs="仿宋"/>
                <w:spacing w:val="-1"/>
                <w:sz w:val="24"/>
                <w:szCs w:val="24"/>
                <w:highlight w:val="none"/>
              </w:rPr>
              <w:t>投标报价得分=（评标基准价/投标报价）*价格权重*100</w:t>
            </w:r>
          </w:p>
          <w:p w14:paraId="6EFC869C">
            <w:pPr>
              <w:spacing w:before="28" w:line="222" w:lineRule="auto"/>
              <w:ind w:left="136"/>
              <w:outlineLvl w:val="9"/>
              <w:rPr>
                <w:rFonts w:ascii="仿宋" w:hAnsi="仿宋" w:eastAsia="仿宋" w:cs="仿宋"/>
                <w:sz w:val="24"/>
                <w:szCs w:val="24"/>
                <w:highlight w:val="none"/>
              </w:rPr>
            </w:pPr>
            <w:r>
              <w:rPr>
                <w:rFonts w:ascii="仿宋" w:hAnsi="仿宋" w:eastAsia="仿宋" w:cs="仿宋"/>
                <w:spacing w:val="-2"/>
                <w:sz w:val="24"/>
                <w:szCs w:val="24"/>
                <w:highlight w:val="none"/>
              </w:rPr>
              <w:t>注：基准价=响应招标文件的最低投标报价</w:t>
            </w:r>
          </w:p>
          <w:p w14:paraId="19317DA2">
            <w:pPr>
              <w:spacing w:line="222" w:lineRule="auto"/>
              <w:ind w:left="122"/>
              <w:outlineLvl w:val="9"/>
              <w:rPr>
                <w:rFonts w:ascii="仿宋" w:hAnsi="仿宋" w:eastAsia="仿宋" w:cs="仿宋"/>
                <w:sz w:val="24"/>
                <w:szCs w:val="24"/>
                <w:highlight w:val="none"/>
              </w:rPr>
            </w:pPr>
            <w:r>
              <w:rPr>
                <w:rFonts w:ascii="仿宋" w:hAnsi="仿宋" w:eastAsia="仿宋" w:cs="仿宋"/>
                <w:b/>
                <w:bCs/>
                <w:spacing w:val="-4"/>
                <w:sz w:val="24"/>
                <w:szCs w:val="24"/>
                <w:highlight w:val="none"/>
              </w:rPr>
              <w:t>本项目为专门面向中小企业的项目</w:t>
            </w:r>
            <w:r>
              <w:rPr>
                <w:rFonts w:ascii="仿宋" w:hAnsi="仿宋" w:eastAsia="仿宋" w:cs="仿宋"/>
                <w:b/>
                <w:bCs/>
                <w:spacing w:val="-8"/>
                <w:sz w:val="24"/>
                <w:szCs w:val="24"/>
                <w:highlight w:val="none"/>
              </w:rPr>
              <w:t>。</w:t>
            </w:r>
          </w:p>
          <w:p w14:paraId="3F066E99">
            <w:pPr>
              <w:spacing w:before="27" w:line="228" w:lineRule="auto"/>
              <w:ind w:left="122" w:right="109" w:firstLine="57"/>
              <w:outlineLvl w:val="9"/>
              <w:rPr>
                <w:rFonts w:ascii="仿宋" w:hAnsi="仿宋" w:eastAsia="仿宋" w:cs="仿宋"/>
                <w:sz w:val="24"/>
                <w:szCs w:val="24"/>
                <w:highlight w:val="none"/>
              </w:rPr>
            </w:pPr>
            <w:r>
              <w:rPr>
                <w:rFonts w:ascii="仿宋" w:hAnsi="仿宋" w:eastAsia="仿宋" w:cs="仿宋"/>
                <w:spacing w:val="-5"/>
                <w:sz w:val="24"/>
                <w:szCs w:val="24"/>
                <w:highlight w:val="none"/>
              </w:rPr>
              <w:t>同时符合以下所有要求的投标单位被认定为小型、微型企业：投标单位</w:t>
            </w:r>
            <w:r>
              <w:rPr>
                <w:rFonts w:ascii="仿宋" w:hAnsi="仿宋" w:eastAsia="仿宋" w:cs="仿宋"/>
                <w:spacing w:val="-2"/>
                <w:sz w:val="24"/>
                <w:szCs w:val="24"/>
                <w:highlight w:val="none"/>
              </w:rPr>
              <w:t>按照《统计上大中小微型企业划分办法（20</w:t>
            </w:r>
            <w:r>
              <w:rPr>
                <w:rFonts w:ascii="仿宋" w:hAnsi="仿宋" w:eastAsia="仿宋" w:cs="仿宋"/>
                <w:spacing w:val="-3"/>
                <w:sz w:val="24"/>
                <w:szCs w:val="24"/>
                <w:highlight w:val="none"/>
              </w:rPr>
              <w:t>17）》的所属行业规定为小型、微型企业【按《关于印发中小企业划型标准规定的通知》规定提供《中小企业声明函》】。</w:t>
            </w:r>
          </w:p>
        </w:tc>
      </w:tr>
      <w:tr w14:paraId="4BF8F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9627" w:type="dxa"/>
            <w:gridSpan w:val="3"/>
            <w:tcBorders>
              <w:left w:val="single" w:color="000000" w:sz="8" w:space="0"/>
              <w:right w:val="single" w:color="000000" w:sz="8" w:space="0"/>
            </w:tcBorders>
            <w:vAlign w:val="top"/>
          </w:tcPr>
          <w:p w14:paraId="4F30A2F1">
            <w:pPr>
              <w:spacing w:before="109" w:line="214" w:lineRule="auto"/>
              <w:ind w:left="132"/>
              <w:outlineLvl w:val="9"/>
              <w:rPr>
                <w:rFonts w:ascii="仿宋" w:hAnsi="仿宋" w:eastAsia="仿宋" w:cs="仿宋"/>
                <w:sz w:val="24"/>
                <w:szCs w:val="24"/>
                <w:highlight w:val="none"/>
              </w:rPr>
            </w:pPr>
            <w:r>
              <w:rPr>
                <w:rFonts w:ascii="仿宋" w:hAnsi="仿宋" w:eastAsia="仿宋" w:cs="仿宋"/>
                <w:spacing w:val="-6"/>
                <w:sz w:val="24"/>
                <w:szCs w:val="24"/>
                <w:highlight w:val="none"/>
              </w:rPr>
              <w:t>技术标（权重70%）</w:t>
            </w:r>
          </w:p>
        </w:tc>
      </w:tr>
      <w:tr w14:paraId="1EA30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4" w:hRule="atLeast"/>
        </w:trPr>
        <w:tc>
          <w:tcPr>
            <w:tcW w:w="1260" w:type="dxa"/>
            <w:tcBorders>
              <w:left w:val="single" w:color="000000" w:sz="8" w:space="0"/>
            </w:tcBorders>
            <w:vAlign w:val="center"/>
          </w:tcPr>
          <w:p w14:paraId="11824020">
            <w:pPr>
              <w:spacing w:before="27" w:line="240" w:lineRule="auto"/>
              <w:ind w:left="122" w:right="109" w:firstLine="57"/>
              <w:jc w:val="center"/>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业绩</w:t>
            </w:r>
          </w:p>
        </w:tc>
        <w:tc>
          <w:tcPr>
            <w:tcW w:w="758" w:type="dxa"/>
            <w:vAlign w:val="center"/>
          </w:tcPr>
          <w:p w14:paraId="4269C483">
            <w:pPr>
              <w:spacing w:before="27" w:line="240" w:lineRule="auto"/>
              <w:ind w:left="122" w:right="109" w:firstLine="57"/>
              <w:jc w:val="center"/>
              <w:outlineLvl w:val="9"/>
              <w:rPr>
                <w:rFonts w:ascii="仿宋" w:hAnsi="仿宋" w:eastAsia="仿宋" w:cs="仿宋"/>
                <w:spacing w:val="-5"/>
                <w:sz w:val="24"/>
                <w:szCs w:val="24"/>
                <w:highlight w:val="none"/>
              </w:rPr>
            </w:pPr>
            <w:r>
              <w:rPr>
                <w:rFonts w:hint="eastAsia" w:ascii="仿宋" w:hAnsi="仿宋" w:eastAsia="仿宋" w:cs="仿宋"/>
                <w:spacing w:val="-5"/>
                <w:sz w:val="24"/>
                <w:szCs w:val="24"/>
                <w:highlight w:val="none"/>
                <w:lang w:val="en-US" w:eastAsia="zh-CN"/>
              </w:rPr>
              <w:t>2分</w:t>
            </w:r>
          </w:p>
        </w:tc>
        <w:tc>
          <w:tcPr>
            <w:tcW w:w="7609" w:type="dxa"/>
            <w:tcBorders>
              <w:right w:val="single" w:color="000000" w:sz="8" w:space="0"/>
            </w:tcBorders>
            <w:vAlign w:val="top"/>
          </w:tcPr>
          <w:p w14:paraId="0D5935F7">
            <w:pPr>
              <w:spacing w:before="27" w:line="228" w:lineRule="auto"/>
              <w:ind w:left="122" w:right="109" w:firstLine="57"/>
              <w:outlineLvl w:val="9"/>
              <w:rPr>
                <w:rFonts w:ascii="仿宋" w:hAnsi="仿宋" w:eastAsia="仿宋" w:cs="仿宋"/>
                <w:spacing w:val="-5"/>
                <w:sz w:val="24"/>
                <w:szCs w:val="24"/>
                <w:highlight w:val="none"/>
              </w:rPr>
            </w:pPr>
            <w:r>
              <w:rPr>
                <w:rFonts w:hint="eastAsia" w:ascii="仿宋" w:hAnsi="仿宋" w:eastAsia="仿宋" w:cs="仿宋"/>
                <w:spacing w:val="-5"/>
                <w:sz w:val="24"/>
                <w:szCs w:val="24"/>
                <w:highlight w:val="none"/>
                <w:lang w:val="en-US" w:eastAsia="zh-CN"/>
              </w:rPr>
              <w:t>投标人需提供近三年（2023年8月-至今，以合同签订时间为准）类似项目的业绩合同，需提供类似业绩的合同扫描件或中标通知书作为佐证材料。每提交一个得1分，最高得2分；未提交或资料不全的佐证材料本项均不得分</w:t>
            </w:r>
          </w:p>
        </w:tc>
      </w:tr>
      <w:tr w14:paraId="56D90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4" w:hRule="atLeast"/>
        </w:trPr>
        <w:tc>
          <w:tcPr>
            <w:tcW w:w="1260" w:type="dxa"/>
            <w:tcBorders>
              <w:left w:val="single" w:color="000000" w:sz="8" w:space="0"/>
            </w:tcBorders>
            <w:vAlign w:val="top"/>
          </w:tcPr>
          <w:p w14:paraId="786716A8">
            <w:pPr>
              <w:spacing w:before="27" w:line="240" w:lineRule="auto"/>
              <w:ind w:left="122" w:right="109" w:firstLine="57"/>
              <w:jc w:val="center"/>
              <w:outlineLvl w:val="9"/>
              <w:rPr>
                <w:rFonts w:ascii="仿宋" w:hAnsi="仿宋" w:eastAsia="仿宋" w:cs="仿宋"/>
                <w:spacing w:val="-5"/>
                <w:sz w:val="24"/>
                <w:szCs w:val="24"/>
                <w:highlight w:val="none"/>
              </w:rPr>
            </w:pPr>
          </w:p>
          <w:p w14:paraId="39B00338">
            <w:pPr>
              <w:spacing w:before="27" w:line="240" w:lineRule="auto"/>
              <w:ind w:left="122" w:right="109" w:firstLine="57"/>
              <w:jc w:val="center"/>
              <w:outlineLvl w:val="9"/>
              <w:rPr>
                <w:rFonts w:ascii="仿宋" w:hAnsi="仿宋" w:eastAsia="仿宋" w:cs="仿宋"/>
                <w:spacing w:val="-5"/>
                <w:sz w:val="24"/>
                <w:szCs w:val="24"/>
                <w:highlight w:val="none"/>
              </w:rPr>
            </w:pPr>
          </w:p>
          <w:p w14:paraId="13101453">
            <w:pPr>
              <w:spacing w:before="27" w:line="240" w:lineRule="auto"/>
              <w:ind w:right="109"/>
              <w:jc w:val="center"/>
              <w:outlineLvl w:val="9"/>
              <w:rPr>
                <w:rFonts w:hint="eastAsia" w:ascii="仿宋" w:hAnsi="仿宋" w:eastAsia="仿宋" w:cs="仿宋"/>
                <w:spacing w:val="-5"/>
                <w:sz w:val="24"/>
                <w:szCs w:val="24"/>
                <w:highlight w:val="none"/>
                <w:lang w:val="en-US" w:eastAsia="zh-CN"/>
              </w:rPr>
            </w:pPr>
            <w:r>
              <w:rPr>
                <w:rFonts w:ascii="仿宋" w:hAnsi="仿宋" w:eastAsia="仿宋" w:cs="仿宋"/>
                <w:spacing w:val="-5"/>
                <w:sz w:val="24"/>
                <w:szCs w:val="24"/>
                <w:highlight w:val="none"/>
              </w:rPr>
              <w:t>人员配备</w:t>
            </w:r>
          </w:p>
        </w:tc>
        <w:tc>
          <w:tcPr>
            <w:tcW w:w="758" w:type="dxa"/>
            <w:vAlign w:val="top"/>
          </w:tcPr>
          <w:p w14:paraId="519DB4DF">
            <w:pPr>
              <w:spacing w:before="27" w:line="240" w:lineRule="auto"/>
              <w:ind w:left="122" w:right="109" w:firstLine="57"/>
              <w:jc w:val="center"/>
              <w:outlineLvl w:val="9"/>
              <w:rPr>
                <w:rFonts w:ascii="仿宋" w:hAnsi="仿宋" w:eastAsia="仿宋" w:cs="仿宋"/>
                <w:spacing w:val="-5"/>
                <w:sz w:val="24"/>
                <w:szCs w:val="24"/>
                <w:highlight w:val="none"/>
              </w:rPr>
            </w:pPr>
          </w:p>
          <w:p w14:paraId="6438A45B">
            <w:pPr>
              <w:spacing w:before="27" w:line="240" w:lineRule="auto"/>
              <w:ind w:left="122" w:right="109" w:firstLine="57"/>
              <w:jc w:val="center"/>
              <w:outlineLvl w:val="9"/>
              <w:rPr>
                <w:rFonts w:ascii="仿宋" w:hAnsi="仿宋" w:eastAsia="仿宋" w:cs="仿宋"/>
                <w:spacing w:val="-5"/>
                <w:sz w:val="24"/>
                <w:szCs w:val="24"/>
                <w:highlight w:val="none"/>
              </w:rPr>
            </w:pPr>
          </w:p>
          <w:p w14:paraId="51A6EE90">
            <w:pPr>
              <w:spacing w:before="27" w:line="240" w:lineRule="auto"/>
              <w:ind w:right="109"/>
              <w:jc w:val="center"/>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5</w:t>
            </w:r>
            <w:r>
              <w:rPr>
                <w:rFonts w:ascii="仿宋" w:hAnsi="仿宋" w:eastAsia="仿宋" w:cs="仿宋"/>
                <w:spacing w:val="-5"/>
                <w:sz w:val="24"/>
                <w:szCs w:val="24"/>
                <w:highlight w:val="none"/>
              </w:rPr>
              <w:t>分</w:t>
            </w:r>
          </w:p>
        </w:tc>
        <w:tc>
          <w:tcPr>
            <w:tcW w:w="7609" w:type="dxa"/>
            <w:tcBorders>
              <w:right w:val="single" w:color="000000" w:sz="8" w:space="0"/>
            </w:tcBorders>
            <w:vAlign w:val="top"/>
          </w:tcPr>
          <w:p w14:paraId="709CB1B7">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ascii="仿宋" w:hAnsi="仿宋" w:eastAsia="仿宋" w:cs="仿宋"/>
                <w:spacing w:val="-5"/>
                <w:sz w:val="24"/>
                <w:szCs w:val="24"/>
                <w:highlight w:val="none"/>
              </w:rPr>
              <w:t>针对本项目有</w:t>
            </w:r>
            <w:r>
              <w:rPr>
                <w:rFonts w:hint="eastAsia" w:ascii="仿宋" w:hAnsi="仿宋" w:eastAsia="仿宋" w:cs="仿宋"/>
                <w:spacing w:val="-5"/>
                <w:sz w:val="24"/>
                <w:szCs w:val="24"/>
                <w:highlight w:val="none"/>
                <w:lang w:val="en-US" w:eastAsia="zh-CN"/>
              </w:rPr>
              <w:t>供货</w:t>
            </w:r>
            <w:r>
              <w:rPr>
                <w:rFonts w:ascii="仿宋" w:hAnsi="仿宋" w:eastAsia="仿宋" w:cs="仿宋"/>
                <w:spacing w:val="-5"/>
                <w:sz w:val="24"/>
                <w:szCs w:val="24"/>
                <w:highlight w:val="none"/>
              </w:rPr>
              <w:t>小组，建立小组人员至少为</w:t>
            </w:r>
            <w:r>
              <w:rPr>
                <w:rFonts w:hint="eastAsia" w:ascii="仿宋" w:hAnsi="仿宋" w:eastAsia="仿宋" w:cs="仿宋"/>
                <w:spacing w:val="-5"/>
                <w:sz w:val="24"/>
                <w:szCs w:val="24"/>
                <w:highlight w:val="none"/>
                <w:lang w:val="en-US" w:eastAsia="zh-CN"/>
              </w:rPr>
              <w:t>5</w:t>
            </w:r>
            <w:r>
              <w:rPr>
                <w:rFonts w:ascii="仿宋" w:hAnsi="仿宋" w:eastAsia="仿宋" w:cs="仿宋"/>
                <w:spacing w:val="-5"/>
                <w:sz w:val="24"/>
                <w:szCs w:val="24"/>
                <w:highlight w:val="none"/>
              </w:rPr>
              <w:t>人，包括但不限于</w:t>
            </w:r>
            <w:r>
              <w:rPr>
                <w:rFonts w:hint="eastAsia" w:ascii="仿宋" w:hAnsi="仿宋" w:eastAsia="仿宋" w:cs="仿宋"/>
                <w:spacing w:val="-5"/>
                <w:sz w:val="24"/>
                <w:szCs w:val="24"/>
                <w:highlight w:val="none"/>
                <w:lang w:val="en-US" w:eastAsia="zh-CN"/>
              </w:rPr>
              <w:t>负责人</w:t>
            </w:r>
            <w:r>
              <w:rPr>
                <w:rFonts w:ascii="仿宋" w:hAnsi="仿宋" w:eastAsia="仿宋" w:cs="仿宋"/>
                <w:spacing w:val="-5"/>
                <w:sz w:val="24"/>
                <w:szCs w:val="24"/>
                <w:highlight w:val="none"/>
              </w:rPr>
              <w:t>、调度人员、分拣人员、运输人员、装卸人员等。</w:t>
            </w:r>
            <w:r>
              <w:rPr>
                <w:rFonts w:hint="eastAsia" w:ascii="仿宋" w:hAnsi="仿宋" w:eastAsia="仿宋" w:cs="仿宋"/>
                <w:spacing w:val="-5"/>
                <w:sz w:val="24"/>
                <w:szCs w:val="24"/>
                <w:highlight w:val="none"/>
                <w:lang w:val="en-US" w:eastAsia="zh-CN"/>
              </w:rPr>
              <w:t>每提供一人得1分，最高得5分。</w:t>
            </w:r>
          </w:p>
          <w:p w14:paraId="65200EE5">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备注：</w:t>
            </w:r>
            <w:r>
              <w:rPr>
                <w:rFonts w:ascii="仿宋" w:hAnsi="仿宋" w:eastAsia="仿宋" w:cs="仿宋"/>
                <w:spacing w:val="-5"/>
                <w:sz w:val="24"/>
                <w:szCs w:val="24"/>
                <w:highlight w:val="none"/>
              </w:rPr>
              <w:t xml:space="preserve"> 须提供人员身份证、近</w:t>
            </w:r>
            <w:r>
              <w:rPr>
                <w:rFonts w:hint="eastAsia" w:ascii="仿宋" w:hAnsi="仿宋" w:eastAsia="仿宋" w:cs="仿宋"/>
                <w:spacing w:val="-5"/>
                <w:sz w:val="24"/>
                <w:szCs w:val="24"/>
                <w:highlight w:val="none"/>
                <w:lang w:val="en-US" w:eastAsia="zh-CN"/>
              </w:rPr>
              <w:t>一</w:t>
            </w:r>
            <w:r>
              <w:rPr>
                <w:rFonts w:ascii="仿宋" w:hAnsi="仿宋" w:eastAsia="仿宋" w:cs="仿宋"/>
                <w:spacing w:val="-5"/>
                <w:sz w:val="24"/>
                <w:szCs w:val="24"/>
                <w:highlight w:val="none"/>
              </w:rPr>
              <w:t>个月在本单位缴纳社保</w:t>
            </w:r>
            <w:r>
              <w:rPr>
                <w:rFonts w:hint="eastAsia" w:ascii="仿宋" w:hAnsi="仿宋" w:eastAsia="仿宋" w:cs="仿宋"/>
                <w:spacing w:val="-5"/>
                <w:sz w:val="24"/>
                <w:szCs w:val="24"/>
                <w:highlight w:val="none"/>
                <w:lang w:val="en-US" w:eastAsia="zh-CN"/>
              </w:rPr>
              <w:t>或</w:t>
            </w:r>
            <w:r>
              <w:rPr>
                <w:rFonts w:ascii="仿宋" w:hAnsi="仿宋" w:eastAsia="仿宋" w:cs="仿宋"/>
                <w:spacing w:val="-5"/>
                <w:sz w:val="24"/>
                <w:szCs w:val="24"/>
                <w:highlight w:val="none"/>
              </w:rPr>
              <w:t>劳</w:t>
            </w:r>
            <w:r>
              <w:rPr>
                <w:rFonts w:hint="eastAsia" w:ascii="仿宋" w:hAnsi="仿宋" w:eastAsia="仿宋" w:cs="仿宋"/>
                <w:spacing w:val="-5"/>
                <w:sz w:val="24"/>
                <w:szCs w:val="24"/>
                <w:highlight w:val="none"/>
                <w:lang w:val="en-US" w:eastAsia="zh-CN"/>
              </w:rPr>
              <w:t>动</w:t>
            </w:r>
            <w:r>
              <w:rPr>
                <w:rFonts w:ascii="仿宋" w:hAnsi="仿宋" w:eastAsia="仿宋" w:cs="仿宋"/>
                <w:spacing w:val="-5"/>
                <w:sz w:val="24"/>
                <w:szCs w:val="24"/>
                <w:highlight w:val="none"/>
              </w:rPr>
              <w:t>合同等证明材料，缺漏项，不清晰、无法辨识或未提供均不计分。</w:t>
            </w:r>
          </w:p>
        </w:tc>
      </w:tr>
      <w:tr w14:paraId="504C2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1260" w:type="dxa"/>
            <w:tcBorders>
              <w:left w:val="single" w:color="000000" w:sz="8" w:space="0"/>
            </w:tcBorders>
            <w:vAlign w:val="top"/>
          </w:tcPr>
          <w:p w14:paraId="3B84A0C0">
            <w:pPr>
              <w:spacing w:before="27" w:line="240" w:lineRule="auto"/>
              <w:ind w:left="122" w:right="109" w:firstLine="57"/>
              <w:jc w:val="center"/>
              <w:outlineLvl w:val="9"/>
              <w:rPr>
                <w:rFonts w:hint="eastAsia" w:ascii="仿宋" w:hAnsi="仿宋" w:eastAsia="仿宋" w:cs="仿宋"/>
                <w:spacing w:val="-5"/>
                <w:sz w:val="24"/>
                <w:szCs w:val="24"/>
                <w:highlight w:val="none"/>
                <w:lang w:val="en-US" w:eastAsia="zh-CN"/>
              </w:rPr>
            </w:pPr>
          </w:p>
          <w:p w14:paraId="288785FD">
            <w:pPr>
              <w:spacing w:before="27" w:line="240" w:lineRule="auto"/>
              <w:ind w:left="122" w:right="109" w:firstLine="57"/>
              <w:jc w:val="center"/>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车辆</w:t>
            </w:r>
          </w:p>
        </w:tc>
        <w:tc>
          <w:tcPr>
            <w:tcW w:w="758" w:type="dxa"/>
            <w:vAlign w:val="top"/>
          </w:tcPr>
          <w:p w14:paraId="0C46C518">
            <w:pPr>
              <w:spacing w:before="27" w:line="240" w:lineRule="auto"/>
              <w:ind w:left="122" w:right="109" w:firstLine="57"/>
              <w:jc w:val="center"/>
              <w:outlineLvl w:val="9"/>
              <w:rPr>
                <w:rFonts w:hint="eastAsia" w:ascii="仿宋" w:hAnsi="仿宋" w:eastAsia="仿宋" w:cs="仿宋"/>
                <w:spacing w:val="-5"/>
                <w:sz w:val="24"/>
                <w:szCs w:val="24"/>
                <w:highlight w:val="none"/>
                <w:lang w:val="en-US" w:eastAsia="zh-CN"/>
              </w:rPr>
            </w:pPr>
          </w:p>
          <w:p w14:paraId="071E6EE7">
            <w:pPr>
              <w:spacing w:before="27" w:line="240" w:lineRule="auto"/>
              <w:ind w:left="122" w:right="109" w:firstLine="57"/>
              <w:jc w:val="center"/>
              <w:outlineLvl w:val="9"/>
              <w:rPr>
                <w:rFonts w:hint="default"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3分</w:t>
            </w:r>
          </w:p>
        </w:tc>
        <w:tc>
          <w:tcPr>
            <w:tcW w:w="7609" w:type="dxa"/>
            <w:tcBorders>
              <w:right w:val="single" w:color="000000" w:sz="8" w:space="0"/>
            </w:tcBorders>
            <w:vAlign w:val="top"/>
          </w:tcPr>
          <w:p w14:paraId="6C8EAB84">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根据本项目配备专用运输车辆，提供一辆得1分，最高得3分。</w:t>
            </w:r>
          </w:p>
          <w:p w14:paraId="4D39D2F8">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注：需提供车辆租赁合同或自有证明、行驶证等，不提供或提供不全的不得分</w:t>
            </w:r>
          </w:p>
        </w:tc>
      </w:tr>
      <w:tr w14:paraId="5A7C3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1260" w:type="dxa"/>
            <w:tcBorders>
              <w:left w:val="single" w:color="000000" w:sz="8" w:space="0"/>
            </w:tcBorders>
            <w:vAlign w:val="top"/>
          </w:tcPr>
          <w:p w14:paraId="6CA1D675">
            <w:pPr>
              <w:spacing w:before="27" w:line="240" w:lineRule="auto"/>
              <w:ind w:left="122" w:right="109" w:firstLine="57"/>
              <w:jc w:val="center"/>
              <w:outlineLvl w:val="9"/>
              <w:rPr>
                <w:rFonts w:ascii="仿宋" w:hAnsi="仿宋" w:eastAsia="仿宋" w:cs="仿宋"/>
                <w:spacing w:val="-5"/>
                <w:sz w:val="24"/>
                <w:szCs w:val="24"/>
                <w:highlight w:val="none"/>
              </w:rPr>
            </w:pPr>
          </w:p>
          <w:p w14:paraId="3F9C2A9D">
            <w:pPr>
              <w:spacing w:before="27" w:line="240" w:lineRule="auto"/>
              <w:ind w:left="122" w:right="109" w:firstLine="57"/>
              <w:jc w:val="center"/>
              <w:outlineLvl w:val="9"/>
              <w:rPr>
                <w:rFonts w:hint="eastAsia" w:ascii="仿宋" w:hAnsi="仿宋" w:eastAsia="仿宋" w:cs="仿宋"/>
                <w:spacing w:val="-5"/>
                <w:sz w:val="24"/>
                <w:szCs w:val="24"/>
                <w:highlight w:val="none"/>
                <w:lang w:val="en-US" w:eastAsia="zh-CN"/>
              </w:rPr>
            </w:pPr>
          </w:p>
          <w:p w14:paraId="005BA857">
            <w:pPr>
              <w:spacing w:before="27" w:line="240" w:lineRule="auto"/>
              <w:ind w:left="122" w:right="109" w:firstLine="57"/>
              <w:jc w:val="center"/>
              <w:outlineLvl w:val="9"/>
              <w:rPr>
                <w:rFonts w:hint="eastAsia" w:ascii="仿宋" w:hAnsi="仿宋" w:eastAsia="仿宋" w:cs="仿宋"/>
                <w:spacing w:val="-5"/>
                <w:sz w:val="24"/>
                <w:szCs w:val="24"/>
                <w:highlight w:val="none"/>
                <w:lang w:val="en-US" w:eastAsia="zh-CN"/>
              </w:rPr>
            </w:pPr>
          </w:p>
          <w:p w14:paraId="07BEC8BA">
            <w:pPr>
              <w:spacing w:before="27" w:line="240" w:lineRule="auto"/>
              <w:ind w:left="122" w:right="109" w:firstLine="57"/>
              <w:jc w:val="center"/>
              <w:outlineLvl w:val="9"/>
              <w:rPr>
                <w:rFonts w:hint="default"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供货方案</w:t>
            </w:r>
          </w:p>
        </w:tc>
        <w:tc>
          <w:tcPr>
            <w:tcW w:w="758" w:type="dxa"/>
            <w:vAlign w:val="top"/>
          </w:tcPr>
          <w:p w14:paraId="50F06661">
            <w:pPr>
              <w:spacing w:before="27" w:line="240" w:lineRule="auto"/>
              <w:ind w:left="122" w:right="109" w:firstLine="57"/>
              <w:jc w:val="center"/>
              <w:outlineLvl w:val="9"/>
              <w:rPr>
                <w:rFonts w:ascii="仿宋" w:hAnsi="仿宋" w:eastAsia="仿宋" w:cs="仿宋"/>
                <w:spacing w:val="-5"/>
                <w:sz w:val="24"/>
                <w:szCs w:val="24"/>
                <w:highlight w:val="none"/>
              </w:rPr>
            </w:pPr>
          </w:p>
          <w:p w14:paraId="0416210F">
            <w:pPr>
              <w:spacing w:before="27" w:line="240" w:lineRule="auto"/>
              <w:ind w:left="122" w:right="109" w:firstLine="57"/>
              <w:jc w:val="center"/>
              <w:outlineLvl w:val="9"/>
              <w:rPr>
                <w:rFonts w:hint="eastAsia" w:ascii="仿宋" w:hAnsi="仿宋" w:eastAsia="仿宋" w:cs="仿宋"/>
                <w:spacing w:val="-5"/>
                <w:sz w:val="24"/>
                <w:szCs w:val="24"/>
                <w:highlight w:val="none"/>
                <w:lang w:val="en-US" w:eastAsia="zh-CN"/>
              </w:rPr>
            </w:pPr>
          </w:p>
          <w:p w14:paraId="543B426D">
            <w:pPr>
              <w:spacing w:before="27" w:line="240" w:lineRule="auto"/>
              <w:ind w:left="122" w:right="109" w:firstLine="57"/>
              <w:jc w:val="center"/>
              <w:outlineLvl w:val="9"/>
              <w:rPr>
                <w:rFonts w:hint="eastAsia" w:ascii="仿宋" w:hAnsi="仿宋" w:eastAsia="仿宋" w:cs="仿宋"/>
                <w:spacing w:val="-5"/>
                <w:sz w:val="24"/>
                <w:szCs w:val="24"/>
                <w:highlight w:val="none"/>
                <w:lang w:val="en-US" w:eastAsia="zh-CN"/>
              </w:rPr>
            </w:pPr>
          </w:p>
          <w:p w14:paraId="4A990C18">
            <w:pPr>
              <w:spacing w:before="27" w:line="240" w:lineRule="auto"/>
              <w:ind w:left="122" w:right="109" w:firstLine="57"/>
              <w:jc w:val="center"/>
              <w:outlineLvl w:val="9"/>
              <w:rPr>
                <w:rFonts w:ascii="仿宋" w:hAnsi="仿宋" w:eastAsia="仿宋" w:cs="仿宋"/>
                <w:spacing w:val="-5"/>
                <w:sz w:val="24"/>
                <w:szCs w:val="24"/>
                <w:highlight w:val="none"/>
              </w:rPr>
            </w:pPr>
            <w:r>
              <w:rPr>
                <w:rFonts w:hint="eastAsia" w:ascii="仿宋" w:hAnsi="仿宋" w:eastAsia="仿宋" w:cs="仿宋"/>
                <w:spacing w:val="-5"/>
                <w:sz w:val="24"/>
                <w:szCs w:val="24"/>
                <w:highlight w:val="none"/>
                <w:lang w:val="en-US" w:eastAsia="zh-CN"/>
              </w:rPr>
              <w:t>25</w:t>
            </w:r>
            <w:r>
              <w:rPr>
                <w:rFonts w:ascii="仿宋" w:hAnsi="仿宋" w:eastAsia="仿宋" w:cs="仿宋"/>
                <w:spacing w:val="-5"/>
                <w:sz w:val="24"/>
                <w:szCs w:val="24"/>
                <w:highlight w:val="none"/>
              </w:rPr>
              <w:t>分</w:t>
            </w:r>
          </w:p>
        </w:tc>
        <w:tc>
          <w:tcPr>
            <w:tcW w:w="7609" w:type="dxa"/>
            <w:tcBorders>
              <w:right w:val="single" w:color="000000" w:sz="8" w:space="0"/>
            </w:tcBorders>
            <w:vAlign w:val="top"/>
          </w:tcPr>
          <w:p w14:paraId="78627188">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投标人需针对本项目提供供货方案内容包括但不限于:</w:t>
            </w:r>
          </w:p>
          <w:p w14:paraId="43580016">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（1）供货进度计划</w:t>
            </w:r>
          </w:p>
          <w:p w14:paraId="7E2692A0">
            <w:pPr>
              <w:spacing w:before="27" w:line="228" w:lineRule="auto"/>
              <w:ind w:left="122" w:right="109" w:firstLine="57"/>
              <w:outlineLvl w:val="9"/>
              <w:rPr>
                <w:rFonts w:hint="default"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（2）质量保证措施</w:t>
            </w:r>
          </w:p>
          <w:p w14:paraId="663B843B">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（3）安全管理保障措施</w:t>
            </w:r>
          </w:p>
          <w:p w14:paraId="419B4FF5">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（4）运输方案</w:t>
            </w:r>
          </w:p>
          <w:p w14:paraId="1D12CD28">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（5）验收方案</w:t>
            </w:r>
          </w:p>
          <w:p w14:paraId="18778BF9">
            <w:pPr>
              <w:spacing w:before="27" w:line="228" w:lineRule="auto"/>
              <w:ind w:left="122" w:right="109" w:firstLine="57"/>
              <w:outlineLvl w:val="9"/>
              <w:rPr>
                <w:rFonts w:ascii="仿宋" w:hAnsi="仿宋" w:eastAsia="仿宋" w:cs="仿宋"/>
                <w:spacing w:val="-5"/>
                <w:sz w:val="24"/>
                <w:szCs w:val="24"/>
                <w:highlight w:val="none"/>
              </w:rPr>
            </w:pPr>
            <w:r>
              <w:rPr>
                <w:rFonts w:hint="eastAsia" w:ascii="仿宋" w:hAnsi="仿宋" w:eastAsia="仿宋" w:cs="仿宋"/>
                <w:spacing w:val="-5"/>
                <w:sz w:val="24"/>
                <w:szCs w:val="24"/>
                <w:highlight w:val="none"/>
                <w:lang w:val="en-US" w:eastAsia="zh-CN"/>
              </w:rPr>
              <w:t>以上内容每条最高得5分，本项最多得25分，未提供不得分，评标专家根据提投标内容的质量进行综合评审。</w:t>
            </w:r>
          </w:p>
        </w:tc>
      </w:tr>
      <w:tr w14:paraId="3563A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8" w:hRule="atLeast"/>
        </w:trPr>
        <w:tc>
          <w:tcPr>
            <w:tcW w:w="1260" w:type="dxa"/>
            <w:tcBorders>
              <w:left w:val="single" w:color="000000" w:sz="8" w:space="0"/>
            </w:tcBorders>
            <w:vAlign w:val="top"/>
          </w:tcPr>
          <w:p w14:paraId="0A9DCF15">
            <w:pPr>
              <w:spacing w:before="27" w:line="240" w:lineRule="auto"/>
              <w:ind w:left="122" w:right="109" w:firstLine="57"/>
              <w:jc w:val="center"/>
              <w:outlineLvl w:val="9"/>
              <w:rPr>
                <w:rFonts w:hint="eastAsia" w:ascii="仿宋" w:hAnsi="仿宋" w:eastAsia="仿宋" w:cs="仿宋"/>
                <w:spacing w:val="-5"/>
                <w:sz w:val="24"/>
                <w:szCs w:val="24"/>
                <w:highlight w:val="none"/>
                <w:lang w:val="en-US" w:eastAsia="zh-CN"/>
              </w:rPr>
            </w:pPr>
          </w:p>
          <w:p w14:paraId="3D40EE1D">
            <w:pPr>
              <w:spacing w:before="27" w:line="240" w:lineRule="auto"/>
              <w:ind w:left="122" w:right="109" w:firstLine="57"/>
              <w:jc w:val="center"/>
              <w:outlineLvl w:val="9"/>
              <w:rPr>
                <w:rFonts w:hint="eastAsia" w:ascii="仿宋" w:hAnsi="仿宋" w:eastAsia="仿宋" w:cs="仿宋"/>
                <w:spacing w:val="-5"/>
                <w:sz w:val="24"/>
                <w:szCs w:val="24"/>
                <w:highlight w:val="none"/>
                <w:lang w:val="en-US" w:eastAsia="zh-CN"/>
              </w:rPr>
            </w:pPr>
          </w:p>
          <w:p w14:paraId="47E7F857">
            <w:pPr>
              <w:spacing w:before="27" w:line="240" w:lineRule="auto"/>
              <w:ind w:left="122" w:right="109" w:firstLine="57"/>
              <w:jc w:val="center"/>
              <w:outlineLvl w:val="9"/>
              <w:rPr>
                <w:rFonts w:ascii="仿宋" w:hAnsi="仿宋" w:eastAsia="仿宋" w:cs="仿宋"/>
                <w:spacing w:val="-5"/>
                <w:sz w:val="24"/>
                <w:szCs w:val="24"/>
                <w:highlight w:val="none"/>
              </w:rPr>
            </w:pPr>
            <w:r>
              <w:rPr>
                <w:rFonts w:hint="eastAsia" w:ascii="仿宋" w:hAnsi="仿宋" w:eastAsia="仿宋" w:cs="仿宋"/>
                <w:spacing w:val="-5"/>
                <w:sz w:val="24"/>
                <w:szCs w:val="24"/>
                <w:highlight w:val="none"/>
                <w:lang w:val="en-US" w:eastAsia="zh-CN"/>
              </w:rPr>
              <w:t>应急措施</w:t>
            </w:r>
          </w:p>
        </w:tc>
        <w:tc>
          <w:tcPr>
            <w:tcW w:w="758" w:type="dxa"/>
            <w:vAlign w:val="top"/>
          </w:tcPr>
          <w:p w14:paraId="3B07B369">
            <w:pPr>
              <w:spacing w:before="27" w:line="240" w:lineRule="auto"/>
              <w:ind w:left="122" w:right="109" w:firstLine="57"/>
              <w:jc w:val="center"/>
              <w:outlineLvl w:val="9"/>
              <w:rPr>
                <w:rFonts w:hint="eastAsia" w:ascii="仿宋" w:hAnsi="仿宋" w:eastAsia="仿宋" w:cs="仿宋"/>
                <w:spacing w:val="-5"/>
                <w:sz w:val="24"/>
                <w:szCs w:val="24"/>
                <w:highlight w:val="none"/>
                <w:lang w:val="en-US" w:eastAsia="zh-CN"/>
              </w:rPr>
            </w:pPr>
          </w:p>
          <w:p w14:paraId="3199B5F4">
            <w:pPr>
              <w:spacing w:before="27" w:line="240" w:lineRule="auto"/>
              <w:ind w:left="122" w:right="109" w:firstLine="57"/>
              <w:jc w:val="center"/>
              <w:outlineLvl w:val="9"/>
              <w:rPr>
                <w:rFonts w:hint="eastAsia" w:ascii="仿宋" w:hAnsi="仿宋" w:eastAsia="仿宋" w:cs="仿宋"/>
                <w:spacing w:val="-5"/>
                <w:sz w:val="24"/>
                <w:szCs w:val="24"/>
                <w:highlight w:val="none"/>
                <w:lang w:val="en-US" w:eastAsia="zh-CN"/>
              </w:rPr>
            </w:pPr>
          </w:p>
          <w:p w14:paraId="7684833E">
            <w:pPr>
              <w:spacing w:before="27" w:line="240" w:lineRule="auto"/>
              <w:ind w:left="122" w:right="109" w:firstLine="57"/>
              <w:jc w:val="center"/>
              <w:outlineLvl w:val="9"/>
              <w:rPr>
                <w:rFonts w:hint="default"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15</w:t>
            </w:r>
          </w:p>
        </w:tc>
        <w:tc>
          <w:tcPr>
            <w:tcW w:w="7609" w:type="dxa"/>
            <w:tcBorders>
              <w:right w:val="single" w:color="000000" w:sz="8" w:space="0"/>
            </w:tcBorders>
            <w:vAlign w:val="top"/>
          </w:tcPr>
          <w:p w14:paraId="3403EA75">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投标人需针对本项目提供应急方案内容包括但不限于:</w:t>
            </w:r>
          </w:p>
          <w:p w14:paraId="361ECE11">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（1）应急预案；</w:t>
            </w:r>
          </w:p>
          <w:p w14:paraId="0276E272">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（2）突发情况处理措施及响应时间</w:t>
            </w:r>
          </w:p>
          <w:p w14:paraId="5109A655">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（3）紧急供货资源应急调配方案</w:t>
            </w:r>
          </w:p>
          <w:p w14:paraId="6E0C6E2B">
            <w:pPr>
              <w:spacing w:before="27" w:line="228" w:lineRule="auto"/>
              <w:ind w:left="122" w:right="109" w:firstLine="57"/>
              <w:outlineLvl w:val="9"/>
              <w:rPr>
                <w:rFonts w:hint="default"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以上内容每条最高得5分，本项最多得15分，未提供不得分，评标专家根据提投标内容的质量进行综合评审。</w:t>
            </w:r>
          </w:p>
        </w:tc>
      </w:tr>
      <w:tr w14:paraId="09D2E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260" w:type="dxa"/>
            <w:tcBorders>
              <w:left w:val="single" w:color="000000" w:sz="8" w:space="0"/>
            </w:tcBorders>
            <w:vAlign w:val="top"/>
          </w:tcPr>
          <w:p w14:paraId="34284512">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p>
          <w:p w14:paraId="0A457495">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p>
          <w:p w14:paraId="123D074F">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p>
          <w:p w14:paraId="01DCFD74">
            <w:pPr>
              <w:spacing w:before="27" w:line="228" w:lineRule="auto"/>
              <w:ind w:left="122" w:right="109" w:firstLine="57"/>
              <w:outlineLvl w:val="9"/>
              <w:rPr>
                <w:rFonts w:ascii="仿宋" w:hAnsi="仿宋" w:eastAsia="仿宋" w:cs="仿宋"/>
                <w:spacing w:val="-5"/>
                <w:sz w:val="24"/>
                <w:szCs w:val="24"/>
                <w:highlight w:val="none"/>
              </w:rPr>
            </w:pPr>
            <w:r>
              <w:rPr>
                <w:rFonts w:hint="eastAsia" w:ascii="仿宋" w:hAnsi="仿宋" w:eastAsia="仿宋" w:cs="仿宋"/>
                <w:spacing w:val="-5"/>
                <w:sz w:val="24"/>
                <w:szCs w:val="24"/>
                <w:highlight w:val="none"/>
                <w:lang w:val="en-US" w:eastAsia="zh-CN"/>
              </w:rPr>
              <w:t>售后服务方案</w:t>
            </w:r>
          </w:p>
        </w:tc>
        <w:tc>
          <w:tcPr>
            <w:tcW w:w="758" w:type="dxa"/>
            <w:vAlign w:val="top"/>
          </w:tcPr>
          <w:p w14:paraId="2421AD60">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p>
          <w:p w14:paraId="419C858E">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p>
          <w:p w14:paraId="7EDEF370">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p>
          <w:p w14:paraId="12E25800">
            <w:pPr>
              <w:spacing w:before="27" w:line="228" w:lineRule="auto"/>
              <w:ind w:left="122" w:right="109" w:firstLine="57"/>
              <w:outlineLvl w:val="9"/>
              <w:rPr>
                <w:rFonts w:hint="default"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20</w:t>
            </w:r>
          </w:p>
        </w:tc>
        <w:tc>
          <w:tcPr>
            <w:tcW w:w="7609" w:type="dxa"/>
            <w:tcBorders>
              <w:right w:val="single" w:color="000000" w:sz="8" w:space="0"/>
            </w:tcBorders>
            <w:vAlign w:val="top"/>
          </w:tcPr>
          <w:p w14:paraId="280C317E">
            <w:pPr>
              <w:spacing w:before="27" w:line="228" w:lineRule="auto"/>
              <w:ind w:left="122" w:right="109" w:firstLine="57"/>
              <w:outlineLvl w:val="9"/>
              <w:rPr>
                <w:rFonts w:hint="eastAsia"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zh-CN"/>
              </w:rPr>
              <w:t>售后服务方案</w:t>
            </w:r>
          </w:p>
          <w:p w14:paraId="5E31CA4B">
            <w:pPr>
              <w:spacing w:before="27" w:line="228" w:lineRule="auto"/>
              <w:ind w:left="122" w:right="109" w:firstLine="57"/>
              <w:outlineLvl w:val="9"/>
              <w:rPr>
                <w:rFonts w:hint="default" w:ascii="仿宋" w:hAnsi="仿宋" w:eastAsia="仿宋" w:cs="仿宋"/>
                <w:spacing w:val="-5"/>
                <w:sz w:val="24"/>
                <w:szCs w:val="24"/>
                <w:highlight w:val="none"/>
                <w:lang w:val="en-US" w:eastAsia="zh-CN"/>
              </w:rPr>
            </w:pPr>
            <w:r>
              <w:rPr>
                <w:rFonts w:hint="eastAsia" w:ascii="仿宋" w:hAnsi="仿宋" w:eastAsia="仿宋" w:cs="仿宋"/>
                <w:spacing w:val="-5"/>
                <w:sz w:val="24"/>
                <w:szCs w:val="24"/>
                <w:highlight w:val="none"/>
                <w:lang w:val="en-US" w:eastAsia="en-US"/>
              </w:rPr>
              <w:t>针对本项目制定的合理完善的售后服务方案</w:t>
            </w:r>
          </w:p>
          <w:p w14:paraId="7712E317">
            <w:pPr>
              <w:spacing w:before="27" w:line="228" w:lineRule="auto"/>
              <w:ind w:left="122" w:right="109" w:firstLine="57"/>
              <w:outlineLvl w:val="9"/>
              <w:rPr>
                <w:rFonts w:hint="eastAsia" w:ascii="仿宋" w:hAnsi="仿宋" w:eastAsia="仿宋" w:cs="仿宋"/>
                <w:spacing w:val="-5"/>
                <w:sz w:val="24"/>
                <w:szCs w:val="24"/>
                <w:highlight w:val="none"/>
                <w:lang w:val="en-US" w:eastAsia="en-US"/>
              </w:rPr>
            </w:pPr>
            <w:r>
              <w:rPr>
                <w:rFonts w:hint="eastAsia" w:ascii="仿宋" w:hAnsi="仿宋" w:eastAsia="仿宋" w:cs="仿宋"/>
                <w:spacing w:val="-5"/>
                <w:sz w:val="24"/>
                <w:szCs w:val="24"/>
                <w:highlight w:val="none"/>
                <w:lang w:val="en-US" w:eastAsia="en-US"/>
              </w:rPr>
              <w:t>包括①产品的</w:t>
            </w:r>
            <w:r>
              <w:rPr>
                <w:rFonts w:hint="eastAsia" w:ascii="仿宋" w:hAnsi="仿宋" w:eastAsia="仿宋" w:cs="仿宋"/>
                <w:spacing w:val="-5"/>
                <w:sz w:val="24"/>
                <w:szCs w:val="24"/>
                <w:highlight w:val="none"/>
                <w:lang w:val="en-US" w:eastAsia="zh-CN"/>
              </w:rPr>
              <w:t>质量</w:t>
            </w:r>
            <w:r>
              <w:rPr>
                <w:rFonts w:hint="eastAsia" w:ascii="仿宋" w:hAnsi="仿宋" w:eastAsia="仿宋" w:cs="仿宋"/>
                <w:spacing w:val="-5"/>
                <w:sz w:val="24"/>
                <w:szCs w:val="24"/>
                <w:highlight w:val="none"/>
                <w:lang w:val="en-US" w:eastAsia="en-US"/>
              </w:rPr>
              <w:t>、②验收、③服务方式、④优惠承诺），</w:t>
            </w:r>
          </w:p>
          <w:p w14:paraId="65779182">
            <w:pPr>
              <w:spacing w:before="27" w:line="228" w:lineRule="auto"/>
              <w:ind w:left="122" w:right="109" w:firstLine="57"/>
              <w:outlineLvl w:val="9"/>
              <w:rPr>
                <w:rFonts w:ascii="仿宋" w:hAnsi="仿宋" w:eastAsia="仿宋" w:cs="仿宋"/>
                <w:spacing w:val="-5"/>
                <w:sz w:val="24"/>
                <w:szCs w:val="24"/>
                <w:highlight w:val="none"/>
              </w:rPr>
            </w:pPr>
            <w:r>
              <w:rPr>
                <w:rFonts w:hint="eastAsia" w:ascii="仿宋" w:hAnsi="仿宋" w:eastAsia="仿宋" w:cs="仿宋"/>
                <w:spacing w:val="-5"/>
                <w:sz w:val="24"/>
                <w:szCs w:val="24"/>
                <w:highlight w:val="none"/>
                <w:lang w:val="en-US" w:eastAsia="zh-CN"/>
              </w:rPr>
              <w:t>以上内容每条最高得5分，本项最多得20分，未提供不得分，评标专家根据提投标内容的质量进行综合评审。</w:t>
            </w:r>
          </w:p>
        </w:tc>
      </w:tr>
    </w:tbl>
    <w:p w14:paraId="6A5BDD85">
      <w:pPr>
        <w:spacing w:before="27" w:line="228" w:lineRule="auto"/>
        <w:ind w:left="122" w:right="109" w:firstLine="57"/>
        <w:outlineLvl w:val="9"/>
        <w:rPr>
          <w:rFonts w:ascii="仿宋" w:hAnsi="仿宋" w:eastAsia="仿宋" w:cs="仿宋"/>
          <w:spacing w:val="-5"/>
          <w:sz w:val="24"/>
          <w:szCs w:val="24"/>
          <w:highlight w:val="none"/>
        </w:rPr>
      </w:pPr>
    </w:p>
    <w:p w14:paraId="26AD0936">
      <w:pPr>
        <w:outlineLvl w:val="9"/>
        <w:rPr>
          <w:highlight w:val="none"/>
        </w:rPr>
        <w:sectPr>
          <w:headerReference r:id="rId40" w:type="default"/>
          <w:footerReference r:id="rId41" w:type="default"/>
          <w:pgSz w:w="11906" w:h="16840"/>
          <w:pgMar w:top="1091" w:right="1129" w:bottom="109" w:left="1129" w:header="1077" w:footer="0" w:gutter="0"/>
          <w:pgNumType w:fmt="decimal"/>
          <w:cols w:space="720" w:num="1"/>
        </w:sectPr>
      </w:pPr>
    </w:p>
    <w:p w14:paraId="2AB7F165">
      <w:pPr>
        <w:spacing w:before="106"/>
        <w:outlineLvl w:val="9"/>
        <w:rPr>
          <w:highlight w:val="none"/>
        </w:rPr>
      </w:pPr>
    </w:p>
    <w:p w14:paraId="174AF11C">
      <w:pPr>
        <w:pStyle w:val="2"/>
        <w:spacing w:line="374" w:lineRule="auto"/>
        <w:outlineLvl w:val="9"/>
        <w:rPr>
          <w:highlight w:val="none"/>
        </w:rPr>
      </w:pPr>
    </w:p>
    <w:p w14:paraId="1B90ACE3">
      <w:pPr>
        <w:spacing w:before="91" w:line="220" w:lineRule="auto"/>
        <w:ind w:left="4316"/>
        <w:outlineLvl w:val="9"/>
        <w:rPr>
          <w:rFonts w:ascii="宋体" w:hAnsi="宋体" w:eastAsia="宋体" w:cs="宋体"/>
          <w:sz w:val="28"/>
          <w:szCs w:val="28"/>
          <w:highlight w:val="none"/>
        </w:rPr>
      </w:pPr>
      <w:r>
        <w:rPr>
          <w:rFonts w:ascii="宋体" w:hAnsi="宋体" w:eastAsia="宋体" w:cs="宋体"/>
          <w:b/>
          <w:bCs/>
          <w:spacing w:val="-5"/>
          <w:sz w:val="28"/>
          <w:szCs w:val="28"/>
          <w:highlight w:val="none"/>
        </w:rPr>
        <w:t>评标办法正文部分</w:t>
      </w:r>
    </w:p>
    <w:p w14:paraId="074C0D89">
      <w:pPr>
        <w:pStyle w:val="2"/>
        <w:spacing w:line="255" w:lineRule="auto"/>
        <w:outlineLvl w:val="9"/>
        <w:rPr>
          <w:highlight w:val="none"/>
        </w:rPr>
      </w:pPr>
    </w:p>
    <w:p w14:paraId="7CE1D2E1">
      <w:pPr>
        <w:spacing w:before="78" w:line="386" w:lineRule="auto"/>
        <w:ind w:left="1005" w:right="1124" w:firstLine="477"/>
        <w:jc w:val="both"/>
        <w:outlineLvl w:val="9"/>
        <w:rPr>
          <w:rFonts w:ascii="宋体" w:hAnsi="宋体" w:eastAsia="宋体" w:cs="宋体"/>
          <w:sz w:val="24"/>
          <w:szCs w:val="24"/>
          <w:highlight w:val="none"/>
        </w:rPr>
      </w:pPr>
      <w:r>
        <w:rPr>
          <w:rFonts w:ascii="宋体" w:hAnsi="宋体" w:eastAsia="宋体" w:cs="宋体"/>
          <w:spacing w:val="3"/>
          <w:sz w:val="24"/>
          <w:szCs w:val="24"/>
          <w:highlight w:val="none"/>
        </w:rPr>
        <w:t>本次评标采用综合评分法。评标委员会对满</w:t>
      </w:r>
      <w:r>
        <w:rPr>
          <w:rFonts w:ascii="宋体" w:hAnsi="宋体" w:eastAsia="宋体" w:cs="宋体"/>
          <w:spacing w:val="2"/>
          <w:sz w:val="24"/>
          <w:szCs w:val="24"/>
          <w:highlight w:val="none"/>
        </w:rPr>
        <w:t>足招标文件全部实质性要求的投标文件，按照本章节规定的评分标准进行打分，并按评审后得分由高到低顺序排列，但投标报价低于其成本的除外。得分相同的，按投标报价由低到高顺序排列；投标报价也相同的，以技术得分高的优先；如果技术得分也相等，按照评标办法前附表的规定确定中标候选人顺</w:t>
      </w:r>
      <w:r>
        <w:rPr>
          <w:rFonts w:ascii="宋体" w:hAnsi="宋体" w:eastAsia="宋体" w:cs="宋体"/>
          <w:spacing w:val="-5"/>
          <w:sz w:val="24"/>
          <w:szCs w:val="24"/>
          <w:highlight w:val="none"/>
        </w:rPr>
        <w:t>序。</w:t>
      </w:r>
    </w:p>
    <w:p w14:paraId="1A872D4B">
      <w:pPr>
        <w:spacing w:before="68" w:line="222" w:lineRule="auto"/>
        <w:ind w:left="1033"/>
        <w:outlineLvl w:val="9"/>
        <w:rPr>
          <w:rFonts w:ascii="宋体" w:hAnsi="宋体" w:eastAsia="宋体" w:cs="宋体"/>
          <w:sz w:val="24"/>
          <w:szCs w:val="24"/>
          <w:highlight w:val="none"/>
        </w:rPr>
      </w:pPr>
      <w:r>
        <w:rPr>
          <w:rFonts w:ascii="黑体" w:hAnsi="黑体" w:eastAsia="黑体" w:cs="黑体"/>
          <w:b/>
          <w:bCs/>
          <w:spacing w:val="-8"/>
          <w:sz w:val="24"/>
          <w:szCs w:val="24"/>
          <w:highlight w:val="none"/>
        </w:rPr>
        <w:t>1</w:t>
      </w:r>
      <w:r>
        <w:rPr>
          <w:rFonts w:ascii="宋体" w:hAnsi="宋体" w:eastAsia="宋体" w:cs="宋体"/>
          <w:b/>
          <w:bCs/>
          <w:spacing w:val="-8"/>
          <w:sz w:val="24"/>
          <w:szCs w:val="24"/>
          <w:highlight w:val="none"/>
        </w:rPr>
        <w:t>、投标文件的初审</w:t>
      </w:r>
    </w:p>
    <w:p w14:paraId="1800E19E">
      <w:pPr>
        <w:pStyle w:val="2"/>
        <w:spacing w:line="284" w:lineRule="auto"/>
        <w:outlineLvl w:val="9"/>
        <w:rPr>
          <w:highlight w:val="none"/>
        </w:rPr>
      </w:pPr>
    </w:p>
    <w:p w14:paraId="20FCA61E">
      <w:pPr>
        <w:spacing w:before="79" w:line="219" w:lineRule="auto"/>
        <w:ind w:left="1526"/>
        <w:outlineLvl w:val="9"/>
        <w:rPr>
          <w:rFonts w:ascii="宋体" w:hAnsi="宋体" w:eastAsia="宋体" w:cs="宋体"/>
          <w:sz w:val="24"/>
          <w:szCs w:val="24"/>
          <w:highlight w:val="none"/>
        </w:rPr>
      </w:pPr>
      <w:r>
        <w:rPr>
          <w:rFonts w:ascii="宋体" w:hAnsi="宋体" w:eastAsia="宋体" w:cs="宋体"/>
          <w:spacing w:val="-3"/>
          <w:sz w:val="24"/>
          <w:szCs w:val="24"/>
          <w:highlight w:val="none"/>
        </w:rPr>
        <w:t>1.1投标文件初审分为资格审查和符合性审查。</w:t>
      </w:r>
    </w:p>
    <w:p w14:paraId="0E37FB00">
      <w:pPr>
        <w:spacing w:before="211" w:line="294" w:lineRule="auto"/>
        <w:ind w:left="1027" w:right="1220" w:firstLine="498"/>
        <w:outlineLvl w:val="9"/>
        <w:rPr>
          <w:rFonts w:ascii="宋体" w:hAnsi="宋体" w:eastAsia="宋体" w:cs="宋体"/>
          <w:sz w:val="24"/>
          <w:szCs w:val="24"/>
          <w:highlight w:val="none"/>
        </w:rPr>
      </w:pPr>
      <w:r>
        <w:rPr>
          <w:rFonts w:ascii="宋体" w:hAnsi="宋体" w:eastAsia="宋体" w:cs="宋体"/>
          <w:spacing w:val="-2"/>
          <w:sz w:val="24"/>
          <w:szCs w:val="24"/>
          <w:highlight w:val="none"/>
        </w:rPr>
        <w:t>1.1.1资格审查：依据法律法规和招标文件的规定，由评标委员会对投标文件中的资格证明文件进行审查。</w:t>
      </w:r>
    </w:p>
    <w:p w14:paraId="4A6F1C9D">
      <w:pPr>
        <w:spacing w:line="294" w:lineRule="auto"/>
        <w:outlineLvl w:val="9"/>
        <w:rPr>
          <w:rFonts w:ascii="宋体" w:hAnsi="宋体" w:eastAsia="宋体" w:cs="宋体"/>
          <w:sz w:val="24"/>
          <w:szCs w:val="24"/>
          <w:highlight w:val="none"/>
        </w:rPr>
        <w:sectPr>
          <w:footerReference r:id="rId42" w:type="default"/>
          <w:pgSz w:w="11906" w:h="16840"/>
          <w:pgMar w:top="1091" w:right="1129" w:bottom="109" w:left="1129" w:header="1077" w:footer="0" w:gutter="0"/>
          <w:pgNumType w:fmt="decimal"/>
          <w:cols w:space="720" w:num="1"/>
        </w:sectPr>
      </w:pPr>
    </w:p>
    <w:p w14:paraId="26D7B8DB">
      <w:pPr>
        <w:pStyle w:val="2"/>
        <w:spacing w:line="303" w:lineRule="auto"/>
        <w:outlineLvl w:val="9"/>
        <w:rPr>
          <w:highlight w:val="none"/>
        </w:rPr>
      </w:pPr>
    </w:p>
    <w:p w14:paraId="59ED4372">
      <w:pPr>
        <w:spacing w:before="78" w:line="385" w:lineRule="auto"/>
        <w:ind w:left="348" w:right="469" w:firstLine="493"/>
        <w:jc w:val="both"/>
        <w:outlineLvl w:val="9"/>
        <w:rPr>
          <w:rFonts w:ascii="宋体" w:hAnsi="宋体" w:eastAsia="宋体" w:cs="宋体"/>
          <w:sz w:val="24"/>
          <w:szCs w:val="24"/>
          <w:highlight w:val="none"/>
        </w:rPr>
      </w:pPr>
      <w:r>
        <w:rPr>
          <w:rFonts w:ascii="宋体" w:hAnsi="宋体" w:eastAsia="宋体" w:cs="宋体"/>
          <w:spacing w:val="2"/>
          <w:sz w:val="24"/>
          <w:szCs w:val="24"/>
          <w:highlight w:val="none"/>
        </w:rPr>
        <w:t>1.1.2符合性审查：依据招标文件的规定，由评标委员会</w:t>
      </w:r>
      <w:r>
        <w:rPr>
          <w:rFonts w:ascii="宋体" w:hAnsi="宋体" w:eastAsia="宋体" w:cs="宋体"/>
          <w:spacing w:val="1"/>
          <w:sz w:val="24"/>
          <w:szCs w:val="24"/>
          <w:highlight w:val="none"/>
        </w:rPr>
        <w:t>从投标文</w:t>
      </w:r>
      <w:r>
        <w:rPr>
          <w:rFonts w:ascii="宋体" w:hAnsi="宋体" w:eastAsia="宋体" w:cs="宋体"/>
          <w:spacing w:val="2"/>
          <w:sz w:val="24"/>
          <w:szCs w:val="24"/>
          <w:highlight w:val="none"/>
        </w:rPr>
        <w:t>件的有效性、完整性和对招标文件的响应程度进行审查，以确定是否对</w:t>
      </w:r>
      <w:r>
        <w:rPr>
          <w:rFonts w:ascii="宋体" w:hAnsi="宋体" w:eastAsia="宋体" w:cs="宋体"/>
          <w:spacing w:val="-1"/>
          <w:sz w:val="24"/>
          <w:szCs w:val="24"/>
          <w:highlight w:val="none"/>
        </w:rPr>
        <w:t>招标文件的实质性要求作出响应。</w:t>
      </w:r>
    </w:p>
    <w:p w14:paraId="7CA132CE">
      <w:pPr>
        <w:spacing w:line="283" w:lineRule="auto"/>
        <w:ind w:left="26" w:right="186" w:firstLine="8"/>
        <w:outlineLvl w:val="9"/>
        <w:rPr>
          <w:rFonts w:ascii="宋体" w:hAnsi="宋体" w:eastAsia="宋体" w:cs="宋体"/>
          <w:sz w:val="24"/>
          <w:szCs w:val="24"/>
          <w:highlight w:val="none"/>
        </w:rPr>
      </w:pPr>
      <w:r>
        <w:rPr>
          <w:rFonts w:ascii="宋体" w:hAnsi="宋体" w:eastAsia="宋体" w:cs="宋体"/>
          <w:spacing w:val="2"/>
          <w:sz w:val="24"/>
          <w:szCs w:val="24"/>
          <w:highlight w:val="none"/>
        </w:rPr>
        <w:t>（1）实质上响应的投标是指与招标文件上的条款、条件和规格相符，没有重</w:t>
      </w:r>
      <w:r>
        <w:rPr>
          <w:rFonts w:ascii="宋体" w:hAnsi="宋体" w:eastAsia="宋体" w:cs="宋体"/>
          <w:sz w:val="24"/>
          <w:szCs w:val="24"/>
          <w:highlight w:val="none"/>
        </w:rPr>
        <w:t>大</w:t>
      </w:r>
    </w:p>
    <w:p w14:paraId="50B3CBAD">
      <w:pPr>
        <w:spacing w:before="49" w:line="219" w:lineRule="auto"/>
        <w:ind w:left="23"/>
        <w:outlineLvl w:val="9"/>
        <w:rPr>
          <w:rFonts w:ascii="宋体" w:hAnsi="宋体" w:eastAsia="宋体" w:cs="宋体"/>
          <w:sz w:val="24"/>
          <w:szCs w:val="24"/>
          <w:highlight w:val="none"/>
        </w:rPr>
      </w:pPr>
      <w:r>
        <w:rPr>
          <w:rFonts w:ascii="宋体" w:hAnsi="宋体" w:eastAsia="宋体" w:cs="宋体"/>
          <w:spacing w:val="-1"/>
          <w:sz w:val="24"/>
          <w:szCs w:val="24"/>
          <w:highlight w:val="none"/>
        </w:rPr>
        <w:t>偏离或保留，否则将视为无效投标。</w:t>
      </w:r>
    </w:p>
    <w:p w14:paraId="239E77D5">
      <w:pPr>
        <w:spacing w:before="232" w:line="390" w:lineRule="auto"/>
        <w:ind w:left="24" w:right="11" w:firstLine="494"/>
        <w:jc w:val="both"/>
        <w:outlineLvl w:val="9"/>
        <w:rPr>
          <w:rFonts w:ascii="宋体" w:hAnsi="宋体" w:eastAsia="宋体" w:cs="宋体"/>
          <w:sz w:val="24"/>
          <w:szCs w:val="24"/>
          <w:highlight w:val="none"/>
        </w:rPr>
      </w:pPr>
      <w:r>
        <w:rPr>
          <w:rFonts w:ascii="宋体" w:hAnsi="宋体" w:eastAsia="宋体" w:cs="宋体"/>
          <w:spacing w:val="7"/>
          <w:sz w:val="24"/>
          <w:szCs w:val="24"/>
          <w:highlight w:val="none"/>
        </w:rPr>
        <w:t>（2）重大偏离或保留系指投标货物的质量、数量和交付日期等明显不能</w:t>
      </w:r>
      <w:r>
        <w:rPr>
          <w:rFonts w:ascii="宋体" w:hAnsi="宋体" w:eastAsia="宋体" w:cs="宋体"/>
          <w:spacing w:val="4"/>
          <w:sz w:val="24"/>
          <w:szCs w:val="24"/>
          <w:highlight w:val="none"/>
        </w:rPr>
        <w:t>满足招标文件的要求，或者实质上与招标文件不一致，纠正这些偏离或保留将对其他实质上响应要求的投标人的竞争地位产生不公正的影响。包括但不</w:t>
      </w:r>
      <w:r>
        <w:rPr>
          <w:rFonts w:ascii="宋体" w:hAnsi="宋体" w:eastAsia="宋体" w:cs="宋体"/>
          <w:spacing w:val="3"/>
          <w:sz w:val="24"/>
          <w:szCs w:val="24"/>
          <w:highlight w:val="none"/>
        </w:rPr>
        <w:t>限于</w:t>
      </w:r>
      <w:r>
        <w:rPr>
          <w:rFonts w:ascii="宋体" w:hAnsi="宋体" w:eastAsia="宋体" w:cs="宋体"/>
          <w:sz w:val="24"/>
          <w:szCs w:val="24"/>
          <w:highlight w:val="none"/>
        </w:rPr>
        <w:t>:</w:t>
      </w:r>
    </w:p>
    <w:p w14:paraId="0F7E567B">
      <w:pPr>
        <w:spacing w:before="181" w:line="219" w:lineRule="auto"/>
        <w:ind w:left="500"/>
        <w:outlineLvl w:val="9"/>
        <w:rPr>
          <w:rFonts w:ascii="宋体" w:hAnsi="宋体" w:eastAsia="宋体" w:cs="宋体"/>
          <w:sz w:val="24"/>
          <w:szCs w:val="24"/>
          <w:highlight w:val="none"/>
        </w:rPr>
      </w:pPr>
      <w:r>
        <w:rPr>
          <w:rFonts w:ascii="宋体" w:hAnsi="宋体" w:eastAsia="宋体" w:cs="宋体"/>
          <w:spacing w:val="-1"/>
          <w:sz w:val="24"/>
          <w:szCs w:val="24"/>
          <w:highlight w:val="none"/>
        </w:rPr>
        <w:t>A、投标文件格式不符合招标文件要求的</w:t>
      </w:r>
    </w:p>
    <w:p w14:paraId="7F4C9208">
      <w:pPr>
        <w:pStyle w:val="2"/>
        <w:spacing w:line="347" w:lineRule="auto"/>
        <w:outlineLvl w:val="9"/>
        <w:rPr>
          <w:highlight w:val="none"/>
        </w:rPr>
      </w:pPr>
    </w:p>
    <w:p w14:paraId="55821552">
      <w:pPr>
        <w:spacing w:before="78" w:line="219" w:lineRule="auto"/>
        <w:ind w:left="502"/>
        <w:outlineLvl w:val="9"/>
        <w:rPr>
          <w:rFonts w:ascii="宋体" w:hAnsi="宋体" w:eastAsia="宋体" w:cs="宋体"/>
          <w:sz w:val="24"/>
          <w:szCs w:val="24"/>
          <w:highlight w:val="none"/>
        </w:rPr>
      </w:pPr>
      <w:r>
        <w:rPr>
          <w:rFonts w:ascii="宋体" w:hAnsi="宋体" w:eastAsia="宋体" w:cs="宋体"/>
          <w:spacing w:val="-2"/>
          <w:sz w:val="24"/>
          <w:szCs w:val="24"/>
          <w:highlight w:val="none"/>
        </w:rPr>
        <w:t>B、未按招标文件规定要求签署、盖章的；</w:t>
      </w:r>
    </w:p>
    <w:p w14:paraId="2BADD2E3">
      <w:pPr>
        <w:pStyle w:val="2"/>
        <w:spacing w:line="346" w:lineRule="auto"/>
        <w:outlineLvl w:val="9"/>
        <w:rPr>
          <w:highlight w:val="none"/>
        </w:rPr>
      </w:pPr>
    </w:p>
    <w:p w14:paraId="1A350644">
      <w:pPr>
        <w:spacing w:before="78" w:line="219" w:lineRule="auto"/>
        <w:ind w:left="506"/>
        <w:outlineLvl w:val="9"/>
        <w:rPr>
          <w:rFonts w:ascii="宋体" w:hAnsi="宋体" w:eastAsia="宋体" w:cs="宋体"/>
          <w:sz w:val="24"/>
          <w:szCs w:val="24"/>
          <w:highlight w:val="none"/>
        </w:rPr>
      </w:pPr>
      <w:r>
        <w:rPr>
          <w:rFonts w:ascii="宋体" w:hAnsi="宋体" w:eastAsia="宋体" w:cs="宋体"/>
          <w:spacing w:val="-2"/>
          <w:sz w:val="24"/>
          <w:szCs w:val="24"/>
          <w:highlight w:val="none"/>
        </w:rPr>
        <w:t>C、未按招标文件规定要求合同履约期限的；</w:t>
      </w:r>
    </w:p>
    <w:p w14:paraId="0AC12D22">
      <w:pPr>
        <w:pStyle w:val="2"/>
        <w:spacing w:line="344" w:lineRule="auto"/>
        <w:outlineLvl w:val="9"/>
        <w:rPr>
          <w:highlight w:val="none"/>
        </w:rPr>
      </w:pPr>
    </w:p>
    <w:p w14:paraId="0D3A7D36">
      <w:pPr>
        <w:spacing w:before="79" w:line="218" w:lineRule="auto"/>
        <w:ind w:left="503"/>
        <w:outlineLvl w:val="9"/>
        <w:rPr>
          <w:rFonts w:ascii="宋体" w:hAnsi="宋体" w:eastAsia="宋体" w:cs="宋体"/>
          <w:sz w:val="24"/>
          <w:szCs w:val="24"/>
          <w:highlight w:val="none"/>
        </w:rPr>
      </w:pPr>
      <w:r>
        <w:rPr>
          <w:rFonts w:ascii="宋体" w:hAnsi="宋体" w:eastAsia="宋体" w:cs="宋体"/>
          <w:spacing w:val="-2"/>
          <w:sz w:val="24"/>
          <w:szCs w:val="24"/>
          <w:highlight w:val="none"/>
        </w:rPr>
        <w:t>D、投标人的报价超过了采购预算或最高限价的；</w:t>
      </w:r>
    </w:p>
    <w:p w14:paraId="5B997521">
      <w:pPr>
        <w:pStyle w:val="2"/>
        <w:spacing w:line="349" w:lineRule="auto"/>
        <w:outlineLvl w:val="9"/>
        <w:rPr>
          <w:highlight w:val="none"/>
        </w:rPr>
      </w:pPr>
    </w:p>
    <w:p w14:paraId="0498F4E1">
      <w:pPr>
        <w:spacing w:before="79" w:line="220" w:lineRule="auto"/>
        <w:ind w:left="505"/>
        <w:outlineLvl w:val="9"/>
        <w:rPr>
          <w:rFonts w:ascii="宋体" w:hAnsi="宋体" w:eastAsia="宋体" w:cs="宋体"/>
          <w:sz w:val="24"/>
          <w:szCs w:val="24"/>
          <w:highlight w:val="none"/>
        </w:rPr>
      </w:pPr>
      <w:r>
        <w:rPr>
          <w:rFonts w:ascii="宋体" w:hAnsi="宋体" w:eastAsia="宋体" w:cs="宋体"/>
          <w:spacing w:val="-4"/>
          <w:sz w:val="24"/>
          <w:szCs w:val="24"/>
          <w:highlight w:val="none"/>
        </w:rPr>
        <w:t>E、投标有效期不足的；</w:t>
      </w:r>
    </w:p>
    <w:p w14:paraId="4C135A84">
      <w:pPr>
        <w:pStyle w:val="2"/>
        <w:spacing w:line="344" w:lineRule="auto"/>
        <w:outlineLvl w:val="9"/>
        <w:rPr>
          <w:highlight w:val="none"/>
        </w:rPr>
      </w:pPr>
    </w:p>
    <w:p w14:paraId="28C384B0">
      <w:pPr>
        <w:spacing w:before="78" w:line="219" w:lineRule="auto"/>
        <w:ind w:left="504"/>
        <w:outlineLvl w:val="9"/>
        <w:rPr>
          <w:rFonts w:ascii="宋体" w:hAnsi="宋体" w:eastAsia="宋体" w:cs="宋体"/>
          <w:sz w:val="24"/>
          <w:szCs w:val="24"/>
          <w:highlight w:val="none"/>
        </w:rPr>
      </w:pPr>
      <w:r>
        <w:rPr>
          <w:rFonts w:ascii="宋体" w:hAnsi="宋体" w:eastAsia="宋体" w:cs="宋体"/>
          <w:spacing w:val="-1"/>
          <w:sz w:val="24"/>
          <w:szCs w:val="24"/>
          <w:highlight w:val="none"/>
        </w:rPr>
        <w:t>F、不符合招标文件中规定的实质性要求</w:t>
      </w:r>
      <w:r>
        <w:rPr>
          <w:rFonts w:ascii="宋体" w:hAnsi="宋体" w:eastAsia="宋体" w:cs="宋体"/>
          <w:spacing w:val="-2"/>
          <w:sz w:val="24"/>
          <w:szCs w:val="24"/>
          <w:highlight w:val="none"/>
        </w:rPr>
        <w:t>和条件的；</w:t>
      </w:r>
    </w:p>
    <w:p w14:paraId="420521F6">
      <w:pPr>
        <w:pStyle w:val="2"/>
        <w:spacing w:line="344" w:lineRule="auto"/>
        <w:outlineLvl w:val="9"/>
        <w:rPr>
          <w:highlight w:val="none"/>
        </w:rPr>
      </w:pPr>
    </w:p>
    <w:p w14:paraId="0903413F">
      <w:pPr>
        <w:spacing w:before="79" w:line="219" w:lineRule="auto"/>
        <w:ind w:left="505"/>
        <w:outlineLvl w:val="9"/>
        <w:rPr>
          <w:rFonts w:ascii="宋体" w:hAnsi="宋体" w:eastAsia="宋体" w:cs="宋体"/>
          <w:sz w:val="24"/>
          <w:szCs w:val="24"/>
          <w:highlight w:val="none"/>
        </w:rPr>
      </w:pPr>
      <w:r>
        <w:rPr>
          <w:rFonts w:ascii="宋体" w:hAnsi="宋体" w:eastAsia="宋体" w:cs="宋体"/>
          <w:spacing w:val="-2"/>
          <w:sz w:val="24"/>
          <w:szCs w:val="24"/>
          <w:highlight w:val="none"/>
        </w:rPr>
        <w:t>G、联合体投标文件未附联合体投标协议书的（如有</w:t>
      </w:r>
      <w:r>
        <w:rPr>
          <w:rFonts w:ascii="宋体" w:hAnsi="宋体" w:eastAsia="宋体" w:cs="宋体"/>
          <w:spacing w:val="8"/>
          <w:sz w:val="24"/>
          <w:szCs w:val="24"/>
          <w:highlight w:val="none"/>
        </w:rPr>
        <w:t>）；</w:t>
      </w:r>
    </w:p>
    <w:p w14:paraId="71D11441">
      <w:pPr>
        <w:pStyle w:val="2"/>
        <w:spacing w:line="347" w:lineRule="auto"/>
        <w:outlineLvl w:val="9"/>
        <w:rPr>
          <w:highlight w:val="none"/>
        </w:rPr>
      </w:pPr>
    </w:p>
    <w:p w14:paraId="14E59E77">
      <w:pPr>
        <w:spacing w:before="79" w:line="219" w:lineRule="auto"/>
        <w:ind w:left="502"/>
        <w:outlineLvl w:val="9"/>
        <w:rPr>
          <w:rFonts w:ascii="宋体" w:hAnsi="宋体" w:eastAsia="宋体" w:cs="宋体"/>
          <w:sz w:val="24"/>
          <w:szCs w:val="24"/>
          <w:highlight w:val="none"/>
        </w:rPr>
      </w:pPr>
      <w:r>
        <w:rPr>
          <w:rFonts w:ascii="宋体" w:hAnsi="宋体" w:eastAsia="宋体" w:cs="宋体"/>
          <w:spacing w:val="-1"/>
          <w:sz w:val="24"/>
          <w:szCs w:val="24"/>
          <w:highlight w:val="none"/>
        </w:rPr>
        <w:t>H、有串通投标或弄虚作假或有其他违法</w:t>
      </w:r>
      <w:r>
        <w:rPr>
          <w:rFonts w:ascii="宋体" w:hAnsi="宋体" w:eastAsia="宋体" w:cs="宋体"/>
          <w:spacing w:val="-2"/>
          <w:sz w:val="24"/>
          <w:szCs w:val="24"/>
          <w:highlight w:val="none"/>
        </w:rPr>
        <w:t>行为的；</w:t>
      </w:r>
    </w:p>
    <w:p w14:paraId="5F5AA7BF">
      <w:pPr>
        <w:pStyle w:val="2"/>
        <w:spacing w:line="346" w:lineRule="auto"/>
        <w:outlineLvl w:val="9"/>
        <w:rPr>
          <w:highlight w:val="none"/>
        </w:rPr>
      </w:pPr>
    </w:p>
    <w:p w14:paraId="15C78129">
      <w:pPr>
        <w:spacing w:before="78" w:line="219" w:lineRule="auto"/>
        <w:ind w:left="521"/>
        <w:outlineLvl w:val="9"/>
        <w:rPr>
          <w:rFonts w:ascii="宋体" w:hAnsi="宋体" w:eastAsia="宋体" w:cs="宋体"/>
          <w:sz w:val="24"/>
          <w:szCs w:val="24"/>
          <w:highlight w:val="none"/>
        </w:rPr>
      </w:pPr>
      <w:r>
        <w:rPr>
          <w:rFonts w:ascii="宋体" w:hAnsi="宋体" w:eastAsia="宋体" w:cs="宋体"/>
          <w:spacing w:val="-2"/>
          <w:sz w:val="24"/>
          <w:szCs w:val="24"/>
          <w:highlight w:val="none"/>
        </w:rPr>
        <w:t>I、投标人名称或组织结构与报名时不一致且无有效变更证明的；</w:t>
      </w:r>
    </w:p>
    <w:p w14:paraId="17B22700">
      <w:pPr>
        <w:pStyle w:val="2"/>
        <w:spacing w:line="347" w:lineRule="auto"/>
        <w:outlineLvl w:val="9"/>
        <w:rPr>
          <w:highlight w:val="none"/>
        </w:rPr>
      </w:pPr>
    </w:p>
    <w:p w14:paraId="54C57134">
      <w:pPr>
        <w:spacing w:before="79" w:line="218" w:lineRule="auto"/>
        <w:ind w:left="507"/>
        <w:outlineLvl w:val="9"/>
        <w:rPr>
          <w:rFonts w:ascii="宋体" w:hAnsi="宋体" w:eastAsia="宋体" w:cs="宋体"/>
          <w:sz w:val="24"/>
          <w:szCs w:val="24"/>
          <w:highlight w:val="none"/>
        </w:rPr>
      </w:pPr>
      <w:r>
        <w:rPr>
          <w:rFonts w:ascii="宋体" w:hAnsi="宋体" w:eastAsia="宋体" w:cs="宋体"/>
          <w:spacing w:val="-2"/>
          <w:sz w:val="24"/>
          <w:szCs w:val="24"/>
          <w:highlight w:val="none"/>
        </w:rPr>
        <w:t>J、投标文件含有采购人不能接受的附加条件的；</w:t>
      </w:r>
    </w:p>
    <w:p w14:paraId="4ED4DBEE">
      <w:pPr>
        <w:pStyle w:val="2"/>
        <w:spacing w:line="346" w:lineRule="auto"/>
        <w:outlineLvl w:val="9"/>
        <w:rPr>
          <w:highlight w:val="none"/>
        </w:rPr>
      </w:pPr>
    </w:p>
    <w:p w14:paraId="7A72F817">
      <w:pPr>
        <w:spacing w:before="78" w:line="219" w:lineRule="auto"/>
        <w:ind w:left="504"/>
        <w:outlineLvl w:val="9"/>
        <w:rPr>
          <w:rFonts w:ascii="宋体" w:hAnsi="宋体" w:eastAsia="宋体" w:cs="宋体"/>
          <w:sz w:val="24"/>
          <w:szCs w:val="24"/>
          <w:highlight w:val="none"/>
        </w:rPr>
      </w:pPr>
      <w:r>
        <w:rPr>
          <w:rFonts w:ascii="宋体" w:hAnsi="宋体" w:eastAsia="宋体" w:cs="宋体"/>
          <w:spacing w:val="-1"/>
          <w:sz w:val="24"/>
          <w:szCs w:val="24"/>
          <w:highlight w:val="none"/>
        </w:rPr>
        <w:t>K、法律、法规及本招标文件规定的其他无效投</w:t>
      </w:r>
      <w:r>
        <w:rPr>
          <w:rFonts w:ascii="宋体" w:hAnsi="宋体" w:eastAsia="宋体" w:cs="宋体"/>
          <w:spacing w:val="-2"/>
          <w:sz w:val="24"/>
          <w:szCs w:val="24"/>
          <w:highlight w:val="none"/>
        </w:rPr>
        <w:t>标的情形。</w:t>
      </w:r>
    </w:p>
    <w:p w14:paraId="53F0D37E">
      <w:pPr>
        <w:pStyle w:val="2"/>
        <w:spacing w:line="351" w:lineRule="auto"/>
        <w:outlineLvl w:val="9"/>
        <w:rPr>
          <w:highlight w:val="none"/>
        </w:rPr>
      </w:pPr>
    </w:p>
    <w:p w14:paraId="7F9B79F1">
      <w:pPr>
        <w:spacing w:before="79" w:line="365" w:lineRule="auto"/>
        <w:ind w:left="24" w:right="13" w:firstLine="495"/>
        <w:outlineLvl w:val="9"/>
        <w:rPr>
          <w:rFonts w:ascii="宋体" w:hAnsi="宋体" w:eastAsia="宋体" w:cs="宋体"/>
          <w:sz w:val="24"/>
          <w:szCs w:val="24"/>
          <w:highlight w:val="none"/>
        </w:rPr>
      </w:pPr>
      <w:r>
        <w:rPr>
          <w:rFonts w:ascii="宋体" w:hAnsi="宋体" w:eastAsia="宋体" w:cs="宋体"/>
          <w:spacing w:val="7"/>
          <w:sz w:val="24"/>
          <w:szCs w:val="24"/>
          <w:highlight w:val="none"/>
        </w:rPr>
        <w:t>（3）投标文件的细微偏差是指在实质上响应招标文件要求，但在个别地</w:t>
      </w:r>
      <w:r>
        <w:rPr>
          <w:rFonts w:ascii="宋体" w:hAnsi="宋体" w:eastAsia="宋体" w:cs="宋体"/>
          <w:spacing w:val="4"/>
          <w:sz w:val="24"/>
          <w:szCs w:val="24"/>
          <w:highlight w:val="none"/>
        </w:rPr>
        <w:t>方存在漏项或者提供了不完整的技术信息和数据等情况，并且补正这些遗漏或</w:t>
      </w:r>
    </w:p>
    <w:p w14:paraId="1EF06119">
      <w:pPr>
        <w:spacing w:line="365" w:lineRule="auto"/>
        <w:outlineLvl w:val="9"/>
        <w:rPr>
          <w:rFonts w:ascii="宋体" w:hAnsi="宋体" w:eastAsia="宋体" w:cs="宋体"/>
          <w:sz w:val="24"/>
          <w:szCs w:val="24"/>
          <w:highlight w:val="none"/>
        </w:rPr>
        <w:sectPr>
          <w:headerReference r:id="rId43" w:type="default"/>
          <w:footerReference r:id="rId44" w:type="default"/>
          <w:pgSz w:w="11906" w:h="16840"/>
          <w:pgMar w:top="1091" w:right="1785" w:bottom="165" w:left="1785" w:header="1077" w:footer="113" w:gutter="0"/>
          <w:pgNumType w:fmt="decimal"/>
          <w:cols w:space="720" w:num="1"/>
        </w:sectPr>
      </w:pPr>
    </w:p>
    <w:p w14:paraId="6796C882">
      <w:pPr>
        <w:pStyle w:val="2"/>
        <w:spacing w:line="301" w:lineRule="auto"/>
        <w:outlineLvl w:val="9"/>
        <w:rPr>
          <w:highlight w:val="none"/>
        </w:rPr>
      </w:pPr>
    </w:p>
    <w:p w14:paraId="3CED3867">
      <w:pPr>
        <w:spacing w:before="78" w:line="365" w:lineRule="auto"/>
        <w:ind w:left="24" w:right="13"/>
        <w:outlineLvl w:val="9"/>
        <w:rPr>
          <w:rFonts w:ascii="宋体" w:hAnsi="宋体" w:eastAsia="宋体" w:cs="宋体"/>
          <w:sz w:val="24"/>
          <w:szCs w:val="24"/>
          <w:highlight w:val="none"/>
        </w:rPr>
      </w:pPr>
      <w:r>
        <w:rPr>
          <w:rFonts w:ascii="宋体" w:hAnsi="宋体" w:eastAsia="宋体" w:cs="宋体"/>
          <w:spacing w:val="4"/>
          <w:sz w:val="24"/>
          <w:szCs w:val="24"/>
          <w:highlight w:val="none"/>
        </w:rPr>
        <w:t>者不完整，不会对其他投标人造成不公正的结果。细微偏差不影响投标文</w:t>
      </w:r>
      <w:r>
        <w:rPr>
          <w:rFonts w:ascii="宋体" w:hAnsi="宋体" w:eastAsia="宋体" w:cs="宋体"/>
          <w:spacing w:val="3"/>
          <w:sz w:val="24"/>
          <w:szCs w:val="24"/>
          <w:highlight w:val="none"/>
        </w:rPr>
        <w:t>件的</w:t>
      </w:r>
      <w:r>
        <w:rPr>
          <w:rFonts w:ascii="宋体" w:hAnsi="宋体" w:eastAsia="宋体" w:cs="宋体"/>
          <w:spacing w:val="-3"/>
          <w:sz w:val="24"/>
          <w:szCs w:val="24"/>
          <w:highlight w:val="none"/>
        </w:rPr>
        <w:t>有效性。</w:t>
      </w:r>
    </w:p>
    <w:p w14:paraId="34A52545">
      <w:pPr>
        <w:spacing w:before="3" w:line="336" w:lineRule="auto"/>
        <w:ind w:left="22" w:right="169" w:firstLine="520"/>
        <w:outlineLvl w:val="9"/>
        <w:rPr>
          <w:rFonts w:ascii="宋体" w:hAnsi="宋体" w:eastAsia="宋体" w:cs="宋体"/>
          <w:sz w:val="24"/>
          <w:szCs w:val="24"/>
          <w:highlight w:val="none"/>
        </w:rPr>
      </w:pPr>
      <w:r>
        <w:rPr>
          <w:rFonts w:ascii="宋体" w:hAnsi="宋体" w:eastAsia="宋体" w:cs="宋体"/>
          <w:spacing w:val="-2"/>
          <w:sz w:val="24"/>
          <w:szCs w:val="24"/>
          <w:highlight w:val="none"/>
        </w:rPr>
        <w:t>1.1.3如果投标文件实质上没有响应招标文件的要求，评委会将予以拒绝</w:t>
      </w:r>
      <w:r>
        <w:rPr>
          <w:rFonts w:ascii="宋体" w:hAnsi="宋体" w:eastAsia="宋体" w:cs="宋体"/>
          <w:spacing w:val="-3"/>
          <w:sz w:val="24"/>
          <w:szCs w:val="24"/>
          <w:highlight w:val="none"/>
        </w:rPr>
        <w:t>,投标人不得通过修改或撤销不合要求的偏离或保留而使其投标成为实质性响</w:t>
      </w:r>
      <w:r>
        <w:rPr>
          <w:rFonts w:ascii="宋体" w:hAnsi="宋体" w:eastAsia="宋体" w:cs="宋体"/>
          <w:spacing w:val="-1"/>
          <w:sz w:val="24"/>
          <w:szCs w:val="24"/>
          <w:highlight w:val="none"/>
        </w:rPr>
        <w:t>应的投标。未通过资格审查或符合性审查的投标人，采购人或采购代理机构将在评标现场向其授权代表告知未通过资格审查或符合性审查的原因，评审结束后，采购人或采购代理机构将不再告知未通过资格审查或符合性审查的原因。</w:t>
      </w:r>
    </w:p>
    <w:p w14:paraId="549899FA">
      <w:pPr>
        <w:spacing w:before="192" w:line="294" w:lineRule="auto"/>
        <w:ind w:left="28" w:right="174" w:firstLine="514"/>
        <w:outlineLvl w:val="9"/>
        <w:rPr>
          <w:rFonts w:ascii="宋体" w:hAnsi="宋体" w:eastAsia="宋体" w:cs="宋体"/>
          <w:sz w:val="24"/>
          <w:szCs w:val="24"/>
          <w:highlight w:val="none"/>
        </w:rPr>
      </w:pPr>
      <w:r>
        <w:rPr>
          <w:rFonts w:ascii="宋体" w:hAnsi="宋体" w:eastAsia="宋体" w:cs="宋体"/>
          <w:spacing w:val="-1"/>
          <w:sz w:val="24"/>
          <w:szCs w:val="24"/>
          <w:highlight w:val="none"/>
        </w:rPr>
        <w:t>1.1.4评委会将对确定为实质性响应的投标进行进一步审核，看其</w:t>
      </w:r>
      <w:r>
        <w:rPr>
          <w:rFonts w:ascii="宋体" w:hAnsi="宋体" w:eastAsia="宋体" w:cs="宋体"/>
          <w:spacing w:val="-2"/>
          <w:sz w:val="24"/>
          <w:szCs w:val="24"/>
          <w:highlight w:val="none"/>
        </w:rPr>
        <w:t>是否有</w:t>
      </w:r>
      <w:r>
        <w:rPr>
          <w:rFonts w:ascii="宋体" w:hAnsi="宋体" w:eastAsia="宋体" w:cs="宋体"/>
          <w:spacing w:val="-1"/>
          <w:sz w:val="24"/>
          <w:szCs w:val="24"/>
          <w:highlight w:val="none"/>
        </w:rPr>
        <w:t>计算上或累加上的算术错误，修正错误的原则如下：</w:t>
      </w:r>
    </w:p>
    <w:p w14:paraId="6764C963">
      <w:pPr>
        <w:spacing w:before="186" w:line="296" w:lineRule="auto"/>
        <w:ind w:left="24" w:right="205" w:firstLine="504"/>
        <w:outlineLvl w:val="9"/>
        <w:rPr>
          <w:rFonts w:ascii="宋体" w:hAnsi="宋体" w:eastAsia="宋体" w:cs="宋体"/>
          <w:sz w:val="24"/>
          <w:szCs w:val="24"/>
          <w:highlight w:val="none"/>
        </w:rPr>
      </w:pPr>
      <w:r>
        <w:rPr>
          <w:rFonts w:ascii="宋体" w:hAnsi="宋体" w:eastAsia="宋体" w:cs="宋体"/>
          <w:spacing w:val="1"/>
          <w:sz w:val="24"/>
          <w:szCs w:val="24"/>
          <w:highlight w:val="none"/>
        </w:rPr>
        <w:t>（1）投标文件中开标一览表内容与投标文件中相应内容不一致的，以开</w:t>
      </w:r>
      <w:r>
        <w:rPr>
          <w:rFonts w:ascii="宋体" w:hAnsi="宋体" w:eastAsia="宋体" w:cs="宋体"/>
          <w:spacing w:val="-2"/>
          <w:sz w:val="24"/>
          <w:szCs w:val="24"/>
          <w:highlight w:val="none"/>
        </w:rPr>
        <w:t>标一览表为准。</w:t>
      </w:r>
    </w:p>
    <w:p w14:paraId="534E0C7C">
      <w:pPr>
        <w:spacing w:before="162" w:line="219" w:lineRule="auto"/>
        <w:ind w:left="529"/>
        <w:outlineLvl w:val="9"/>
        <w:rPr>
          <w:rFonts w:ascii="宋体" w:hAnsi="宋体" w:eastAsia="宋体" w:cs="宋体"/>
          <w:sz w:val="24"/>
          <w:szCs w:val="24"/>
          <w:highlight w:val="none"/>
        </w:rPr>
      </w:pPr>
      <w:r>
        <w:rPr>
          <w:rFonts w:ascii="宋体" w:hAnsi="宋体" w:eastAsia="宋体" w:cs="宋体"/>
          <w:spacing w:val="-1"/>
          <w:sz w:val="24"/>
          <w:szCs w:val="24"/>
          <w:highlight w:val="none"/>
        </w:rPr>
        <w:t>（2）大写金额和小写金额不一致的，以大写金额为准。</w:t>
      </w:r>
    </w:p>
    <w:p w14:paraId="50D335F1">
      <w:pPr>
        <w:spacing w:before="190" w:line="220" w:lineRule="auto"/>
        <w:ind w:left="8092" w:right="16" w:hanging="7861"/>
        <w:jc w:val="left"/>
        <w:outlineLvl w:val="9"/>
        <w:rPr>
          <w:rFonts w:hint="eastAsia" w:ascii="宋体" w:hAnsi="宋体" w:eastAsia="宋体" w:cs="宋体"/>
          <w:spacing w:val="1"/>
          <w:sz w:val="24"/>
          <w:szCs w:val="24"/>
          <w:highlight w:val="none"/>
          <w:lang w:eastAsia="zh-CN"/>
        </w:rPr>
      </w:pPr>
      <w:r>
        <w:rPr>
          <w:rFonts w:ascii="宋体" w:hAnsi="宋体" w:eastAsia="宋体" w:cs="宋体"/>
          <w:spacing w:val="1"/>
          <w:sz w:val="24"/>
          <w:szCs w:val="24"/>
          <w:highlight w:val="none"/>
        </w:rPr>
        <w:t>（3）单价金额小数点或者百分比有明显错位的，以开标一览表的总价为准</w:t>
      </w:r>
      <w:r>
        <w:rPr>
          <w:rFonts w:hint="eastAsia" w:ascii="宋体" w:hAnsi="宋体" w:eastAsia="宋体" w:cs="宋体"/>
          <w:spacing w:val="1"/>
          <w:sz w:val="24"/>
          <w:szCs w:val="24"/>
          <w:highlight w:val="none"/>
          <w:lang w:eastAsia="zh-CN"/>
        </w:rPr>
        <w:t>，</w:t>
      </w:r>
    </w:p>
    <w:p w14:paraId="5BFE5D47">
      <w:pPr>
        <w:spacing w:before="190" w:line="220" w:lineRule="auto"/>
        <w:ind w:left="8092" w:right="16" w:hanging="7861"/>
        <w:jc w:val="left"/>
        <w:outlineLvl w:val="9"/>
        <w:rPr>
          <w:rFonts w:hint="default" w:ascii="宋体" w:hAnsi="宋体" w:eastAsia="宋体" w:cs="宋体"/>
          <w:spacing w:val="1"/>
          <w:sz w:val="24"/>
          <w:szCs w:val="24"/>
          <w:highlight w:val="none"/>
          <w:lang w:val="en-US" w:eastAsia="zh-CN"/>
        </w:rPr>
      </w:pPr>
      <w:r>
        <w:rPr>
          <w:rFonts w:hint="eastAsia" w:ascii="宋体" w:hAnsi="宋体" w:eastAsia="宋体" w:cs="宋体"/>
          <w:spacing w:val="1"/>
          <w:sz w:val="24"/>
          <w:szCs w:val="24"/>
          <w:highlight w:val="none"/>
          <w:lang w:val="en-US" w:eastAsia="zh-CN"/>
        </w:rPr>
        <w:t>并修改单价。</w:t>
      </w:r>
    </w:p>
    <w:p w14:paraId="130F775C">
      <w:pPr>
        <w:spacing w:before="193" w:line="369" w:lineRule="auto"/>
        <w:ind w:left="553" w:right="305" w:hanging="24"/>
        <w:outlineLvl w:val="9"/>
        <w:rPr>
          <w:rFonts w:ascii="宋体" w:hAnsi="宋体" w:eastAsia="宋体" w:cs="宋体"/>
          <w:sz w:val="24"/>
          <w:szCs w:val="24"/>
          <w:highlight w:val="none"/>
        </w:rPr>
      </w:pPr>
      <w:r>
        <w:rPr>
          <w:rFonts w:ascii="宋体" w:hAnsi="宋体" w:eastAsia="宋体" w:cs="宋体"/>
          <w:spacing w:val="-2"/>
          <w:sz w:val="24"/>
          <w:szCs w:val="24"/>
          <w:highlight w:val="none"/>
        </w:rPr>
        <w:t>（4）总价金额与按单价汇总金额不一致的，以单价金额计算结果为准。</w:t>
      </w:r>
      <w:r>
        <w:rPr>
          <w:rFonts w:ascii="宋体" w:hAnsi="宋体" w:eastAsia="宋体" w:cs="宋体"/>
          <w:spacing w:val="-3"/>
          <w:sz w:val="24"/>
          <w:szCs w:val="24"/>
          <w:highlight w:val="none"/>
        </w:rPr>
        <w:t>同时出现两种以上错误的，按照前款规定的顺序修正。</w:t>
      </w:r>
    </w:p>
    <w:p w14:paraId="27CFFA3A">
      <w:pPr>
        <w:spacing w:before="14" w:line="319" w:lineRule="auto"/>
        <w:ind w:left="21" w:right="169" w:firstLine="518"/>
        <w:outlineLvl w:val="9"/>
        <w:rPr>
          <w:rFonts w:ascii="宋体" w:hAnsi="宋体" w:eastAsia="宋体" w:cs="宋体"/>
          <w:sz w:val="24"/>
          <w:szCs w:val="24"/>
          <w:highlight w:val="none"/>
        </w:rPr>
      </w:pPr>
      <w:r>
        <w:rPr>
          <w:rFonts w:ascii="宋体" w:hAnsi="宋体" w:eastAsia="宋体" w:cs="宋体"/>
          <w:spacing w:val="-1"/>
          <w:sz w:val="24"/>
          <w:szCs w:val="24"/>
          <w:highlight w:val="none"/>
        </w:rPr>
        <w:t>1.1.5评委会将按上述修正错误的方法调整投标文件中的投标报价</w:t>
      </w:r>
      <w:r>
        <w:rPr>
          <w:rFonts w:ascii="宋体" w:hAnsi="宋体" w:eastAsia="宋体" w:cs="宋体"/>
          <w:spacing w:val="-2"/>
          <w:sz w:val="24"/>
          <w:szCs w:val="24"/>
          <w:highlight w:val="none"/>
        </w:rPr>
        <w:t>，调整</w:t>
      </w:r>
      <w:r>
        <w:rPr>
          <w:rFonts w:ascii="宋体" w:hAnsi="宋体" w:eastAsia="宋体" w:cs="宋体"/>
          <w:spacing w:val="-1"/>
          <w:sz w:val="24"/>
          <w:szCs w:val="24"/>
          <w:highlight w:val="none"/>
        </w:rPr>
        <w:t>后的价格应对投标人具有约束力。如果投标人不接受修正后的价格，则其投标将被拒绝，其投标保证金不予退还。</w:t>
      </w:r>
    </w:p>
    <w:p w14:paraId="5443B2D0">
      <w:pPr>
        <w:spacing w:before="183" w:line="330" w:lineRule="auto"/>
        <w:ind w:left="25" w:right="169" w:firstLine="517"/>
        <w:outlineLvl w:val="9"/>
        <w:rPr>
          <w:rFonts w:ascii="宋体" w:hAnsi="宋体" w:eastAsia="宋体" w:cs="宋体"/>
          <w:sz w:val="24"/>
          <w:szCs w:val="24"/>
          <w:highlight w:val="none"/>
        </w:rPr>
      </w:pPr>
      <w:r>
        <w:rPr>
          <w:rFonts w:ascii="宋体" w:hAnsi="宋体" w:eastAsia="宋体" w:cs="宋体"/>
          <w:spacing w:val="-1"/>
          <w:sz w:val="24"/>
          <w:szCs w:val="24"/>
          <w:highlight w:val="none"/>
        </w:rPr>
        <w:t>1.1.6在价格评审中，若评标委员会认为投标人的报价明显低于其</w:t>
      </w:r>
      <w:r>
        <w:rPr>
          <w:rFonts w:ascii="宋体" w:hAnsi="宋体" w:eastAsia="宋体" w:cs="宋体"/>
          <w:spacing w:val="-2"/>
          <w:sz w:val="24"/>
          <w:szCs w:val="24"/>
          <w:highlight w:val="none"/>
        </w:rPr>
        <w:t>他通过</w:t>
      </w:r>
      <w:r>
        <w:rPr>
          <w:rFonts w:ascii="宋体" w:hAnsi="宋体" w:eastAsia="宋体" w:cs="宋体"/>
          <w:spacing w:val="-1"/>
          <w:sz w:val="24"/>
          <w:szCs w:val="24"/>
          <w:highlight w:val="none"/>
        </w:rPr>
        <w:t>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3FB838E">
      <w:pPr>
        <w:spacing w:before="192" w:line="337" w:lineRule="auto"/>
        <w:ind w:left="25" w:right="169" w:firstLine="515"/>
        <w:outlineLvl w:val="9"/>
        <w:rPr>
          <w:rFonts w:ascii="宋体" w:hAnsi="宋体" w:eastAsia="宋体" w:cs="宋体"/>
          <w:sz w:val="24"/>
          <w:szCs w:val="24"/>
          <w:highlight w:val="none"/>
        </w:rPr>
      </w:pPr>
      <w:r>
        <w:rPr>
          <w:rFonts w:ascii="宋体" w:hAnsi="宋体" w:eastAsia="宋体" w:cs="宋体"/>
          <w:spacing w:val="-1"/>
          <w:sz w:val="24"/>
          <w:szCs w:val="24"/>
          <w:highlight w:val="none"/>
        </w:rPr>
        <w:t>1.1.7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招标文件未规定的采取随机抽取的方式）确定一个中标候选人，其他同品牌投标人不作为中标候选人。</w:t>
      </w:r>
    </w:p>
    <w:p w14:paraId="1E7F8F8B">
      <w:pPr>
        <w:spacing w:line="337" w:lineRule="auto"/>
        <w:outlineLvl w:val="9"/>
        <w:rPr>
          <w:rFonts w:ascii="宋体" w:hAnsi="宋体" w:eastAsia="宋体" w:cs="宋体"/>
          <w:sz w:val="24"/>
          <w:szCs w:val="24"/>
          <w:highlight w:val="none"/>
        </w:rPr>
        <w:sectPr>
          <w:footerReference r:id="rId45" w:type="default"/>
          <w:pgSz w:w="11906" w:h="16840"/>
          <w:pgMar w:top="1091" w:right="1785" w:bottom="108" w:left="1785" w:header="1077" w:footer="170" w:gutter="0"/>
          <w:pgNumType w:fmt="decimal"/>
          <w:cols w:space="720" w:num="1"/>
        </w:sectPr>
      </w:pPr>
    </w:p>
    <w:p w14:paraId="17012952">
      <w:pPr>
        <w:pStyle w:val="2"/>
        <w:spacing w:line="303" w:lineRule="auto"/>
        <w:outlineLvl w:val="9"/>
        <w:rPr>
          <w:highlight w:val="none"/>
        </w:rPr>
      </w:pPr>
    </w:p>
    <w:p w14:paraId="6F6A9551">
      <w:pPr>
        <w:spacing w:before="78" w:line="369" w:lineRule="auto"/>
        <w:ind w:left="33" w:right="186" w:firstLine="479"/>
        <w:outlineLvl w:val="9"/>
        <w:rPr>
          <w:rFonts w:ascii="宋体" w:hAnsi="宋体" w:eastAsia="宋体" w:cs="宋体"/>
          <w:sz w:val="24"/>
          <w:szCs w:val="24"/>
          <w:highlight w:val="none"/>
        </w:rPr>
      </w:pPr>
      <w:r>
        <w:rPr>
          <w:rFonts w:ascii="宋体" w:hAnsi="宋体" w:eastAsia="宋体" w:cs="宋体"/>
          <w:spacing w:val="-2"/>
          <w:sz w:val="24"/>
          <w:szCs w:val="24"/>
          <w:highlight w:val="none"/>
        </w:rPr>
        <w:t>非单一产品采购项目，招标文件中将载明其中的核心产品。多家投标人提</w:t>
      </w:r>
      <w:r>
        <w:rPr>
          <w:rFonts w:ascii="宋体" w:hAnsi="宋体" w:eastAsia="宋体" w:cs="宋体"/>
          <w:spacing w:val="-1"/>
          <w:sz w:val="24"/>
          <w:szCs w:val="24"/>
          <w:highlight w:val="none"/>
        </w:rPr>
        <w:t>供的核心产品品牌相同的，按前两款规定处理。</w:t>
      </w:r>
    </w:p>
    <w:p w14:paraId="0F6462C3">
      <w:pPr>
        <w:spacing w:before="67" w:line="305" w:lineRule="auto"/>
        <w:ind w:left="24" w:right="176" w:firstLine="506"/>
        <w:outlineLvl w:val="9"/>
        <w:rPr>
          <w:rFonts w:ascii="宋体" w:hAnsi="宋体" w:eastAsia="宋体" w:cs="宋体"/>
          <w:sz w:val="24"/>
          <w:szCs w:val="24"/>
          <w:highlight w:val="none"/>
        </w:rPr>
      </w:pPr>
      <w:r>
        <w:rPr>
          <w:rFonts w:ascii="宋体" w:hAnsi="宋体" w:eastAsia="宋体" w:cs="宋体"/>
          <w:spacing w:val="-1"/>
          <w:sz w:val="24"/>
          <w:szCs w:val="24"/>
          <w:highlight w:val="none"/>
        </w:rPr>
        <w:t>1.1.8评标委员会对投标文件的判定，只依据投标文件内容本身，不依据</w:t>
      </w:r>
      <w:r>
        <w:rPr>
          <w:rFonts w:ascii="宋体" w:hAnsi="宋体" w:eastAsia="宋体" w:cs="宋体"/>
          <w:spacing w:val="-3"/>
          <w:sz w:val="24"/>
          <w:szCs w:val="24"/>
          <w:highlight w:val="none"/>
        </w:rPr>
        <w:t>其他外来证明。</w:t>
      </w:r>
    </w:p>
    <w:p w14:paraId="4C307448">
      <w:pPr>
        <w:spacing w:before="64" w:line="219" w:lineRule="auto"/>
        <w:ind w:left="530"/>
        <w:outlineLvl w:val="9"/>
        <w:rPr>
          <w:rFonts w:ascii="宋体" w:hAnsi="宋体" w:eastAsia="宋体" w:cs="宋体"/>
          <w:sz w:val="24"/>
          <w:szCs w:val="24"/>
          <w:highlight w:val="none"/>
        </w:rPr>
      </w:pPr>
      <w:r>
        <w:rPr>
          <w:rFonts w:ascii="宋体" w:hAnsi="宋体" w:eastAsia="宋体" w:cs="宋体"/>
          <w:spacing w:val="-3"/>
          <w:sz w:val="24"/>
          <w:szCs w:val="24"/>
          <w:highlight w:val="none"/>
        </w:rPr>
        <w:t>1.1.9废标条款：</w:t>
      </w:r>
    </w:p>
    <w:p w14:paraId="749218EA">
      <w:pPr>
        <w:spacing w:before="181" w:line="303" w:lineRule="auto"/>
        <w:ind w:left="25" w:right="239" w:firstLine="499"/>
        <w:outlineLvl w:val="9"/>
        <w:rPr>
          <w:rFonts w:ascii="宋体" w:hAnsi="宋体" w:eastAsia="宋体" w:cs="宋体"/>
          <w:sz w:val="24"/>
          <w:szCs w:val="24"/>
          <w:highlight w:val="none"/>
        </w:rPr>
      </w:pPr>
      <w:r>
        <w:rPr>
          <w:rFonts w:ascii="宋体" w:hAnsi="宋体" w:eastAsia="宋体" w:cs="宋体"/>
          <w:sz w:val="24"/>
          <w:szCs w:val="24"/>
          <w:highlight w:val="none"/>
        </w:rPr>
        <w:t>（1）符合专业条件的供应商或者对招标文件作实质响应的供应商不足三</w:t>
      </w:r>
      <w:r>
        <w:rPr>
          <w:rFonts w:ascii="宋体" w:hAnsi="宋体" w:eastAsia="宋体" w:cs="宋体"/>
          <w:spacing w:val="-4"/>
          <w:sz w:val="24"/>
          <w:szCs w:val="24"/>
          <w:highlight w:val="none"/>
        </w:rPr>
        <w:t>家的。</w:t>
      </w:r>
    </w:p>
    <w:p w14:paraId="534A7E4C">
      <w:pPr>
        <w:spacing w:before="65" w:line="219" w:lineRule="auto"/>
        <w:ind w:left="524"/>
        <w:outlineLvl w:val="9"/>
        <w:rPr>
          <w:rFonts w:ascii="宋体" w:hAnsi="宋体" w:eastAsia="宋体" w:cs="宋体"/>
          <w:sz w:val="24"/>
          <w:szCs w:val="24"/>
          <w:highlight w:val="none"/>
        </w:rPr>
      </w:pPr>
      <w:r>
        <w:rPr>
          <w:rFonts w:ascii="宋体" w:hAnsi="宋体" w:eastAsia="宋体" w:cs="宋体"/>
          <w:spacing w:val="-1"/>
          <w:sz w:val="24"/>
          <w:szCs w:val="24"/>
          <w:highlight w:val="none"/>
        </w:rPr>
        <w:t>（2）出现影响采购公正的违法、违规行为的。</w:t>
      </w:r>
    </w:p>
    <w:p w14:paraId="47EE5B8B">
      <w:pPr>
        <w:spacing w:before="180" w:line="219" w:lineRule="auto"/>
        <w:ind w:left="524"/>
        <w:outlineLvl w:val="9"/>
        <w:rPr>
          <w:rFonts w:ascii="宋体" w:hAnsi="宋体" w:eastAsia="宋体" w:cs="宋体"/>
          <w:sz w:val="24"/>
          <w:szCs w:val="24"/>
          <w:highlight w:val="none"/>
        </w:rPr>
      </w:pPr>
      <w:r>
        <w:rPr>
          <w:rFonts w:ascii="宋体" w:hAnsi="宋体" w:eastAsia="宋体" w:cs="宋体"/>
          <w:spacing w:val="-1"/>
          <w:sz w:val="24"/>
          <w:szCs w:val="24"/>
          <w:highlight w:val="none"/>
        </w:rPr>
        <w:t>（3）因重大变故，采购任务取消的。</w:t>
      </w:r>
    </w:p>
    <w:p w14:paraId="2D118AC2">
      <w:pPr>
        <w:spacing w:before="182" w:line="303" w:lineRule="auto"/>
        <w:ind w:left="27" w:right="239" w:firstLine="497"/>
        <w:outlineLvl w:val="9"/>
        <w:rPr>
          <w:rFonts w:ascii="宋体" w:hAnsi="宋体" w:eastAsia="宋体" w:cs="宋体"/>
          <w:sz w:val="24"/>
          <w:szCs w:val="24"/>
          <w:highlight w:val="none"/>
        </w:rPr>
      </w:pPr>
      <w:r>
        <w:rPr>
          <w:rFonts w:ascii="宋体" w:hAnsi="宋体" w:eastAsia="宋体" w:cs="宋体"/>
          <w:sz w:val="24"/>
          <w:szCs w:val="24"/>
          <w:highlight w:val="none"/>
        </w:rPr>
        <w:t>（4）评标委员会认定招标文件存在歧义、重大缺陷导致评审工作无法进</w:t>
      </w:r>
      <w:r>
        <w:rPr>
          <w:rFonts w:ascii="宋体" w:hAnsi="宋体" w:eastAsia="宋体" w:cs="宋体"/>
          <w:spacing w:val="-7"/>
          <w:sz w:val="24"/>
          <w:szCs w:val="24"/>
          <w:highlight w:val="none"/>
        </w:rPr>
        <w:t>行。</w:t>
      </w:r>
    </w:p>
    <w:p w14:paraId="6FE76984">
      <w:pPr>
        <w:spacing w:before="212" w:line="329" w:lineRule="auto"/>
        <w:ind w:left="26" w:right="203" w:firstLine="504"/>
        <w:outlineLvl w:val="9"/>
        <w:rPr>
          <w:rFonts w:ascii="宋体" w:hAnsi="宋体" w:eastAsia="宋体" w:cs="宋体"/>
          <w:sz w:val="24"/>
          <w:szCs w:val="24"/>
          <w:highlight w:val="none"/>
        </w:rPr>
      </w:pPr>
      <w:r>
        <w:rPr>
          <w:rFonts w:ascii="宋体" w:hAnsi="宋体" w:eastAsia="宋体" w:cs="宋体"/>
          <w:spacing w:val="1"/>
          <w:sz w:val="24"/>
          <w:szCs w:val="24"/>
          <w:highlight w:val="none"/>
        </w:rPr>
        <w:t>1.1.10投标截止时间结束后参加投标的供应商不足三家的处理：如出现</w:t>
      </w:r>
      <w:r>
        <w:rPr>
          <w:rFonts w:ascii="宋体" w:hAnsi="宋体" w:eastAsia="宋体" w:cs="宋体"/>
          <w:spacing w:val="5"/>
          <w:sz w:val="24"/>
          <w:szCs w:val="24"/>
          <w:highlight w:val="none"/>
        </w:rPr>
        <w:t>投标截止时间结束后参加投标的供应商或者在评标期间对招标文件做出实质</w:t>
      </w:r>
      <w:r>
        <w:rPr>
          <w:rFonts w:ascii="宋体" w:hAnsi="宋体" w:eastAsia="宋体" w:cs="宋体"/>
          <w:spacing w:val="1"/>
          <w:sz w:val="24"/>
          <w:szCs w:val="24"/>
          <w:highlight w:val="none"/>
        </w:rPr>
        <w:t>响应的供应商不足三家情况，按政府采购相关规定</w:t>
      </w:r>
      <w:r>
        <w:rPr>
          <w:rFonts w:ascii="宋体" w:hAnsi="宋体" w:eastAsia="宋体" w:cs="宋体"/>
          <w:sz w:val="24"/>
          <w:szCs w:val="24"/>
          <w:highlight w:val="none"/>
        </w:rPr>
        <w:t>执行。</w:t>
      </w:r>
    </w:p>
    <w:p w14:paraId="2FE22F7A">
      <w:pPr>
        <w:spacing w:before="191" w:line="220" w:lineRule="auto"/>
        <w:ind w:left="533"/>
        <w:outlineLvl w:val="9"/>
        <w:rPr>
          <w:rFonts w:ascii="宋体" w:hAnsi="宋体" w:eastAsia="宋体" w:cs="宋体"/>
          <w:sz w:val="24"/>
          <w:szCs w:val="24"/>
          <w:highlight w:val="none"/>
        </w:rPr>
      </w:pPr>
      <w:r>
        <w:rPr>
          <w:rFonts w:ascii="宋体" w:hAnsi="宋体" w:eastAsia="宋体" w:cs="宋体"/>
          <w:spacing w:val="-1"/>
          <w:sz w:val="24"/>
          <w:szCs w:val="24"/>
          <w:highlight w:val="none"/>
        </w:rPr>
        <w:t>1.1.11有下列情形之一的，视为投标人串</w:t>
      </w:r>
      <w:r>
        <w:rPr>
          <w:rFonts w:ascii="宋体" w:hAnsi="宋体" w:eastAsia="宋体" w:cs="宋体"/>
          <w:spacing w:val="-2"/>
          <w:sz w:val="24"/>
          <w:szCs w:val="24"/>
          <w:highlight w:val="none"/>
        </w:rPr>
        <w:t>通投标，其投标无效：</w:t>
      </w:r>
    </w:p>
    <w:p w14:paraId="581BCD63">
      <w:pPr>
        <w:pStyle w:val="2"/>
        <w:spacing w:line="304" w:lineRule="auto"/>
        <w:outlineLvl w:val="9"/>
        <w:rPr>
          <w:highlight w:val="none"/>
        </w:rPr>
      </w:pPr>
    </w:p>
    <w:p w14:paraId="7FEE3E8B">
      <w:pPr>
        <w:spacing w:before="78" w:line="219" w:lineRule="auto"/>
        <w:ind w:left="514"/>
        <w:outlineLvl w:val="9"/>
        <w:rPr>
          <w:rFonts w:ascii="宋体" w:hAnsi="宋体" w:eastAsia="宋体" w:cs="宋体"/>
          <w:sz w:val="24"/>
          <w:szCs w:val="24"/>
          <w:highlight w:val="none"/>
        </w:rPr>
      </w:pPr>
      <w:r>
        <w:rPr>
          <w:rFonts w:ascii="宋体" w:hAnsi="宋体" w:eastAsia="宋体" w:cs="宋体"/>
          <w:spacing w:val="-1"/>
          <w:sz w:val="24"/>
          <w:szCs w:val="24"/>
          <w:highlight w:val="none"/>
        </w:rPr>
        <w:t>（1）不同投标人的投标文件由同一单位或者个人编制；</w:t>
      </w:r>
    </w:p>
    <w:p w14:paraId="6F1F1936">
      <w:pPr>
        <w:spacing w:before="138" w:line="219" w:lineRule="auto"/>
        <w:ind w:left="519"/>
        <w:outlineLvl w:val="9"/>
        <w:rPr>
          <w:rFonts w:ascii="宋体" w:hAnsi="宋体" w:eastAsia="宋体" w:cs="宋体"/>
          <w:sz w:val="24"/>
          <w:szCs w:val="24"/>
          <w:highlight w:val="none"/>
        </w:rPr>
      </w:pPr>
      <w:r>
        <w:rPr>
          <w:rFonts w:ascii="宋体" w:hAnsi="宋体" w:eastAsia="宋体" w:cs="宋体"/>
          <w:spacing w:val="-1"/>
          <w:sz w:val="24"/>
          <w:szCs w:val="24"/>
          <w:highlight w:val="none"/>
        </w:rPr>
        <w:t>（2）不同投标人委托同一单位或者个人办理投标事宜；</w:t>
      </w:r>
    </w:p>
    <w:p w14:paraId="6DB79E67">
      <w:pPr>
        <w:spacing w:before="212" w:line="219" w:lineRule="auto"/>
        <w:ind w:right="35"/>
        <w:jc w:val="right"/>
        <w:outlineLvl w:val="9"/>
        <w:rPr>
          <w:rFonts w:ascii="宋体" w:hAnsi="宋体" w:eastAsia="宋体" w:cs="宋体"/>
          <w:sz w:val="24"/>
          <w:szCs w:val="24"/>
          <w:highlight w:val="none"/>
        </w:rPr>
      </w:pPr>
      <w:r>
        <w:rPr>
          <w:rFonts w:ascii="宋体" w:hAnsi="宋体" w:eastAsia="宋体" w:cs="宋体"/>
          <w:spacing w:val="-1"/>
          <w:sz w:val="24"/>
          <w:szCs w:val="24"/>
          <w:highlight w:val="none"/>
        </w:rPr>
        <w:t>（3）不同投标人的投标文件载明的项目管理成员或者联系人员为同一人；</w:t>
      </w:r>
    </w:p>
    <w:p w14:paraId="66F64EEF">
      <w:pPr>
        <w:spacing w:before="214" w:line="218" w:lineRule="auto"/>
        <w:ind w:left="519"/>
        <w:outlineLvl w:val="9"/>
        <w:rPr>
          <w:rFonts w:ascii="宋体" w:hAnsi="宋体" w:eastAsia="宋体" w:cs="宋体"/>
          <w:sz w:val="24"/>
          <w:szCs w:val="24"/>
          <w:highlight w:val="none"/>
        </w:rPr>
      </w:pPr>
      <w:r>
        <w:rPr>
          <w:rFonts w:ascii="宋体" w:hAnsi="宋体" w:eastAsia="宋体" w:cs="宋体"/>
          <w:spacing w:val="-1"/>
          <w:sz w:val="24"/>
          <w:szCs w:val="24"/>
          <w:highlight w:val="none"/>
        </w:rPr>
        <w:t>（4）不同投标人的投标文件异常一致或者投标报价呈规律性差异；</w:t>
      </w:r>
    </w:p>
    <w:p w14:paraId="02225CD7">
      <w:pPr>
        <w:spacing w:before="216" w:line="219" w:lineRule="auto"/>
        <w:ind w:left="519"/>
        <w:outlineLvl w:val="9"/>
        <w:rPr>
          <w:rFonts w:ascii="宋体" w:hAnsi="宋体" w:eastAsia="宋体" w:cs="宋体"/>
          <w:sz w:val="24"/>
          <w:szCs w:val="24"/>
          <w:highlight w:val="none"/>
        </w:rPr>
      </w:pPr>
      <w:r>
        <w:rPr>
          <w:rFonts w:ascii="宋体" w:hAnsi="宋体" w:eastAsia="宋体" w:cs="宋体"/>
          <w:spacing w:val="-2"/>
          <w:sz w:val="24"/>
          <w:szCs w:val="24"/>
          <w:highlight w:val="none"/>
        </w:rPr>
        <w:t>（5）不同投标人的投标文件相互混装；</w:t>
      </w:r>
    </w:p>
    <w:p w14:paraId="674A5B5E">
      <w:pPr>
        <w:spacing w:before="215" w:line="219" w:lineRule="auto"/>
        <w:ind w:left="519"/>
        <w:outlineLvl w:val="9"/>
        <w:rPr>
          <w:rFonts w:ascii="宋体" w:hAnsi="宋体" w:eastAsia="宋体" w:cs="宋体"/>
          <w:sz w:val="24"/>
          <w:szCs w:val="24"/>
          <w:highlight w:val="none"/>
        </w:rPr>
      </w:pPr>
      <w:r>
        <w:rPr>
          <w:rFonts w:ascii="宋体" w:hAnsi="宋体" w:eastAsia="宋体" w:cs="宋体"/>
          <w:spacing w:val="-1"/>
          <w:sz w:val="24"/>
          <w:szCs w:val="24"/>
          <w:highlight w:val="none"/>
        </w:rPr>
        <w:t>（6）不同投标人的投标保证金从同一单位或者个人的账户转出。</w:t>
      </w:r>
    </w:p>
    <w:p w14:paraId="50A11EBD">
      <w:pPr>
        <w:pStyle w:val="2"/>
        <w:outlineLvl w:val="9"/>
        <w:rPr>
          <w:highlight w:val="none"/>
        </w:rPr>
      </w:pPr>
    </w:p>
    <w:p w14:paraId="2FB7A1D8">
      <w:pPr>
        <w:spacing w:before="78" w:line="223" w:lineRule="auto"/>
        <w:ind w:left="21"/>
        <w:outlineLvl w:val="9"/>
        <w:rPr>
          <w:rFonts w:ascii="宋体" w:hAnsi="宋体" w:eastAsia="宋体" w:cs="宋体"/>
          <w:sz w:val="24"/>
          <w:szCs w:val="24"/>
          <w:highlight w:val="none"/>
        </w:rPr>
      </w:pPr>
      <w:r>
        <w:rPr>
          <w:rFonts w:ascii="黑体" w:hAnsi="黑体" w:eastAsia="黑体" w:cs="黑体"/>
          <w:b/>
          <w:bCs/>
          <w:spacing w:val="-5"/>
          <w:sz w:val="24"/>
          <w:szCs w:val="24"/>
          <w:highlight w:val="none"/>
        </w:rPr>
        <w:t>2</w:t>
      </w:r>
      <w:r>
        <w:rPr>
          <w:rFonts w:ascii="宋体" w:hAnsi="宋体" w:eastAsia="宋体" w:cs="宋体"/>
          <w:b/>
          <w:bCs/>
          <w:spacing w:val="-5"/>
          <w:sz w:val="24"/>
          <w:szCs w:val="24"/>
          <w:highlight w:val="none"/>
        </w:rPr>
        <w:t>、投标的澄清</w:t>
      </w:r>
    </w:p>
    <w:p w14:paraId="5A27982E">
      <w:pPr>
        <w:pStyle w:val="2"/>
        <w:spacing w:line="294" w:lineRule="auto"/>
        <w:outlineLvl w:val="9"/>
        <w:rPr>
          <w:highlight w:val="none"/>
        </w:rPr>
      </w:pPr>
    </w:p>
    <w:p w14:paraId="74A86255">
      <w:pPr>
        <w:spacing w:before="79" w:line="332" w:lineRule="auto"/>
        <w:ind w:left="26" w:right="167" w:firstLine="484"/>
        <w:outlineLvl w:val="9"/>
        <w:rPr>
          <w:rFonts w:ascii="宋体" w:hAnsi="宋体" w:eastAsia="宋体" w:cs="宋体"/>
          <w:sz w:val="24"/>
          <w:szCs w:val="24"/>
          <w:highlight w:val="none"/>
        </w:rPr>
      </w:pPr>
      <w:r>
        <w:rPr>
          <w:rFonts w:ascii="宋体" w:hAnsi="宋体" w:eastAsia="宋体" w:cs="宋体"/>
          <w:sz w:val="24"/>
          <w:szCs w:val="24"/>
          <w:highlight w:val="none"/>
        </w:rPr>
        <w:t>2.1评标委员会有权要求投标人对投标文件中含义不明确、同类问题表述</w:t>
      </w:r>
      <w:r>
        <w:rPr>
          <w:rFonts w:ascii="宋体" w:hAnsi="宋体" w:eastAsia="宋体" w:cs="宋体"/>
          <w:spacing w:val="-1"/>
          <w:sz w:val="24"/>
          <w:szCs w:val="24"/>
          <w:highlight w:val="none"/>
        </w:rPr>
        <w:t>不一致或者有明显文字和计算错误等内容作必要的澄清、说明或者补正。该要求应当采用书面形式，并由评标委员会成员签字。评标委员会不接受投标人主</w:t>
      </w:r>
      <w:r>
        <w:rPr>
          <w:rFonts w:ascii="宋体" w:hAnsi="宋体" w:eastAsia="宋体" w:cs="宋体"/>
          <w:spacing w:val="-2"/>
          <w:sz w:val="24"/>
          <w:szCs w:val="24"/>
          <w:highlight w:val="none"/>
        </w:rPr>
        <w:t>动提出的澄清、说明或者补正。</w:t>
      </w:r>
    </w:p>
    <w:p w14:paraId="6F826507">
      <w:pPr>
        <w:spacing w:before="183" w:line="331" w:lineRule="auto"/>
        <w:ind w:left="25" w:right="167" w:firstLine="485"/>
        <w:outlineLvl w:val="9"/>
        <w:rPr>
          <w:rFonts w:ascii="宋体" w:hAnsi="宋体" w:eastAsia="宋体" w:cs="宋体"/>
          <w:sz w:val="24"/>
          <w:szCs w:val="24"/>
          <w:highlight w:val="none"/>
        </w:rPr>
      </w:pPr>
      <w:r>
        <w:rPr>
          <w:rFonts w:ascii="宋体" w:hAnsi="宋体" w:eastAsia="宋体" w:cs="宋体"/>
          <w:sz w:val="24"/>
          <w:szCs w:val="24"/>
          <w:highlight w:val="none"/>
        </w:rPr>
        <w:t>2.2投标人必须按照评标委员会通知的内容和时间做出书面答复</w:t>
      </w:r>
      <w:r>
        <w:rPr>
          <w:rFonts w:ascii="宋体" w:hAnsi="宋体" w:eastAsia="宋体" w:cs="宋体"/>
          <w:spacing w:val="-1"/>
          <w:sz w:val="24"/>
          <w:szCs w:val="24"/>
          <w:highlight w:val="none"/>
        </w:rPr>
        <w:t>，该答复经法定代表人或授权代理人的签字认可，将作为投标文件内容的一部分。澄清</w:t>
      </w:r>
    </w:p>
    <w:p w14:paraId="59B2087A">
      <w:pPr>
        <w:pStyle w:val="2"/>
        <w:spacing w:line="243" w:lineRule="auto"/>
        <w:outlineLvl w:val="9"/>
        <w:rPr>
          <w:highlight w:val="none"/>
        </w:rPr>
      </w:pPr>
    </w:p>
    <w:p w14:paraId="2FEB6F2E">
      <w:pPr>
        <w:pStyle w:val="2"/>
        <w:spacing w:line="243" w:lineRule="auto"/>
        <w:outlineLvl w:val="9"/>
        <w:rPr>
          <w:highlight w:val="none"/>
        </w:rPr>
      </w:pPr>
    </w:p>
    <w:p w14:paraId="629321E6">
      <w:pPr>
        <w:pStyle w:val="2"/>
        <w:spacing w:line="243" w:lineRule="auto"/>
        <w:outlineLvl w:val="9"/>
        <w:rPr>
          <w:highlight w:val="none"/>
        </w:rPr>
      </w:pPr>
    </w:p>
    <w:p w14:paraId="25454BCC">
      <w:pPr>
        <w:pStyle w:val="2"/>
        <w:spacing w:line="243" w:lineRule="auto"/>
        <w:outlineLvl w:val="9"/>
        <w:rPr>
          <w:highlight w:val="none"/>
        </w:rPr>
      </w:pPr>
    </w:p>
    <w:p w14:paraId="43440BC8">
      <w:pPr>
        <w:pStyle w:val="2"/>
        <w:spacing w:line="243" w:lineRule="auto"/>
        <w:outlineLvl w:val="9"/>
        <w:rPr>
          <w:highlight w:val="none"/>
        </w:rPr>
      </w:pPr>
    </w:p>
    <w:p w14:paraId="23938809">
      <w:pPr>
        <w:pStyle w:val="2"/>
        <w:spacing w:line="243" w:lineRule="auto"/>
        <w:outlineLvl w:val="9"/>
        <w:rPr>
          <w:highlight w:val="none"/>
        </w:rPr>
      </w:pPr>
      <w:r>
        <w:rPr>
          <w:highlight w:val="none"/>
        </w:rPr>
        <w:pict>
          <v:shape id="_x0000_s1026" o:spid="_x0000_s1026" o:spt="202" type="#_x0000_t202" style="position:absolute;left:0pt;margin-left:207.8pt;margin-top:11pt;height:14.3pt;width:6.65pt;z-index:251668480;mso-width-relative:page;mso-height-relative:page;" filled="f" stroked="f" coordsize="21600,21600">
            <v:path/>
            <v:fill on="f" focussize="0,0"/>
            <v:stroke on="f"/>
            <v:imagedata o:title=""/>
            <o:lock v:ext="edit" aspectratio="f"/>
            <v:textbox inset="0mm,0mm,0mm,0mm">
              <w:txbxContent>
                <w:p w14:paraId="27A41FC0">
                  <w:pPr>
                    <w:pStyle w:val="2"/>
                    <w:spacing w:before="20" w:line="245" w:lineRule="exact"/>
                    <w:ind w:left="20"/>
                    <w:rPr>
                      <w:sz w:val="18"/>
                      <w:szCs w:val="18"/>
                    </w:rPr>
                  </w:pPr>
                </w:p>
              </w:txbxContent>
            </v:textbox>
          </v:shape>
        </w:pict>
      </w:r>
    </w:p>
    <w:p w14:paraId="7E7D787B">
      <w:pPr>
        <w:spacing w:line="97" w:lineRule="exact"/>
        <w:outlineLvl w:val="9"/>
        <w:rPr>
          <w:sz w:val="18"/>
          <w:szCs w:val="18"/>
          <w:highlight w:val="none"/>
        </w:rPr>
        <w:sectPr>
          <w:footerReference r:id="rId46" w:type="default"/>
          <w:pgSz w:w="11906" w:h="16840"/>
          <w:pgMar w:top="1091" w:right="1785" w:bottom="1" w:left="1785" w:header="1077" w:footer="0" w:gutter="0"/>
          <w:pgNumType w:fmt="decimal"/>
          <w:cols w:space="720" w:num="1"/>
        </w:sectPr>
      </w:pPr>
    </w:p>
    <w:p w14:paraId="68EE121F">
      <w:pPr>
        <w:pStyle w:val="2"/>
        <w:spacing w:line="303" w:lineRule="auto"/>
        <w:outlineLvl w:val="9"/>
        <w:rPr>
          <w:highlight w:val="none"/>
        </w:rPr>
      </w:pPr>
    </w:p>
    <w:p w14:paraId="1438B45C">
      <w:pPr>
        <w:spacing w:before="78" w:line="331" w:lineRule="auto"/>
        <w:ind w:left="24" w:right="145" w:firstLine="15"/>
        <w:jc w:val="both"/>
        <w:outlineLvl w:val="9"/>
        <w:rPr>
          <w:rFonts w:ascii="宋体" w:hAnsi="宋体" w:eastAsia="宋体" w:cs="宋体"/>
          <w:sz w:val="24"/>
          <w:szCs w:val="24"/>
          <w:highlight w:val="none"/>
        </w:rPr>
      </w:pPr>
      <w:r>
        <w:rPr>
          <w:rFonts w:ascii="宋体" w:hAnsi="宋体" w:eastAsia="宋体" w:cs="宋体"/>
          <w:spacing w:val="-1"/>
          <w:sz w:val="24"/>
          <w:szCs w:val="24"/>
          <w:highlight w:val="none"/>
        </w:rPr>
        <w:t>、说明或者补正不得超出投标文件的范围或者改变投标文件的实</w:t>
      </w:r>
      <w:r>
        <w:rPr>
          <w:rFonts w:ascii="宋体" w:hAnsi="宋体" w:eastAsia="宋体" w:cs="宋体"/>
          <w:spacing w:val="-2"/>
          <w:sz w:val="24"/>
          <w:szCs w:val="24"/>
          <w:highlight w:val="none"/>
        </w:rPr>
        <w:t>质性内容。投</w:t>
      </w:r>
      <w:r>
        <w:rPr>
          <w:rFonts w:ascii="宋体" w:hAnsi="宋体" w:eastAsia="宋体" w:cs="宋体"/>
          <w:sz w:val="24"/>
          <w:szCs w:val="24"/>
          <w:highlight w:val="none"/>
        </w:rPr>
        <w:t>标人拒不按照要求对投标文件进行澄清、说明或者补正的，评标委员会可拒绝</w:t>
      </w:r>
      <w:r>
        <w:rPr>
          <w:rFonts w:ascii="宋体" w:hAnsi="宋体" w:eastAsia="宋体" w:cs="宋体"/>
          <w:spacing w:val="-3"/>
          <w:sz w:val="24"/>
          <w:szCs w:val="24"/>
          <w:highlight w:val="none"/>
        </w:rPr>
        <w:t>该投标。</w:t>
      </w:r>
    </w:p>
    <w:p w14:paraId="5F9DBEE4">
      <w:pPr>
        <w:spacing w:before="184" w:line="330" w:lineRule="auto"/>
        <w:ind w:left="21" w:right="172" w:firstLine="489"/>
        <w:jc w:val="both"/>
        <w:outlineLvl w:val="9"/>
        <w:rPr>
          <w:rFonts w:ascii="宋体" w:hAnsi="宋体" w:eastAsia="宋体" w:cs="宋体"/>
          <w:sz w:val="24"/>
          <w:szCs w:val="24"/>
          <w:highlight w:val="none"/>
        </w:rPr>
      </w:pPr>
      <w:r>
        <w:rPr>
          <w:rFonts w:ascii="宋体" w:hAnsi="宋体" w:eastAsia="宋体" w:cs="宋体"/>
          <w:sz w:val="24"/>
          <w:szCs w:val="24"/>
          <w:highlight w:val="none"/>
        </w:rPr>
        <w:t>2.3评标委员会认为投标人的报价明显低于其他通过符合性审查投标人的</w:t>
      </w:r>
      <w:r>
        <w:rPr>
          <w:rFonts w:ascii="宋体" w:hAnsi="宋体" w:eastAsia="宋体" w:cs="宋体"/>
          <w:spacing w:val="-1"/>
          <w:sz w:val="24"/>
          <w:szCs w:val="24"/>
          <w:highlight w:val="none"/>
        </w:rPr>
        <w:t>报价，有可能影响产品质量或者不能诚信履约的，应当要求其在评标现场合理的时间内提供书面说明，必要时提交相关证明材料；投标人不能证明其报价合理性的，评标委员会应当将其作为无效投标处理。</w:t>
      </w:r>
    </w:p>
    <w:p w14:paraId="057226EA">
      <w:pPr>
        <w:pStyle w:val="2"/>
        <w:spacing w:line="267" w:lineRule="auto"/>
        <w:outlineLvl w:val="9"/>
        <w:rPr>
          <w:highlight w:val="none"/>
        </w:rPr>
      </w:pPr>
    </w:p>
    <w:p w14:paraId="2816486A">
      <w:pPr>
        <w:spacing w:before="78" w:line="223" w:lineRule="auto"/>
        <w:ind w:left="23"/>
        <w:outlineLvl w:val="9"/>
        <w:rPr>
          <w:rFonts w:ascii="宋体" w:hAnsi="宋体" w:eastAsia="宋体" w:cs="宋体"/>
          <w:sz w:val="24"/>
          <w:szCs w:val="24"/>
          <w:highlight w:val="none"/>
        </w:rPr>
      </w:pPr>
      <w:r>
        <w:rPr>
          <w:rFonts w:ascii="黑体" w:hAnsi="黑体" w:eastAsia="黑体" w:cs="黑体"/>
          <w:b/>
          <w:bCs/>
          <w:spacing w:val="-6"/>
          <w:sz w:val="24"/>
          <w:szCs w:val="24"/>
          <w:highlight w:val="none"/>
        </w:rPr>
        <w:t>3</w:t>
      </w:r>
      <w:r>
        <w:rPr>
          <w:rFonts w:ascii="宋体" w:hAnsi="宋体" w:eastAsia="宋体" w:cs="宋体"/>
          <w:b/>
          <w:bCs/>
          <w:spacing w:val="-6"/>
          <w:sz w:val="24"/>
          <w:szCs w:val="24"/>
          <w:highlight w:val="none"/>
        </w:rPr>
        <w:t>、详细评审</w:t>
      </w:r>
    </w:p>
    <w:p w14:paraId="7C5CB5C7">
      <w:pPr>
        <w:pStyle w:val="2"/>
        <w:spacing w:line="301" w:lineRule="auto"/>
        <w:outlineLvl w:val="9"/>
        <w:rPr>
          <w:highlight w:val="none"/>
        </w:rPr>
      </w:pPr>
    </w:p>
    <w:p w14:paraId="7CDF3236">
      <w:pPr>
        <w:spacing w:before="79" w:line="317" w:lineRule="auto"/>
        <w:ind w:left="29" w:right="174" w:firstLine="486"/>
        <w:outlineLvl w:val="9"/>
        <w:rPr>
          <w:rFonts w:ascii="宋体" w:hAnsi="宋体" w:eastAsia="宋体" w:cs="宋体"/>
          <w:sz w:val="24"/>
          <w:szCs w:val="24"/>
          <w:highlight w:val="none"/>
        </w:rPr>
      </w:pPr>
      <w:r>
        <w:rPr>
          <w:rFonts w:ascii="宋体" w:hAnsi="宋体" w:eastAsia="宋体" w:cs="宋体"/>
          <w:sz w:val="24"/>
          <w:szCs w:val="24"/>
          <w:highlight w:val="none"/>
        </w:rPr>
        <w:t>3.1评标委员会只对实质上响应招标文件的投标进行商务和技术评估，综</w:t>
      </w:r>
      <w:r>
        <w:rPr>
          <w:rFonts w:ascii="宋体" w:hAnsi="宋体" w:eastAsia="宋体" w:cs="宋体"/>
          <w:spacing w:val="-1"/>
          <w:sz w:val="24"/>
          <w:szCs w:val="24"/>
          <w:highlight w:val="none"/>
        </w:rPr>
        <w:t>合比较与评价；评审应严格按照招标文件规定的评标方法</w:t>
      </w:r>
      <w:r>
        <w:rPr>
          <w:rFonts w:ascii="宋体" w:hAnsi="宋体" w:eastAsia="宋体" w:cs="宋体"/>
          <w:spacing w:val="-2"/>
          <w:sz w:val="24"/>
          <w:szCs w:val="24"/>
          <w:highlight w:val="none"/>
        </w:rPr>
        <w:t>和标准进行。具体要求等详见评标办法前附表。</w:t>
      </w:r>
    </w:p>
    <w:p w14:paraId="1FE48C73">
      <w:pPr>
        <w:spacing w:before="187" w:line="318" w:lineRule="auto"/>
        <w:ind w:left="22" w:right="140" w:firstLine="492"/>
        <w:outlineLvl w:val="9"/>
        <w:rPr>
          <w:rFonts w:ascii="宋体" w:hAnsi="宋体" w:eastAsia="宋体" w:cs="宋体"/>
          <w:sz w:val="24"/>
          <w:szCs w:val="24"/>
          <w:highlight w:val="none"/>
        </w:rPr>
      </w:pPr>
      <w:r>
        <w:rPr>
          <w:rFonts w:ascii="宋体" w:hAnsi="宋体" w:eastAsia="宋体" w:cs="宋体"/>
          <w:sz w:val="24"/>
          <w:szCs w:val="24"/>
          <w:highlight w:val="none"/>
        </w:rPr>
        <w:t>3.2评标委员会依法独立评审，严格遵守评审工作纪律。对需要共同认定</w:t>
      </w:r>
      <w:r>
        <w:rPr>
          <w:rFonts w:ascii="宋体" w:hAnsi="宋体" w:eastAsia="宋体" w:cs="宋体"/>
          <w:spacing w:val="-1"/>
          <w:sz w:val="24"/>
          <w:szCs w:val="24"/>
          <w:highlight w:val="none"/>
        </w:rPr>
        <w:t>的事项存在争议的，按照少数服从多数的原则作出评审结论。持不同意见的评</w:t>
      </w:r>
      <w:r>
        <w:rPr>
          <w:rFonts w:ascii="宋体" w:hAnsi="宋体" w:eastAsia="宋体" w:cs="宋体"/>
          <w:sz w:val="24"/>
          <w:szCs w:val="24"/>
          <w:highlight w:val="none"/>
        </w:rPr>
        <w:t>标委员会成员应当在评标报告上签署不同意见并说明理由，不签署不同意见的</w:t>
      </w:r>
      <w:r>
        <w:rPr>
          <w:rFonts w:ascii="宋体" w:hAnsi="宋体" w:eastAsia="宋体" w:cs="宋体"/>
          <w:spacing w:val="-2"/>
          <w:sz w:val="24"/>
          <w:szCs w:val="24"/>
          <w:highlight w:val="none"/>
        </w:rPr>
        <w:t>视为同意。</w:t>
      </w:r>
    </w:p>
    <w:p w14:paraId="116E10A6">
      <w:pPr>
        <w:spacing w:before="242" w:line="218" w:lineRule="auto"/>
        <w:ind w:left="33"/>
        <w:outlineLvl w:val="9"/>
        <w:rPr>
          <w:rFonts w:ascii="宋体" w:hAnsi="宋体" w:eastAsia="宋体" w:cs="宋体"/>
          <w:sz w:val="24"/>
          <w:szCs w:val="24"/>
          <w:highlight w:val="none"/>
        </w:rPr>
      </w:pPr>
      <w:r>
        <w:rPr>
          <w:rFonts w:ascii="宋体" w:hAnsi="宋体" w:eastAsia="宋体" w:cs="宋体"/>
          <w:spacing w:val="-1"/>
          <w:sz w:val="24"/>
          <w:szCs w:val="24"/>
          <w:highlight w:val="none"/>
        </w:rPr>
        <w:t>3.3给予小型和微型企业价格扣除</w:t>
      </w:r>
    </w:p>
    <w:p w14:paraId="1A7F506A">
      <w:pPr>
        <w:spacing w:before="216" w:line="220" w:lineRule="auto"/>
        <w:ind w:left="42" w:right="188" w:hanging="14"/>
        <w:outlineLvl w:val="9"/>
        <w:rPr>
          <w:rFonts w:ascii="宋体" w:hAnsi="宋体" w:eastAsia="宋体" w:cs="宋体"/>
          <w:sz w:val="24"/>
          <w:szCs w:val="24"/>
          <w:highlight w:val="none"/>
        </w:rPr>
      </w:pPr>
      <w:r>
        <w:rPr>
          <w:rFonts w:ascii="宋体" w:hAnsi="宋体" w:eastAsia="宋体" w:cs="宋体"/>
          <w:sz w:val="24"/>
          <w:szCs w:val="24"/>
          <w:highlight w:val="none"/>
        </w:rPr>
        <w:t>3.3.1给予小型和微型企业(包括相互之间组成的联合体)产品的价格10%</w:t>
      </w:r>
      <w:r>
        <w:rPr>
          <w:rFonts w:ascii="宋体" w:hAnsi="宋体" w:eastAsia="宋体" w:cs="宋体"/>
          <w:spacing w:val="-4"/>
          <w:sz w:val="24"/>
          <w:szCs w:val="24"/>
          <w:highlight w:val="none"/>
        </w:rPr>
        <w:t>的扣除；计算方法是：</w:t>
      </w:r>
    </w:p>
    <w:p w14:paraId="005D019B">
      <w:pPr>
        <w:spacing w:before="206" w:line="218" w:lineRule="auto"/>
        <w:ind w:left="501"/>
        <w:outlineLvl w:val="9"/>
        <w:rPr>
          <w:rFonts w:ascii="宋体" w:hAnsi="宋体" w:eastAsia="宋体" w:cs="宋体"/>
          <w:sz w:val="24"/>
          <w:szCs w:val="24"/>
          <w:highlight w:val="none"/>
        </w:rPr>
      </w:pPr>
      <w:r>
        <w:rPr>
          <w:rFonts w:ascii="宋体" w:hAnsi="宋体" w:eastAsia="宋体" w:cs="宋体"/>
          <w:sz w:val="24"/>
          <w:szCs w:val="24"/>
          <w:highlight w:val="none"/>
        </w:rPr>
        <w:t>最终价格＝投标报价×90%，按照最终价格计算其价格分得分。</w:t>
      </w:r>
    </w:p>
    <w:p w14:paraId="5BF0B622">
      <w:pPr>
        <w:spacing w:before="240" w:line="384" w:lineRule="auto"/>
        <w:ind w:left="36" w:right="428" w:firstLine="470"/>
        <w:outlineLvl w:val="9"/>
        <w:rPr>
          <w:rFonts w:ascii="宋体" w:hAnsi="宋体" w:eastAsia="宋体" w:cs="宋体"/>
          <w:sz w:val="24"/>
          <w:szCs w:val="24"/>
          <w:highlight w:val="none"/>
        </w:rPr>
      </w:pPr>
      <w:r>
        <w:rPr>
          <w:rFonts w:ascii="宋体" w:hAnsi="宋体" w:eastAsia="宋体" w:cs="宋体"/>
          <w:spacing w:val="-1"/>
          <w:sz w:val="24"/>
          <w:szCs w:val="24"/>
          <w:highlight w:val="none"/>
        </w:rPr>
        <w:t>开标时，供应商须提供《中小企业声明函》</w:t>
      </w:r>
      <w:r>
        <w:rPr>
          <w:rFonts w:ascii="宋体" w:hAnsi="宋体" w:eastAsia="宋体" w:cs="宋体"/>
          <w:spacing w:val="-2"/>
          <w:sz w:val="24"/>
          <w:szCs w:val="24"/>
          <w:highlight w:val="none"/>
        </w:rPr>
        <w:t>原件并对声明函的真实性负</w:t>
      </w:r>
      <w:r>
        <w:rPr>
          <w:rFonts w:ascii="宋体" w:hAnsi="宋体" w:eastAsia="宋体" w:cs="宋体"/>
          <w:spacing w:val="-3"/>
          <w:sz w:val="24"/>
          <w:szCs w:val="24"/>
          <w:highlight w:val="none"/>
        </w:rPr>
        <w:t>责，否则不给予价格扣除。</w:t>
      </w:r>
    </w:p>
    <w:p w14:paraId="469008A5">
      <w:pPr>
        <w:spacing w:before="1" w:line="377" w:lineRule="auto"/>
        <w:ind w:left="24" w:right="206" w:firstLine="491"/>
        <w:jc w:val="both"/>
        <w:outlineLvl w:val="9"/>
        <w:rPr>
          <w:rFonts w:ascii="宋体" w:hAnsi="宋体" w:eastAsia="宋体" w:cs="宋体"/>
          <w:sz w:val="24"/>
          <w:szCs w:val="24"/>
          <w:highlight w:val="none"/>
        </w:rPr>
      </w:pPr>
      <w:r>
        <w:rPr>
          <w:rFonts w:ascii="宋体" w:hAnsi="宋体" w:eastAsia="宋体" w:cs="宋体"/>
          <w:spacing w:val="5"/>
          <w:sz w:val="24"/>
          <w:szCs w:val="24"/>
          <w:highlight w:val="none"/>
        </w:rPr>
        <w:t>3.3.2大中型企业和其他自然人、法人或者其他组织与小型、微型企业</w:t>
      </w:r>
      <w:r>
        <w:rPr>
          <w:rFonts w:ascii="宋体" w:hAnsi="宋体" w:eastAsia="宋体" w:cs="宋体"/>
          <w:spacing w:val="9"/>
          <w:sz w:val="24"/>
          <w:szCs w:val="24"/>
          <w:highlight w:val="none"/>
        </w:rPr>
        <w:t>组成联合体投标，联合协议中约定，小型、微型企业的协议合同金额占到</w:t>
      </w:r>
      <w:r>
        <w:rPr>
          <w:rFonts w:ascii="宋体" w:hAnsi="宋体" w:eastAsia="宋体" w:cs="宋体"/>
          <w:spacing w:val="-3"/>
          <w:sz w:val="24"/>
          <w:szCs w:val="24"/>
          <w:highlight w:val="none"/>
        </w:rPr>
        <w:t>联合体协议合同金额30%以上的，可给予联合体4%的价格扣除。计算方法：</w:t>
      </w:r>
    </w:p>
    <w:p w14:paraId="701F5C40">
      <w:pPr>
        <w:spacing w:before="1" w:line="217" w:lineRule="auto"/>
        <w:ind w:left="511"/>
        <w:outlineLvl w:val="9"/>
        <w:rPr>
          <w:rFonts w:ascii="宋体" w:hAnsi="宋体" w:eastAsia="宋体" w:cs="宋体"/>
          <w:sz w:val="24"/>
          <w:szCs w:val="24"/>
          <w:highlight w:val="none"/>
        </w:rPr>
      </w:pPr>
      <w:r>
        <w:rPr>
          <w:rFonts w:ascii="宋体" w:hAnsi="宋体" w:eastAsia="宋体" w:cs="宋体"/>
          <w:sz w:val="24"/>
          <w:szCs w:val="24"/>
          <w:highlight w:val="none"/>
        </w:rPr>
        <w:t>最终价格＝投标报价×96%，按照最终价格计算其价格分得分。</w:t>
      </w:r>
    </w:p>
    <w:p w14:paraId="6E3ADC7A">
      <w:pPr>
        <w:spacing w:before="238" w:line="384" w:lineRule="auto"/>
        <w:ind w:left="31" w:right="428" w:firstLine="474"/>
        <w:outlineLvl w:val="9"/>
        <w:rPr>
          <w:rFonts w:ascii="宋体" w:hAnsi="宋体" w:eastAsia="宋体" w:cs="宋体"/>
          <w:sz w:val="24"/>
          <w:szCs w:val="24"/>
          <w:highlight w:val="none"/>
        </w:rPr>
      </w:pPr>
      <w:r>
        <w:rPr>
          <w:rFonts w:ascii="宋体" w:hAnsi="宋体" w:eastAsia="宋体" w:cs="宋体"/>
          <w:spacing w:val="-1"/>
          <w:sz w:val="24"/>
          <w:szCs w:val="24"/>
          <w:highlight w:val="none"/>
        </w:rPr>
        <w:t>开标时，供应商须提供《中小企业声明函》</w:t>
      </w:r>
      <w:r>
        <w:rPr>
          <w:rFonts w:ascii="宋体" w:hAnsi="宋体" w:eastAsia="宋体" w:cs="宋体"/>
          <w:spacing w:val="-2"/>
          <w:sz w:val="24"/>
          <w:szCs w:val="24"/>
          <w:highlight w:val="none"/>
        </w:rPr>
        <w:t>原件并对声明函的真实性负责和联合体协议原件，否则不给予价格扣除。</w:t>
      </w:r>
    </w:p>
    <w:p w14:paraId="52FB64FD">
      <w:pPr>
        <w:pStyle w:val="2"/>
        <w:spacing w:line="267" w:lineRule="auto"/>
        <w:outlineLvl w:val="9"/>
        <w:rPr>
          <w:highlight w:val="none"/>
        </w:rPr>
      </w:pPr>
    </w:p>
    <w:p w14:paraId="6A410D69">
      <w:pPr>
        <w:pStyle w:val="2"/>
        <w:spacing w:line="267" w:lineRule="auto"/>
        <w:outlineLvl w:val="9"/>
        <w:rPr>
          <w:highlight w:val="none"/>
        </w:rPr>
      </w:pPr>
    </w:p>
    <w:p w14:paraId="0D1C0EF1">
      <w:pPr>
        <w:pStyle w:val="2"/>
        <w:spacing w:line="267" w:lineRule="auto"/>
        <w:outlineLvl w:val="9"/>
        <w:rPr>
          <w:highlight w:val="none"/>
        </w:rPr>
      </w:pPr>
    </w:p>
    <w:p w14:paraId="7B290CEF">
      <w:pPr>
        <w:pStyle w:val="2"/>
        <w:spacing w:line="267" w:lineRule="auto"/>
        <w:outlineLvl w:val="9"/>
        <w:rPr>
          <w:highlight w:val="none"/>
        </w:rPr>
      </w:pPr>
    </w:p>
    <w:p w14:paraId="1A5578FC">
      <w:pPr>
        <w:pStyle w:val="2"/>
        <w:spacing w:line="267" w:lineRule="auto"/>
        <w:outlineLvl w:val="9"/>
        <w:rPr>
          <w:highlight w:val="none"/>
        </w:rPr>
      </w:pPr>
    </w:p>
    <w:p w14:paraId="1BAE0849">
      <w:pPr>
        <w:pStyle w:val="2"/>
        <w:spacing w:line="267" w:lineRule="auto"/>
        <w:outlineLvl w:val="9"/>
        <w:rPr>
          <w:highlight w:val="none"/>
        </w:rPr>
      </w:pPr>
    </w:p>
    <w:p w14:paraId="3519413E">
      <w:pPr>
        <w:pStyle w:val="2"/>
        <w:spacing w:line="268" w:lineRule="auto"/>
        <w:outlineLvl w:val="9"/>
        <w:rPr>
          <w:highlight w:val="none"/>
        </w:rPr>
      </w:pPr>
      <w:r>
        <w:rPr>
          <w:highlight w:val="none"/>
        </w:rPr>
        <w:pict>
          <v:shape id="_x0000_s1027" o:spid="_x0000_s1027" o:spt="202" type="#_x0000_t202" style="position:absolute;left:0pt;margin-left:207.75pt;margin-top:12.3pt;height:14.3pt;width:6.7pt;z-index:251670528;mso-width-relative:page;mso-height-relative:page;" filled="f" stroked="f" coordsize="21600,21600">
            <v:path/>
            <v:fill on="f" focussize="0,0"/>
            <v:stroke on="f"/>
            <v:imagedata o:title=""/>
            <o:lock v:ext="edit" aspectratio="f"/>
            <v:textbox inset="0mm,0mm,0mm,0mm">
              <w:txbxContent>
                <w:p w14:paraId="1CAF6DC6">
                  <w:pPr>
                    <w:pStyle w:val="2"/>
                    <w:spacing w:before="20" w:line="245" w:lineRule="exact"/>
                    <w:rPr>
                      <w:sz w:val="18"/>
                      <w:szCs w:val="18"/>
                    </w:rPr>
                  </w:pPr>
                </w:p>
              </w:txbxContent>
            </v:textbox>
          </v:shape>
        </w:pict>
      </w:r>
    </w:p>
    <w:p w14:paraId="6268E335">
      <w:pPr>
        <w:pStyle w:val="2"/>
        <w:spacing w:before="53" w:line="98" w:lineRule="exact"/>
        <w:ind w:left="4070"/>
        <w:outlineLvl w:val="9"/>
        <w:rPr>
          <w:sz w:val="18"/>
          <w:szCs w:val="18"/>
          <w:highlight w:val="none"/>
        </w:rPr>
      </w:pPr>
    </w:p>
    <w:p w14:paraId="180FB046">
      <w:pPr>
        <w:spacing w:line="98" w:lineRule="exact"/>
        <w:outlineLvl w:val="9"/>
        <w:rPr>
          <w:sz w:val="18"/>
          <w:szCs w:val="18"/>
          <w:highlight w:val="none"/>
        </w:rPr>
        <w:sectPr>
          <w:pgSz w:w="11906" w:h="16840"/>
          <w:pgMar w:top="1091" w:right="1785" w:bottom="1" w:left="1785" w:header="1077" w:footer="0" w:gutter="0"/>
          <w:pgNumType w:fmt="decimal"/>
          <w:cols w:space="720" w:num="1"/>
        </w:sectPr>
      </w:pPr>
    </w:p>
    <w:p w14:paraId="166B3CD8">
      <w:pPr>
        <w:pStyle w:val="2"/>
        <w:spacing w:line="303" w:lineRule="auto"/>
        <w:outlineLvl w:val="9"/>
        <w:rPr>
          <w:highlight w:val="none"/>
        </w:rPr>
      </w:pPr>
    </w:p>
    <w:p w14:paraId="14C7FA10">
      <w:pPr>
        <w:spacing w:before="78" w:line="383" w:lineRule="auto"/>
        <w:ind w:left="43" w:right="428" w:firstLine="459"/>
        <w:outlineLvl w:val="9"/>
        <w:rPr>
          <w:rFonts w:ascii="宋体" w:hAnsi="宋体" w:eastAsia="宋体" w:cs="宋体"/>
          <w:sz w:val="24"/>
          <w:szCs w:val="24"/>
          <w:highlight w:val="none"/>
        </w:rPr>
      </w:pPr>
      <w:r>
        <w:rPr>
          <w:rFonts w:ascii="宋体" w:hAnsi="宋体" w:eastAsia="宋体" w:cs="宋体"/>
          <w:spacing w:val="3"/>
          <w:sz w:val="24"/>
          <w:szCs w:val="24"/>
          <w:highlight w:val="none"/>
        </w:rPr>
        <w:t>在政府采购活动中，供应商提供的货物、工</w:t>
      </w:r>
      <w:r>
        <w:rPr>
          <w:rFonts w:ascii="宋体" w:hAnsi="宋体" w:eastAsia="宋体" w:cs="宋体"/>
          <w:spacing w:val="2"/>
          <w:sz w:val="24"/>
          <w:szCs w:val="24"/>
          <w:highlight w:val="none"/>
        </w:rPr>
        <w:t>程或者服务符合下列情形</w:t>
      </w:r>
      <w:r>
        <w:rPr>
          <w:rFonts w:ascii="宋体" w:hAnsi="宋体" w:eastAsia="宋体" w:cs="宋体"/>
          <w:spacing w:val="-1"/>
          <w:sz w:val="24"/>
          <w:szCs w:val="24"/>
          <w:highlight w:val="none"/>
        </w:rPr>
        <w:t>的，享受本办法规定的中小企业扶持政策：</w:t>
      </w:r>
    </w:p>
    <w:p w14:paraId="2921B908">
      <w:pPr>
        <w:spacing w:before="2" w:line="302" w:lineRule="auto"/>
        <w:ind w:left="28" w:right="424" w:firstLine="560"/>
        <w:outlineLvl w:val="9"/>
        <w:rPr>
          <w:rFonts w:ascii="宋体" w:hAnsi="宋体" w:eastAsia="宋体" w:cs="宋体"/>
          <w:sz w:val="24"/>
          <w:szCs w:val="24"/>
          <w:highlight w:val="none"/>
        </w:rPr>
      </w:pPr>
      <w:r>
        <w:rPr>
          <w:rFonts w:ascii="宋体" w:hAnsi="宋体" w:eastAsia="宋体" w:cs="宋体"/>
          <w:sz w:val="24"/>
          <w:szCs w:val="24"/>
          <w:highlight w:val="none"/>
        </w:rPr>
        <w:t>(一)在货物采购项目中，货物由中小企业制造，即货物由中小企业生</w:t>
      </w:r>
      <w:r>
        <w:rPr>
          <w:rFonts w:ascii="宋体" w:hAnsi="宋体" w:eastAsia="宋体" w:cs="宋体"/>
          <w:spacing w:val="-1"/>
          <w:sz w:val="24"/>
          <w:szCs w:val="24"/>
          <w:highlight w:val="none"/>
        </w:rPr>
        <w:t>产且使用该中小企业商号或者注册商标；</w:t>
      </w:r>
    </w:p>
    <w:p w14:paraId="00AF2EB3">
      <w:pPr>
        <w:spacing w:before="188" w:line="223" w:lineRule="auto"/>
        <w:ind w:left="552" w:right="241" w:firstLine="38"/>
        <w:outlineLvl w:val="9"/>
        <w:rPr>
          <w:rFonts w:ascii="宋体" w:hAnsi="宋体" w:eastAsia="宋体" w:cs="宋体"/>
          <w:sz w:val="24"/>
          <w:szCs w:val="24"/>
          <w:highlight w:val="none"/>
        </w:rPr>
      </w:pPr>
      <w:r>
        <w:rPr>
          <w:rFonts w:ascii="宋体" w:hAnsi="宋体" w:eastAsia="宋体" w:cs="宋体"/>
          <w:spacing w:val="-2"/>
          <w:sz w:val="24"/>
          <w:szCs w:val="24"/>
          <w:highlight w:val="none"/>
        </w:rPr>
        <w:t>(二)在工程采购项目中，工程由中小企业承建，即工程施工单位为中小</w:t>
      </w:r>
      <w:r>
        <w:rPr>
          <w:rFonts w:ascii="宋体" w:hAnsi="宋体" w:eastAsia="宋体" w:cs="宋体"/>
          <w:spacing w:val="-5"/>
          <w:sz w:val="24"/>
          <w:szCs w:val="24"/>
          <w:highlight w:val="none"/>
        </w:rPr>
        <w:t>企业；</w:t>
      </w:r>
    </w:p>
    <w:p w14:paraId="3285D53F">
      <w:pPr>
        <w:spacing w:before="226" w:line="301" w:lineRule="auto"/>
        <w:ind w:left="48" w:right="424" w:firstLine="540"/>
        <w:outlineLvl w:val="9"/>
        <w:rPr>
          <w:rFonts w:ascii="宋体" w:hAnsi="宋体" w:eastAsia="宋体" w:cs="宋体"/>
          <w:sz w:val="24"/>
          <w:szCs w:val="24"/>
          <w:highlight w:val="none"/>
        </w:rPr>
      </w:pPr>
      <w:r>
        <w:rPr>
          <w:rFonts w:ascii="宋体" w:hAnsi="宋体" w:eastAsia="宋体" w:cs="宋体"/>
          <w:sz w:val="24"/>
          <w:szCs w:val="24"/>
          <w:highlight w:val="none"/>
        </w:rPr>
        <w:t>(三)在服务采购项目中，服务由中小企业承接，即提供服务的人员为中小企业依照《中华人民共和国劳动合同法》订立劳</w:t>
      </w:r>
      <w:r>
        <w:rPr>
          <w:rFonts w:ascii="宋体" w:hAnsi="宋体" w:eastAsia="宋体" w:cs="宋体"/>
          <w:spacing w:val="-1"/>
          <w:sz w:val="24"/>
          <w:szCs w:val="24"/>
          <w:highlight w:val="none"/>
        </w:rPr>
        <w:t>动合同的从业人员。</w:t>
      </w:r>
    </w:p>
    <w:p w14:paraId="62CF7D42">
      <w:pPr>
        <w:spacing w:before="215" w:line="384" w:lineRule="auto"/>
        <w:ind w:left="22" w:right="412"/>
        <w:outlineLvl w:val="9"/>
        <w:rPr>
          <w:rFonts w:ascii="宋体" w:hAnsi="宋体" w:eastAsia="宋体" w:cs="宋体"/>
          <w:sz w:val="24"/>
          <w:szCs w:val="24"/>
          <w:highlight w:val="none"/>
        </w:rPr>
      </w:pPr>
      <w:r>
        <w:rPr>
          <w:rFonts w:ascii="宋体" w:hAnsi="宋体" w:eastAsia="宋体" w:cs="宋体"/>
          <w:spacing w:val="-1"/>
          <w:sz w:val="24"/>
          <w:szCs w:val="24"/>
          <w:highlight w:val="none"/>
        </w:rPr>
        <w:t>在货物采购项目中，供应商提供的货物既有中小企业制造货物，也有大型企业制造货物的，不享受本办法规定的中小企业扶持政策。</w:t>
      </w:r>
    </w:p>
    <w:p w14:paraId="351EADE8">
      <w:pPr>
        <w:spacing w:before="1" w:line="386" w:lineRule="auto"/>
        <w:ind w:left="27" w:right="409" w:firstLine="532"/>
        <w:outlineLvl w:val="9"/>
        <w:rPr>
          <w:rFonts w:ascii="宋体" w:hAnsi="宋体" w:eastAsia="宋体" w:cs="宋体"/>
          <w:sz w:val="24"/>
          <w:szCs w:val="24"/>
          <w:highlight w:val="none"/>
        </w:rPr>
      </w:pPr>
      <w:r>
        <w:rPr>
          <w:rFonts w:ascii="宋体" w:hAnsi="宋体" w:eastAsia="宋体" w:cs="宋体"/>
          <w:spacing w:val="-3"/>
          <w:sz w:val="24"/>
          <w:szCs w:val="24"/>
          <w:highlight w:val="none"/>
        </w:rPr>
        <w:t>以联合体形式参加政府采购活动，联合体各方均为中小企业的，联合体</w:t>
      </w:r>
      <w:r>
        <w:rPr>
          <w:rFonts w:ascii="宋体" w:hAnsi="宋体" w:eastAsia="宋体" w:cs="宋体"/>
          <w:spacing w:val="-1"/>
          <w:sz w:val="24"/>
          <w:szCs w:val="24"/>
          <w:highlight w:val="none"/>
        </w:rPr>
        <w:t>视同中小企业。其中，联合体各方均为小微企业的，联合体视同小微企业。</w:t>
      </w:r>
    </w:p>
    <w:p w14:paraId="233249F6">
      <w:pPr>
        <w:spacing w:before="71" w:line="220" w:lineRule="auto"/>
        <w:ind w:left="22"/>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4、确定中标人</w:t>
      </w:r>
    </w:p>
    <w:p w14:paraId="7B41FA5D">
      <w:pPr>
        <w:pStyle w:val="2"/>
        <w:spacing w:line="287" w:lineRule="auto"/>
        <w:outlineLvl w:val="9"/>
        <w:rPr>
          <w:highlight w:val="none"/>
        </w:rPr>
      </w:pPr>
    </w:p>
    <w:p w14:paraId="4ACDEEAC">
      <w:pPr>
        <w:spacing w:before="79" w:line="221" w:lineRule="auto"/>
        <w:ind w:left="7853" w:right="13" w:hanging="7622"/>
        <w:outlineLvl w:val="9"/>
        <w:rPr>
          <w:rFonts w:ascii="宋体" w:hAnsi="宋体" w:eastAsia="宋体" w:cs="宋体"/>
          <w:sz w:val="24"/>
          <w:szCs w:val="24"/>
          <w:highlight w:val="none"/>
        </w:rPr>
      </w:pPr>
      <w:r>
        <w:rPr>
          <w:rFonts w:ascii="宋体" w:hAnsi="宋体" w:eastAsia="宋体" w:cs="宋体"/>
          <w:spacing w:val="-1"/>
          <w:sz w:val="24"/>
          <w:szCs w:val="24"/>
          <w:highlight w:val="none"/>
        </w:rPr>
        <w:t>4.1评委会根据本招标文件规定评分办法与评分标准向采购人推荐出中标候选</w:t>
      </w:r>
      <w:r>
        <w:rPr>
          <w:rFonts w:ascii="宋体" w:hAnsi="宋体" w:eastAsia="宋体" w:cs="宋体"/>
          <w:spacing w:val="-6"/>
          <w:sz w:val="24"/>
          <w:szCs w:val="24"/>
          <w:highlight w:val="none"/>
        </w:rPr>
        <w:t>人。</w:t>
      </w:r>
    </w:p>
    <w:p w14:paraId="35C2C54D">
      <w:pPr>
        <w:spacing w:before="183" w:line="219" w:lineRule="auto"/>
        <w:ind w:left="504"/>
        <w:outlineLvl w:val="9"/>
        <w:rPr>
          <w:rFonts w:ascii="宋体" w:hAnsi="宋体" w:eastAsia="宋体" w:cs="宋体"/>
          <w:sz w:val="24"/>
          <w:szCs w:val="24"/>
          <w:highlight w:val="none"/>
        </w:rPr>
      </w:pPr>
      <w:r>
        <w:rPr>
          <w:rFonts w:ascii="宋体" w:hAnsi="宋体" w:eastAsia="宋体" w:cs="宋体"/>
          <w:sz w:val="24"/>
          <w:szCs w:val="24"/>
          <w:highlight w:val="none"/>
        </w:rPr>
        <w:t>4.2采购人应根据评委会推荐的中标候选人确定中标人。</w:t>
      </w:r>
    </w:p>
    <w:p w14:paraId="12A5ED8B">
      <w:pPr>
        <w:spacing w:before="214" w:line="294" w:lineRule="auto"/>
        <w:ind w:left="23" w:right="426" w:firstLine="479"/>
        <w:outlineLvl w:val="9"/>
        <w:rPr>
          <w:rFonts w:ascii="宋体" w:hAnsi="宋体" w:eastAsia="宋体" w:cs="宋体"/>
          <w:sz w:val="24"/>
          <w:szCs w:val="24"/>
          <w:highlight w:val="none"/>
        </w:rPr>
      </w:pPr>
      <w:r>
        <w:rPr>
          <w:rFonts w:ascii="宋体" w:hAnsi="宋体" w:eastAsia="宋体" w:cs="宋体"/>
          <w:spacing w:val="2"/>
          <w:sz w:val="24"/>
          <w:szCs w:val="24"/>
          <w:highlight w:val="none"/>
        </w:rPr>
        <w:t>4.3若有充分证据证明，中标人出现下列情况之一的，一经查实，将</w:t>
      </w:r>
      <w:r>
        <w:rPr>
          <w:rFonts w:ascii="宋体" w:hAnsi="宋体" w:eastAsia="宋体" w:cs="宋体"/>
          <w:spacing w:val="-1"/>
          <w:sz w:val="24"/>
          <w:szCs w:val="24"/>
          <w:highlight w:val="none"/>
        </w:rPr>
        <w:t>被取消中标资格：</w:t>
      </w:r>
    </w:p>
    <w:p w14:paraId="24B70531">
      <w:pPr>
        <w:spacing w:before="167" w:line="219" w:lineRule="auto"/>
        <w:ind w:left="504"/>
        <w:outlineLvl w:val="9"/>
        <w:rPr>
          <w:rFonts w:ascii="宋体" w:hAnsi="宋体" w:eastAsia="宋体" w:cs="宋体"/>
          <w:sz w:val="24"/>
          <w:szCs w:val="24"/>
          <w:highlight w:val="none"/>
        </w:rPr>
      </w:pPr>
      <w:r>
        <w:rPr>
          <w:rFonts w:ascii="宋体" w:hAnsi="宋体" w:eastAsia="宋体" w:cs="宋体"/>
          <w:spacing w:val="-2"/>
          <w:sz w:val="24"/>
          <w:szCs w:val="24"/>
          <w:highlight w:val="none"/>
        </w:rPr>
        <w:t>4.3.1提供虚假材料谋取中标的。</w:t>
      </w:r>
    </w:p>
    <w:p w14:paraId="0C8A6BC9">
      <w:pPr>
        <w:spacing w:before="190" w:line="219" w:lineRule="auto"/>
        <w:ind w:left="504"/>
        <w:outlineLvl w:val="9"/>
        <w:rPr>
          <w:rFonts w:ascii="宋体" w:hAnsi="宋体" w:eastAsia="宋体" w:cs="宋体"/>
          <w:sz w:val="24"/>
          <w:szCs w:val="24"/>
          <w:highlight w:val="none"/>
        </w:rPr>
      </w:pPr>
      <w:r>
        <w:rPr>
          <w:rFonts w:ascii="宋体" w:hAnsi="宋体" w:eastAsia="宋体" w:cs="宋体"/>
          <w:spacing w:val="-1"/>
          <w:sz w:val="24"/>
          <w:szCs w:val="24"/>
          <w:highlight w:val="none"/>
        </w:rPr>
        <w:t>4.3.2向采购人及采购代理机构行贿或者提供</w:t>
      </w:r>
      <w:r>
        <w:rPr>
          <w:rFonts w:ascii="宋体" w:hAnsi="宋体" w:eastAsia="宋体" w:cs="宋体"/>
          <w:spacing w:val="-2"/>
          <w:sz w:val="24"/>
          <w:szCs w:val="24"/>
          <w:highlight w:val="none"/>
        </w:rPr>
        <w:t>其他不正当利益的。</w:t>
      </w:r>
    </w:p>
    <w:p w14:paraId="2D70BECD">
      <w:pPr>
        <w:spacing w:before="100" w:line="330" w:lineRule="auto"/>
        <w:ind w:left="22" w:right="66" w:firstLine="482"/>
        <w:outlineLvl w:val="9"/>
        <w:rPr>
          <w:rFonts w:ascii="宋体" w:hAnsi="宋体" w:eastAsia="宋体" w:cs="宋体"/>
          <w:sz w:val="24"/>
          <w:szCs w:val="24"/>
          <w:highlight w:val="none"/>
        </w:rPr>
      </w:pPr>
      <w:r>
        <w:rPr>
          <w:rFonts w:ascii="宋体" w:hAnsi="宋体" w:eastAsia="宋体" w:cs="宋体"/>
          <w:sz w:val="24"/>
          <w:szCs w:val="24"/>
          <w:highlight w:val="none"/>
        </w:rPr>
        <w:t>4.3.3恶意竞争，评标委员会认为投标人的报价明显低于其他通过符合性</w:t>
      </w:r>
      <w:r>
        <w:rPr>
          <w:rFonts w:ascii="宋体" w:hAnsi="宋体" w:eastAsia="宋体" w:cs="宋体"/>
          <w:spacing w:val="-1"/>
          <w:sz w:val="24"/>
          <w:szCs w:val="24"/>
          <w:highlight w:val="none"/>
        </w:rPr>
        <w:t>审查投标人的报价，有可能影响产品质量或者不能诚信履约的，应当要求其在</w:t>
      </w:r>
      <w:r>
        <w:rPr>
          <w:rFonts w:ascii="宋体" w:hAnsi="宋体" w:eastAsia="宋体" w:cs="宋体"/>
          <w:spacing w:val="-5"/>
          <w:sz w:val="24"/>
          <w:szCs w:val="24"/>
          <w:highlight w:val="none"/>
        </w:rPr>
        <w:t>评标现场合理的时间内提供书面说明，必要时提交相关证明材料；投标人不能证</w:t>
      </w:r>
      <w:r>
        <w:rPr>
          <w:rFonts w:ascii="宋体" w:hAnsi="宋体" w:eastAsia="宋体" w:cs="宋体"/>
          <w:spacing w:val="-2"/>
          <w:sz w:val="24"/>
          <w:szCs w:val="24"/>
          <w:highlight w:val="none"/>
        </w:rPr>
        <w:t>明其报价合理性的，评标委员会应当将其作为无效投</w:t>
      </w:r>
      <w:r>
        <w:rPr>
          <w:rFonts w:ascii="宋体" w:hAnsi="宋体" w:eastAsia="宋体" w:cs="宋体"/>
          <w:spacing w:val="-3"/>
          <w:sz w:val="24"/>
          <w:szCs w:val="24"/>
          <w:highlight w:val="none"/>
        </w:rPr>
        <w:t>标处理。</w:t>
      </w:r>
    </w:p>
    <w:p w14:paraId="3A257367">
      <w:pPr>
        <w:spacing w:before="163" w:line="219" w:lineRule="auto"/>
        <w:ind w:left="504"/>
        <w:outlineLvl w:val="9"/>
        <w:rPr>
          <w:rFonts w:ascii="宋体" w:hAnsi="宋体" w:eastAsia="宋体" w:cs="宋体"/>
          <w:sz w:val="24"/>
          <w:szCs w:val="24"/>
          <w:highlight w:val="none"/>
        </w:rPr>
      </w:pPr>
      <w:r>
        <w:rPr>
          <w:rFonts w:ascii="宋体" w:hAnsi="宋体" w:eastAsia="宋体" w:cs="宋体"/>
          <w:spacing w:val="-1"/>
          <w:sz w:val="24"/>
          <w:szCs w:val="24"/>
          <w:highlight w:val="none"/>
        </w:rPr>
        <w:t>4.3.4属于本文件规定的无效条件，但在评标过程中又未被评委</w:t>
      </w:r>
      <w:r>
        <w:rPr>
          <w:rFonts w:ascii="宋体" w:hAnsi="宋体" w:eastAsia="宋体" w:cs="宋体"/>
          <w:spacing w:val="-2"/>
          <w:sz w:val="24"/>
          <w:szCs w:val="24"/>
          <w:highlight w:val="none"/>
        </w:rPr>
        <w:t>会发现的</w:t>
      </w:r>
    </w:p>
    <w:p w14:paraId="34BD00B6">
      <w:pPr>
        <w:spacing w:before="156" w:line="121" w:lineRule="exact"/>
        <w:ind w:left="529"/>
        <w:outlineLvl w:val="9"/>
        <w:rPr>
          <w:rFonts w:ascii="宋体" w:hAnsi="宋体" w:eastAsia="宋体" w:cs="宋体"/>
          <w:sz w:val="24"/>
          <w:szCs w:val="24"/>
          <w:highlight w:val="none"/>
        </w:rPr>
      </w:pPr>
      <w:r>
        <w:rPr>
          <w:rFonts w:ascii="宋体" w:hAnsi="宋体" w:eastAsia="宋体" w:cs="宋体"/>
          <w:position w:val="1"/>
          <w:sz w:val="24"/>
          <w:szCs w:val="24"/>
          <w:highlight w:val="none"/>
        </w:rPr>
        <w:t>。</w:t>
      </w:r>
    </w:p>
    <w:p w14:paraId="7BD6E030">
      <w:pPr>
        <w:spacing w:before="199" w:line="219" w:lineRule="auto"/>
        <w:ind w:left="504"/>
        <w:outlineLvl w:val="9"/>
        <w:rPr>
          <w:rFonts w:ascii="宋体" w:hAnsi="宋体" w:eastAsia="宋体" w:cs="宋体"/>
          <w:sz w:val="24"/>
          <w:szCs w:val="24"/>
          <w:highlight w:val="none"/>
        </w:rPr>
      </w:pPr>
      <w:r>
        <w:rPr>
          <w:rFonts w:ascii="宋体" w:hAnsi="宋体" w:eastAsia="宋体" w:cs="宋体"/>
          <w:spacing w:val="-1"/>
          <w:sz w:val="24"/>
          <w:szCs w:val="24"/>
          <w:highlight w:val="none"/>
        </w:rPr>
        <w:t>4.3.5与采购人或者其他供应商恶意串通</w:t>
      </w:r>
      <w:r>
        <w:rPr>
          <w:rFonts w:ascii="宋体" w:hAnsi="宋体" w:eastAsia="宋体" w:cs="宋体"/>
          <w:spacing w:val="-2"/>
          <w:sz w:val="24"/>
          <w:szCs w:val="24"/>
          <w:highlight w:val="none"/>
        </w:rPr>
        <w:t>的。</w:t>
      </w:r>
    </w:p>
    <w:p w14:paraId="585CCFFE">
      <w:pPr>
        <w:spacing w:before="193" w:line="219" w:lineRule="auto"/>
        <w:ind w:left="504"/>
        <w:outlineLvl w:val="9"/>
        <w:rPr>
          <w:rFonts w:ascii="宋体" w:hAnsi="宋体" w:eastAsia="宋体" w:cs="宋体"/>
          <w:sz w:val="24"/>
          <w:szCs w:val="24"/>
          <w:highlight w:val="none"/>
        </w:rPr>
      </w:pPr>
      <w:r>
        <w:rPr>
          <w:rFonts w:ascii="宋体" w:hAnsi="宋体" w:eastAsia="宋体" w:cs="宋体"/>
          <w:spacing w:val="-1"/>
          <w:sz w:val="24"/>
          <w:szCs w:val="24"/>
          <w:highlight w:val="none"/>
        </w:rPr>
        <w:t>4.3.6采取不正当手段诋毁、排挤其他供应商的。</w:t>
      </w:r>
    </w:p>
    <w:p w14:paraId="73EDA266">
      <w:pPr>
        <w:spacing w:line="219" w:lineRule="auto"/>
        <w:outlineLvl w:val="9"/>
        <w:rPr>
          <w:rFonts w:ascii="宋体" w:hAnsi="宋体" w:eastAsia="宋体" w:cs="宋体"/>
          <w:sz w:val="24"/>
          <w:szCs w:val="24"/>
          <w:highlight w:val="none"/>
        </w:rPr>
        <w:sectPr>
          <w:footerReference r:id="rId47" w:type="default"/>
          <w:pgSz w:w="11906" w:h="16840"/>
          <w:pgMar w:top="1091" w:right="1785" w:bottom="108" w:left="1785" w:header="1077" w:footer="0" w:gutter="0"/>
          <w:pgNumType w:fmt="decimal"/>
          <w:cols w:space="720" w:num="1"/>
        </w:sectPr>
      </w:pPr>
    </w:p>
    <w:p w14:paraId="388E0FD3">
      <w:pPr>
        <w:pStyle w:val="2"/>
        <w:spacing w:line="264" w:lineRule="auto"/>
        <w:rPr>
          <w:highlight w:val="none"/>
        </w:rPr>
      </w:pPr>
    </w:p>
    <w:p w14:paraId="0A5EB436">
      <w:pPr>
        <w:spacing w:before="111" w:line="225" w:lineRule="auto"/>
        <w:ind w:left="2578"/>
        <w:outlineLvl w:val="0"/>
        <w:rPr>
          <w:rFonts w:ascii="宋体" w:hAnsi="宋体" w:eastAsia="宋体" w:cs="宋体"/>
          <w:sz w:val="34"/>
          <w:szCs w:val="34"/>
          <w:highlight w:val="none"/>
        </w:rPr>
      </w:pPr>
      <w:bookmarkStart w:id="13" w:name="bookmark19"/>
      <w:bookmarkEnd w:id="13"/>
      <w:bookmarkStart w:id="14" w:name="_Toc18613_WPSOffice_Level1"/>
      <w:r>
        <w:rPr>
          <w:rFonts w:ascii="宋体" w:hAnsi="宋体" w:eastAsia="宋体" w:cs="宋体"/>
          <w:b/>
          <w:bCs/>
          <w:spacing w:val="7"/>
          <w:sz w:val="34"/>
          <w:szCs w:val="34"/>
          <w:highlight w:val="none"/>
        </w:rPr>
        <w:t>第五部分合同文件</w:t>
      </w:r>
      <w:bookmarkEnd w:id="14"/>
    </w:p>
    <w:p w14:paraId="3F824D49">
      <w:pPr>
        <w:spacing w:before="121" w:line="227" w:lineRule="auto"/>
        <w:ind w:left="3586"/>
        <w:outlineLvl w:val="1"/>
        <w:rPr>
          <w:rFonts w:ascii="宋体" w:hAnsi="宋体" w:eastAsia="宋体" w:cs="宋体"/>
          <w:sz w:val="19"/>
          <w:szCs w:val="19"/>
          <w:highlight w:val="none"/>
        </w:rPr>
      </w:pPr>
      <w:r>
        <w:rPr>
          <w:rFonts w:ascii="宋体" w:hAnsi="宋体" w:eastAsia="宋体" w:cs="宋体"/>
          <w:spacing w:val="8"/>
          <w:sz w:val="19"/>
          <w:szCs w:val="19"/>
          <w:highlight w:val="none"/>
        </w:rPr>
        <w:t>（仅供参考）</w:t>
      </w:r>
    </w:p>
    <w:p w14:paraId="7E5FA294">
      <w:pPr>
        <w:pStyle w:val="2"/>
        <w:spacing w:line="307" w:lineRule="auto"/>
        <w:rPr>
          <w:highlight w:val="none"/>
        </w:rPr>
      </w:pPr>
    </w:p>
    <w:p w14:paraId="68656B05">
      <w:pPr>
        <w:pStyle w:val="2"/>
        <w:spacing w:line="308" w:lineRule="auto"/>
        <w:rPr>
          <w:highlight w:val="none"/>
        </w:rPr>
      </w:pPr>
    </w:p>
    <w:p w14:paraId="54D3A79C">
      <w:pPr>
        <w:pStyle w:val="2"/>
        <w:spacing w:line="308" w:lineRule="auto"/>
        <w:outlineLvl w:val="9"/>
        <w:rPr>
          <w:highlight w:val="none"/>
        </w:rPr>
      </w:pPr>
    </w:p>
    <w:p w14:paraId="1C54B818">
      <w:pPr>
        <w:spacing w:before="136" w:line="223" w:lineRule="auto"/>
        <w:ind w:left="2201"/>
        <w:outlineLvl w:val="9"/>
        <w:rPr>
          <w:rFonts w:ascii="宋体" w:hAnsi="宋体" w:eastAsia="宋体" w:cs="宋体"/>
          <w:sz w:val="42"/>
          <w:szCs w:val="42"/>
          <w:highlight w:val="none"/>
        </w:rPr>
      </w:pPr>
      <w:r>
        <w:rPr>
          <w:rFonts w:ascii="宋体" w:hAnsi="宋体" w:eastAsia="宋体" w:cs="宋体"/>
          <w:b/>
          <w:bCs/>
          <w:spacing w:val="-18"/>
          <w:sz w:val="42"/>
          <w:szCs w:val="42"/>
          <w:highlight w:val="none"/>
        </w:rPr>
        <w:t>政府采购货物买卖合同</w:t>
      </w:r>
    </w:p>
    <w:p w14:paraId="6F2BEEE1">
      <w:pPr>
        <w:spacing w:before="117" w:line="224" w:lineRule="auto"/>
        <w:ind w:left="3443"/>
        <w:outlineLvl w:val="9"/>
        <w:rPr>
          <w:rFonts w:ascii="宋体" w:hAnsi="宋体" w:eastAsia="宋体" w:cs="宋体"/>
          <w:sz w:val="42"/>
          <w:szCs w:val="42"/>
          <w:highlight w:val="none"/>
        </w:rPr>
      </w:pPr>
      <w:r>
        <w:rPr>
          <w:rFonts w:ascii="宋体" w:hAnsi="宋体" w:eastAsia="宋体" w:cs="宋体"/>
          <w:b/>
          <w:bCs/>
          <w:spacing w:val="-17"/>
          <w:sz w:val="42"/>
          <w:szCs w:val="42"/>
          <w:highlight w:val="none"/>
        </w:rPr>
        <w:t>（试行）</w:t>
      </w:r>
    </w:p>
    <w:p w14:paraId="75178D23">
      <w:pPr>
        <w:pStyle w:val="2"/>
        <w:spacing w:line="242" w:lineRule="auto"/>
        <w:outlineLvl w:val="9"/>
        <w:rPr>
          <w:highlight w:val="none"/>
        </w:rPr>
      </w:pPr>
    </w:p>
    <w:p w14:paraId="53D97ACF">
      <w:pPr>
        <w:pStyle w:val="2"/>
        <w:spacing w:line="242" w:lineRule="auto"/>
        <w:outlineLvl w:val="9"/>
        <w:rPr>
          <w:highlight w:val="none"/>
        </w:rPr>
      </w:pPr>
    </w:p>
    <w:p w14:paraId="07195CEA">
      <w:pPr>
        <w:pStyle w:val="2"/>
        <w:spacing w:line="242" w:lineRule="auto"/>
        <w:outlineLvl w:val="9"/>
        <w:rPr>
          <w:highlight w:val="none"/>
        </w:rPr>
      </w:pPr>
    </w:p>
    <w:p w14:paraId="7279E607">
      <w:pPr>
        <w:pStyle w:val="2"/>
        <w:spacing w:line="242" w:lineRule="auto"/>
        <w:outlineLvl w:val="9"/>
        <w:rPr>
          <w:highlight w:val="none"/>
        </w:rPr>
      </w:pPr>
    </w:p>
    <w:p w14:paraId="5FC39E3B">
      <w:pPr>
        <w:pStyle w:val="2"/>
        <w:spacing w:line="243" w:lineRule="auto"/>
        <w:outlineLvl w:val="9"/>
        <w:rPr>
          <w:highlight w:val="none"/>
        </w:rPr>
      </w:pPr>
    </w:p>
    <w:p w14:paraId="69608C25">
      <w:pPr>
        <w:pStyle w:val="2"/>
        <w:spacing w:line="243" w:lineRule="auto"/>
        <w:outlineLvl w:val="9"/>
        <w:rPr>
          <w:highlight w:val="none"/>
        </w:rPr>
      </w:pPr>
    </w:p>
    <w:p w14:paraId="0F95674A">
      <w:pPr>
        <w:pStyle w:val="2"/>
        <w:spacing w:line="243" w:lineRule="auto"/>
        <w:outlineLvl w:val="9"/>
        <w:rPr>
          <w:highlight w:val="none"/>
        </w:rPr>
      </w:pPr>
    </w:p>
    <w:p w14:paraId="53BBA308">
      <w:pPr>
        <w:pStyle w:val="2"/>
        <w:spacing w:line="243" w:lineRule="auto"/>
        <w:outlineLvl w:val="9"/>
        <w:rPr>
          <w:highlight w:val="none"/>
        </w:rPr>
      </w:pPr>
    </w:p>
    <w:p w14:paraId="2483D574">
      <w:pPr>
        <w:tabs>
          <w:tab w:val="left" w:pos="6042"/>
          <w:tab w:val="left" w:pos="6045"/>
        </w:tabs>
        <w:spacing w:before="91" w:line="413" w:lineRule="auto"/>
        <w:ind w:left="469" w:right="2289" w:firstLine="9"/>
        <w:jc w:val="both"/>
        <w:outlineLvl w:val="9"/>
        <w:rPr>
          <w:rFonts w:hint="eastAsia" w:ascii="宋体" w:hAnsi="宋体" w:eastAsia="宋体" w:cs="宋体"/>
          <w:sz w:val="28"/>
          <w:szCs w:val="28"/>
          <w:highlight w:val="none"/>
          <w:lang w:eastAsia="zh-CN"/>
        </w:rPr>
      </w:pPr>
      <w:r>
        <w:rPr>
          <w:rFonts w:ascii="宋体" w:hAnsi="宋体" w:eastAsia="宋体" w:cs="宋体"/>
          <w:spacing w:val="-8"/>
          <w:sz w:val="28"/>
          <w:szCs w:val="28"/>
          <w:highlight w:val="none"/>
        </w:rPr>
        <w:t>项目名称：</w:t>
      </w:r>
      <w:r>
        <w:rPr>
          <w:rFonts w:ascii="宋体" w:hAnsi="宋体" w:eastAsia="宋体" w:cs="宋体"/>
          <w:sz w:val="28"/>
          <w:szCs w:val="28"/>
          <w:highlight w:val="none"/>
          <w:u w:val="single" w:color="auto"/>
        </w:rPr>
        <w:tab/>
      </w:r>
      <w:r>
        <w:rPr>
          <w:rFonts w:ascii="宋体" w:hAnsi="宋体" w:eastAsia="宋体" w:cs="宋体"/>
          <w:spacing w:val="-5"/>
          <w:sz w:val="28"/>
          <w:szCs w:val="28"/>
          <w:highlight w:val="none"/>
        </w:rPr>
        <w:t>合同编号：</w:t>
      </w:r>
      <w:r>
        <w:rPr>
          <w:rFonts w:ascii="宋体" w:hAnsi="宋体" w:eastAsia="宋体" w:cs="宋体"/>
          <w:sz w:val="28"/>
          <w:szCs w:val="28"/>
          <w:highlight w:val="none"/>
          <w:u w:val="single" w:color="auto"/>
        </w:rPr>
        <w:tab/>
      </w:r>
      <w:r>
        <w:rPr>
          <w:rFonts w:ascii="宋体" w:hAnsi="宋体" w:eastAsia="宋体" w:cs="宋体"/>
          <w:sz w:val="28"/>
          <w:szCs w:val="28"/>
          <w:highlight w:val="none"/>
          <w:u w:val="single" w:color="auto"/>
        </w:rPr>
        <w:tab/>
      </w:r>
      <w:r>
        <w:rPr>
          <w:rFonts w:ascii="宋体" w:hAnsi="宋体" w:eastAsia="宋体" w:cs="宋体"/>
          <w:spacing w:val="-4"/>
          <w:sz w:val="28"/>
          <w:szCs w:val="28"/>
          <w:highlight w:val="none"/>
        </w:rPr>
        <w:t>甲方：</w:t>
      </w:r>
      <w:r>
        <w:rPr>
          <w:rFonts w:ascii="宋体" w:hAnsi="宋体" w:eastAsia="宋体" w:cs="宋体"/>
          <w:sz w:val="28"/>
          <w:szCs w:val="28"/>
          <w:highlight w:val="none"/>
          <w:u w:val="single" w:color="auto"/>
        </w:rPr>
        <w:tab/>
      </w:r>
      <w:r>
        <w:rPr>
          <w:rFonts w:ascii="宋体" w:hAnsi="宋体" w:eastAsia="宋体" w:cs="宋体"/>
          <w:sz w:val="28"/>
          <w:szCs w:val="28"/>
          <w:highlight w:val="none"/>
          <w:u w:val="single" w:color="auto"/>
        </w:rPr>
        <w:tab/>
      </w:r>
      <w:r>
        <w:rPr>
          <w:rFonts w:ascii="宋体" w:hAnsi="宋体" w:eastAsia="宋体" w:cs="宋体"/>
          <w:spacing w:val="-5"/>
          <w:sz w:val="28"/>
          <w:szCs w:val="28"/>
          <w:highlight w:val="none"/>
        </w:rPr>
        <w:t>乙方：</w:t>
      </w:r>
      <w:r>
        <w:rPr>
          <w:rFonts w:ascii="宋体" w:hAnsi="宋体" w:eastAsia="宋体" w:cs="宋体"/>
          <w:sz w:val="28"/>
          <w:szCs w:val="28"/>
          <w:highlight w:val="none"/>
          <w:u w:val="single" w:color="auto"/>
        </w:rPr>
        <w:tab/>
      </w:r>
      <w:r>
        <w:rPr>
          <w:rFonts w:ascii="宋体" w:hAnsi="宋体" w:eastAsia="宋体" w:cs="宋体"/>
          <w:sz w:val="28"/>
          <w:szCs w:val="28"/>
          <w:highlight w:val="none"/>
          <w:u w:val="single" w:color="auto"/>
        </w:rPr>
        <w:tab/>
      </w:r>
      <w:r>
        <w:rPr>
          <w:rFonts w:ascii="宋体" w:hAnsi="宋体" w:eastAsia="宋体" w:cs="宋体"/>
          <w:spacing w:val="-6"/>
          <w:sz w:val="28"/>
          <w:szCs w:val="28"/>
          <w:highlight w:val="none"/>
        </w:rPr>
        <w:t>签订时间：</w:t>
      </w:r>
    </w:p>
    <w:p w14:paraId="41F78FF4">
      <w:pPr>
        <w:pStyle w:val="2"/>
        <w:spacing w:line="242" w:lineRule="auto"/>
        <w:outlineLvl w:val="9"/>
        <w:rPr>
          <w:highlight w:val="none"/>
        </w:rPr>
      </w:pPr>
    </w:p>
    <w:p w14:paraId="66C42A9B">
      <w:pPr>
        <w:pStyle w:val="2"/>
        <w:spacing w:line="242" w:lineRule="auto"/>
        <w:outlineLvl w:val="9"/>
        <w:rPr>
          <w:highlight w:val="none"/>
        </w:rPr>
      </w:pPr>
    </w:p>
    <w:p w14:paraId="6BAACDBA">
      <w:pPr>
        <w:pStyle w:val="2"/>
        <w:spacing w:line="242" w:lineRule="auto"/>
        <w:outlineLvl w:val="9"/>
        <w:rPr>
          <w:highlight w:val="none"/>
        </w:rPr>
      </w:pPr>
    </w:p>
    <w:p w14:paraId="6C0A1A7F">
      <w:pPr>
        <w:pStyle w:val="2"/>
        <w:spacing w:line="242" w:lineRule="auto"/>
        <w:outlineLvl w:val="9"/>
        <w:rPr>
          <w:highlight w:val="none"/>
        </w:rPr>
      </w:pPr>
    </w:p>
    <w:p w14:paraId="6269CEC0">
      <w:pPr>
        <w:pStyle w:val="2"/>
        <w:spacing w:line="242" w:lineRule="auto"/>
        <w:outlineLvl w:val="9"/>
        <w:rPr>
          <w:highlight w:val="none"/>
        </w:rPr>
      </w:pPr>
    </w:p>
    <w:p w14:paraId="661D50FF">
      <w:pPr>
        <w:pStyle w:val="2"/>
        <w:spacing w:line="242" w:lineRule="auto"/>
        <w:outlineLvl w:val="9"/>
        <w:rPr>
          <w:highlight w:val="none"/>
        </w:rPr>
      </w:pPr>
    </w:p>
    <w:p w14:paraId="76062ED2">
      <w:pPr>
        <w:pStyle w:val="2"/>
        <w:spacing w:line="242" w:lineRule="auto"/>
        <w:outlineLvl w:val="9"/>
        <w:rPr>
          <w:highlight w:val="none"/>
        </w:rPr>
      </w:pPr>
    </w:p>
    <w:p w14:paraId="57963EA0">
      <w:pPr>
        <w:pStyle w:val="2"/>
        <w:spacing w:line="242" w:lineRule="auto"/>
        <w:outlineLvl w:val="9"/>
        <w:rPr>
          <w:highlight w:val="none"/>
        </w:rPr>
      </w:pPr>
    </w:p>
    <w:p w14:paraId="7D10B579">
      <w:pPr>
        <w:pStyle w:val="2"/>
        <w:spacing w:line="242" w:lineRule="auto"/>
        <w:outlineLvl w:val="9"/>
        <w:rPr>
          <w:highlight w:val="none"/>
        </w:rPr>
      </w:pPr>
    </w:p>
    <w:p w14:paraId="3E1C1458">
      <w:pPr>
        <w:pStyle w:val="2"/>
        <w:spacing w:line="242" w:lineRule="auto"/>
        <w:outlineLvl w:val="9"/>
        <w:rPr>
          <w:highlight w:val="none"/>
        </w:rPr>
      </w:pPr>
    </w:p>
    <w:p w14:paraId="41157401">
      <w:pPr>
        <w:pStyle w:val="2"/>
        <w:spacing w:line="242" w:lineRule="auto"/>
        <w:outlineLvl w:val="9"/>
        <w:rPr>
          <w:highlight w:val="none"/>
        </w:rPr>
      </w:pPr>
    </w:p>
    <w:p w14:paraId="31A3C1BD">
      <w:pPr>
        <w:pStyle w:val="2"/>
        <w:spacing w:line="242" w:lineRule="auto"/>
        <w:outlineLvl w:val="9"/>
        <w:rPr>
          <w:highlight w:val="none"/>
        </w:rPr>
      </w:pPr>
    </w:p>
    <w:p w14:paraId="7B4881E7">
      <w:pPr>
        <w:pStyle w:val="2"/>
        <w:spacing w:line="242" w:lineRule="auto"/>
        <w:outlineLvl w:val="9"/>
        <w:rPr>
          <w:highlight w:val="none"/>
        </w:rPr>
      </w:pPr>
    </w:p>
    <w:p w14:paraId="07E4D7C6">
      <w:pPr>
        <w:pStyle w:val="2"/>
        <w:spacing w:line="243" w:lineRule="auto"/>
        <w:outlineLvl w:val="9"/>
        <w:rPr>
          <w:highlight w:val="none"/>
        </w:rPr>
      </w:pPr>
    </w:p>
    <w:p w14:paraId="75D7EE59">
      <w:pPr>
        <w:pStyle w:val="2"/>
        <w:spacing w:line="243" w:lineRule="auto"/>
        <w:outlineLvl w:val="9"/>
        <w:rPr>
          <w:highlight w:val="none"/>
        </w:rPr>
      </w:pPr>
    </w:p>
    <w:p w14:paraId="3EEE9FD5">
      <w:pPr>
        <w:pStyle w:val="2"/>
        <w:spacing w:line="243" w:lineRule="auto"/>
        <w:outlineLvl w:val="9"/>
        <w:rPr>
          <w:highlight w:val="none"/>
        </w:rPr>
      </w:pPr>
      <w:r>
        <w:rPr>
          <w:highlight w:val="none"/>
        </w:rPr>
        <w:pict>
          <v:shape id="_x0000_s1028" o:spid="_x0000_s1028" o:spt="202" type="#_x0000_t202" style="position:absolute;left:0pt;margin-left:207.75pt;margin-top:11pt;height:14.3pt;width:6.65pt;z-index:251673600;mso-width-relative:page;mso-height-relative:page;" filled="f" stroked="f" coordsize="21600,21600">
            <v:path/>
            <v:fill on="f" focussize="0,0"/>
            <v:stroke on="f"/>
            <v:imagedata o:title=""/>
            <o:lock v:ext="edit" aspectratio="f"/>
            <v:textbox inset="0mm,0mm,0mm,0mm">
              <w:txbxContent>
                <w:p w14:paraId="3CA8BE00">
                  <w:pPr>
                    <w:pStyle w:val="2"/>
                    <w:spacing w:before="20" w:line="245" w:lineRule="exact"/>
                    <w:rPr>
                      <w:sz w:val="18"/>
                      <w:szCs w:val="18"/>
                    </w:rPr>
                  </w:pPr>
                </w:p>
              </w:txbxContent>
            </v:textbox>
          </v:shape>
        </w:pict>
      </w:r>
    </w:p>
    <w:p w14:paraId="5ED5E535">
      <w:pPr>
        <w:spacing w:line="98" w:lineRule="exact"/>
        <w:outlineLvl w:val="9"/>
        <w:rPr>
          <w:sz w:val="18"/>
          <w:szCs w:val="18"/>
          <w:highlight w:val="none"/>
        </w:rPr>
        <w:sectPr>
          <w:footerReference r:id="rId48" w:type="default"/>
          <w:pgSz w:w="11906" w:h="16840"/>
          <w:pgMar w:top="1091" w:right="1785" w:bottom="1" w:left="1785" w:header="1077" w:footer="0" w:gutter="0"/>
          <w:pgNumType w:fmt="decimal"/>
          <w:cols w:space="720" w:num="1"/>
        </w:sectPr>
      </w:pPr>
    </w:p>
    <w:p w14:paraId="3FAD726C">
      <w:pPr>
        <w:pStyle w:val="2"/>
        <w:spacing w:line="269" w:lineRule="auto"/>
        <w:outlineLvl w:val="9"/>
        <w:rPr>
          <w:highlight w:val="none"/>
        </w:rPr>
      </w:pPr>
    </w:p>
    <w:p w14:paraId="3DEEDFBD">
      <w:pPr>
        <w:pStyle w:val="2"/>
        <w:spacing w:line="269" w:lineRule="auto"/>
        <w:outlineLvl w:val="9"/>
        <w:rPr>
          <w:highlight w:val="none"/>
        </w:rPr>
      </w:pPr>
    </w:p>
    <w:p w14:paraId="04E042F1">
      <w:pPr>
        <w:pStyle w:val="2"/>
        <w:spacing w:line="270" w:lineRule="auto"/>
        <w:outlineLvl w:val="9"/>
        <w:rPr>
          <w:highlight w:val="none"/>
        </w:rPr>
      </w:pPr>
    </w:p>
    <w:p w14:paraId="0945BFE9">
      <w:pPr>
        <w:spacing w:before="130" w:line="221" w:lineRule="auto"/>
        <w:ind w:left="3092"/>
        <w:outlineLvl w:val="9"/>
        <w:rPr>
          <w:rFonts w:ascii="黑体" w:hAnsi="黑体" w:eastAsia="黑体" w:cs="黑体"/>
          <w:sz w:val="40"/>
          <w:szCs w:val="40"/>
          <w:highlight w:val="none"/>
        </w:rPr>
      </w:pPr>
      <w:r>
        <w:rPr>
          <w:rFonts w:ascii="黑体" w:hAnsi="黑体" w:eastAsia="黑体" w:cs="黑体"/>
          <w:spacing w:val="-14"/>
          <w:sz w:val="40"/>
          <w:szCs w:val="40"/>
          <w:highlight w:val="none"/>
        </w:rPr>
        <w:t>使用说明</w:t>
      </w:r>
    </w:p>
    <w:p w14:paraId="2D06951A">
      <w:pPr>
        <w:pStyle w:val="2"/>
        <w:spacing w:line="249" w:lineRule="auto"/>
        <w:outlineLvl w:val="9"/>
        <w:rPr>
          <w:highlight w:val="none"/>
        </w:rPr>
      </w:pPr>
    </w:p>
    <w:p w14:paraId="362EA2E6">
      <w:pPr>
        <w:pStyle w:val="2"/>
        <w:spacing w:line="249" w:lineRule="auto"/>
        <w:outlineLvl w:val="9"/>
        <w:rPr>
          <w:highlight w:val="none"/>
        </w:rPr>
      </w:pPr>
    </w:p>
    <w:p w14:paraId="62005AEE">
      <w:pPr>
        <w:pStyle w:val="2"/>
        <w:spacing w:line="250" w:lineRule="auto"/>
        <w:outlineLvl w:val="9"/>
        <w:rPr>
          <w:highlight w:val="none"/>
        </w:rPr>
      </w:pPr>
    </w:p>
    <w:p w14:paraId="70559F41">
      <w:pPr>
        <w:spacing w:before="91" w:line="317" w:lineRule="auto"/>
        <w:ind w:left="50" w:right="11" w:firstLine="582"/>
        <w:outlineLvl w:val="9"/>
        <w:rPr>
          <w:rFonts w:ascii="仿宋" w:hAnsi="仿宋" w:eastAsia="仿宋" w:cs="仿宋"/>
          <w:sz w:val="28"/>
          <w:szCs w:val="28"/>
          <w:highlight w:val="none"/>
        </w:rPr>
      </w:pPr>
      <w:r>
        <w:rPr>
          <w:rFonts w:ascii="仿宋" w:hAnsi="仿宋" w:eastAsia="仿宋" w:cs="仿宋"/>
          <w:spacing w:val="-5"/>
          <w:sz w:val="28"/>
          <w:szCs w:val="28"/>
          <w:highlight w:val="none"/>
        </w:rPr>
        <w:t>1.本合同标准文本适用于购买现成货物的采购项目</w:t>
      </w:r>
      <w:r>
        <w:rPr>
          <w:rFonts w:ascii="仿宋" w:hAnsi="仿宋" w:eastAsia="仿宋" w:cs="仿宋"/>
          <w:spacing w:val="-6"/>
          <w:sz w:val="28"/>
          <w:szCs w:val="28"/>
          <w:highlight w:val="none"/>
        </w:rPr>
        <w:t>，不包括需要</w:t>
      </w:r>
      <w:r>
        <w:rPr>
          <w:rFonts w:ascii="仿宋" w:hAnsi="仿宋" w:eastAsia="仿宋" w:cs="仿宋"/>
          <w:spacing w:val="-2"/>
          <w:sz w:val="28"/>
          <w:szCs w:val="28"/>
          <w:highlight w:val="none"/>
        </w:rPr>
        <w:t>供应商定制开发、创新研发的货物采购项目。</w:t>
      </w:r>
    </w:p>
    <w:p w14:paraId="486F0D80">
      <w:pPr>
        <w:spacing w:before="284" w:line="315" w:lineRule="auto"/>
        <w:ind w:left="62" w:right="11" w:firstLine="577"/>
        <w:outlineLvl w:val="9"/>
        <w:rPr>
          <w:rFonts w:ascii="仿宋" w:hAnsi="仿宋" w:eastAsia="仿宋" w:cs="仿宋"/>
          <w:sz w:val="28"/>
          <w:szCs w:val="28"/>
          <w:highlight w:val="none"/>
        </w:rPr>
      </w:pPr>
      <w:r>
        <w:rPr>
          <w:rFonts w:ascii="仿宋" w:hAnsi="仿宋" w:eastAsia="仿宋" w:cs="仿宋"/>
          <w:spacing w:val="-6"/>
          <w:sz w:val="28"/>
          <w:szCs w:val="28"/>
          <w:highlight w:val="none"/>
        </w:rPr>
        <w:t>2.本合同标准文本为政府采购货物买卖合同编制提供参考，可以</w:t>
      </w:r>
      <w:r>
        <w:rPr>
          <w:rFonts w:ascii="仿宋" w:hAnsi="仿宋" w:eastAsia="仿宋" w:cs="仿宋"/>
          <w:spacing w:val="-2"/>
          <w:sz w:val="28"/>
          <w:szCs w:val="28"/>
          <w:highlight w:val="none"/>
        </w:rPr>
        <w:t>结合采购项目具体情况，对文本作必要的调整修订后使用。</w:t>
      </w:r>
    </w:p>
    <w:p w14:paraId="65639A9C">
      <w:pPr>
        <w:spacing w:before="289" w:line="348" w:lineRule="auto"/>
        <w:ind w:left="48" w:right="18" w:firstLine="552"/>
        <w:outlineLvl w:val="9"/>
        <w:rPr>
          <w:rFonts w:ascii="仿宋" w:hAnsi="仿宋" w:eastAsia="仿宋" w:cs="仿宋"/>
          <w:sz w:val="28"/>
          <w:szCs w:val="28"/>
          <w:highlight w:val="none"/>
        </w:rPr>
      </w:pPr>
      <w:r>
        <w:rPr>
          <w:rFonts w:ascii="仿宋" w:hAnsi="仿宋" w:eastAsia="仿宋" w:cs="仿宋"/>
          <w:spacing w:val="-4"/>
          <w:sz w:val="28"/>
          <w:szCs w:val="28"/>
          <w:highlight w:val="none"/>
        </w:rPr>
        <w:t>3.本合同标准文本各条款中，如涉及填写</w:t>
      </w:r>
      <w:r>
        <w:rPr>
          <w:rFonts w:ascii="仿宋" w:hAnsi="仿宋" w:eastAsia="仿宋" w:cs="仿宋"/>
          <w:spacing w:val="-5"/>
          <w:sz w:val="28"/>
          <w:szCs w:val="28"/>
          <w:highlight w:val="none"/>
        </w:rPr>
        <w:t>多家供应商、制造商，多种采购标的、分包主要内容等信息的，可根据采购项目具体情况添</w:t>
      </w:r>
      <w:r>
        <w:rPr>
          <w:rFonts w:ascii="仿宋" w:hAnsi="仿宋" w:eastAsia="仿宋" w:cs="仿宋"/>
          <w:spacing w:val="-6"/>
          <w:sz w:val="28"/>
          <w:szCs w:val="28"/>
          <w:highlight w:val="none"/>
        </w:rPr>
        <w:t>加信息项。</w:t>
      </w:r>
    </w:p>
    <w:p w14:paraId="16489059">
      <w:pPr>
        <w:pStyle w:val="2"/>
        <w:spacing w:line="241" w:lineRule="auto"/>
        <w:outlineLvl w:val="9"/>
        <w:rPr>
          <w:highlight w:val="none"/>
        </w:rPr>
      </w:pPr>
    </w:p>
    <w:p w14:paraId="4D602CF8">
      <w:pPr>
        <w:pStyle w:val="2"/>
        <w:spacing w:line="241" w:lineRule="auto"/>
        <w:outlineLvl w:val="9"/>
        <w:rPr>
          <w:highlight w:val="none"/>
        </w:rPr>
      </w:pPr>
    </w:p>
    <w:p w14:paraId="71E508C3">
      <w:pPr>
        <w:pStyle w:val="2"/>
        <w:spacing w:line="241" w:lineRule="auto"/>
        <w:outlineLvl w:val="9"/>
        <w:rPr>
          <w:highlight w:val="none"/>
        </w:rPr>
      </w:pPr>
    </w:p>
    <w:p w14:paraId="14EEE9D9">
      <w:pPr>
        <w:pStyle w:val="2"/>
        <w:spacing w:line="241" w:lineRule="auto"/>
        <w:outlineLvl w:val="9"/>
        <w:rPr>
          <w:highlight w:val="none"/>
        </w:rPr>
      </w:pPr>
    </w:p>
    <w:p w14:paraId="59D6587C">
      <w:pPr>
        <w:pStyle w:val="2"/>
        <w:spacing w:line="241" w:lineRule="auto"/>
        <w:outlineLvl w:val="9"/>
        <w:rPr>
          <w:highlight w:val="none"/>
        </w:rPr>
      </w:pPr>
    </w:p>
    <w:p w14:paraId="665E2C59">
      <w:pPr>
        <w:pStyle w:val="2"/>
        <w:spacing w:line="241" w:lineRule="auto"/>
        <w:outlineLvl w:val="9"/>
        <w:rPr>
          <w:highlight w:val="none"/>
        </w:rPr>
      </w:pPr>
    </w:p>
    <w:p w14:paraId="1D8EC2A0">
      <w:pPr>
        <w:pStyle w:val="2"/>
        <w:spacing w:line="241" w:lineRule="auto"/>
        <w:outlineLvl w:val="9"/>
        <w:rPr>
          <w:highlight w:val="none"/>
        </w:rPr>
      </w:pPr>
    </w:p>
    <w:p w14:paraId="6B3A9227">
      <w:pPr>
        <w:pStyle w:val="2"/>
        <w:spacing w:line="241" w:lineRule="auto"/>
        <w:outlineLvl w:val="9"/>
        <w:rPr>
          <w:highlight w:val="none"/>
        </w:rPr>
      </w:pPr>
    </w:p>
    <w:p w14:paraId="13745205">
      <w:pPr>
        <w:pStyle w:val="2"/>
        <w:spacing w:line="242" w:lineRule="auto"/>
        <w:outlineLvl w:val="9"/>
        <w:rPr>
          <w:highlight w:val="none"/>
        </w:rPr>
      </w:pPr>
    </w:p>
    <w:p w14:paraId="154A5D2F">
      <w:pPr>
        <w:pStyle w:val="2"/>
        <w:spacing w:line="242" w:lineRule="auto"/>
        <w:outlineLvl w:val="9"/>
        <w:rPr>
          <w:highlight w:val="none"/>
        </w:rPr>
      </w:pPr>
    </w:p>
    <w:p w14:paraId="59EDF73D">
      <w:pPr>
        <w:pStyle w:val="2"/>
        <w:spacing w:line="242" w:lineRule="auto"/>
        <w:outlineLvl w:val="9"/>
        <w:rPr>
          <w:highlight w:val="none"/>
        </w:rPr>
      </w:pPr>
    </w:p>
    <w:p w14:paraId="02331A2D">
      <w:pPr>
        <w:pStyle w:val="2"/>
        <w:spacing w:line="242" w:lineRule="auto"/>
        <w:outlineLvl w:val="9"/>
        <w:rPr>
          <w:highlight w:val="none"/>
        </w:rPr>
      </w:pPr>
    </w:p>
    <w:p w14:paraId="76569096">
      <w:pPr>
        <w:pStyle w:val="2"/>
        <w:spacing w:line="242" w:lineRule="auto"/>
        <w:outlineLvl w:val="9"/>
        <w:rPr>
          <w:highlight w:val="none"/>
        </w:rPr>
      </w:pPr>
    </w:p>
    <w:p w14:paraId="13548B7B">
      <w:pPr>
        <w:pStyle w:val="2"/>
        <w:spacing w:line="242" w:lineRule="auto"/>
        <w:outlineLvl w:val="9"/>
        <w:rPr>
          <w:highlight w:val="none"/>
        </w:rPr>
      </w:pPr>
    </w:p>
    <w:p w14:paraId="69A4B773">
      <w:pPr>
        <w:pStyle w:val="2"/>
        <w:spacing w:line="242" w:lineRule="auto"/>
        <w:outlineLvl w:val="9"/>
        <w:rPr>
          <w:highlight w:val="none"/>
        </w:rPr>
      </w:pPr>
    </w:p>
    <w:p w14:paraId="100CE1F7">
      <w:pPr>
        <w:pStyle w:val="2"/>
        <w:spacing w:line="242" w:lineRule="auto"/>
        <w:outlineLvl w:val="9"/>
        <w:rPr>
          <w:highlight w:val="none"/>
        </w:rPr>
      </w:pPr>
    </w:p>
    <w:p w14:paraId="3EAA8581">
      <w:pPr>
        <w:pStyle w:val="2"/>
        <w:spacing w:line="242" w:lineRule="auto"/>
        <w:outlineLvl w:val="9"/>
        <w:rPr>
          <w:highlight w:val="none"/>
        </w:rPr>
      </w:pPr>
    </w:p>
    <w:p w14:paraId="6E4273C6">
      <w:pPr>
        <w:pStyle w:val="2"/>
        <w:spacing w:line="242" w:lineRule="auto"/>
        <w:outlineLvl w:val="9"/>
        <w:rPr>
          <w:highlight w:val="none"/>
        </w:rPr>
      </w:pPr>
    </w:p>
    <w:p w14:paraId="27DA8C06">
      <w:pPr>
        <w:pStyle w:val="2"/>
        <w:spacing w:line="242" w:lineRule="auto"/>
        <w:outlineLvl w:val="9"/>
        <w:rPr>
          <w:highlight w:val="none"/>
        </w:rPr>
      </w:pPr>
    </w:p>
    <w:p w14:paraId="7BFA003B">
      <w:pPr>
        <w:pStyle w:val="2"/>
        <w:spacing w:line="242" w:lineRule="auto"/>
        <w:outlineLvl w:val="9"/>
        <w:rPr>
          <w:highlight w:val="none"/>
        </w:rPr>
      </w:pPr>
    </w:p>
    <w:p w14:paraId="017404D4">
      <w:pPr>
        <w:pStyle w:val="2"/>
        <w:spacing w:line="242" w:lineRule="auto"/>
        <w:outlineLvl w:val="9"/>
        <w:rPr>
          <w:highlight w:val="none"/>
        </w:rPr>
      </w:pPr>
    </w:p>
    <w:p w14:paraId="75999BD5">
      <w:pPr>
        <w:pStyle w:val="2"/>
        <w:spacing w:line="242" w:lineRule="auto"/>
        <w:outlineLvl w:val="9"/>
        <w:rPr>
          <w:highlight w:val="none"/>
        </w:rPr>
      </w:pPr>
    </w:p>
    <w:p w14:paraId="321F5C5E">
      <w:pPr>
        <w:pStyle w:val="2"/>
        <w:spacing w:line="242" w:lineRule="auto"/>
        <w:outlineLvl w:val="9"/>
        <w:rPr>
          <w:highlight w:val="none"/>
        </w:rPr>
      </w:pPr>
    </w:p>
    <w:p w14:paraId="47DA1C6C">
      <w:pPr>
        <w:pStyle w:val="2"/>
        <w:spacing w:line="242" w:lineRule="auto"/>
        <w:outlineLvl w:val="9"/>
        <w:rPr>
          <w:highlight w:val="none"/>
        </w:rPr>
      </w:pPr>
    </w:p>
    <w:p w14:paraId="45B09AEE">
      <w:pPr>
        <w:pStyle w:val="2"/>
        <w:spacing w:line="242" w:lineRule="auto"/>
        <w:outlineLvl w:val="9"/>
        <w:rPr>
          <w:highlight w:val="none"/>
        </w:rPr>
      </w:pPr>
    </w:p>
    <w:p w14:paraId="5CC128FF">
      <w:pPr>
        <w:pStyle w:val="2"/>
        <w:spacing w:line="242" w:lineRule="auto"/>
        <w:outlineLvl w:val="9"/>
        <w:rPr>
          <w:highlight w:val="none"/>
        </w:rPr>
      </w:pPr>
    </w:p>
    <w:p w14:paraId="45BDC528">
      <w:pPr>
        <w:pStyle w:val="2"/>
        <w:spacing w:line="242" w:lineRule="auto"/>
        <w:outlineLvl w:val="9"/>
        <w:rPr>
          <w:highlight w:val="none"/>
        </w:rPr>
      </w:pPr>
    </w:p>
    <w:p w14:paraId="21CE15A7">
      <w:pPr>
        <w:pStyle w:val="2"/>
        <w:spacing w:line="242" w:lineRule="auto"/>
        <w:outlineLvl w:val="9"/>
        <w:rPr>
          <w:highlight w:val="none"/>
        </w:rPr>
      </w:pPr>
    </w:p>
    <w:p w14:paraId="2D3A7437">
      <w:pPr>
        <w:pStyle w:val="2"/>
        <w:spacing w:line="242" w:lineRule="auto"/>
        <w:outlineLvl w:val="9"/>
        <w:rPr>
          <w:highlight w:val="none"/>
        </w:rPr>
      </w:pPr>
    </w:p>
    <w:p w14:paraId="1428E9D8">
      <w:pPr>
        <w:pStyle w:val="2"/>
        <w:spacing w:line="242" w:lineRule="auto"/>
        <w:outlineLvl w:val="9"/>
        <w:rPr>
          <w:highlight w:val="none"/>
        </w:rPr>
      </w:pPr>
    </w:p>
    <w:p w14:paraId="46DFF1FA">
      <w:pPr>
        <w:pStyle w:val="2"/>
        <w:spacing w:line="242" w:lineRule="auto"/>
        <w:outlineLvl w:val="9"/>
        <w:rPr>
          <w:highlight w:val="none"/>
        </w:rPr>
      </w:pPr>
    </w:p>
    <w:p w14:paraId="4EB98863">
      <w:pPr>
        <w:pStyle w:val="2"/>
        <w:spacing w:line="242" w:lineRule="auto"/>
        <w:outlineLvl w:val="9"/>
        <w:rPr>
          <w:highlight w:val="none"/>
        </w:rPr>
      </w:pPr>
    </w:p>
    <w:p w14:paraId="0170533E">
      <w:pPr>
        <w:pStyle w:val="2"/>
        <w:spacing w:line="242" w:lineRule="auto"/>
        <w:outlineLvl w:val="9"/>
        <w:rPr>
          <w:highlight w:val="none"/>
        </w:rPr>
      </w:pPr>
    </w:p>
    <w:p w14:paraId="5515B8E9">
      <w:pPr>
        <w:pStyle w:val="2"/>
        <w:spacing w:line="242" w:lineRule="auto"/>
        <w:outlineLvl w:val="9"/>
        <w:rPr>
          <w:highlight w:val="none"/>
        </w:rPr>
      </w:pPr>
    </w:p>
    <w:p w14:paraId="74C019AA">
      <w:pPr>
        <w:pStyle w:val="2"/>
        <w:spacing w:line="242" w:lineRule="auto"/>
        <w:outlineLvl w:val="9"/>
        <w:rPr>
          <w:highlight w:val="none"/>
        </w:rPr>
      </w:pPr>
    </w:p>
    <w:p w14:paraId="6233BA79">
      <w:pPr>
        <w:pStyle w:val="2"/>
        <w:spacing w:line="242" w:lineRule="auto"/>
        <w:outlineLvl w:val="9"/>
        <w:rPr>
          <w:highlight w:val="none"/>
        </w:rPr>
      </w:pPr>
    </w:p>
    <w:p w14:paraId="29813DCD">
      <w:pPr>
        <w:pStyle w:val="2"/>
        <w:spacing w:line="242" w:lineRule="auto"/>
        <w:outlineLvl w:val="9"/>
        <w:rPr>
          <w:highlight w:val="none"/>
        </w:rPr>
      </w:pPr>
      <w:r>
        <w:rPr>
          <w:highlight w:val="none"/>
        </w:rPr>
        <w:pict>
          <v:shape id="_x0000_s1029" o:spid="_x0000_s1029" o:spt="202" type="#_x0000_t202" style="position:absolute;left:0pt;margin-left:208.25pt;margin-top:10.95pt;height:14.3pt;width:6.65pt;z-index:251675648;mso-width-relative:page;mso-height-relative:page;" filled="f" stroked="f" coordsize="21600,21600">
            <v:path/>
            <v:fill on="f" focussize="0,0"/>
            <v:stroke on="f"/>
            <v:imagedata o:title=""/>
            <o:lock v:ext="edit" aspectratio="f"/>
            <v:textbox inset="0mm,0mm,0mm,0mm">
              <w:txbxContent>
                <w:p w14:paraId="5E531E87">
                  <w:pPr>
                    <w:pStyle w:val="2"/>
                    <w:spacing w:before="20" w:line="245" w:lineRule="exact"/>
                    <w:ind w:left="20"/>
                    <w:rPr>
                      <w:sz w:val="18"/>
                      <w:szCs w:val="18"/>
                    </w:rPr>
                  </w:pPr>
                </w:p>
              </w:txbxContent>
            </v:textbox>
          </v:shape>
        </w:pict>
      </w:r>
    </w:p>
    <w:p w14:paraId="121D9AFE">
      <w:pPr>
        <w:spacing w:line="98" w:lineRule="exact"/>
        <w:outlineLvl w:val="9"/>
        <w:rPr>
          <w:sz w:val="18"/>
          <w:szCs w:val="18"/>
          <w:highlight w:val="none"/>
        </w:rPr>
        <w:sectPr>
          <w:pgSz w:w="11906" w:h="16840"/>
          <w:pgMar w:top="1091" w:right="1785" w:bottom="1" w:left="1785" w:header="1077" w:footer="0" w:gutter="0"/>
          <w:pgNumType w:fmt="decimal"/>
          <w:cols w:space="720" w:num="1"/>
        </w:sectPr>
      </w:pPr>
    </w:p>
    <w:p w14:paraId="37D3C390">
      <w:pPr>
        <w:pStyle w:val="2"/>
        <w:spacing w:line="271" w:lineRule="auto"/>
        <w:outlineLvl w:val="9"/>
        <w:rPr>
          <w:highlight w:val="none"/>
        </w:rPr>
      </w:pPr>
    </w:p>
    <w:p w14:paraId="4DC26CFA">
      <w:pPr>
        <w:pStyle w:val="2"/>
        <w:spacing w:line="271" w:lineRule="auto"/>
        <w:outlineLvl w:val="9"/>
        <w:rPr>
          <w:highlight w:val="none"/>
        </w:rPr>
      </w:pPr>
    </w:p>
    <w:p w14:paraId="61AF8B38">
      <w:pPr>
        <w:pStyle w:val="2"/>
        <w:spacing w:line="271" w:lineRule="auto"/>
        <w:outlineLvl w:val="9"/>
        <w:rPr>
          <w:highlight w:val="none"/>
        </w:rPr>
      </w:pPr>
    </w:p>
    <w:p w14:paraId="292EF71B">
      <w:pPr>
        <w:pStyle w:val="2"/>
        <w:spacing w:line="272" w:lineRule="auto"/>
        <w:outlineLvl w:val="9"/>
        <w:rPr>
          <w:highlight w:val="none"/>
        </w:rPr>
      </w:pPr>
    </w:p>
    <w:p w14:paraId="300C8113">
      <w:pPr>
        <w:spacing w:before="78" w:line="222" w:lineRule="auto"/>
        <w:ind w:left="2802"/>
        <w:outlineLvl w:val="9"/>
        <w:rPr>
          <w:rFonts w:ascii="黑体" w:hAnsi="黑体" w:eastAsia="黑体" w:cs="黑体"/>
          <w:sz w:val="24"/>
          <w:szCs w:val="24"/>
          <w:highlight w:val="none"/>
        </w:rPr>
      </w:pPr>
      <w:r>
        <w:rPr>
          <w:rFonts w:ascii="黑体" w:hAnsi="黑体" w:eastAsia="黑体" w:cs="黑体"/>
          <w:spacing w:val="-2"/>
          <w:sz w:val="24"/>
          <w:szCs w:val="24"/>
          <w:highlight w:val="none"/>
        </w:rPr>
        <w:t>第一节政府采购合同协议书</w:t>
      </w:r>
    </w:p>
    <w:p w14:paraId="226B49CB">
      <w:pPr>
        <w:spacing w:before="109" w:line="306" w:lineRule="auto"/>
        <w:ind w:left="32" w:right="13" w:firstLine="57"/>
        <w:outlineLvl w:val="9"/>
        <w:rPr>
          <w:rFonts w:ascii="宋体" w:hAnsi="宋体" w:eastAsia="宋体" w:cs="宋体"/>
          <w:sz w:val="24"/>
          <w:szCs w:val="24"/>
          <w:highlight w:val="none"/>
        </w:rPr>
      </w:pPr>
      <w:r>
        <w:rPr>
          <w:rFonts w:ascii="宋体" w:hAnsi="宋体" w:eastAsia="宋体" w:cs="宋体"/>
          <w:spacing w:val="-5"/>
          <w:sz w:val="24"/>
          <w:szCs w:val="24"/>
          <w:highlight w:val="none"/>
        </w:rPr>
        <w:t>甲方（全称</w:t>
      </w:r>
      <w:r>
        <w:rPr>
          <w:rFonts w:ascii="宋体" w:hAnsi="宋体" w:eastAsia="宋体" w:cs="宋体"/>
          <w:spacing w:val="-24"/>
          <w:sz w:val="24"/>
          <w:szCs w:val="24"/>
          <w:highlight w:val="none"/>
        </w:rPr>
        <w:t>）：（</w:t>
      </w:r>
      <w:r>
        <w:rPr>
          <w:rFonts w:ascii="宋体" w:hAnsi="宋体" w:eastAsia="宋体" w:cs="宋体"/>
          <w:spacing w:val="-5"/>
          <w:sz w:val="24"/>
          <w:szCs w:val="24"/>
          <w:highlight w:val="none"/>
        </w:rPr>
        <w:t>采购人、受采购人委托签订合同的</w:t>
      </w:r>
      <w:r>
        <w:rPr>
          <w:rFonts w:ascii="宋体" w:hAnsi="宋体" w:eastAsia="宋体" w:cs="宋体"/>
          <w:spacing w:val="-2"/>
          <w:sz w:val="24"/>
          <w:szCs w:val="24"/>
          <w:highlight w:val="none"/>
        </w:rPr>
        <w:t>单位或采购文件约定的合同甲方）</w:t>
      </w:r>
    </w:p>
    <w:p w14:paraId="1D218B0A">
      <w:pPr>
        <w:spacing w:line="218" w:lineRule="auto"/>
        <w:ind w:left="75"/>
        <w:outlineLvl w:val="9"/>
        <w:rPr>
          <w:rFonts w:ascii="宋体" w:hAnsi="宋体" w:eastAsia="宋体" w:cs="宋体"/>
          <w:sz w:val="24"/>
          <w:szCs w:val="24"/>
          <w:highlight w:val="none"/>
        </w:rPr>
      </w:pPr>
      <w:r>
        <w:rPr>
          <w:rFonts w:ascii="宋体" w:hAnsi="宋体" w:eastAsia="宋体" w:cs="宋体"/>
          <w:spacing w:val="-6"/>
          <w:sz w:val="24"/>
          <w:szCs w:val="24"/>
          <w:highlight w:val="none"/>
        </w:rPr>
        <w:t>乙方1（全称</w:t>
      </w:r>
      <w:r>
        <w:rPr>
          <w:rFonts w:ascii="宋体" w:hAnsi="宋体" w:eastAsia="宋体" w:cs="宋体"/>
          <w:spacing w:val="-20"/>
          <w:sz w:val="24"/>
          <w:szCs w:val="24"/>
          <w:highlight w:val="none"/>
        </w:rPr>
        <w:t>）：（</w:t>
      </w:r>
      <w:r>
        <w:rPr>
          <w:rFonts w:ascii="宋体" w:hAnsi="宋体" w:eastAsia="宋体" w:cs="宋体"/>
          <w:spacing w:val="-6"/>
          <w:sz w:val="24"/>
          <w:szCs w:val="24"/>
          <w:highlight w:val="none"/>
        </w:rPr>
        <w:t>供应商）</w:t>
      </w:r>
    </w:p>
    <w:p w14:paraId="726D69DC">
      <w:pPr>
        <w:spacing w:before="139" w:line="306" w:lineRule="auto"/>
        <w:ind w:left="28" w:right="11" w:firstLine="47"/>
        <w:outlineLvl w:val="9"/>
        <w:rPr>
          <w:rFonts w:ascii="宋体" w:hAnsi="宋体" w:eastAsia="宋体" w:cs="宋体"/>
          <w:sz w:val="24"/>
          <w:szCs w:val="24"/>
          <w:highlight w:val="none"/>
        </w:rPr>
      </w:pPr>
      <w:r>
        <w:rPr>
          <w:rFonts w:ascii="宋体" w:hAnsi="宋体" w:eastAsia="宋体" w:cs="宋体"/>
          <w:spacing w:val="-3"/>
          <w:sz w:val="24"/>
          <w:szCs w:val="24"/>
          <w:highlight w:val="none"/>
        </w:rPr>
        <w:t>乙方2（全称</w:t>
      </w:r>
      <w:r>
        <w:rPr>
          <w:rFonts w:ascii="宋体" w:hAnsi="宋体" w:eastAsia="宋体" w:cs="宋体"/>
          <w:spacing w:val="-20"/>
          <w:sz w:val="24"/>
          <w:szCs w:val="24"/>
          <w:highlight w:val="none"/>
        </w:rPr>
        <w:t>）：（</w:t>
      </w:r>
      <w:r>
        <w:rPr>
          <w:rFonts w:ascii="宋体" w:hAnsi="宋体" w:eastAsia="宋体" w:cs="宋体"/>
          <w:spacing w:val="-3"/>
          <w:sz w:val="24"/>
          <w:szCs w:val="24"/>
          <w:highlight w:val="none"/>
        </w:rPr>
        <w:t>联合体成员供应商或其他合同主</w:t>
      </w:r>
      <w:r>
        <w:rPr>
          <w:rFonts w:ascii="宋体" w:hAnsi="宋体" w:eastAsia="宋体" w:cs="宋体"/>
          <w:spacing w:val="3"/>
          <w:sz w:val="24"/>
          <w:szCs w:val="24"/>
          <w:highlight w:val="none"/>
        </w:rPr>
        <w:t>体</w:t>
      </w:r>
      <w:r>
        <w:rPr>
          <w:rFonts w:ascii="宋体" w:hAnsi="宋体" w:eastAsia="宋体" w:cs="宋体"/>
          <w:spacing w:val="-24"/>
          <w:sz w:val="24"/>
          <w:szCs w:val="24"/>
          <w:highlight w:val="none"/>
        </w:rPr>
        <w:t>）（</w:t>
      </w:r>
      <w:r>
        <w:rPr>
          <w:rFonts w:ascii="宋体" w:hAnsi="宋体" w:eastAsia="宋体" w:cs="宋体"/>
          <w:spacing w:val="3"/>
          <w:sz w:val="24"/>
          <w:szCs w:val="24"/>
          <w:highlight w:val="none"/>
        </w:rPr>
        <w:t>如有）</w:t>
      </w:r>
    </w:p>
    <w:p w14:paraId="6C985FCB">
      <w:pPr>
        <w:spacing w:before="1" w:line="312" w:lineRule="auto"/>
        <w:ind w:left="28" w:right="13" w:firstLine="47"/>
        <w:outlineLvl w:val="9"/>
        <w:rPr>
          <w:rFonts w:ascii="宋体" w:hAnsi="宋体" w:eastAsia="宋体" w:cs="宋体"/>
          <w:sz w:val="24"/>
          <w:szCs w:val="24"/>
          <w:highlight w:val="none"/>
        </w:rPr>
      </w:pPr>
      <w:r>
        <w:rPr>
          <w:rFonts w:ascii="宋体" w:hAnsi="宋体" w:eastAsia="宋体" w:cs="宋体"/>
          <w:spacing w:val="-4"/>
          <w:sz w:val="24"/>
          <w:szCs w:val="24"/>
          <w:highlight w:val="none"/>
        </w:rPr>
        <w:t>乙方3（全称</w:t>
      </w:r>
      <w:r>
        <w:rPr>
          <w:rFonts w:ascii="宋体" w:hAnsi="宋体" w:eastAsia="宋体" w:cs="宋体"/>
          <w:spacing w:val="-23"/>
          <w:sz w:val="24"/>
          <w:szCs w:val="24"/>
          <w:highlight w:val="none"/>
        </w:rPr>
        <w:t>）（</w:t>
      </w:r>
      <w:r>
        <w:rPr>
          <w:rFonts w:ascii="宋体" w:hAnsi="宋体" w:eastAsia="宋体" w:cs="宋体"/>
          <w:spacing w:val="-4"/>
          <w:sz w:val="24"/>
          <w:szCs w:val="24"/>
          <w:highlight w:val="none"/>
        </w:rPr>
        <w:t>联合体成员供应商或其他合同主</w:t>
      </w:r>
      <w:r>
        <w:rPr>
          <w:rFonts w:ascii="宋体" w:hAnsi="宋体" w:eastAsia="宋体" w:cs="宋体"/>
          <w:spacing w:val="3"/>
          <w:sz w:val="24"/>
          <w:szCs w:val="24"/>
          <w:highlight w:val="none"/>
        </w:rPr>
        <w:t>体</w:t>
      </w:r>
      <w:r>
        <w:rPr>
          <w:rFonts w:ascii="宋体" w:hAnsi="宋体" w:eastAsia="宋体" w:cs="宋体"/>
          <w:spacing w:val="-24"/>
          <w:sz w:val="24"/>
          <w:szCs w:val="24"/>
          <w:highlight w:val="none"/>
        </w:rPr>
        <w:t>）（</w:t>
      </w:r>
      <w:r>
        <w:rPr>
          <w:rFonts w:ascii="宋体" w:hAnsi="宋体" w:eastAsia="宋体" w:cs="宋体"/>
          <w:spacing w:val="3"/>
          <w:sz w:val="24"/>
          <w:szCs w:val="24"/>
          <w:highlight w:val="none"/>
        </w:rPr>
        <w:t>如有）</w:t>
      </w:r>
    </w:p>
    <w:p w14:paraId="0287F463">
      <w:pPr>
        <w:pStyle w:val="2"/>
        <w:spacing w:line="321" w:lineRule="auto"/>
        <w:outlineLvl w:val="9"/>
        <w:rPr>
          <w:highlight w:val="none"/>
        </w:rPr>
      </w:pPr>
    </w:p>
    <w:p w14:paraId="63F43666">
      <w:pPr>
        <w:spacing w:before="72" w:line="326" w:lineRule="auto"/>
        <w:ind w:left="28" w:right="6" w:firstLine="442"/>
        <w:jc w:val="both"/>
        <w:outlineLvl w:val="9"/>
        <w:rPr>
          <w:rFonts w:ascii="宋体" w:hAnsi="宋体" w:eastAsia="宋体" w:cs="宋体"/>
          <w:sz w:val="22"/>
          <w:szCs w:val="22"/>
          <w:highlight w:val="none"/>
        </w:rPr>
      </w:pPr>
      <w:r>
        <w:rPr>
          <w:rFonts w:ascii="宋体" w:hAnsi="宋体" w:eastAsia="宋体" w:cs="宋体"/>
          <w:spacing w:val="-2"/>
          <w:sz w:val="22"/>
          <w:szCs w:val="22"/>
          <w:highlight w:val="none"/>
        </w:rPr>
        <w:t>依据《中华人民共和国民法典》、《中华人民共和国政府采购法》等有关的法律法</w:t>
      </w:r>
      <w:r>
        <w:rPr>
          <w:rFonts w:ascii="宋体" w:hAnsi="宋体" w:eastAsia="宋体" w:cs="宋体"/>
          <w:spacing w:val="-4"/>
          <w:sz w:val="22"/>
          <w:szCs w:val="22"/>
          <w:highlight w:val="none"/>
        </w:rPr>
        <w:t>规，以及本采购项目的招标/谈判文件等采购文件、</w:t>
      </w:r>
      <w:r>
        <w:rPr>
          <w:rFonts w:ascii="宋体" w:hAnsi="宋体" w:eastAsia="宋体" w:cs="宋体"/>
          <w:spacing w:val="-5"/>
          <w:sz w:val="22"/>
          <w:szCs w:val="22"/>
          <w:highlight w:val="none"/>
        </w:rPr>
        <w:t>乙方的《投标（响应）文件》及《中</w:t>
      </w:r>
      <w:r>
        <w:rPr>
          <w:rFonts w:ascii="宋体" w:hAnsi="宋体" w:eastAsia="宋体" w:cs="宋体"/>
          <w:spacing w:val="-1"/>
          <w:sz w:val="22"/>
          <w:szCs w:val="22"/>
          <w:highlight w:val="none"/>
        </w:rPr>
        <w:t>标（成交）通知书》，甲乙双方同意签订本合同。具体情况及要求如下：</w:t>
      </w:r>
    </w:p>
    <w:p w14:paraId="5C3A86B9">
      <w:pPr>
        <w:spacing w:before="1" w:line="219" w:lineRule="auto"/>
        <w:ind w:left="545"/>
        <w:outlineLvl w:val="9"/>
        <w:rPr>
          <w:rFonts w:ascii="宋体" w:hAnsi="宋体" w:eastAsia="宋体" w:cs="宋体"/>
          <w:sz w:val="24"/>
          <w:szCs w:val="24"/>
          <w:highlight w:val="none"/>
        </w:rPr>
      </w:pPr>
      <w:r>
        <w:rPr>
          <w:rFonts w:ascii="宋体" w:hAnsi="宋体" w:eastAsia="宋体" w:cs="宋体"/>
          <w:b/>
          <w:bCs/>
          <w:spacing w:val="-13"/>
          <w:sz w:val="24"/>
          <w:szCs w:val="24"/>
          <w:highlight w:val="none"/>
        </w:rPr>
        <w:t>1.项目信息</w:t>
      </w:r>
    </w:p>
    <w:p w14:paraId="5DF3EF79">
      <w:pPr>
        <w:spacing w:before="130" w:line="219" w:lineRule="auto"/>
        <w:ind w:left="477"/>
        <w:outlineLvl w:val="9"/>
        <w:rPr>
          <w:rFonts w:hint="eastAsia" w:ascii="宋体" w:hAnsi="宋体" w:eastAsia="宋体" w:cs="宋体"/>
          <w:sz w:val="22"/>
          <w:szCs w:val="22"/>
          <w:highlight w:val="none"/>
          <w:lang w:eastAsia="zh-CN"/>
        </w:rPr>
      </w:pPr>
      <w:r>
        <w:rPr>
          <w:rFonts w:ascii="宋体" w:hAnsi="宋体" w:eastAsia="宋体" w:cs="宋体"/>
          <w:spacing w:val="-3"/>
          <w:sz w:val="22"/>
          <w:szCs w:val="22"/>
          <w:highlight w:val="none"/>
        </w:rPr>
        <w:t>（1）采购项目名称：</w:t>
      </w:r>
    </w:p>
    <w:p w14:paraId="13C41BA2">
      <w:pPr>
        <w:spacing w:before="137" w:line="219" w:lineRule="auto"/>
        <w:ind w:left="1015"/>
        <w:outlineLvl w:val="9"/>
        <w:rPr>
          <w:rFonts w:hint="eastAsia" w:ascii="宋体" w:hAnsi="宋体" w:eastAsia="宋体" w:cs="宋体"/>
          <w:sz w:val="22"/>
          <w:szCs w:val="22"/>
          <w:highlight w:val="none"/>
          <w:lang w:eastAsia="zh-CN"/>
        </w:rPr>
      </w:pPr>
      <w:r>
        <w:rPr>
          <w:rFonts w:ascii="宋体" w:hAnsi="宋体" w:eastAsia="宋体" w:cs="宋体"/>
          <w:spacing w:val="-3"/>
          <w:sz w:val="22"/>
          <w:szCs w:val="22"/>
          <w:highlight w:val="none"/>
        </w:rPr>
        <w:t>采购项目编号：</w:t>
      </w:r>
    </w:p>
    <w:p w14:paraId="1AB857FD">
      <w:pPr>
        <w:spacing w:before="138" w:line="219" w:lineRule="auto"/>
        <w:ind w:left="477"/>
        <w:outlineLvl w:val="9"/>
        <w:rPr>
          <w:rFonts w:hint="eastAsia" w:ascii="宋体" w:hAnsi="宋体" w:eastAsia="宋体" w:cs="宋体"/>
          <w:sz w:val="22"/>
          <w:szCs w:val="22"/>
          <w:highlight w:val="none"/>
          <w:lang w:eastAsia="zh-CN"/>
        </w:rPr>
      </w:pPr>
      <w:r>
        <w:rPr>
          <w:rFonts w:ascii="宋体" w:hAnsi="宋体" w:eastAsia="宋体" w:cs="宋体"/>
          <w:spacing w:val="-3"/>
          <w:sz w:val="22"/>
          <w:szCs w:val="22"/>
          <w:highlight w:val="none"/>
        </w:rPr>
        <w:t>（2）采购计划编号：</w:t>
      </w:r>
    </w:p>
    <w:p w14:paraId="1C3CAC0F">
      <w:pPr>
        <w:spacing w:before="126" w:line="219" w:lineRule="auto"/>
        <w:ind w:left="531"/>
        <w:outlineLvl w:val="9"/>
        <w:rPr>
          <w:rFonts w:ascii="宋体" w:hAnsi="宋体" w:eastAsia="宋体" w:cs="宋体"/>
          <w:sz w:val="24"/>
          <w:szCs w:val="24"/>
          <w:highlight w:val="none"/>
        </w:rPr>
      </w:pPr>
      <w:r>
        <w:rPr>
          <w:rFonts w:ascii="宋体" w:hAnsi="宋体" w:eastAsia="宋体" w:cs="宋体"/>
          <w:spacing w:val="-5"/>
          <w:sz w:val="24"/>
          <w:szCs w:val="24"/>
          <w:highlight w:val="none"/>
        </w:rPr>
        <w:t>（3）项目内容：</w:t>
      </w:r>
    </w:p>
    <w:p w14:paraId="6775EE23">
      <w:pPr>
        <w:spacing w:before="112" w:line="219" w:lineRule="auto"/>
        <w:ind w:left="1107"/>
        <w:outlineLvl w:val="9"/>
        <w:rPr>
          <w:rFonts w:hint="eastAsia" w:ascii="宋体" w:hAnsi="宋体" w:eastAsia="宋体" w:cs="宋体"/>
          <w:sz w:val="24"/>
          <w:szCs w:val="24"/>
          <w:highlight w:val="none"/>
          <w:lang w:eastAsia="zh-CN"/>
        </w:rPr>
      </w:pPr>
      <w:r>
        <w:rPr>
          <w:rFonts w:ascii="宋体" w:hAnsi="宋体" w:eastAsia="宋体" w:cs="宋体"/>
          <w:spacing w:val="-2"/>
          <w:sz w:val="24"/>
          <w:szCs w:val="24"/>
          <w:highlight w:val="none"/>
        </w:rPr>
        <w:t>采购标的及数量（台/套/个/架/组等</w:t>
      </w:r>
      <w:r>
        <w:rPr>
          <w:rFonts w:ascii="宋体" w:hAnsi="宋体" w:eastAsia="宋体" w:cs="宋体"/>
          <w:spacing w:val="6"/>
          <w:sz w:val="24"/>
          <w:szCs w:val="24"/>
          <w:highlight w:val="none"/>
        </w:rPr>
        <w:t>）：</w:t>
      </w:r>
    </w:p>
    <w:p w14:paraId="527D58CA">
      <w:pPr>
        <w:spacing w:before="115" w:line="219" w:lineRule="auto"/>
        <w:ind w:left="1147"/>
        <w:outlineLvl w:val="9"/>
        <w:rPr>
          <w:rFonts w:hint="eastAsia" w:ascii="宋体" w:hAnsi="宋体" w:eastAsia="宋体" w:cs="宋体"/>
          <w:sz w:val="24"/>
          <w:szCs w:val="24"/>
          <w:highlight w:val="none"/>
          <w:lang w:eastAsia="zh-CN"/>
        </w:rPr>
      </w:pPr>
      <w:r>
        <w:rPr>
          <w:rFonts w:ascii="宋体" w:hAnsi="宋体" w:eastAsia="宋体" w:cs="宋体"/>
          <w:spacing w:val="-12"/>
          <w:sz w:val="24"/>
          <w:szCs w:val="24"/>
          <w:highlight w:val="none"/>
        </w:rPr>
        <w:t>品牌：规格型号：</w:t>
      </w:r>
    </w:p>
    <w:p w14:paraId="2E23362E">
      <w:pPr>
        <w:spacing w:before="115" w:line="219" w:lineRule="auto"/>
        <w:ind w:left="1107"/>
        <w:outlineLvl w:val="9"/>
        <w:rPr>
          <w:rFonts w:ascii="宋体" w:hAnsi="宋体" w:eastAsia="宋体" w:cs="宋体"/>
          <w:sz w:val="24"/>
          <w:szCs w:val="24"/>
          <w:highlight w:val="none"/>
        </w:rPr>
      </w:pPr>
      <w:r>
        <w:rPr>
          <w:rFonts w:ascii="宋体" w:hAnsi="宋体" w:eastAsia="宋体" w:cs="宋体"/>
          <w:spacing w:val="-2"/>
          <w:sz w:val="24"/>
          <w:szCs w:val="24"/>
          <w:highlight w:val="none"/>
        </w:rPr>
        <w:t>采购标的的技术要求、商务要求具体见附件。</w:t>
      </w:r>
    </w:p>
    <w:p w14:paraId="61E3CC75">
      <w:pPr>
        <w:spacing w:before="115" w:line="217" w:lineRule="auto"/>
        <w:ind w:left="1107"/>
        <w:outlineLvl w:val="9"/>
        <w:rPr>
          <w:rFonts w:ascii="宋体" w:hAnsi="宋体" w:eastAsia="宋体" w:cs="宋体"/>
          <w:sz w:val="24"/>
          <w:szCs w:val="24"/>
          <w:highlight w:val="none"/>
        </w:rPr>
      </w:pPr>
      <w:r>
        <w:rPr>
          <w:rFonts w:ascii="宋体" w:hAnsi="宋体" w:eastAsia="宋体" w:cs="宋体"/>
          <w:spacing w:val="-2"/>
          <w:sz w:val="24"/>
          <w:szCs w:val="24"/>
          <w:highlight w:val="none"/>
        </w:rPr>
        <w:t>①涉及信息类产品，请填写该产品关键部件的品牌、型号：</w:t>
      </w:r>
    </w:p>
    <w:p w14:paraId="3981CF15">
      <w:pPr>
        <w:spacing w:before="118" w:line="220" w:lineRule="auto"/>
        <w:ind w:left="1111"/>
        <w:outlineLvl w:val="9"/>
        <w:rPr>
          <w:rFonts w:hint="eastAsia" w:ascii="宋体" w:hAnsi="宋体" w:eastAsia="宋体" w:cs="宋体"/>
          <w:sz w:val="24"/>
          <w:szCs w:val="24"/>
          <w:highlight w:val="none"/>
          <w:lang w:eastAsia="zh-CN"/>
        </w:rPr>
      </w:pPr>
      <w:r>
        <w:rPr>
          <w:rFonts w:ascii="宋体" w:hAnsi="宋体" w:eastAsia="宋体" w:cs="宋体"/>
          <w:spacing w:val="-6"/>
          <w:sz w:val="24"/>
          <w:szCs w:val="24"/>
          <w:highlight w:val="none"/>
        </w:rPr>
        <w:t>标的名称：</w:t>
      </w:r>
    </w:p>
    <w:p w14:paraId="2641DC12">
      <w:pPr>
        <w:spacing w:before="113" w:line="219" w:lineRule="auto"/>
        <w:ind w:left="1116"/>
        <w:outlineLvl w:val="9"/>
        <w:rPr>
          <w:rFonts w:hint="eastAsia" w:ascii="宋体" w:hAnsi="宋体" w:eastAsia="宋体" w:cs="宋体"/>
          <w:sz w:val="24"/>
          <w:szCs w:val="24"/>
          <w:highlight w:val="none"/>
          <w:lang w:eastAsia="zh-CN"/>
        </w:rPr>
      </w:pPr>
      <w:r>
        <w:rPr>
          <w:rFonts w:ascii="宋体" w:hAnsi="宋体" w:eastAsia="宋体" w:cs="宋体"/>
          <w:spacing w:val="-6"/>
          <w:sz w:val="24"/>
          <w:szCs w:val="24"/>
          <w:highlight w:val="none"/>
        </w:rPr>
        <w:t>关键部件：品牌：型号：</w:t>
      </w:r>
    </w:p>
    <w:p w14:paraId="3B06261F">
      <w:pPr>
        <w:spacing w:before="153" w:line="230" w:lineRule="auto"/>
        <w:ind w:left="931"/>
        <w:outlineLvl w:val="9"/>
        <w:rPr>
          <w:rFonts w:hint="eastAsia" w:ascii="宋体" w:hAnsi="宋体" w:eastAsia="宋体" w:cs="宋体"/>
          <w:sz w:val="18"/>
          <w:szCs w:val="18"/>
          <w:highlight w:val="none"/>
          <w:lang w:eastAsia="zh-CN"/>
        </w:rPr>
      </w:pPr>
      <w:r>
        <w:rPr>
          <w:rFonts w:ascii="宋体" w:hAnsi="宋体" w:eastAsia="宋体" w:cs="宋体"/>
          <w:spacing w:val="10"/>
          <w:sz w:val="18"/>
          <w:szCs w:val="18"/>
          <w:highlight w:val="none"/>
        </w:rPr>
        <w:t>关键部件：品牌：型号：</w:t>
      </w:r>
    </w:p>
    <w:p w14:paraId="621811B8">
      <w:pPr>
        <w:spacing w:before="174" w:line="230" w:lineRule="auto"/>
        <w:ind w:left="931"/>
        <w:outlineLvl w:val="9"/>
        <w:rPr>
          <w:rFonts w:hint="eastAsia" w:ascii="宋体" w:hAnsi="宋体" w:eastAsia="宋体" w:cs="宋体"/>
          <w:sz w:val="18"/>
          <w:szCs w:val="18"/>
          <w:highlight w:val="none"/>
          <w:lang w:eastAsia="zh-CN"/>
        </w:rPr>
      </w:pPr>
      <w:r>
        <w:rPr>
          <w:rFonts w:ascii="宋体" w:hAnsi="宋体" w:eastAsia="宋体" w:cs="宋体"/>
          <w:spacing w:val="10"/>
          <w:sz w:val="18"/>
          <w:szCs w:val="18"/>
          <w:highlight w:val="none"/>
        </w:rPr>
        <w:t>关键部件：品牌：型号：</w:t>
      </w:r>
    </w:p>
    <w:p w14:paraId="48C1EA5A">
      <w:pPr>
        <w:spacing w:before="188" w:line="402" w:lineRule="auto"/>
        <w:ind w:left="28" w:right="37" w:firstLine="315"/>
        <w:outlineLvl w:val="9"/>
        <w:rPr>
          <w:rFonts w:ascii="宋体" w:hAnsi="宋体" w:eastAsia="宋体" w:cs="宋体"/>
          <w:sz w:val="18"/>
          <w:szCs w:val="18"/>
          <w:highlight w:val="none"/>
        </w:rPr>
      </w:pPr>
      <w:r>
        <w:rPr>
          <w:rFonts w:ascii="宋体" w:hAnsi="宋体" w:eastAsia="宋体" w:cs="宋体"/>
          <w:spacing w:val="18"/>
          <w:sz w:val="18"/>
          <w:szCs w:val="18"/>
          <w:highlight w:val="none"/>
        </w:rPr>
        <w:t>（注：关键部件是指财政部会同有关部门发布的政府采购需求标准规</w:t>
      </w:r>
      <w:r>
        <w:rPr>
          <w:rFonts w:ascii="宋体" w:hAnsi="宋体" w:eastAsia="宋体" w:cs="宋体"/>
          <w:spacing w:val="17"/>
          <w:sz w:val="18"/>
          <w:szCs w:val="18"/>
          <w:highlight w:val="none"/>
        </w:rPr>
        <w:t>定的需要通过国家有关</w:t>
      </w:r>
      <w:r>
        <w:rPr>
          <w:rFonts w:ascii="宋体" w:hAnsi="宋体" w:eastAsia="宋体" w:cs="宋体"/>
          <w:spacing w:val="19"/>
          <w:sz w:val="18"/>
          <w:szCs w:val="18"/>
          <w:highlight w:val="none"/>
        </w:rPr>
        <w:t>部门指定的测评机构开展的安全可靠测评的软硬件，如</w:t>
      </w:r>
      <w:r>
        <w:rPr>
          <w:rFonts w:ascii="宋体" w:hAnsi="宋体" w:eastAsia="宋体" w:cs="宋体"/>
          <w:sz w:val="18"/>
          <w:szCs w:val="18"/>
          <w:highlight w:val="none"/>
        </w:rPr>
        <w:t>CPU</w:t>
      </w:r>
      <w:r>
        <w:rPr>
          <w:rFonts w:ascii="宋体" w:hAnsi="宋体" w:eastAsia="宋体" w:cs="宋体"/>
          <w:spacing w:val="19"/>
          <w:sz w:val="18"/>
          <w:szCs w:val="18"/>
          <w:highlight w:val="none"/>
        </w:rPr>
        <w:t>芯片、操作系统、数据库等。）</w:t>
      </w:r>
    </w:p>
    <w:p w14:paraId="4DB20083">
      <w:pPr>
        <w:spacing w:line="227" w:lineRule="auto"/>
        <w:ind w:left="922"/>
        <w:outlineLvl w:val="9"/>
        <w:rPr>
          <w:rFonts w:ascii="宋体" w:hAnsi="宋体" w:eastAsia="宋体" w:cs="宋体"/>
          <w:sz w:val="18"/>
          <w:szCs w:val="18"/>
          <w:highlight w:val="none"/>
        </w:rPr>
      </w:pPr>
      <w:r>
        <w:rPr>
          <w:rFonts w:ascii="宋体" w:hAnsi="宋体" w:eastAsia="宋体" w:cs="宋体"/>
          <w:spacing w:val="17"/>
          <w:sz w:val="18"/>
          <w:szCs w:val="18"/>
          <w:highlight w:val="none"/>
        </w:rPr>
        <w:t>②涉及车辆采购，请填写是否属于新能源汽车：</w:t>
      </w:r>
    </w:p>
    <w:p w14:paraId="7A23689B">
      <w:pPr>
        <w:spacing w:before="177" w:line="406" w:lineRule="auto"/>
        <w:ind w:left="942" w:right="247"/>
        <w:outlineLvl w:val="9"/>
        <w:rPr>
          <w:rFonts w:ascii="宋体" w:hAnsi="宋体" w:eastAsia="宋体" w:cs="宋体"/>
          <w:sz w:val="18"/>
          <w:szCs w:val="18"/>
          <w:highlight w:val="none"/>
        </w:rPr>
      </w:pPr>
      <w:r>
        <w:rPr>
          <w:rFonts w:ascii="Wingdings" w:hAnsi="Wingdings" w:eastAsia="Wingdings" w:cs="Wingdings"/>
          <w:spacing w:val="13"/>
          <w:sz w:val="18"/>
          <w:szCs w:val="18"/>
          <w:highlight w:val="none"/>
        </w:rPr>
        <w:t>o</w:t>
      </w:r>
      <w:r>
        <w:rPr>
          <w:rFonts w:ascii="宋体" w:hAnsi="宋体" w:eastAsia="宋体" w:cs="宋体"/>
          <w:spacing w:val="13"/>
          <w:sz w:val="18"/>
          <w:szCs w:val="18"/>
          <w:highlight w:val="none"/>
        </w:rPr>
        <w:t>是，《政府采购品目分类目录》底级品目名称：数量：金额：</w:t>
      </w:r>
      <w:r>
        <w:rPr>
          <w:rFonts w:ascii="Wingdings" w:hAnsi="Wingdings" w:eastAsia="Wingdings" w:cs="Wingdings"/>
          <w:spacing w:val="2"/>
          <w:sz w:val="18"/>
          <w:szCs w:val="18"/>
          <w:highlight w:val="none"/>
        </w:rPr>
        <w:t>o</w:t>
      </w:r>
      <w:r>
        <w:rPr>
          <w:rFonts w:ascii="宋体" w:hAnsi="宋体" w:eastAsia="宋体" w:cs="宋体"/>
          <w:spacing w:val="2"/>
          <w:sz w:val="18"/>
          <w:szCs w:val="18"/>
          <w:highlight w:val="none"/>
        </w:rPr>
        <w:t>否</w:t>
      </w:r>
    </w:p>
    <w:p w14:paraId="5CE92DEB">
      <w:pPr>
        <w:spacing w:before="7" w:line="244" w:lineRule="exact"/>
        <w:ind w:left="444"/>
        <w:outlineLvl w:val="9"/>
        <w:rPr>
          <w:rFonts w:ascii="宋体" w:hAnsi="宋体" w:eastAsia="宋体" w:cs="宋体"/>
          <w:sz w:val="18"/>
          <w:szCs w:val="18"/>
          <w:highlight w:val="none"/>
        </w:rPr>
      </w:pPr>
      <w:r>
        <w:rPr>
          <w:rFonts w:ascii="宋体" w:hAnsi="宋体" w:eastAsia="宋体" w:cs="宋体"/>
          <w:spacing w:val="15"/>
          <w:position w:val="1"/>
          <w:sz w:val="18"/>
          <w:szCs w:val="18"/>
          <w:highlight w:val="none"/>
        </w:rPr>
        <w:t>（4）政府采购组织形式：</w:t>
      </w:r>
      <w:r>
        <w:rPr>
          <w:rFonts w:ascii="Wingdings" w:hAnsi="Wingdings" w:eastAsia="Wingdings" w:cs="Wingdings"/>
          <w:spacing w:val="15"/>
          <w:position w:val="1"/>
          <w:sz w:val="18"/>
          <w:szCs w:val="18"/>
          <w:highlight w:val="none"/>
        </w:rPr>
        <w:t>o</w:t>
      </w:r>
      <w:r>
        <w:rPr>
          <w:rFonts w:ascii="宋体" w:hAnsi="宋体" w:eastAsia="宋体" w:cs="宋体"/>
          <w:spacing w:val="15"/>
          <w:position w:val="1"/>
          <w:sz w:val="18"/>
          <w:szCs w:val="18"/>
          <w:highlight w:val="none"/>
        </w:rPr>
        <w:t>政府集中采购</w:t>
      </w:r>
      <w:r>
        <w:rPr>
          <w:rFonts w:ascii="Wingdings" w:hAnsi="Wingdings" w:eastAsia="Wingdings" w:cs="Wingdings"/>
          <w:spacing w:val="15"/>
          <w:position w:val="1"/>
          <w:sz w:val="18"/>
          <w:szCs w:val="18"/>
          <w:highlight w:val="none"/>
        </w:rPr>
        <w:t>o</w:t>
      </w:r>
      <w:r>
        <w:rPr>
          <w:rFonts w:ascii="宋体" w:hAnsi="宋体" w:eastAsia="宋体" w:cs="宋体"/>
          <w:spacing w:val="15"/>
          <w:position w:val="1"/>
          <w:sz w:val="18"/>
          <w:szCs w:val="18"/>
          <w:highlight w:val="none"/>
        </w:rPr>
        <w:t>部门集中采购</w:t>
      </w:r>
      <w:r>
        <w:rPr>
          <w:rFonts w:ascii="Wingdings" w:hAnsi="Wingdings" w:eastAsia="Wingdings" w:cs="Wingdings"/>
          <w:spacing w:val="15"/>
          <w:position w:val="1"/>
          <w:sz w:val="18"/>
          <w:szCs w:val="18"/>
          <w:highlight w:val="none"/>
        </w:rPr>
        <w:t>o</w:t>
      </w:r>
      <w:r>
        <w:rPr>
          <w:rFonts w:ascii="宋体" w:hAnsi="宋体" w:eastAsia="宋体" w:cs="宋体"/>
          <w:spacing w:val="15"/>
          <w:position w:val="1"/>
          <w:sz w:val="18"/>
          <w:szCs w:val="18"/>
          <w:highlight w:val="none"/>
        </w:rPr>
        <w:t>分散采购</w:t>
      </w:r>
    </w:p>
    <w:p w14:paraId="067D898E">
      <w:pPr>
        <w:spacing w:before="157" w:line="244" w:lineRule="exact"/>
        <w:ind w:left="466"/>
        <w:outlineLvl w:val="9"/>
        <w:rPr>
          <w:rFonts w:ascii="宋体" w:hAnsi="宋体" w:eastAsia="宋体" w:cs="宋体"/>
          <w:sz w:val="18"/>
          <w:szCs w:val="18"/>
          <w:highlight w:val="none"/>
        </w:rPr>
      </w:pPr>
      <w:r>
        <w:rPr>
          <w:rFonts w:ascii="宋体" w:hAnsi="宋体" w:eastAsia="宋体" w:cs="宋体"/>
          <w:spacing w:val="13"/>
          <w:position w:val="1"/>
          <w:sz w:val="18"/>
          <w:szCs w:val="18"/>
          <w:highlight w:val="none"/>
        </w:rPr>
        <w:t>（5）政府采购方式：</w:t>
      </w:r>
      <w:r>
        <w:rPr>
          <w:rFonts w:ascii="Wingdings" w:hAnsi="Wingdings" w:eastAsia="Wingdings" w:cs="Wingdings"/>
          <w:spacing w:val="13"/>
          <w:position w:val="1"/>
          <w:sz w:val="18"/>
          <w:szCs w:val="18"/>
          <w:highlight w:val="none"/>
        </w:rPr>
        <w:t>o</w:t>
      </w:r>
      <w:r>
        <w:rPr>
          <w:rFonts w:ascii="宋体" w:hAnsi="宋体" w:eastAsia="宋体" w:cs="宋体"/>
          <w:spacing w:val="13"/>
          <w:position w:val="1"/>
          <w:sz w:val="18"/>
          <w:szCs w:val="18"/>
          <w:highlight w:val="none"/>
        </w:rPr>
        <w:t>公开招标</w:t>
      </w:r>
      <w:r>
        <w:rPr>
          <w:rFonts w:ascii="Wingdings" w:hAnsi="Wingdings" w:eastAsia="Wingdings" w:cs="Wingdings"/>
          <w:spacing w:val="13"/>
          <w:position w:val="1"/>
          <w:sz w:val="18"/>
          <w:szCs w:val="18"/>
          <w:highlight w:val="none"/>
        </w:rPr>
        <w:t>o</w:t>
      </w:r>
      <w:r>
        <w:rPr>
          <w:rFonts w:ascii="宋体" w:hAnsi="宋体" w:eastAsia="宋体" w:cs="宋体"/>
          <w:spacing w:val="13"/>
          <w:position w:val="1"/>
          <w:sz w:val="18"/>
          <w:szCs w:val="18"/>
          <w:highlight w:val="none"/>
        </w:rPr>
        <w:t>邀请招标</w:t>
      </w:r>
      <w:r>
        <w:rPr>
          <w:rFonts w:ascii="Wingdings" w:hAnsi="Wingdings" w:eastAsia="Wingdings" w:cs="Wingdings"/>
          <w:spacing w:val="13"/>
          <w:position w:val="1"/>
          <w:sz w:val="18"/>
          <w:szCs w:val="18"/>
          <w:highlight w:val="none"/>
        </w:rPr>
        <w:t>o</w:t>
      </w:r>
      <w:r>
        <w:rPr>
          <w:rFonts w:ascii="宋体" w:hAnsi="宋体" w:eastAsia="宋体" w:cs="宋体"/>
          <w:spacing w:val="13"/>
          <w:position w:val="1"/>
          <w:sz w:val="18"/>
          <w:szCs w:val="18"/>
          <w:highlight w:val="none"/>
        </w:rPr>
        <w:t>竞争性谈判</w:t>
      </w:r>
      <w:r>
        <w:rPr>
          <w:rFonts w:ascii="Wingdings" w:hAnsi="Wingdings" w:eastAsia="Wingdings" w:cs="Wingdings"/>
          <w:spacing w:val="13"/>
          <w:position w:val="1"/>
          <w:sz w:val="18"/>
          <w:szCs w:val="18"/>
          <w:highlight w:val="none"/>
        </w:rPr>
        <w:t>o</w:t>
      </w:r>
      <w:r>
        <w:rPr>
          <w:rFonts w:ascii="宋体" w:hAnsi="宋体" w:eastAsia="宋体" w:cs="宋体"/>
          <w:spacing w:val="13"/>
          <w:position w:val="1"/>
          <w:sz w:val="18"/>
          <w:szCs w:val="18"/>
          <w:highlight w:val="none"/>
        </w:rPr>
        <w:t>竞争性磋商</w:t>
      </w:r>
    </w:p>
    <w:p w14:paraId="25BDFE9C">
      <w:pPr>
        <w:spacing w:before="151" w:line="398" w:lineRule="auto"/>
        <w:ind w:left="466" w:right="1360" w:firstLine="1884"/>
        <w:outlineLvl w:val="9"/>
        <w:rPr>
          <w:rFonts w:ascii="宋体" w:hAnsi="宋体" w:eastAsia="宋体" w:cs="宋体"/>
          <w:sz w:val="18"/>
          <w:szCs w:val="18"/>
          <w:highlight w:val="none"/>
        </w:rPr>
      </w:pPr>
      <w:r>
        <w:rPr>
          <w:rFonts w:ascii="Wingdings" w:hAnsi="Wingdings" w:eastAsia="Wingdings" w:cs="Wingdings"/>
          <w:spacing w:val="9"/>
          <w:sz w:val="18"/>
          <w:szCs w:val="18"/>
          <w:highlight w:val="none"/>
        </w:rPr>
        <w:t>o</w:t>
      </w:r>
      <w:r>
        <w:rPr>
          <w:rFonts w:ascii="宋体" w:hAnsi="宋体" w:eastAsia="宋体" w:cs="宋体"/>
          <w:spacing w:val="9"/>
          <w:sz w:val="18"/>
          <w:szCs w:val="18"/>
          <w:highlight w:val="none"/>
        </w:rPr>
        <w:t>询价</w:t>
      </w:r>
      <w:r>
        <w:rPr>
          <w:rFonts w:ascii="Wingdings" w:hAnsi="Wingdings" w:eastAsia="Wingdings" w:cs="Wingdings"/>
          <w:spacing w:val="9"/>
          <w:sz w:val="18"/>
          <w:szCs w:val="18"/>
          <w:highlight w:val="none"/>
        </w:rPr>
        <w:t>o</w:t>
      </w:r>
      <w:r>
        <w:rPr>
          <w:rFonts w:ascii="宋体" w:hAnsi="宋体" w:eastAsia="宋体" w:cs="宋体"/>
          <w:spacing w:val="9"/>
          <w:sz w:val="18"/>
          <w:szCs w:val="18"/>
          <w:highlight w:val="none"/>
        </w:rPr>
        <w:t>单一来源</w:t>
      </w:r>
      <w:r>
        <w:rPr>
          <w:rFonts w:ascii="Wingdings" w:hAnsi="Wingdings" w:eastAsia="Wingdings" w:cs="Wingdings"/>
          <w:spacing w:val="9"/>
          <w:sz w:val="18"/>
          <w:szCs w:val="18"/>
          <w:highlight w:val="none"/>
        </w:rPr>
        <w:t>o</w:t>
      </w:r>
      <w:r>
        <w:rPr>
          <w:rFonts w:ascii="宋体" w:hAnsi="宋体" w:eastAsia="宋体" w:cs="宋体"/>
          <w:spacing w:val="9"/>
          <w:sz w:val="18"/>
          <w:szCs w:val="18"/>
          <w:highlight w:val="none"/>
        </w:rPr>
        <w:t>框架协议</w:t>
      </w:r>
      <w:r>
        <w:rPr>
          <w:rFonts w:ascii="Wingdings" w:hAnsi="Wingdings" w:eastAsia="Wingdings" w:cs="Wingdings"/>
          <w:spacing w:val="9"/>
          <w:sz w:val="18"/>
          <w:szCs w:val="18"/>
          <w:highlight w:val="none"/>
        </w:rPr>
        <w:t>o</w:t>
      </w:r>
      <w:r>
        <w:rPr>
          <w:rFonts w:ascii="宋体" w:hAnsi="宋体" w:eastAsia="宋体" w:cs="宋体"/>
          <w:spacing w:val="9"/>
          <w:sz w:val="18"/>
          <w:szCs w:val="18"/>
          <w:highlight w:val="none"/>
        </w:rPr>
        <w:t>其他：</w:t>
      </w:r>
      <w:r>
        <w:rPr>
          <w:rFonts w:ascii="宋体" w:hAnsi="宋体" w:eastAsia="宋体" w:cs="宋体"/>
          <w:spacing w:val="17"/>
          <w:sz w:val="18"/>
          <w:szCs w:val="18"/>
          <w:highlight w:val="none"/>
        </w:rPr>
        <w:t>（注：在框架协议采购的第二阶段，可选择使用该合同文本）</w:t>
      </w:r>
    </w:p>
    <w:p w14:paraId="5CC9C550">
      <w:pPr>
        <w:spacing w:line="398" w:lineRule="auto"/>
        <w:outlineLvl w:val="9"/>
        <w:rPr>
          <w:rFonts w:ascii="宋体" w:hAnsi="宋体" w:eastAsia="宋体" w:cs="宋体"/>
          <w:sz w:val="18"/>
          <w:szCs w:val="18"/>
          <w:highlight w:val="none"/>
        </w:rPr>
        <w:sectPr>
          <w:headerReference r:id="rId49" w:type="default"/>
          <w:footerReference r:id="rId50" w:type="default"/>
          <w:pgSz w:w="11906" w:h="16840"/>
          <w:pgMar w:top="400" w:right="1785" w:bottom="1156" w:left="1785" w:header="0" w:footer="910" w:gutter="0"/>
          <w:pgNumType w:fmt="decimal"/>
          <w:cols w:space="720" w:num="1"/>
        </w:sectPr>
      </w:pPr>
    </w:p>
    <w:p w14:paraId="2D3C14F6">
      <w:pPr>
        <w:pStyle w:val="2"/>
        <w:spacing w:line="432" w:lineRule="auto"/>
        <w:outlineLvl w:val="9"/>
        <w:rPr>
          <w:highlight w:val="none"/>
        </w:rPr>
      </w:pPr>
    </w:p>
    <w:p w14:paraId="25477BD0">
      <w:pPr>
        <w:spacing w:before="62"/>
        <w:ind w:left="380"/>
        <w:outlineLvl w:val="9"/>
        <w:rPr>
          <w:rFonts w:ascii="宋体" w:hAnsi="宋体" w:eastAsia="宋体" w:cs="宋体"/>
          <w:sz w:val="18"/>
          <w:szCs w:val="18"/>
          <w:highlight w:val="none"/>
        </w:rPr>
      </w:pPr>
      <w:r>
        <w:rPr>
          <w:rFonts w:ascii="楷体" w:hAnsi="楷体" w:eastAsia="楷体" w:cs="楷体"/>
          <w:spacing w:val="12"/>
          <w:sz w:val="19"/>
          <w:szCs w:val="19"/>
          <w:highlight w:val="none"/>
        </w:rPr>
        <w:t>（</w:t>
      </w:r>
      <w:r>
        <w:rPr>
          <w:rFonts w:ascii="宋体" w:hAnsi="宋体" w:eastAsia="宋体" w:cs="宋体"/>
          <w:spacing w:val="12"/>
          <w:sz w:val="19"/>
          <w:szCs w:val="19"/>
          <w:highlight w:val="none"/>
        </w:rPr>
        <w:t>6</w:t>
      </w:r>
      <w:r>
        <w:rPr>
          <w:rFonts w:ascii="楷体" w:hAnsi="楷体" w:eastAsia="楷体" w:cs="楷体"/>
          <w:spacing w:val="12"/>
          <w:sz w:val="19"/>
          <w:szCs w:val="19"/>
          <w:highlight w:val="none"/>
        </w:rPr>
        <w:t>）</w:t>
      </w:r>
      <w:r>
        <w:rPr>
          <w:rFonts w:ascii="宋体" w:hAnsi="宋体" w:eastAsia="宋体" w:cs="宋体"/>
          <w:spacing w:val="12"/>
          <w:sz w:val="18"/>
          <w:szCs w:val="18"/>
          <w:highlight w:val="none"/>
        </w:rPr>
        <w:t>中标（成交）采购标的制造商是否为中</w:t>
      </w:r>
      <w:r>
        <w:rPr>
          <w:rFonts w:ascii="宋体" w:hAnsi="宋体" w:eastAsia="宋体" w:cs="宋体"/>
          <w:spacing w:val="11"/>
          <w:sz w:val="18"/>
          <w:szCs w:val="18"/>
          <w:highlight w:val="none"/>
        </w:rPr>
        <w:t>小企业：</w:t>
      </w:r>
      <w:r>
        <w:rPr>
          <w:rFonts w:ascii="Wingdings" w:hAnsi="Wingdings" w:eastAsia="Wingdings" w:cs="Wingdings"/>
          <w:spacing w:val="11"/>
          <w:sz w:val="18"/>
          <w:szCs w:val="18"/>
          <w:highlight w:val="none"/>
        </w:rPr>
        <w:t>o</w:t>
      </w:r>
      <w:r>
        <w:rPr>
          <w:rFonts w:ascii="宋体" w:hAnsi="宋体" w:eastAsia="宋体" w:cs="宋体"/>
          <w:spacing w:val="11"/>
          <w:sz w:val="18"/>
          <w:szCs w:val="18"/>
          <w:highlight w:val="none"/>
        </w:rPr>
        <w:t>是</w:t>
      </w:r>
      <w:r>
        <w:rPr>
          <w:rFonts w:ascii="Wingdings" w:hAnsi="Wingdings" w:eastAsia="Wingdings" w:cs="Wingdings"/>
          <w:spacing w:val="11"/>
          <w:sz w:val="18"/>
          <w:szCs w:val="18"/>
          <w:highlight w:val="none"/>
        </w:rPr>
        <w:t>o</w:t>
      </w:r>
      <w:r>
        <w:rPr>
          <w:rFonts w:ascii="宋体" w:hAnsi="宋体" w:eastAsia="宋体" w:cs="宋体"/>
          <w:spacing w:val="11"/>
          <w:sz w:val="18"/>
          <w:szCs w:val="18"/>
          <w:highlight w:val="none"/>
        </w:rPr>
        <w:t>否</w:t>
      </w:r>
    </w:p>
    <w:p w14:paraId="48FB3C51">
      <w:pPr>
        <w:spacing w:before="132" w:line="239" w:lineRule="auto"/>
        <w:jc w:val="right"/>
        <w:outlineLvl w:val="9"/>
        <w:rPr>
          <w:rFonts w:ascii="Wingdings" w:hAnsi="Wingdings" w:eastAsia="Wingdings" w:cs="Wingdings"/>
          <w:sz w:val="24"/>
          <w:szCs w:val="24"/>
          <w:highlight w:val="none"/>
        </w:rPr>
      </w:pPr>
      <w:r>
        <w:rPr>
          <w:rFonts w:ascii="宋体" w:hAnsi="宋体" w:eastAsia="宋体" w:cs="宋体"/>
          <w:spacing w:val="-4"/>
          <w:sz w:val="24"/>
          <w:szCs w:val="24"/>
          <w:highlight w:val="none"/>
        </w:rPr>
        <w:t>本合同是否为专门面向中小企业的采购合同（中小企业预留合同</w:t>
      </w:r>
      <w:r>
        <w:rPr>
          <w:rFonts w:ascii="宋体" w:hAnsi="宋体" w:eastAsia="宋体" w:cs="宋体"/>
          <w:spacing w:val="-43"/>
          <w:sz w:val="24"/>
          <w:szCs w:val="24"/>
          <w:highlight w:val="none"/>
        </w:rPr>
        <w:t>）：</w:t>
      </w:r>
      <w:r>
        <w:rPr>
          <w:rFonts w:ascii="Wingdings" w:hAnsi="Wingdings" w:eastAsia="Wingdings" w:cs="Wingdings"/>
          <w:spacing w:val="-4"/>
          <w:sz w:val="24"/>
          <w:szCs w:val="24"/>
          <w:highlight w:val="none"/>
        </w:rPr>
        <w:t>o</w:t>
      </w:r>
    </w:p>
    <w:p w14:paraId="52C61544">
      <w:pPr>
        <w:spacing w:before="85"/>
        <w:ind w:left="36"/>
        <w:outlineLvl w:val="9"/>
        <w:rPr>
          <w:rFonts w:ascii="宋体" w:hAnsi="宋体" w:eastAsia="宋体" w:cs="宋体"/>
          <w:sz w:val="24"/>
          <w:szCs w:val="24"/>
          <w:highlight w:val="none"/>
        </w:rPr>
      </w:pPr>
      <w:r>
        <w:rPr>
          <w:rFonts w:ascii="宋体" w:hAnsi="宋体" w:eastAsia="宋体" w:cs="宋体"/>
          <w:spacing w:val="-12"/>
          <w:sz w:val="24"/>
          <w:szCs w:val="24"/>
          <w:highlight w:val="none"/>
        </w:rPr>
        <w:t>是</w:t>
      </w:r>
      <w:r>
        <w:rPr>
          <w:rFonts w:ascii="Wingdings" w:hAnsi="Wingdings" w:eastAsia="Wingdings" w:cs="Wingdings"/>
          <w:spacing w:val="-12"/>
          <w:sz w:val="24"/>
          <w:szCs w:val="24"/>
          <w:highlight w:val="none"/>
        </w:rPr>
        <w:t>o</w:t>
      </w:r>
      <w:r>
        <w:rPr>
          <w:rFonts w:ascii="宋体" w:hAnsi="宋体" w:eastAsia="宋体" w:cs="宋体"/>
          <w:spacing w:val="-12"/>
          <w:sz w:val="24"/>
          <w:szCs w:val="24"/>
          <w:highlight w:val="none"/>
        </w:rPr>
        <w:t>否</w:t>
      </w:r>
    </w:p>
    <w:p w14:paraId="0F4A0128">
      <w:pPr>
        <w:spacing w:before="86" w:line="239" w:lineRule="auto"/>
        <w:ind w:right="1"/>
        <w:jc w:val="right"/>
        <w:outlineLvl w:val="9"/>
        <w:rPr>
          <w:rFonts w:ascii="宋体" w:hAnsi="宋体" w:eastAsia="宋体" w:cs="宋体"/>
          <w:sz w:val="24"/>
          <w:szCs w:val="24"/>
          <w:highlight w:val="none"/>
        </w:rPr>
      </w:pPr>
      <w:r>
        <w:rPr>
          <w:rFonts w:ascii="宋体" w:hAnsi="宋体" w:eastAsia="宋体" w:cs="宋体"/>
          <w:spacing w:val="-6"/>
          <w:sz w:val="24"/>
          <w:szCs w:val="24"/>
          <w:highlight w:val="none"/>
        </w:rPr>
        <w:t>若本项目不专门面向中小企业采购，是否给予小微企业评</w:t>
      </w:r>
      <w:r>
        <w:rPr>
          <w:rFonts w:ascii="宋体" w:hAnsi="宋体" w:eastAsia="宋体" w:cs="宋体"/>
          <w:spacing w:val="-7"/>
          <w:sz w:val="24"/>
          <w:szCs w:val="24"/>
          <w:highlight w:val="none"/>
        </w:rPr>
        <w:t>审优惠：</w:t>
      </w:r>
      <w:r>
        <w:rPr>
          <w:rFonts w:ascii="Wingdings" w:hAnsi="Wingdings" w:eastAsia="Wingdings" w:cs="Wingdings"/>
          <w:spacing w:val="-7"/>
          <w:sz w:val="24"/>
          <w:szCs w:val="24"/>
          <w:highlight w:val="none"/>
        </w:rPr>
        <w:t>o</w:t>
      </w:r>
      <w:r>
        <w:rPr>
          <w:rFonts w:ascii="宋体" w:hAnsi="宋体" w:eastAsia="宋体" w:cs="宋体"/>
          <w:spacing w:val="-7"/>
          <w:sz w:val="24"/>
          <w:szCs w:val="24"/>
          <w:highlight w:val="none"/>
        </w:rPr>
        <w:t>是</w:t>
      </w:r>
    </w:p>
    <w:p w14:paraId="4FCF60DF">
      <w:pPr>
        <w:spacing w:before="90"/>
        <w:ind w:left="51"/>
        <w:outlineLvl w:val="9"/>
        <w:rPr>
          <w:rFonts w:ascii="宋体" w:hAnsi="宋体" w:eastAsia="宋体" w:cs="宋体"/>
          <w:sz w:val="24"/>
          <w:szCs w:val="24"/>
          <w:highlight w:val="none"/>
        </w:rPr>
      </w:pPr>
      <w:r>
        <w:rPr>
          <w:rFonts w:ascii="Wingdings" w:hAnsi="Wingdings" w:eastAsia="Wingdings" w:cs="Wingdings"/>
          <w:spacing w:val="-11"/>
          <w:sz w:val="24"/>
          <w:szCs w:val="24"/>
          <w:highlight w:val="none"/>
        </w:rPr>
        <w:t>o</w:t>
      </w:r>
      <w:r>
        <w:rPr>
          <w:rFonts w:ascii="宋体" w:hAnsi="宋体" w:eastAsia="宋体" w:cs="宋体"/>
          <w:spacing w:val="-11"/>
          <w:sz w:val="24"/>
          <w:szCs w:val="24"/>
          <w:highlight w:val="none"/>
        </w:rPr>
        <w:t>否</w:t>
      </w:r>
    </w:p>
    <w:p w14:paraId="27F4EFD7">
      <w:pPr>
        <w:spacing w:before="84" w:line="239" w:lineRule="auto"/>
        <w:ind w:right="6"/>
        <w:jc w:val="right"/>
        <w:outlineLvl w:val="9"/>
        <w:rPr>
          <w:rFonts w:ascii="宋体" w:hAnsi="宋体" w:eastAsia="宋体" w:cs="宋体"/>
          <w:sz w:val="24"/>
          <w:szCs w:val="24"/>
          <w:highlight w:val="none"/>
        </w:rPr>
      </w:pPr>
      <w:r>
        <w:rPr>
          <w:rFonts w:ascii="宋体" w:hAnsi="宋体" w:eastAsia="宋体" w:cs="宋体"/>
          <w:spacing w:val="-3"/>
          <w:sz w:val="24"/>
          <w:szCs w:val="24"/>
          <w:highlight w:val="none"/>
        </w:rPr>
        <w:t>中标（成交）采购标的制造商是否为残疾人福利性单位：</w:t>
      </w:r>
      <w:r>
        <w:rPr>
          <w:rFonts w:ascii="Wingdings" w:hAnsi="Wingdings" w:eastAsia="Wingdings" w:cs="Wingdings"/>
          <w:spacing w:val="-3"/>
          <w:sz w:val="24"/>
          <w:szCs w:val="24"/>
          <w:highlight w:val="none"/>
        </w:rPr>
        <w:t>o</w:t>
      </w:r>
      <w:r>
        <w:rPr>
          <w:rFonts w:ascii="宋体" w:hAnsi="宋体" w:eastAsia="宋体" w:cs="宋体"/>
          <w:spacing w:val="-3"/>
          <w:sz w:val="24"/>
          <w:szCs w:val="24"/>
          <w:highlight w:val="none"/>
        </w:rPr>
        <w:t>是</w:t>
      </w:r>
      <w:r>
        <w:rPr>
          <w:rFonts w:ascii="Wingdings" w:hAnsi="Wingdings" w:eastAsia="Wingdings" w:cs="Wingdings"/>
          <w:spacing w:val="-4"/>
          <w:sz w:val="24"/>
          <w:szCs w:val="24"/>
          <w:highlight w:val="none"/>
        </w:rPr>
        <w:t>o</w:t>
      </w:r>
      <w:r>
        <w:rPr>
          <w:rFonts w:ascii="宋体" w:hAnsi="宋体" w:eastAsia="宋体" w:cs="宋体"/>
          <w:spacing w:val="-4"/>
          <w:sz w:val="24"/>
          <w:szCs w:val="24"/>
          <w:highlight w:val="none"/>
        </w:rPr>
        <w:t>否</w:t>
      </w:r>
    </w:p>
    <w:p w14:paraId="3EF10670">
      <w:pPr>
        <w:spacing w:before="87" w:line="239" w:lineRule="auto"/>
        <w:ind w:left="1154"/>
        <w:outlineLvl w:val="9"/>
        <w:rPr>
          <w:rFonts w:ascii="宋体" w:hAnsi="宋体" w:eastAsia="宋体" w:cs="宋体"/>
          <w:sz w:val="24"/>
          <w:szCs w:val="24"/>
          <w:highlight w:val="none"/>
        </w:rPr>
      </w:pPr>
      <w:r>
        <w:rPr>
          <w:rFonts w:ascii="宋体" w:hAnsi="宋体" w:eastAsia="宋体" w:cs="宋体"/>
          <w:spacing w:val="-2"/>
          <w:sz w:val="24"/>
          <w:szCs w:val="24"/>
          <w:highlight w:val="none"/>
        </w:rPr>
        <w:t>中标（成交）采购标的制造商是否为监狱企业：</w:t>
      </w:r>
      <w:r>
        <w:rPr>
          <w:rFonts w:ascii="Wingdings" w:hAnsi="Wingdings" w:eastAsia="Wingdings" w:cs="Wingdings"/>
          <w:spacing w:val="-2"/>
          <w:sz w:val="24"/>
          <w:szCs w:val="24"/>
          <w:highlight w:val="none"/>
        </w:rPr>
        <w:t>o</w:t>
      </w:r>
      <w:r>
        <w:rPr>
          <w:rFonts w:ascii="宋体" w:hAnsi="宋体" w:eastAsia="宋体" w:cs="宋体"/>
          <w:spacing w:val="-2"/>
          <w:sz w:val="24"/>
          <w:szCs w:val="24"/>
          <w:highlight w:val="none"/>
        </w:rPr>
        <w:t>是</w:t>
      </w:r>
      <w:r>
        <w:rPr>
          <w:rFonts w:ascii="Wingdings" w:hAnsi="Wingdings" w:eastAsia="Wingdings" w:cs="Wingdings"/>
          <w:spacing w:val="-3"/>
          <w:sz w:val="24"/>
          <w:szCs w:val="24"/>
          <w:highlight w:val="none"/>
        </w:rPr>
        <w:t>o</w:t>
      </w:r>
      <w:r>
        <w:rPr>
          <w:rFonts w:ascii="宋体" w:hAnsi="宋体" w:eastAsia="宋体" w:cs="宋体"/>
          <w:spacing w:val="-3"/>
          <w:sz w:val="24"/>
          <w:szCs w:val="24"/>
          <w:highlight w:val="none"/>
        </w:rPr>
        <w:t>否</w:t>
      </w:r>
    </w:p>
    <w:p w14:paraId="4E40413F">
      <w:pPr>
        <w:spacing w:before="91"/>
        <w:ind w:left="531"/>
        <w:outlineLvl w:val="9"/>
        <w:rPr>
          <w:rFonts w:ascii="宋体" w:hAnsi="宋体" w:eastAsia="宋体" w:cs="宋体"/>
          <w:sz w:val="24"/>
          <w:szCs w:val="24"/>
          <w:highlight w:val="none"/>
        </w:rPr>
      </w:pPr>
      <w:r>
        <w:rPr>
          <w:rFonts w:ascii="宋体" w:hAnsi="宋体" w:eastAsia="宋体" w:cs="宋体"/>
          <w:spacing w:val="-3"/>
          <w:sz w:val="24"/>
          <w:szCs w:val="24"/>
          <w:highlight w:val="none"/>
        </w:rPr>
        <w:t>（7）合同是否分包：</w:t>
      </w:r>
      <w:r>
        <w:rPr>
          <w:rFonts w:ascii="Wingdings" w:hAnsi="Wingdings" w:eastAsia="Wingdings" w:cs="Wingdings"/>
          <w:spacing w:val="-3"/>
          <w:sz w:val="24"/>
          <w:szCs w:val="24"/>
          <w:highlight w:val="none"/>
        </w:rPr>
        <w:t>o</w:t>
      </w:r>
      <w:r>
        <w:rPr>
          <w:rFonts w:ascii="宋体" w:hAnsi="宋体" w:eastAsia="宋体" w:cs="宋体"/>
          <w:spacing w:val="-3"/>
          <w:sz w:val="24"/>
          <w:szCs w:val="24"/>
          <w:highlight w:val="none"/>
        </w:rPr>
        <w:t>是</w:t>
      </w:r>
      <w:r>
        <w:rPr>
          <w:rFonts w:ascii="Wingdings" w:hAnsi="Wingdings" w:eastAsia="Wingdings" w:cs="Wingdings"/>
          <w:spacing w:val="-3"/>
          <w:sz w:val="24"/>
          <w:szCs w:val="24"/>
          <w:highlight w:val="none"/>
        </w:rPr>
        <w:t>o</w:t>
      </w:r>
      <w:r>
        <w:rPr>
          <w:rFonts w:ascii="宋体" w:hAnsi="宋体" w:eastAsia="宋体" w:cs="宋体"/>
          <w:spacing w:val="-3"/>
          <w:sz w:val="24"/>
          <w:szCs w:val="24"/>
          <w:highlight w:val="none"/>
        </w:rPr>
        <w:t>否</w:t>
      </w:r>
    </w:p>
    <w:p w14:paraId="4E11FA1F">
      <w:pPr>
        <w:spacing w:before="91" w:line="219" w:lineRule="auto"/>
        <w:ind w:left="1113"/>
        <w:outlineLvl w:val="9"/>
        <w:rPr>
          <w:rFonts w:hint="eastAsia" w:ascii="宋体" w:hAnsi="宋体" w:eastAsia="宋体" w:cs="宋体"/>
          <w:sz w:val="24"/>
          <w:szCs w:val="24"/>
          <w:highlight w:val="none"/>
          <w:lang w:eastAsia="zh-CN"/>
        </w:rPr>
      </w:pPr>
      <w:r>
        <w:rPr>
          <w:rFonts w:ascii="宋体" w:hAnsi="宋体" w:eastAsia="宋体" w:cs="宋体"/>
          <w:spacing w:val="-3"/>
          <w:sz w:val="24"/>
          <w:szCs w:val="24"/>
          <w:highlight w:val="none"/>
        </w:rPr>
        <w:t>分包主要内容：</w:t>
      </w:r>
    </w:p>
    <w:p w14:paraId="2D56805A">
      <w:pPr>
        <w:pStyle w:val="2"/>
        <w:tabs>
          <w:tab w:val="left" w:pos="8049"/>
        </w:tabs>
        <w:spacing w:before="111" w:line="356" w:lineRule="auto"/>
        <w:ind w:left="1089" w:right="232" w:firstLine="24"/>
        <w:outlineLvl w:val="9"/>
        <w:rPr>
          <w:highlight w:val="none"/>
        </w:rPr>
      </w:pPr>
      <w:r>
        <w:rPr>
          <w:rFonts w:ascii="宋体" w:hAnsi="宋体" w:eastAsia="宋体" w:cs="宋体"/>
          <w:spacing w:val="-2"/>
          <w:sz w:val="24"/>
          <w:szCs w:val="24"/>
          <w:highlight w:val="none"/>
        </w:rPr>
        <w:t>分包供应商/制造商名称（如供应商和制造商不同，请分别填写</w:t>
      </w:r>
      <w:r>
        <w:rPr>
          <w:rFonts w:ascii="宋体" w:hAnsi="宋体" w:eastAsia="宋体" w:cs="宋体"/>
          <w:spacing w:val="-19"/>
          <w:sz w:val="24"/>
          <w:szCs w:val="24"/>
          <w:highlight w:val="none"/>
        </w:rPr>
        <w:t>）：</w:t>
      </w:r>
      <w:r>
        <w:rPr>
          <w:highlight w:val="none"/>
          <w:u w:val="single" w:color="auto"/>
        </w:rPr>
        <w:tab/>
      </w:r>
    </w:p>
    <w:p w14:paraId="14246A53">
      <w:pPr>
        <w:spacing w:before="1" w:line="298" w:lineRule="auto"/>
        <w:ind w:left="42" w:right="11" w:firstLine="1070"/>
        <w:outlineLvl w:val="9"/>
        <w:rPr>
          <w:rFonts w:ascii="宋体" w:hAnsi="宋体" w:eastAsia="宋体" w:cs="宋体"/>
          <w:sz w:val="24"/>
          <w:szCs w:val="24"/>
          <w:highlight w:val="none"/>
        </w:rPr>
      </w:pPr>
      <w:r>
        <w:rPr>
          <w:rFonts w:ascii="宋体" w:hAnsi="宋体" w:eastAsia="宋体" w:cs="宋体"/>
          <w:spacing w:val="-4"/>
          <w:sz w:val="24"/>
          <w:szCs w:val="24"/>
          <w:highlight w:val="none"/>
        </w:rPr>
        <w:t>分包供应商/制造商类型（如果供应商和制造商不同，只填写制造商类</w:t>
      </w:r>
      <w:r>
        <w:rPr>
          <w:rFonts w:ascii="宋体" w:hAnsi="宋体" w:eastAsia="宋体" w:cs="宋体"/>
          <w:spacing w:val="-17"/>
          <w:sz w:val="24"/>
          <w:szCs w:val="24"/>
          <w:highlight w:val="none"/>
        </w:rPr>
        <w:t>型</w:t>
      </w:r>
      <w:r>
        <w:rPr>
          <w:rFonts w:ascii="宋体" w:hAnsi="宋体" w:eastAsia="宋体" w:cs="宋体"/>
          <w:spacing w:val="-9"/>
          <w:sz w:val="24"/>
          <w:szCs w:val="24"/>
          <w:highlight w:val="none"/>
        </w:rPr>
        <w:t>）：</w:t>
      </w:r>
    </w:p>
    <w:p w14:paraId="7E8EF20F">
      <w:pPr>
        <w:spacing w:line="239" w:lineRule="auto"/>
        <w:ind w:left="1131"/>
        <w:outlineLvl w:val="9"/>
        <w:rPr>
          <w:rFonts w:ascii="宋体" w:hAnsi="宋体" w:eastAsia="宋体" w:cs="宋体"/>
          <w:sz w:val="24"/>
          <w:szCs w:val="24"/>
          <w:highlight w:val="none"/>
        </w:rPr>
      </w:pPr>
      <w:r>
        <w:rPr>
          <w:rFonts w:ascii="Wingdings" w:hAnsi="Wingdings" w:eastAsia="Wingdings" w:cs="Wingdings"/>
          <w:spacing w:val="-5"/>
          <w:sz w:val="24"/>
          <w:szCs w:val="24"/>
          <w:highlight w:val="none"/>
        </w:rPr>
        <w:t>o</w:t>
      </w:r>
      <w:r>
        <w:rPr>
          <w:rFonts w:ascii="宋体" w:hAnsi="宋体" w:eastAsia="宋体" w:cs="宋体"/>
          <w:spacing w:val="-5"/>
          <w:sz w:val="24"/>
          <w:szCs w:val="24"/>
          <w:highlight w:val="none"/>
        </w:rPr>
        <w:t>大型企业</w:t>
      </w:r>
      <w:r>
        <w:rPr>
          <w:rFonts w:ascii="Wingdings" w:hAnsi="Wingdings" w:eastAsia="Wingdings" w:cs="Wingdings"/>
          <w:spacing w:val="-5"/>
          <w:sz w:val="24"/>
          <w:szCs w:val="24"/>
          <w:highlight w:val="none"/>
        </w:rPr>
        <w:t>o</w:t>
      </w:r>
      <w:r>
        <w:rPr>
          <w:rFonts w:ascii="宋体" w:hAnsi="宋体" w:eastAsia="宋体" w:cs="宋体"/>
          <w:spacing w:val="-5"/>
          <w:sz w:val="24"/>
          <w:szCs w:val="24"/>
          <w:highlight w:val="none"/>
        </w:rPr>
        <w:t>中型企业</w:t>
      </w:r>
      <w:r>
        <w:rPr>
          <w:rFonts w:ascii="Wingdings" w:hAnsi="Wingdings" w:eastAsia="Wingdings" w:cs="Wingdings"/>
          <w:spacing w:val="-5"/>
          <w:sz w:val="24"/>
          <w:szCs w:val="24"/>
          <w:highlight w:val="none"/>
        </w:rPr>
        <w:t>o</w:t>
      </w:r>
      <w:r>
        <w:rPr>
          <w:rFonts w:ascii="宋体" w:hAnsi="宋体" w:eastAsia="宋体" w:cs="宋体"/>
          <w:spacing w:val="-5"/>
          <w:sz w:val="24"/>
          <w:szCs w:val="24"/>
          <w:highlight w:val="none"/>
        </w:rPr>
        <w:t>小微型企业</w:t>
      </w:r>
    </w:p>
    <w:p w14:paraId="05C57E37">
      <w:pPr>
        <w:spacing w:before="90"/>
        <w:ind w:left="1131"/>
        <w:outlineLvl w:val="9"/>
        <w:rPr>
          <w:rFonts w:ascii="宋体" w:hAnsi="宋体" w:eastAsia="宋体" w:cs="宋体"/>
          <w:sz w:val="24"/>
          <w:szCs w:val="24"/>
          <w:highlight w:val="none"/>
        </w:rPr>
      </w:pPr>
      <w:r>
        <w:rPr>
          <w:rFonts w:ascii="Wingdings" w:hAnsi="Wingdings" w:eastAsia="Wingdings" w:cs="Wingdings"/>
          <w:spacing w:val="-5"/>
          <w:sz w:val="24"/>
          <w:szCs w:val="24"/>
          <w:highlight w:val="none"/>
        </w:rPr>
        <w:t>o</w:t>
      </w:r>
      <w:r>
        <w:rPr>
          <w:rFonts w:ascii="宋体" w:hAnsi="宋体" w:eastAsia="宋体" w:cs="宋体"/>
          <w:spacing w:val="-5"/>
          <w:sz w:val="24"/>
          <w:szCs w:val="24"/>
          <w:highlight w:val="none"/>
        </w:rPr>
        <w:t>残疾人福利性单位</w:t>
      </w:r>
      <w:r>
        <w:rPr>
          <w:rFonts w:ascii="Wingdings" w:hAnsi="Wingdings" w:eastAsia="Wingdings" w:cs="Wingdings"/>
          <w:spacing w:val="-5"/>
          <w:sz w:val="24"/>
          <w:szCs w:val="24"/>
          <w:highlight w:val="none"/>
        </w:rPr>
        <w:t>o</w:t>
      </w:r>
      <w:r>
        <w:rPr>
          <w:rFonts w:ascii="宋体" w:hAnsi="宋体" w:eastAsia="宋体" w:cs="宋体"/>
          <w:spacing w:val="-5"/>
          <w:sz w:val="24"/>
          <w:szCs w:val="24"/>
          <w:highlight w:val="none"/>
        </w:rPr>
        <w:t>监狱企业</w:t>
      </w:r>
      <w:r>
        <w:rPr>
          <w:rFonts w:ascii="Wingdings" w:hAnsi="Wingdings" w:eastAsia="Wingdings" w:cs="Wingdings"/>
          <w:spacing w:val="-5"/>
          <w:sz w:val="24"/>
          <w:szCs w:val="24"/>
          <w:highlight w:val="none"/>
        </w:rPr>
        <w:t>o</w:t>
      </w:r>
      <w:r>
        <w:rPr>
          <w:rFonts w:ascii="宋体" w:hAnsi="宋体" w:eastAsia="宋体" w:cs="宋体"/>
          <w:spacing w:val="-5"/>
          <w:sz w:val="24"/>
          <w:szCs w:val="24"/>
          <w:highlight w:val="none"/>
        </w:rPr>
        <w:t>其他</w:t>
      </w:r>
    </w:p>
    <w:p w14:paraId="071D8EC2">
      <w:pPr>
        <w:spacing w:before="84" w:line="354" w:lineRule="auto"/>
        <w:ind w:left="931" w:right="947" w:hanging="400"/>
        <w:outlineLvl w:val="9"/>
        <w:rPr>
          <w:rFonts w:ascii="宋体" w:hAnsi="宋体" w:eastAsia="宋体" w:cs="宋体"/>
          <w:sz w:val="18"/>
          <w:szCs w:val="18"/>
          <w:highlight w:val="none"/>
        </w:rPr>
      </w:pPr>
      <w:r>
        <w:rPr>
          <w:rFonts w:ascii="宋体" w:hAnsi="宋体" w:eastAsia="宋体" w:cs="宋体"/>
          <w:spacing w:val="-2"/>
          <w:sz w:val="24"/>
          <w:szCs w:val="24"/>
          <w:highlight w:val="none"/>
        </w:rPr>
        <w:t>（8）中标（成交）供应商是否为外商投资企业：</w:t>
      </w:r>
      <w:r>
        <w:rPr>
          <w:rFonts w:ascii="Wingdings" w:hAnsi="Wingdings" w:eastAsia="Wingdings" w:cs="Wingdings"/>
          <w:spacing w:val="-2"/>
          <w:sz w:val="24"/>
          <w:szCs w:val="24"/>
          <w:highlight w:val="none"/>
        </w:rPr>
        <w:t>o</w:t>
      </w:r>
      <w:r>
        <w:rPr>
          <w:rFonts w:ascii="宋体" w:hAnsi="宋体" w:eastAsia="宋体" w:cs="宋体"/>
          <w:spacing w:val="-2"/>
          <w:sz w:val="24"/>
          <w:szCs w:val="24"/>
          <w:highlight w:val="none"/>
        </w:rPr>
        <w:t>是</w:t>
      </w:r>
      <w:r>
        <w:rPr>
          <w:rFonts w:ascii="Wingdings" w:hAnsi="Wingdings" w:eastAsia="Wingdings" w:cs="Wingdings"/>
          <w:spacing w:val="-2"/>
          <w:sz w:val="24"/>
          <w:szCs w:val="24"/>
          <w:highlight w:val="none"/>
        </w:rPr>
        <w:t>o</w:t>
      </w:r>
      <w:r>
        <w:rPr>
          <w:rFonts w:ascii="宋体" w:hAnsi="宋体" w:eastAsia="宋体" w:cs="宋体"/>
          <w:spacing w:val="-2"/>
          <w:sz w:val="24"/>
          <w:szCs w:val="24"/>
          <w:highlight w:val="none"/>
        </w:rPr>
        <w:t>否</w:t>
      </w:r>
      <w:r>
        <w:rPr>
          <w:rFonts w:ascii="宋体" w:hAnsi="宋体" w:eastAsia="宋体" w:cs="宋体"/>
          <w:spacing w:val="16"/>
          <w:sz w:val="18"/>
          <w:szCs w:val="18"/>
          <w:highlight w:val="none"/>
        </w:rPr>
        <w:t>外商投资企业类型：</w:t>
      </w:r>
      <w:r>
        <w:rPr>
          <w:rFonts w:ascii="Wingdings" w:hAnsi="Wingdings" w:eastAsia="Wingdings" w:cs="Wingdings"/>
          <w:spacing w:val="16"/>
          <w:sz w:val="18"/>
          <w:szCs w:val="18"/>
          <w:highlight w:val="none"/>
        </w:rPr>
        <w:t>o</w:t>
      </w:r>
      <w:r>
        <w:rPr>
          <w:rFonts w:ascii="宋体" w:hAnsi="宋体" w:eastAsia="宋体" w:cs="宋体"/>
          <w:spacing w:val="16"/>
          <w:sz w:val="18"/>
          <w:szCs w:val="18"/>
          <w:highlight w:val="none"/>
        </w:rPr>
        <w:t>全部由外国投资者投资</w:t>
      </w:r>
      <w:r>
        <w:rPr>
          <w:rFonts w:ascii="Wingdings" w:hAnsi="Wingdings" w:eastAsia="Wingdings" w:cs="Wingdings"/>
          <w:spacing w:val="16"/>
          <w:sz w:val="18"/>
          <w:szCs w:val="18"/>
          <w:highlight w:val="none"/>
        </w:rPr>
        <w:t>o</w:t>
      </w:r>
      <w:r>
        <w:rPr>
          <w:rFonts w:ascii="宋体" w:hAnsi="宋体" w:eastAsia="宋体" w:cs="宋体"/>
          <w:spacing w:val="16"/>
          <w:sz w:val="18"/>
          <w:szCs w:val="18"/>
          <w:highlight w:val="none"/>
        </w:rPr>
        <w:t>部分由外国投资者投资</w:t>
      </w:r>
    </w:p>
    <w:p w14:paraId="7B2673F4">
      <w:pPr>
        <w:spacing w:before="36" w:line="230" w:lineRule="auto"/>
        <w:ind w:left="444"/>
        <w:outlineLvl w:val="9"/>
        <w:rPr>
          <w:rFonts w:ascii="宋体" w:hAnsi="宋体" w:eastAsia="宋体" w:cs="宋体"/>
          <w:sz w:val="18"/>
          <w:szCs w:val="18"/>
          <w:highlight w:val="none"/>
        </w:rPr>
      </w:pPr>
      <w:r>
        <w:rPr>
          <w:rFonts w:ascii="宋体" w:hAnsi="宋体" w:eastAsia="宋体" w:cs="宋体"/>
          <w:spacing w:val="13"/>
          <w:sz w:val="18"/>
          <w:szCs w:val="18"/>
          <w:highlight w:val="none"/>
        </w:rPr>
        <w:t>（9）是否涉及进口产品：</w:t>
      </w:r>
    </w:p>
    <w:p w14:paraId="16E1BDBE">
      <w:pPr>
        <w:spacing w:before="136" w:line="267" w:lineRule="auto"/>
        <w:ind w:left="1995" w:right="16" w:hanging="864"/>
        <w:outlineLvl w:val="9"/>
        <w:rPr>
          <w:rFonts w:hint="eastAsia" w:ascii="宋体" w:hAnsi="宋体" w:eastAsia="宋体" w:cs="宋体"/>
          <w:sz w:val="24"/>
          <w:szCs w:val="24"/>
          <w:highlight w:val="none"/>
          <w:lang w:eastAsia="zh-CN"/>
        </w:rPr>
      </w:pPr>
      <w:r>
        <w:rPr>
          <w:rFonts w:ascii="Wingdings" w:hAnsi="Wingdings" w:eastAsia="Wingdings" w:cs="Wingdings"/>
          <w:spacing w:val="-2"/>
          <w:sz w:val="24"/>
          <w:szCs w:val="24"/>
          <w:highlight w:val="none"/>
        </w:rPr>
        <w:t>o</w:t>
      </w:r>
      <w:r>
        <w:rPr>
          <w:rFonts w:ascii="宋体" w:hAnsi="宋体" w:eastAsia="宋体" w:cs="宋体"/>
          <w:spacing w:val="-2"/>
          <w:sz w:val="24"/>
          <w:szCs w:val="24"/>
          <w:highlight w:val="none"/>
        </w:rPr>
        <w:t>是，《政府采购品目分类目录》底级品目名称：金额：</w:t>
      </w:r>
      <w:r>
        <w:rPr>
          <w:rFonts w:ascii="宋体" w:hAnsi="宋体" w:eastAsia="宋体" w:cs="宋体"/>
          <w:spacing w:val="-8"/>
          <w:sz w:val="24"/>
          <w:szCs w:val="24"/>
          <w:highlight w:val="none"/>
        </w:rPr>
        <w:t>国别：品牌：规格型号：</w:t>
      </w:r>
    </w:p>
    <w:p w14:paraId="78D2F325">
      <w:pPr>
        <w:spacing w:before="106"/>
        <w:ind w:left="1131"/>
        <w:outlineLvl w:val="9"/>
        <w:rPr>
          <w:rFonts w:ascii="宋体" w:hAnsi="宋体" w:eastAsia="宋体" w:cs="宋体"/>
          <w:sz w:val="24"/>
          <w:szCs w:val="24"/>
          <w:highlight w:val="none"/>
        </w:rPr>
      </w:pPr>
      <w:r>
        <w:rPr>
          <w:rFonts w:ascii="Wingdings" w:hAnsi="Wingdings" w:eastAsia="Wingdings" w:cs="Wingdings"/>
          <w:spacing w:val="-11"/>
          <w:sz w:val="24"/>
          <w:szCs w:val="24"/>
          <w:highlight w:val="none"/>
        </w:rPr>
        <w:t>o</w:t>
      </w:r>
      <w:r>
        <w:rPr>
          <w:rFonts w:ascii="宋体" w:hAnsi="宋体" w:eastAsia="宋体" w:cs="宋体"/>
          <w:spacing w:val="-11"/>
          <w:sz w:val="24"/>
          <w:szCs w:val="24"/>
          <w:highlight w:val="none"/>
        </w:rPr>
        <w:t>否</w:t>
      </w:r>
    </w:p>
    <w:p w14:paraId="3F926A38">
      <w:pPr>
        <w:spacing w:before="123" w:line="230" w:lineRule="auto"/>
        <w:ind w:left="444"/>
        <w:outlineLvl w:val="9"/>
        <w:rPr>
          <w:rFonts w:ascii="宋体" w:hAnsi="宋体" w:eastAsia="宋体" w:cs="宋体"/>
          <w:sz w:val="18"/>
          <w:szCs w:val="18"/>
          <w:highlight w:val="none"/>
        </w:rPr>
      </w:pPr>
      <w:r>
        <w:rPr>
          <w:rFonts w:ascii="宋体" w:hAnsi="宋体" w:eastAsia="宋体" w:cs="宋体"/>
          <w:spacing w:val="11"/>
          <w:sz w:val="18"/>
          <w:szCs w:val="18"/>
          <w:highlight w:val="none"/>
        </w:rPr>
        <w:t>（10）是否涉及节能产品：</w:t>
      </w:r>
    </w:p>
    <w:p w14:paraId="728ED7A7">
      <w:pPr>
        <w:spacing w:before="134" w:line="239" w:lineRule="auto"/>
        <w:ind w:left="951"/>
        <w:outlineLvl w:val="9"/>
        <w:rPr>
          <w:rFonts w:hint="eastAsia" w:ascii="宋体" w:hAnsi="宋体" w:eastAsia="宋体" w:cs="宋体"/>
          <w:sz w:val="24"/>
          <w:szCs w:val="24"/>
          <w:highlight w:val="none"/>
          <w:lang w:eastAsia="zh-CN"/>
        </w:rPr>
      </w:pPr>
      <w:r>
        <w:rPr>
          <w:rFonts w:ascii="Wingdings" w:hAnsi="Wingdings" w:eastAsia="Wingdings" w:cs="Wingdings"/>
          <w:spacing w:val="-2"/>
          <w:sz w:val="24"/>
          <w:szCs w:val="24"/>
          <w:highlight w:val="none"/>
        </w:rPr>
        <w:t>o</w:t>
      </w:r>
      <w:r>
        <w:rPr>
          <w:rFonts w:ascii="宋体" w:hAnsi="宋体" w:eastAsia="宋体" w:cs="宋体"/>
          <w:spacing w:val="-2"/>
          <w:sz w:val="24"/>
          <w:szCs w:val="24"/>
          <w:highlight w:val="none"/>
        </w:rPr>
        <w:t>是，《节能产品政府采购品目清单》的底级品目名称：</w:t>
      </w:r>
    </w:p>
    <w:p w14:paraId="1B0482CA">
      <w:pPr>
        <w:spacing w:before="90" w:line="239" w:lineRule="auto"/>
        <w:ind w:left="1971"/>
        <w:outlineLvl w:val="9"/>
        <w:rPr>
          <w:rFonts w:ascii="宋体" w:hAnsi="宋体" w:eastAsia="宋体" w:cs="宋体"/>
          <w:sz w:val="24"/>
          <w:szCs w:val="24"/>
          <w:highlight w:val="none"/>
        </w:rPr>
      </w:pPr>
      <w:r>
        <w:rPr>
          <w:rFonts w:ascii="Wingdings" w:hAnsi="Wingdings" w:eastAsia="Wingdings" w:cs="Wingdings"/>
          <w:spacing w:val="-8"/>
          <w:sz w:val="24"/>
          <w:szCs w:val="24"/>
          <w:highlight w:val="none"/>
        </w:rPr>
        <w:t>o</w:t>
      </w:r>
      <w:r>
        <w:rPr>
          <w:rFonts w:ascii="宋体" w:hAnsi="宋体" w:eastAsia="宋体" w:cs="宋体"/>
          <w:spacing w:val="-8"/>
          <w:sz w:val="24"/>
          <w:szCs w:val="24"/>
          <w:highlight w:val="none"/>
        </w:rPr>
        <w:t>强制采购</w:t>
      </w:r>
      <w:r>
        <w:rPr>
          <w:rFonts w:ascii="Wingdings" w:hAnsi="Wingdings" w:eastAsia="Wingdings" w:cs="Wingdings"/>
          <w:spacing w:val="-8"/>
          <w:sz w:val="24"/>
          <w:szCs w:val="24"/>
          <w:highlight w:val="none"/>
        </w:rPr>
        <w:t>o</w:t>
      </w:r>
      <w:r>
        <w:rPr>
          <w:rFonts w:ascii="宋体" w:hAnsi="宋体" w:eastAsia="宋体" w:cs="宋体"/>
          <w:spacing w:val="-8"/>
          <w:sz w:val="24"/>
          <w:szCs w:val="24"/>
          <w:highlight w:val="none"/>
        </w:rPr>
        <w:t>优先采购</w:t>
      </w:r>
    </w:p>
    <w:p w14:paraId="0B27BC31">
      <w:pPr>
        <w:spacing w:before="91"/>
        <w:ind w:left="1131"/>
        <w:outlineLvl w:val="9"/>
        <w:rPr>
          <w:rFonts w:ascii="宋体" w:hAnsi="宋体" w:eastAsia="宋体" w:cs="宋体"/>
          <w:sz w:val="24"/>
          <w:szCs w:val="24"/>
          <w:highlight w:val="none"/>
        </w:rPr>
      </w:pPr>
      <w:r>
        <w:rPr>
          <w:rFonts w:ascii="Wingdings" w:hAnsi="Wingdings" w:eastAsia="Wingdings" w:cs="Wingdings"/>
          <w:spacing w:val="-11"/>
          <w:sz w:val="24"/>
          <w:szCs w:val="24"/>
          <w:highlight w:val="none"/>
        </w:rPr>
        <w:t>o</w:t>
      </w:r>
      <w:r>
        <w:rPr>
          <w:rFonts w:ascii="宋体" w:hAnsi="宋体" w:eastAsia="宋体" w:cs="宋体"/>
          <w:spacing w:val="-11"/>
          <w:sz w:val="24"/>
          <w:szCs w:val="24"/>
          <w:highlight w:val="none"/>
        </w:rPr>
        <w:t>否</w:t>
      </w:r>
    </w:p>
    <w:p w14:paraId="5E729159">
      <w:pPr>
        <w:spacing w:before="124" w:line="230" w:lineRule="auto"/>
        <w:ind w:left="1030"/>
        <w:outlineLvl w:val="9"/>
        <w:rPr>
          <w:rFonts w:ascii="宋体" w:hAnsi="宋体" w:eastAsia="宋体" w:cs="宋体"/>
          <w:sz w:val="18"/>
          <w:szCs w:val="18"/>
          <w:highlight w:val="none"/>
        </w:rPr>
      </w:pPr>
      <w:r>
        <w:rPr>
          <w:rFonts w:ascii="宋体" w:hAnsi="宋体" w:eastAsia="宋体" w:cs="宋体"/>
          <w:spacing w:val="14"/>
          <w:sz w:val="18"/>
          <w:szCs w:val="18"/>
          <w:highlight w:val="none"/>
        </w:rPr>
        <w:t>是否涉及环境标志产品：</w:t>
      </w:r>
    </w:p>
    <w:p w14:paraId="0FD8DFB2">
      <w:pPr>
        <w:spacing w:before="136" w:line="239" w:lineRule="auto"/>
        <w:ind w:left="951"/>
        <w:outlineLvl w:val="9"/>
        <w:rPr>
          <w:rFonts w:hint="eastAsia" w:ascii="宋体" w:hAnsi="宋体" w:eastAsia="宋体" w:cs="宋体"/>
          <w:sz w:val="24"/>
          <w:szCs w:val="24"/>
          <w:highlight w:val="none"/>
          <w:lang w:eastAsia="zh-CN"/>
        </w:rPr>
      </w:pPr>
      <w:r>
        <w:rPr>
          <w:rFonts w:ascii="Wingdings" w:hAnsi="Wingdings" w:eastAsia="Wingdings" w:cs="Wingdings"/>
          <w:spacing w:val="-2"/>
          <w:sz w:val="24"/>
          <w:szCs w:val="24"/>
          <w:highlight w:val="none"/>
        </w:rPr>
        <w:t>o</w:t>
      </w:r>
      <w:r>
        <w:rPr>
          <w:rFonts w:ascii="宋体" w:hAnsi="宋体" w:eastAsia="宋体" w:cs="宋体"/>
          <w:spacing w:val="-2"/>
          <w:sz w:val="24"/>
          <w:szCs w:val="24"/>
          <w:highlight w:val="none"/>
        </w:rPr>
        <w:t>是，《环境标志产品政府采购品目清单》的底级品目名称：</w:t>
      </w:r>
    </w:p>
    <w:p w14:paraId="640DB374">
      <w:pPr>
        <w:spacing w:before="88" w:line="239" w:lineRule="auto"/>
        <w:ind w:left="1971"/>
        <w:outlineLvl w:val="9"/>
        <w:rPr>
          <w:rFonts w:ascii="宋体" w:hAnsi="宋体" w:eastAsia="宋体" w:cs="宋体"/>
          <w:sz w:val="24"/>
          <w:szCs w:val="24"/>
          <w:highlight w:val="none"/>
        </w:rPr>
      </w:pPr>
      <w:r>
        <w:rPr>
          <w:rFonts w:ascii="Wingdings" w:hAnsi="Wingdings" w:eastAsia="Wingdings" w:cs="Wingdings"/>
          <w:spacing w:val="-8"/>
          <w:sz w:val="24"/>
          <w:szCs w:val="24"/>
          <w:highlight w:val="none"/>
        </w:rPr>
        <w:t>o</w:t>
      </w:r>
      <w:r>
        <w:rPr>
          <w:rFonts w:ascii="宋体" w:hAnsi="宋体" w:eastAsia="宋体" w:cs="宋体"/>
          <w:spacing w:val="-8"/>
          <w:sz w:val="24"/>
          <w:szCs w:val="24"/>
          <w:highlight w:val="none"/>
        </w:rPr>
        <w:t>强制采购</w:t>
      </w:r>
      <w:r>
        <w:rPr>
          <w:rFonts w:ascii="Wingdings" w:hAnsi="Wingdings" w:eastAsia="Wingdings" w:cs="Wingdings"/>
          <w:spacing w:val="-8"/>
          <w:sz w:val="24"/>
          <w:szCs w:val="24"/>
          <w:highlight w:val="none"/>
        </w:rPr>
        <w:t>o</w:t>
      </w:r>
      <w:r>
        <w:rPr>
          <w:rFonts w:ascii="宋体" w:hAnsi="宋体" w:eastAsia="宋体" w:cs="宋体"/>
          <w:spacing w:val="-8"/>
          <w:sz w:val="24"/>
          <w:szCs w:val="24"/>
          <w:highlight w:val="none"/>
        </w:rPr>
        <w:t>优先采购</w:t>
      </w:r>
    </w:p>
    <w:p w14:paraId="2966680A">
      <w:pPr>
        <w:spacing w:before="90"/>
        <w:ind w:left="1131"/>
        <w:outlineLvl w:val="9"/>
        <w:rPr>
          <w:rFonts w:ascii="宋体" w:hAnsi="宋体" w:eastAsia="宋体" w:cs="宋体"/>
          <w:sz w:val="24"/>
          <w:szCs w:val="24"/>
          <w:highlight w:val="none"/>
        </w:rPr>
      </w:pPr>
      <w:r>
        <w:rPr>
          <w:rFonts w:ascii="Wingdings" w:hAnsi="Wingdings" w:eastAsia="Wingdings" w:cs="Wingdings"/>
          <w:spacing w:val="-11"/>
          <w:sz w:val="24"/>
          <w:szCs w:val="24"/>
          <w:highlight w:val="none"/>
        </w:rPr>
        <w:t>o</w:t>
      </w:r>
      <w:r>
        <w:rPr>
          <w:rFonts w:ascii="宋体" w:hAnsi="宋体" w:eastAsia="宋体" w:cs="宋体"/>
          <w:spacing w:val="-11"/>
          <w:sz w:val="24"/>
          <w:szCs w:val="24"/>
          <w:highlight w:val="none"/>
        </w:rPr>
        <w:t>否</w:t>
      </w:r>
    </w:p>
    <w:p w14:paraId="70102C25">
      <w:pPr>
        <w:spacing w:before="127" w:line="230" w:lineRule="auto"/>
        <w:ind w:left="1030"/>
        <w:outlineLvl w:val="9"/>
        <w:rPr>
          <w:rFonts w:ascii="宋体" w:hAnsi="宋体" w:eastAsia="宋体" w:cs="宋体"/>
          <w:sz w:val="18"/>
          <w:szCs w:val="18"/>
          <w:highlight w:val="none"/>
        </w:rPr>
      </w:pPr>
      <w:r>
        <w:rPr>
          <w:rFonts w:ascii="宋体" w:hAnsi="宋体" w:eastAsia="宋体" w:cs="宋体"/>
          <w:spacing w:val="13"/>
          <w:sz w:val="18"/>
          <w:szCs w:val="18"/>
          <w:highlight w:val="none"/>
        </w:rPr>
        <w:t>是否涉及绿色产品：</w:t>
      </w:r>
    </w:p>
    <w:p w14:paraId="42DEE7D4">
      <w:pPr>
        <w:spacing w:before="172" w:line="250" w:lineRule="auto"/>
        <w:ind w:left="961"/>
        <w:outlineLvl w:val="9"/>
        <w:rPr>
          <w:rFonts w:hint="eastAsia" w:ascii="宋体" w:hAnsi="宋体" w:eastAsia="宋体" w:cs="宋体"/>
          <w:sz w:val="18"/>
          <w:szCs w:val="18"/>
          <w:highlight w:val="none"/>
          <w:lang w:eastAsia="zh-CN"/>
        </w:rPr>
      </w:pPr>
      <w:r>
        <w:rPr>
          <w:rFonts w:ascii="Wingdings" w:hAnsi="Wingdings" w:eastAsia="Wingdings" w:cs="Wingdings"/>
          <w:spacing w:val="14"/>
          <w:sz w:val="18"/>
          <w:szCs w:val="18"/>
          <w:highlight w:val="none"/>
        </w:rPr>
        <w:t>o</w:t>
      </w:r>
      <w:r>
        <w:rPr>
          <w:rFonts w:ascii="宋体" w:hAnsi="宋体" w:eastAsia="宋体" w:cs="宋体"/>
          <w:spacing w:val="14"/>
          <w:sz w:val="18"/>
          <w:szCs w:val="18"/>
          <w:highlight w:val="none"/>
        </w:rPr>
        <w:t>是，绿色产品政府采购相关政策确定的底级品目名称：</w:t>
      </w:r>
    </w:p>
    <w:p w14:paraId="1A39D77B">
      <w:pPr>
        <w:spacing w:before="118" w:line="239" w:lineRule="auto"/>
        <w:ind w:left="1971"/>
        <w:outlineLvl w:val="9"/>
        <w:rPr>
          <w:rFonts w:ascii="宋体" w:hAnsi="宋体" w:eastAsia="宋体" w:cs="宋体"/>
          <w:sz w:val="24"/>
          <w:szCs w:val="24"/>
          <w:highlight w:val="none"/>
        </w:rPr>
      </w:pPr>
      <w:r>
        <w:rPr>
          <w:rFonts w:ascii="Wingdings" w:hAnsi="Wingdings" w:eastAsia="Wingdings" w:cs="Wingdings"/>
          <w:spacing w:val="-8"/>
          <w:sz w:val="24"/>
          <w:szCs w:val="24"/>
          <w:highlight w:val="none"/>
        </w:rPr>
        <w:t>o</w:t>
      </w:r>
      <w:r>
        <w:rPr>
          <w:rFonts w:ascii="宋体" w:hAnsi="宋体" w:eastAsia="宋体" w:cs="宋体"/>
          <w:spacing w:val="-8"/>
          <w:sz w:val="24"/>
          <w:szCs w:val="24"/>
          <w:highlight w:val="none"/>
        </w:rPr>
        <w:t>强制采购</w:t>
      </w:r>
      <w:r>
        <w:rPr>
          <w:rFonts w:ascii="Wingdings" w:hAnsi="Wingdings" w:eastAsia="Wingdings" w:cs="Wingdings"/>
          <w:spacing w:val="-8"/>
          <w:sz w:val="24"/>
          <w:szCs w:val="24"/>
          <w:highlight w:val="none"/>
        </w:rPr>
        <w:t>o</w:t>
      </w:r>
      <w:r>
        <w:rPr>
          <w:rFonts w:ascii="宋体" w:hAnsi="宋体" w:eastAsia="宋体" w:cs="宋体"/>
          <w:spacing w:val="-8"/>
          <w:sz w:val="24"/>
          <w:szCs w:val="24"/>
          <w:highlight w:val="none"/>
        </w:rPr>
        <w:t>优先采购</w:t>
      </w:r>
    </w:p>
    <w:p w14:paraId="51CC0343">
      <w:pPr>
        <w:spacing w:before="126" w:line="245" w:lineRule="exact"/>
        <w:ind w:left="961"/>
        <w:outlineLvl w:val="9"/>
        <w:rPr>
          <w:rFonts w:ascii="宋体" w:hAnsi="宋体" w:eastAsia="宋体" w:cs="宋体"/>
          <w:sz w:val="18"/>
          <w:szCs w:val="18"/>
          <w:highlight w:val="none"/>
        </w:rPr>
      </w:pPr>
      <w:r>
        <w:rPr>
          <w:rFonts w:ascii="Wingdings" w:hAnsi="Wingdings" w:eastAsia="Wingdings" w:cs="Wingdings"/>
          <w:spacing w:val="2"/>
          <w:position w:val="1"/>
          <w:sz w:val="18"/>
          <w:szCs w:val="18"/>
          <w:highlight w:val="none"/>
        </w:rPr>
        <w:t>o</w:t>
      </w:r>
      <w:r>
        <w:rPr>
          <w:rFonts w:ascii="宋体" w:hAnsi="宋体" w:eastAsia="宋体" w:cs="宋体"/>
          <w:spacing w:val="2"/>
          <w:position w:val="1"/>
          <w:sz w:val="18"/>
          <w:szCs w:val="18"/>
          <w:highlight w:val="none"/>
        </w:rPr>
        <w:t>否</w:t>
      </w:r>
    </w:p>
    <w:p w14:paraId="61693867">
      <w:pPr>
        <w:spacing w:before="118" w:line="219" w:lineRule="auto"/>
        <w:ind w:right="4"/>
        <w:jc w:val="right"/>
        <w:outlineLvl w:val="9"/>
        <w:rPr>
          <w:rFonts w:ascii="宋体" w:hAnsi="宋体" w:eastAsia="宋体" w:cs="宋体"/>
          <w:sz w:val="24"/>
          <w:szCs w:val="24"/>
          <w:highlight w:val="none"/>
        </w:rPr>
      </w:pPr>
      <w:r>
        <w:rPr>
          <w:rFonts w:ascii="宋体" w:hAnsi="宋体" w:eastAsia="宋体" w:cs="宋体"/>
          <w:spacing w:val="-4"/>
          <w:sz w:val="24"/>
          <w:szCs w:val="24"/>
          <w:highlight w:val="none"/>
        </w:rPr>
        <w:t>（11）涉及商品包装和快递包装的，是否参考《商品包装政府采购需求标准</w:t>
      </w:r>
    </w:p>
    <w:p w14:paraId="047476E9">
      <w:pPr>
        <w:spacing w:line="219" w:lineRule="auto"/>
        <w:outlineLvl w:val="9"/>
        <w:rPr>
          <w:rFonts w:ascii="宋体" w:hAnsi="宋体" w:eastAsia="宋体" w:cs="宋体"/>
          <w:sz w:val="24"/>
          <w:szCs w:val="24"/>
          <w:highlight w:val="none"/>
        </w:rPr>
        <w:sectPr>
          <w:headerReference r:id="rId51" w:type="default"/>
          <w:footerReference r:id="rId52" w:type="default"/>
          <w:pgSz w:w="11906" w:h="16840"/>
          <w:pgMar w:top="1091" w:right="1785" w:bottom="1156" w:left="1785" w:header="1077" w:footer="910" w:gutter="0"/>
          <w:pgNumType w:fmt="decimal"/>
          <w:cols w:space="720" w:num="1"/>
        </w:sectPr>
      </w:pPr>
    </w:p>
    <w:p w14:paraId="64C17F56">
      <w:pPr>
        <w:pStyle w:val="2"/>
        <w:spacing w:line="415" w:lineRule="auto"/>
        <w:outlineLvl w:val="9"/>
        <w:rPr>
          <w:highlight w:val="none"/>
        </w:rPr>
      </w:pPr>
    </w:p>
    <w:p w14:paraId="0C37BF1E">
      <w:pPr>
        <w:spacing w:before="78" w:line="299" w:lineRule="auto"/>
        <w:ind w:left="66" w:right="35" w:hanging="15"/>
        <w:outlineLvl w:val="9"/>
        <w:rPr>
          <w:rFonts w:ascii="宋体" w:hAnsi="宋体" w:eastAsia="宋体" w:cs="宋体"/>
          <w:sz w:val="24"/>
          <w:szCs w:val="24"/>
          <w:highlight w:val="none"/>
        </w:rPr>
      </w:pPr>
      <w:r>
        <w:rPr>
          <w:rFonts w:ascii="宋体" w:hAnsi="宋体" w:eastAsia="宋体" w:cs="宋体"/>
          <w:spacing w:val="-4"/>
          <w:sz w:val="24"/>
          <w:szCs w:val="24"/>
          <w:highlight w:val="none"/>
        </w:rPr>
        <w:t>（试行）》、《快递包装政府采购需求标准（试行）》明确产品及相关快递服务</w:t>
      </w:r>
      <w:r>
        <w:rPr>
          <w:rFonts w:ascii="宋体" w:hAnsi="宋体" w:eastAsia="宋体" w:cs="宋体"/>
          <w:spacing w:val="-7"/>
          <w:sz w:val="24"/>
          <w:szCs w:val="24"/>
          <w:highlight w:val="none"/>
        </w:rPr>
        <w:t>的具体包装要求：</w:t>
      </w:r>
    </w:p>
    <w:p w14:paraId="225411A3">
      <w:pPr>
        <w:ind w:left="1011"/>
        <w:outlineLvl w:val="9"/>
        <w:rPr>
          <w:rFonts w:ascii="宋体" w:hAnsi="宋体" w:eastAsia="宋体" w:cs="宋体"/>
          <w:sz w:val="24"/>
          <w:szCs w:val="24"/>
          <w:highlight w:val="none"/>
        </w:rPr>
      </w:pPr>
      <w:r>
        <w:rPr>
          <w:rFonts w:ascii="Wingdings" w:hAnsi="Wingdings" w:eastAsia="Wingdings" w:cs="Wingdings"/>
          <w:spacing w:val="-12"/>
          <w:sz w:val="24"/>
          <w:szCs w:val="24"/>
          <w:highlight w:val="none"/>
        </w:rPr>
        <w:t>o</w:t>
      </w:r>
      <w:r>
        <w:rPr>
          <w:rFonts w:ascii="宋体" w:hAnsi="宋体" w:eastAsia="宋体" w:cs="宋体"/>
          <w:spacing w:val="-12"/>
          <w:sz w:val="24"/>
          <w:szCs w:val="24"/>
          <w:highlight w:val="none"/>
        </w:rPr>
        <w:t>是</w:t>
      </w:r>
      <w:r>
        <w:rPr>
          <w:rFonts w:ascii="Wingdings" w:hAnsi="Wingdings" w:eastAsia="Wingdings" w:cs="Wingdings"/>
          <w:spacing w:val="-12"/>
          <w:sz w:val="24"/>
          <w:szCs w:val="24"/>
          <w:highlight w:val="none"/>
        </w:rPr>
        <w:t>o</w:t>
      </w:r>
      <w:r>
        <w:rPr>
          <w:rFonts w:ascii="宋体" w:hAnsi="宋体" w:eastAsia="宋体" w:cs="宋体"/>
          <w:spacing w:val="-12"/>
          <w:sz w:val="24"/>
          <w:szCs w:val="24"/>
          <w:highlight w:val="none"/>
        </w:rPr>
        <w:t>否</w:t>
      </w:r>
      <w:r>
        <w:rPr>
          <w:rFonts w:ascii="Wingdings" w:hAnsi="Wingdings" w:eastAsia="Wingdings" w:cs="Wingdings"/>
          <w:spacing w:val="-12"/>
          <w:sz w:val="24"/>
          <w:szCs w:val="24"/>
          <w:highlight w:val="none"/>
        </w:rPr>
        <w:t>o</w:t>
      </w:r>
      <w:r>
        <w:rPr>
          <w:rFonts w:ascii="宋体" w:hAnsi="宋体" w:eastAsia="宋体" w:cs="宋体"/>
          <w:spacing w:val="-12"/>
          <w:sz w:val="24"/>
          <w:szCs w:val="24"/>
          <w:highlight w:val="none"/>
        </w:rPr>
        <w:t>不涉及</w:t>
      </w:r>
    </w:p>
    <w:p w14:paraId="200163FD">
      <w:pPr>
        <w:spacing w:before="86" w:line="219" w:lineRule="auto"/>
        <w:ind w:left="513"/>
        <w:outlineLvl w:val="9"/>
        <w:rPr>
          <w:rFonts w:ascii="宋体" w:hAnsi="宋体" w:eastAsia="宋体" w:cs="宋体"/>
          <w:sz w:val="24"/>
          <w:szCs w:val="24"/>
          <w:highlight w:val="none"/>
        </w:rPr>
      </w:pPr>
      <w:r>
        <w:rPr>
          <w:rFonts w:ascii="宋体" w:hAnsi="宋体" w:eastAsia="宋体" w:cs="宋体"/>
          <w:b/>
          <w:bCs/>
          <w:spacing w:val="-9"/>
          <w:sz w:val="24"/>
          <w:szCs w:val="24"/>
          <w:highlight w:val="none"/>
        </w:rPr>
        <w:t>2.合同金额</w:t>
      </w:r>
    </w:p>
    <w:p w14:paraId="3A623FD2">
      <w:pPr>
        <w:spacing w:before="116" w:line="219" w:lineRule="auto"/>
        <w:ind w:left="531"/>
        <w:outlineLvl w:val="9"/>
        <w:rPr>
          <w:rFonts w:hint="eastAsia" w:ascii="宋体" w:hAnsi="宋体" w:eastAsia="宋体" w:cs="宋体"/>
          <w:sz w:val="24"/>
          <w:szCs w:val="24"/>
          <w:highlight w:val="none"/>
          <w:lang w:eastAsia="zh-CN"/>
        </w:rPr>
      </w:pPr>
      <w:r>
        <w:rPr>
          <w:rFonts w:ascii="宋体" w:hAnsi="宋体" w:eastAsia="宋体" w:cs="宋体"/>
          <w:spacing w:val="-5"/>
          <w:sz w:val="24"/>
          <w:szCs w:val="24"/>
          <w:highlight w:val="none"/>
        </w:rPr>
        <w:t>（1）合同金额小写：</w:t>
      </w:r>
    </w:p>
    <w:p w14:paraId="29964604">
      <w:pPr>
        <w:spacing w:before="115" w:line="220" w:lineRule="auto"/>
        <w:ind w:left="2073"/>
        <w:outlineLvl w:val="9"/>
        <w:rPr>
          <w:rFonts w:hint="eastAsia" w:ascii="宋体" w:hAnsi="宋体" w:eastAsia="宋体" w:cs="宋体"/>
          <w:sz w:val="24"/>
          <w:szCs w:val="24"/>
          <w:highlight w:val="none"/>
          <w:lang w:eastAsia="zh-CN"/>
        </w:rPr>
      </w:pPr>
      <w:r>
        <w:rPr>
          <w:rFonts w:ascii="宋体" w:hAnsi="宋体" w:eastAsia="宋体" w:cs="宋体"/>
          <w:spacing w:val="-10"/>
          <w:sz w:val="24"/>
          <w:szCs w:val="24"/>
          <w:highlight w:val="none"/>
        </w:rPr>
        <w:t>大写：</w:t>
      </w:r>
    </w:p>
    <w:p w14:paraId="15FB78DD">
      <w:pPr>
        <w:spacing w:before="110" w:line="219" w:lineRule="auto"/>
        <w:ind w:left="1113"/>
        <w:outlineLvl w:val="9"/>
        <w:rPr>
          <w:rFonts w:hint="eastAsia" w:ascii="宋体" w:hAnsi="宋体" w:eastAsia="宋体" w:cs="宋体"/>
          <w:sz w:val="24"/>
          <w:szCs w:val="24"/>
          <w:highlight w:val="none"/>
          <w:lang w:eastAsia="zh-CN"/>
        </w:rPr>
      </w:pPr>
      <w:r>
        <w:rPr>
          <w:rFonts w:ascii="宋体" w:hAnsi="宋体" w:eastAsia="宋体" w:cs="宋体"/>
          <w:spacing w:val="-4"/>
          <w:sz w:val="24"/>
          <w:szCs w:val="24"/>
          <w:highlight w:val="none"/>
        </w:rPr>
        <w:t>分包金额（如有）小写：</w:t>
      </w:r>
    </w:p>
    <w:p w14:paraId="462AD79B">
      <w:pPr>
        <w:spacing w:before="117" w:line="306" w:lineRule="auto"/>
        <w:ind w:left="531" w:right="2354" w:firstLine="2021"/>
        <w:outlineLvl w:val="9"/>
        <w:rPr>
          <w:rFonts w:ascii="宋体" w:hAnsi="宋体" w:eastAsia="宋体" w:cs="宋体"/>
          <w:sz w:val="24"/>
          <w:szCs w:val="24"/>
          <w:highlight w:val="none"/>
        </w:rPr>
      </w:pPr>
      <w:r>
        <w:rPr>
          <w:rFonts w:ascii="宋体" w:hAnsi="宋体" w:eastAsia="宋体" w:cs="宋体"/>
          <w:spacing w:val="-10"/>
          <w:sz w:val="24"/>
          <w:szCs w:val="24"/>
          <w:highlight w:val="none"/>
        </w:rPr>
        <w:t>大写：</w:t>
      </w:r>
      <w:r>
        <w:rPr>
          <w:rFonts w:ascii="宋体" w:hAnsi="宋体" w:eastAsia="宋体" w:cs="宋体"/>
          <w:spacing w:val="-3"/>
          <w:sz w:val="24"/>
          <w:szCs w:val="24"/>
          <w:highlight w:val="none"/>
        </w:rPr>
        <w:t>（注：固定单价合同应填写单价和最高限价）</w:t>
      </w:r>
    </w:p>
    <w:p w14:paraId="6DFA9CF0">
      <w:pPr>
        <w:spacing w:before="1" w:line="217" w:lineRule="auto"/>
        <w:ind w:left="531"/>
        <w:outlineLvl w:val="9"/>
        <w:rPr>
          <w:rFonts w:ascii="宋体" w:hAnsi="宋体" w:eastAsia="宋体" w:cs="宋体"/>
          <w:sz w:val="24"/>
          <w:szCs w:val="24"/>
          <w:highlight w:val="none"/>
        </w:rPr>
      </w:pPr>
      <w:r>
        <w:rPr>
          <w:rFonts w:ascii="宋体" w:hAnsi="宋体" w:eastAsia="宋体" w:cs="宋体"/>
          <w:spacing w:val="-2"/>
          <w:sz w:val="24"/>
          <w:szCs w:val="24"/>
          <w:highlight w:val="none"/>
        </w:rPr>
        <w:t>（2）合同定价方式（采用组合定价方式的，可以勾选多项</w:t>
      </w:r>
      <w:r>
        <w:rPr>
          <w:rFonts w:ascii="宋体" w:hAnsi="宋体" w:eastAsia="宋体" w:cs="宋体"/>
          <w:spacing w:val="1"/>
          <w:sz w:val="24"/>
          <w:szCs w:val="24"/>
          <w:highlight w:val="none"/>
        </w:rPr>
        <w:t>）：</w:t>
      </w:r>
    </w:p>
    <w:p w14:paraId="5F7E5CEF">
      <w:pPr>
        <w:spacing w:before="115" w:line="238" w:lineRule="auto"/>
        <w:ind w:left="771"/>
        <w:outlineLvl w:val="9"/>
        <w:rPr>
          <w:rFonts w:hint="eastAsia" w:ascii="宋体" w:hAnsi="宋体" w:eastAsia="宋体" w:cs="宋体"/>
          <w:sz w:val="24"/>
          <w:szCs w:val="24"/>
          <w:highlight w:val="none"/>
          <w:lang w:eastAsia="zh-CN"/>
        </w:rPr>
      </w:pPr>
      <w:r>
        <w:rPr>
          <w:rFonts w:ascii="Wingdings" w:hAnsi="Wingdings" w:eastAsia="Wingdings" w:cs="Wingdings"/>
          <w:spacing w:val="-6"/>
          <w:sz w:val="24"/>
          <w:szCs w:val="24"/>
          <w:highlight w:val="none"/>
        </w:rPr>
        <w:t>o</w:t>
      </w:r>
      <w:r>
        <w:rPr>
          <w:rFonts w:ascii="宋体" w:hAnsi="宋体" w:eastAsia="宋体" w:cs="宋体"/>
          <w:spacing w:val="-6"/>
          <w:sz w:val="24"/>
          <w:szCs w:val="24"/>
          <w:highlight w:val="none"/>
        </w:rPr>
        <w:t>固定总价</w:t>
      </w:r>
      <w:r>
        <w:rPr>
          <w:rFonts w:ascii="Wingdings" w:hAnsi="Wingdings" w:eastAsia="Wingdings" w:cs="Wingdings"/>
          <w:spacing w:val="-6"/>
          <w:sz w:val="24"/>
          <w:szCs w:val="24"/>
          <w:highlight w:val="none"/>
        </w:rPr>
        <w:t>o</w:t>
      </w:r>
      <w:r>
        <w:rPr>
          <w:rFonts w:ascii="宋体" w:hAnsi="宋体" w:eastAsia="宋体" w:cs="宋体"/>
          <w:spacing w:val="-6"/>
          <w:sz w:val="24"/>
          <w:szCs w:val="24"/>
          <w:highlight w:val="none"/>
        </w:rPr>
        <w:t>固定单价</w:t>
      </w:r>
      <w:r>
        <w:rPr>
          <w:rFonts w:ascii="Wingdings" w:hAnsi="Wingdings" w:eastAsia="Wingdings" w:cs="Wingdings"/>
          <w:spacing w:val="-6"/>
          <w:sz w:val="24"/>
          <w:szCs w:val="24"/>
          <w:highlight w:val="none"/>
        </w:rPr>
        <w:t>o</w:t>
      </w:r>
      <w:r>
        <w:rPr>
          <w:rFonts w:ascii="宋体" w:hAnsi="宋体" w:eastAsia="宋体" w:cs="宋体"/>
          <w:spacing w:val="-6"/>
          <w:sz w:val="24"/>
          <w:szCs w:val="24"/>
          <w:highlight w:val="none"/>
        </w:rPr>
        <w:t>固定费率</w:t>
      </w:r>
      <w:r>
        <w:rPr>
          <w:rFonts w:ascii="Wingdings" w:hAnsi="Wingdings" w:eastAsia="Wingdings" w:cs="Wingdings"/>
          <w:spacing w:val="-6"/>
          <w:sz w:val="24"/>
          <w:szCs w:val="24"/>
          <w:highlight w:val="none"/>
        </w:rPr>
        <w:t>o</w:t>
      </w:r>
      <w:r>
        <w:rPr>
          <w:rFonts w:ascii="宋体" w:hAnsi="宋体" w:eastAsia="宋体" w:cs="宋体"/>
          <w:spacing w:val="-6"/>
          <w:sz w:val="24"/>
          <w:szCs w:val="24"/>
          <w:highlight w:val="none"/>
        </w:rPr>
        <w:t>成本补偿</w:t>
      </w:r>
      <w:r>
        <w:rPr>
          <w:rFonts w:ascii="Wingdings" w:hAnsi="Wingdings" w:eastAsia="Wingdings" w:cs="Wingdings"/>
          <w:spacing w:val="-6"/>
          <w:sz w:val="24"/>
          <w:szCs w:val="24"/>
          <w:highlight w:val="none"/>
        </w:rPr>
        <w:t>o</w:t>
      </w:r>
      <w:r>
        <w:rPr>
          <w:rFonts w:ascii="宋体" w:hAnsi="宋体" w:eastAsia="宋体" w:cs="宋体"/>
          <w:spacing w:val="-6"/>
          <w:sz w:val="24"/>
          <w:szCs w:val="24"/>
          <w:highlight w:val="none"/>
        </w:rPr>
        <w:t>绩效激励</w:t>
      </w:r>
      <w:r>
        <w:rPr>
          <w:rFonts w:ascii="Wingdings" w:hAnsi="Wingdings" w:eastAsia="Wingdings" w:cs="Wingdings"/>
          <w:spacing w:val="-6"/>
          <w:sz w:val="24"/>
          <w:szCs w:val="24"/>
          <w:highlight w:val="none"/>
        </w:rPr>
        <w:t>o</w:t>
      </w:r>
      <w:r>
        <w:rPr>
          <w:rFonts w:ascii="宋体" w:hAnsi="宋体" w:eastAsia="宋体" w:cs="宋体"/>
          <w:spacing w:val="-6"/>
          <w:sz w:val="24"/>
          <w:szCs w:val="24"/>
          <w:highlight w:val="none"/>
        </w:rPr>
        <w:t>其他</w:t>
      </w:r>
    </w:p>
    <w:p w14:paraId="21964273">
      <w:pPr>
        <w:spacing w:before="106" w:line="220" w:lineRule="auto"/>
        <w:ind w:left="477"/>
        <w:outlineLvl w:val="9"/>
        <w:rPr>
          <w:rFonts w:ascii="宋体" w:hAnsi="宋体" w:eastAsia="宋体" w:cs="宋体"/>
          <w:sz w:val="22"/>
          <w:szCs w:val="22"/>
          <w:highlight w:val="none"/>
        </w:rPr>
      </w:pPr>
      <w:r>
        <w:rPr>
          <w:rFonts w:ascii="宋体" w:hAnsi="宋体" w:eastAsia="宋体" w:cs="宋体"/>
          <w:spacing w:val="-2"/>
          <w:sz w:val="22"/>
          <w:szCs w:val="22"/>
          <w:highlight w:val="none"/>
        </w:rPr>
        <w:t>（3）付款方式（按项目实际勾选填写</w:t>
      </w:r>
      <w:r>
        <w:rPr>
          <w:rFonts w:ascii="宋体" w:hAnsi="宋体" w:eastAsia="宋体" w:cs="宋体"/>
          <w:spacing w:val="1"/>
          <w:sz w:val="22"/>
          <w:szCs w:val="22"/>
          <w:highlight w:val="none"/>
        </w:rPr>
        <w:t>）：</w:t>
      </w:r>
    </w:p>
    <w:p w14:paraId="03A00812">
      <w:pPr>
        <w:spacing w:before="120" w:line="239" w:lineRule="auto"/>
        <w:ind w:left="771"/>
        <w:outlineLvl w:val="9"/>
        <w:rPr>
          <w:rFonts w:hint="eastAsia" w:ascii="宋体" w:hAnsi="宋体" w:eastAsia="宋体" w:cs="宋体"/>
          <w:sz w:val="24"/>
          <w:szCs w:val="24"/>
          <w:highlight w:val="none"/>
          <w:lang w:eastAsia="zh-CN"/>
        </w:rPr>
      </w:pPr>
      <w:r>
        <w:rPr>
          <w:rFonts w:ascii="Wingdings" w:hAnsi="Wingdings" w:eastAsia="Wingdings" w:cs="Wingdings"/>
          <w:spacing w:val="-1"/>
          <w:sz w:val="24"/>
          <w:szCs w:val="24"/>
          <w:highlight w:val="none"/>
        </w:rPr>
        <w:t>o</w:t>
      </w:r>
      <w:r>
        <w:rPr>
          <w:rFonts w:ascii="宋体" w:hAnsi="宋体" w:eastAsia="宋体" w:cs="宋体"/>
          <w:spacing w:val="-1"/>
          <w:sz w:val="24"/>
          <w:szCs w:val="24"/>
          <w:highlight w:val="none"/>
        </w:rPr>
        <w:t>全额付款</w:t>
      </w:r>
      <w:r>
        <w:rPr>
          <w:rFonts w:ascii="宋体" w:hAnsi="宋体" w:eastAsia="宋体" w:cs="宋体"/>
          <w:spacing w:val="-16"/>
          <w:sz w:val="24"/>
          <w:szCs w:val="24"/>
          <w:highlight w:val="none"/>
        </w:rPr>
        <w:t>：</w:t>
      </w:r>
      <w:r>
        <w:rPr>
          <w:rFonts w:ascii="宋体" w:hAnsi="宋体" w:eastAsia="宋体" w:cs="宋体"/>
          <w:spacing w:val="-16"/>
          <w:sz w:val="24"/>
          <w:szCs w:val="24"/>
          <w:highlight w:val="none"/>
          <w:u w:val="single" w:color="auto"/>
        </w:rPr>
        <w:t>（</w:t>
      </w:r>
      <w:r>
        <w:rPr>
          <w:rFonts w:ascii="宋体" w:hAnsi="宋体" w:eastAsia="宋体" w:cs="宋体"/>
          <w:spacing w:val="-1"/>
          <w:sz w:val="24"/>
          <w:szCs w:val="24"/>
          <w:highlight w:val="none"/>
          <w:u w:val="single" w:color="auto"/>
        </w:rPr>
        <w:t>应明确一次性支付合同款项的条件）</w:t>
      </w:r>
    </w:p>
    <w:p w14:paraId="5B7375B2">
      <w:pPr>
        <w:spacing w:before="92" w:line="282" w:lineRule="auto"/>
        <w:ind w:left="31" w:right="40" w:firstLine="739"/>
        <w:outlineLvl w:val="9"/>
        <w:rPr>
          <w:rFonts w:hint="eastAsia" w:ascii="宋体" w:hAnsi="宋体" w:eastAsia="宋体" w:cs="宋体"/>
          <w:sz w:val="24"/>
          <w:szCs w:val="24"/>
          <w:highlight w:val="none"/>
          <w:lang w:eastAsia="zh-CN"/>
        </w:rPr>
      </w:pPr>
      <w:r>
        <w:rPr>
          <w:rFonts w:ascii="Wingdings" w:hAnsi="Wingdings" w:eastAsia="Wingdings" w:cs="Wingdings"/>
          <w:spacing w:val="-1"/>
          <w:sz w:val="24"/>
          <w:szCs w:val="24"/>
          <w:highlight w:val="none"/>
        </w:rPr>
        <w:t>o</w:t>
      </w:r>
      <w:r>
        <w:rPr>
          <w:rFonts w:ascii="宋体" w:hAnsi="宋体" w:eastAsia="宋体" w:cs="宋体"/>
          <w:spacing w:val="-1"/>
          <w:sz w:val="24"/>
          <w:szCs w:val="24"/>
          <w:highlight w:val="none"/>
        </w:rPr>
        <w:t>分期付款</w:t>
      </w:r>
      <w:r>
        <w:rPr>
          <w:rFonts w:ascii="宋体" w:hAnsi="宋体" w:eastAsia="宋体" w:cs="宋体"/>
          <w:spacing w:val="-28"/>
          <w:sz w:val="24"/>
          <w:szCs w:val="24"/>
          <w:highlight w:val="none"/>
        </w:rPr>
        <w:t>：</w:t>
      </w:r>
      <w:r>
        <w:rPr>
          <w:rFonts w:ascii="宋体" w:hAnsi="宋体" w:eastAsia="宋体" w:cs="宋体"/>
          <w:spacing w:val="-28"/>
          <w:sz w:val="24"/>
          <w:szCs w:val="24"/>
          <w:highlight w:val="none"/>
          <w:u w:val="single" w:color="auto"/>
        </w:rPr>
        <w:t>（</w:t>
      </w:r>
      <w:r>
        <w:rPr>
          <w:rFonts w:ascii="宋体" w:hAnsi="宋体" w:eastAsia="宋体" w:cs="宋体"/>
          <w:spacing w:val="-1"/>
          <w:sz w:val="24"/>
          <w:szCs w:val="24"/>
          <w:highlight w:val="none"/>
          <w:u w:val="single" w:color="auto"/>
        </w:rPr>
        <w:t>应明确分期支付合同款项的各期比例和支付条件，各期</w:t>
      </w:r>
      <w:r>
        <w:rPr>
          <w:rFonts w:ascii="宋体" w:hAnsi="宋体" w:eastAsia="宋体" w:cs="宋体"/>
          <w:sz w:val="24"/>
          <w:szCs w:val="24"/>
          <w:highlight w:val="none"/>
          <w:u w:val="single" w:color="auto"/>
        </w:rPr>
        <w:t>支付条件应与分期履约验收情况挂钩</w:t>
      </w:r>
      <w:r>
        <w:rPr>
          <w:rFonts w:ascii="宋体" w:hAnsi="宋体" w:eastAsia="宋体" w:cs="宋体"/>
          <w:spacing w:val="-22"/>
          <w:sz w:val="24"/>
          <w:szCs w:val="24"/>
          <w:highlight w:val="none"/>
          <w:u w:val="single" w:color="auto"/>
        </w:rPr>
        <w:t>）</w:t>
      </w:r>
      <w:r>
        <w:rPr>
          <w:rFonts w:ascii="宋体" w:hAnsi="宋体" w:eastAsia="宋体" w:cs="宋体"/>
          <w:spacing w:val="-22"/>
          <w:sz w:val="24"/>
          <w:szCs w:val="24"/>
          <w:highlight w:val="none"/>
        </w:rPr>
        <w:t>，</w:t>
      </w:r>
      <w:r>
        <w:rPr>
          <w:rFonts w:ascii="宋体" w:hAnsi="宋体" w:eastAsia="宋体" w:cs="宋体"/>
          <w:sz w:val="24"/>
          <w:szCs w:val="24"/>
          <w:highlight w:val="none"/>
        </w:rPr>
        <w:t>其中涉及预付款的</w:t>
      </w:r>
      <w:r>
        <w:rPr>
          <w:rFonts w:ascii="宋体" w:hAnsi="宋体" w:eastAsia="宋体" w:cs="宋体"/>
          <w:spacing w:val="-22"/>
          <w:sz w:val="24"/>
          <w:szCs w:val="24"/>
          <w:highlight w:val="none"/>
        </w:rPr>
        <w:t>：</w:t>
      </w:r>
      <w:r>
        <w:rPr>
          <w:rFonts w:ascii="宋体" w:hAnsi="宋体" w:eastAsia="宋体" w:cs="宋体"/>
          <w:spacing w:val="-22"/>
          <w:sz w:val="24"/>
          <w:szCs w:val="24"/>
          <w:highlight w:val="none"/>
          <w:u w:val="single" w:color="auto"/>
        </w:rPr>
        <w:t>（</w:t>
      </w:r>
      <w:r>
        <w:rPr>
          <w:rFonts w:ascii="宋体" w:hAnsi="宋体" w:eastAsia="宋体" w:cs="宋体"/>
          <w:sz w:val="24"/>
          <w:szCs w:val="24"/>
          <w:highlight w:val="none"/>
          <w:u w:val="single" w:color="auto"/>
        </w:rPr>
        <w:t>应明确预</w:t>
      </w:r>
      <w:r>
        <w:rPr>
          <w:rFonts w:ascii="宋体" w:hAnsi="宋体" w:eastAsia="宋体" w:cs="宋体"/>
          <w:spacing w:val="-1"/>
          <w:sz w:val="24"/>
          <w:szCs w:val="24"/>
          <w:highlight w:val="none"/>
          <w:u w:val="single" w:color="auto"/>
        </w:rPr>
        <w:t>付款</w:t>
      </w:r>
      <w:r>
        <w:rPr>
          <w:rFonts w:ascii="宋体" w:hAnsi="宋体" w:eastAsia="宋体" w:cs="宋体"/>
          <w:spacing w:val="-2"/>
          <w:sz w:val="24"/>
          <w:szCs w:val="24"/>
          <w:highlight w:val="none"/>
          <w:u w:val="single" w:color="auto"/>
        </w:rPr>
        <w:t>的支付比例和支付条件）</w:t>
      </w:r>
    </w:p>
    <w:p w14:paraId="261752DF">
      <w:pPr>
        <w:spacing w:before="93" w:line="239" w:lineRule="auto"/>
        <w:jc w:val="right"/>
        <w:outlineLvl w:val="9"/>
        <w:rPr>
          <w:rFonts w:ascii="宋体" w:hAnsi="宋体" w:eastAsia="宋体" w:cs="宋体"/>
          <w:sz w:val="24"/>
          <w:szCs w:val="24"/>
          <w:highlight w:val="none"/>
        </w:rPr>
      </w:pPr>
      <w:r>
        <w:rPr>
          <w:rFonts w:ascii="Wingdings" w:hAnsi="Wingdings" w:eastAsia="Wingdings" w:cs="Wingdings"/>
          <w:spacing w:val="-1"/>
          <w:sz w:val="24"/>
          <w:szCs w:val="24"/>
          <w:highlight w:val="none"/>
        </w:rPr>
        <w:t>o</w:t>
      </w:r>
      <w:r>
        <w:rPr>
          <w:rFonts w:ascii="宋体" w:hAnsi="宋体" w:eastAsia="宋体" w:cs="宋体"/>
          <w:spacing w:val="-1"/>
          <w:sz w:val="24"/>
          <w:szCs w:val="24"/>
          <w:highlight w:val="none"/>
        </w:rPr>
        <w:t>成本补偿</w:t>
      </w:r>
      <w:r>
        <w:rPr>
          <w:rFonts w:ascii="宋体" w:hAnsi="宋体" w:eastAsia="宋体" w:cs="宋体"/>
          <w:spacing w:val="-22"/>
          <w:sz w:val="24"/>
          <w:szCs w:val="24"/>
          <w:highlight w:val="none"/>
        </w:rPr>
        <w:t>：</w:t>
      </w:r>
      <w:r>
        <w:rPr>
          <w:rFonts w:ascii="宋体" w:hAnsi="宋体" w:eastAsia="宋体" w:cs="宋体"/>
          <w:spacing w:val="-22"/>
          <w:sz w:val="24"/>
          <w:szCs w:val="24"/>
          <w:highlight w:val="none"/>
          <w:u w:val="single" w:color="auto"/>
        </w:rPr>
        <w:t>（</w:t>
      </w:r>
      <w:r>
        <w:rPr>
          <w:rFonts w:ascii="宋体" w:hAnsi="宋体" w:eastAsia="宋体" w:cs="宋体"/>
          <w:spacing w:val="-1"/>
          <w:sz w:val="24"/>
          <w:szCs w:val="24"/>
          <w:highlight w:val="none"/>
          <w:u w:val="single" w:color="auto"/>
        </w:rPr>
        <w:t>应明确按照成本补偿方式的支付方式和支付条件）</w:t>
      </w:r>
    </w:p>
    <w:p w14:paraId="0AD4FDFB">
      <w:pPr>
        <w:spacing w:before="93" w:line="239" w:lineRule="auto"/>
        <w:jc w:val="right"/>
        <w:outlineLvl w:val="9"/>
        <w:rPr>
          <w:rFonts w:ascii="宋体" w:hAnsi="宋体" w:eastAsia="宋体" w:cs="宋体"/>
          <w:sz w:val="24"/>
          <w:szCs w:val="24"/>
          <w:highlight w:val="none"/>
        </w:rPr>
      </w:pPr>
      <w:r>
        <w:rPr>
          <w:rFonts w:ascii="Wingdings" w:hAnsi="Wingdings" w:eastAsia="Wingdings" w:cs="Wingdings"/>
          <w:spacing w:val="-1"/>
          <w:sz w:val="24"/>
          <w:szCs w:val="24"/>
          <w:highlight w:val="none"/>
        </w:rPr>
        <w:t>o</w:t>
      </w:r>
      <w:r>
        <w:rPr>
          <w:rFonts w:ascii="宋体" w:hAnsi="宋体" w:eastAsia="宋体" w:cs="宋体"/>
          <w:spacing w:val="-1"/>
          <w:sz w:val="24"/>
          <w:szCs w:val="24"/>
          <w:highlight w:val="none"/>
        </w:rPr>
        <w:t>绩效激励</w:t>
      </w:r>
      <w:r>
        <w:rPr>
          <w:rFonts w:ascii="宋体" w:hAnsi="宋体" w:eastAsia="宋体" w:cs="宋体"/>
          <w:spacing w:val="-22"/>
          <w:sz w:val="24"/>
          <w:szCs w:val="24"/>
          <w:highlight w:val="none"/>
        </w:rPr>
        <w:t>：</w:t>
      </w:r>
      <w:r>
        <w:rPr>
          <w:rFonts w:ascii="宋体" w:hAnsi="宋体" w:eastAsia="宋体" w:cs="宋体"/>
          <w:spacing w:val="-22"/>
          <w:sz w:val="24"/>
          <w:szCs w:val="24"/>
          <w:highlight w:val="none"/>
          <w:u w:val="single" w:color="auto"/>
        </w:rPr>
        <w:t>（</w:t>
      </w:r>
      <w:r>
        <w:rPr>
          <w:rFonts w:ascii="宋体" w:hAnsi="宋体" w:eastAsia="宋体" w:cs="宋体"/>
          <w:spacing w:val="-1"/>
          <w:sz w:val="24"/>
          <w:szCs w:val="24"/>
          <w:highlight w:val="none"/>
          <w:u w:val="single" w:color="auto"/>
        </w:rPr>
        <w:t>应明确按照绩效激励方式的支付方式和支付条件）</w:t>
      </w:r>
    </w:p>
    <w:p w14:paraId="15C248D6">
      <w:pPr>
        <w:spacing w:before="87" w:line="220" w:lineRule="auto"/>
        <w:ind w:left="517"/>
        <w:outlineLvl w:val="9"/>
        <w:rPr>
          <w:rFonts w:ascii="宋体" w:hAnsi="宋体" w:eastAsia="宋体" w:cs="宋体"/>
          <w:sz w:val="24"/>
          <w:szCs w:val="24"/>
          <w:highlight w:val="none"/>
        </w:rPr>
      </w:pPr>
      <w:r>
        <w:rPr>
          <w:rFonts w:ascii="宋体" w:hAnsi="宋体" w:eastAsia="宋体" w:cs="宋体"/>
          <w:b/>
          <w:bCs/>
          <w:spacing w:val="-9"/>
          <w:sz w:val="24"/>
          <w:szCs w:val="24"/>
          <w:highlight w:val="none"/>
        </w:rPr>
        <w:t>3.合同履行</w:t>
      </w:r>
    </w:p>
    <w:p w14:paraId="5AF2F783">
      <w:pPr>
        <w:spacing w:before="115" w:line="219" w:lineRule="auto"/>
        <w:ind w:left="531"/>
        <w:outlineLvl w:val="9"/>
        <w:rPr>
          <w:rFonts w:ascii="宋体" w:hAnsi="宋体" w:eastAsia="宋体" w:cs="宋体"/>
          <w:sz w:val="24"/>
          <w:szCs w:val="24"/>
          <w:highlight w:val="none"/>
        </w:rPr>
      </w:pPr>
      <w:r>
        <w:rPr>
          <w:rFonts w:ascii="宋体" w:hAnsi="宋体" w:eastAsia="宋体" w:cs="宋体"/>
          <w:spacing w:val="-9"/>
          <w:sz w:val="24"/>
          <w:szCs w:val="24"/>
          <w:highlight w:val="none"/>
        </w:rPr>
        <w:t>（1）起始日期：年月日，完成日期：年月</w:t>
      </w:r>
      <w:r>
        <w:rPr>
          <w:rFonts w:ascii="宋体" w:hAnsi="宋体" w:eastAsia="宋体" w:cs="宋体"/>
          <w:spacing w:val="-10"/>
          <w:sz w:val="24"/>
          <w:szCs w:val="24"/>
          <w:highlight w:val="none"/>
        </w:rPr>
        <w:t>日。</w:t>
      </w:r>
    </w:p>
    <w:p w14:paraId="169DC4F1">
      <w:pPr>
        <w:spacing w:before="116" w:line="221" w:lineRule="auto"/>
        <w:ind w:left="531"/>
        <w:outlineLvl w:val="9"/>
        <w:rPr>
          <w:rFonts w:hint="eastAsia" w:ascii="宋体" w:hAnsi="宋体" w:eastAsia="宋体" w:cs="宋体"/>
          <w:sz w:val="24"/>
          <w:szCs w:val="24"/>
          <w:highlight w:val="none"/>
          <w:lang w:eastAsia="zh-CN"/>
        </w:rPr>
      </w:pPr>
      <w:r>
        <w:rPr>
          <w:rFonts w:ascii="宋体" w:hAnsi="宋体" w:eastAsia="宋体" w:cs="宋体"/>
          <w:spacing w:val="-4"/>
          <w:sz w:val="24"/>
          <w:szCs w:val="24"/>
          <w:highlight w:val="none"/>
        </w:rPr>
        <w:t>（2）履约地点：</w:t>
      </w:r>
    </w:p>
    <w:p w14:paraId="2FEADFF3">
      <w:pPr>
        <w:spacing w:before="131" w:line="292" w:lineRule="auto"/>
        <w:ind w:left="867" w:right="2718" w:hanging="336"/>
        <w:outlineLvl w:val="9"/>
        <w:rPr>
          <w:rFonts w:hint="eastAsia" w:ascii="宋体" w:hAnsi="宋体" w:eastAsia="宋体" w:cs="宋体"/>
          <w:sz w:val="18"/>
          <w:szCs w:val="18"/>
          <w:highlight w:val="none"/>
          <w:lang w:eastAsia="zh-CN"/>
        </w:rPr>
      </w:pPr>
      <w:r>
        <w:rPr>
          <w:rFonts w:ascii="宋体" w:hAnsi="宋体" w:eastAsia="宋体" w:cs="宋体"/>
          <w:spacing w:val="9"/>
          <w:sz w:val="24"/>
          <w:szCs w:val="24"/>
          <w:highlight w:val="none"/>
        </w:rPr>
        <w:t>（3）履约担保：</w:t>
      </w:r>
      <w:r>
        <w:rPr>
          <w:rFonts w:ascii="宋体" w:hAnsi="宋体" w:eastAsia="宋体" w:cs="宋体"/>
          <w:spacing w:val="9"/>
          <w:sz w:val="18"/>
          <w:szCs w:val="18"/>
          <w:highlight w:val="none"/>
        </w:rPr>
        <w:t>是否收取履约保证金：</w:t>
      </w:r>
      <w:r>
        <w:rPr>
          <w:rFonts w:ascii="Wingdings" w:hAnsi="Wingdings" w:eastAsia="Wingdings" w:cs="Wingdings"/>
          <w:spacing w:val="9"/>
          <w:sz w:val="18"/>
          <w:szCs w:val="18"/>
          <w:highlight w:val="none"/>
        </w:rPr>
        <w:t>o</w:t>
      </w:r>
      <w:r>
        <w:rPr>
          <w:rFonts w:ascii="宋体" w:hAnsi="宋体" w:eastAsia="宋体" w:cs="宋体"/>
          <w:spacing w:val="9"/>
          <w:sz w:val="18"/>
          <w:szCs w:val="18"/>
          <w:highlight w:val="none"/>
        </w:rPr>
        <w:t>是</w:t>
      </w:r>
      <w:r>
        <w:rPr>
          <w:rFonts w:ascii="Wingdings" w:hAnsi="Wingdings" w:eastAsia="Wingdings" w:cs="Wingdings"/>
          <w:spacing w:val="9"/>
          <w:sz w:val="18"/>
          <w:szCs w:val="18"/>
          <w:highlight w:val="none"/>
        </w:rPr>
        <w:t>o</w:t>
      </w:r>
      <w:r>
        <w:rPr>
          <w:rFonts w:ascii="宋体" w:hAnsi="宋体" w:eastAsia="宋体" w:cs="宋体"/>
          <w:spacing w:val="9"/>
          <w:sz w:val="18"/>
          <w:szCs w:val="18"/>
          <w:highlight w:val="none"/>
        </w:rPr>
        <w:t>否</w:t>
      </w:r>
      <w:r>
        <w:rPr>
          <w:rFonts w:ascii="宋体" w:hAnsi="宋体" w:eastAsia="宋体" w:cs="宋体"/>
          <w:spacing w:val="13"/>
          <w:sz w:val="18"/>
          <w:szCs w:val="18"/>
          <w:highlight w:val="none"/>
        </w:rPr>
        <w:t>收取履约保证金形式：</w:t>
      </w:r>
    </w:p>
    <w:p w14:paraId="5585E00A">
      <w:pPr>
        <w:spacing w:before="150" w:line="230" w:lineRule="auto"/>
        <w:ind w:left="836"/>
        <w:outlineLvl w:val="9"/>
        <w:rPr>
          <w:rFonts w:hint="eastAsia" w:ascii="宋体" w:hAnsi="宋体" w:eastAsia="宋体" w:cs="宋体"/>
          <w:sz w:val="18"/>
          <w:szCs w:val="18"/>
          <w:highlight w:val="none"/>
          <w:lang w:eastAsia="zh-CN"/>
        </w:rPr>
      </w:pPr>
      <w:r>
        <w:rPr>
          <w:rFonts w:ascii="宋体" w:hAnsi="宋体" w:eastAsia="宋体" w:cs="宋体"/>
          <w:spacing w:val="13"/>
          <w:sz w:val="18"/>
          <w:szCs w:val="18"/>
          <w:highlight w:val="none"/>
        </w:rPr>
        <w:t>收取履约保证金金额：</w:t>
      </w:r>
    </w:p>
    <w:p w14:paraId="309D4D1F">
      <w:pPr>
        <w:spacing w:before="139" w:line="220" w:lineRule="auto"/>
        <w:ind w:left="996"/>
        <w:outlineLvl w:val="9"/>
        <w:rPr>
          <w:rFonts w:hint="eastAsia" w:ascii="宋体" w:hAnsi="宋体" w:eastAsia="宋体" w:cs="宋体"/>
          <w:sz w:val="24"/>
          <w:szCs w:val="24"/>
          <w:highlight w:val="none"/>
          <w:lang w:eastAsia="zh-CN"/>
        </w:rPr>
      </w:pPr>
      <w:r>
        <w:rPr>
          <w:rFonts w:ascii="宋体" w:hAnsi="宋体" w:eastAsia="宋体" w:cs="宋体"/>
          <w:spacing w:val="-4"/>
          <w:sz w:val="24"/>
          <w:szCs w:val="24"/>
          <w:highlight w:val="none"/>
        </w:rPr>
        <w:t>履约担保期限：</w:t>
      </w:r>
    </w:p>
    <w:p w14:paraId="3BAF2952">
      <w:pPr>
        <w:spacing w:before="112" w:line="220" w:lineRule="auto"/>
        <w:ind w:left="531"/>
        <w:outlineLvl w:val="9"/>
        <w:rPr>
          <w:rFonts w:hint="eastAsia" w:ascii="宋体" w:hAnsi="宋体" w:eastAsia="宋体" w:cs="宋体"/>
          <w:sz w:val="24"/>
          <w:szCs w:val="24"/>
          <w:highlight w:val="none"/>
          <w:lang w:eastAsia="zh-CN"/>
        </w:rPr>
      </w:pPr>
      <w:r>
        <w:rPr>
          <w:rFonts w:ascii="宋体" w:hAnsi="宋体" w:eastAsia="宋体" w:cs="宋体"/>
          <w:spacing w:val="-5"/>
          <w:sz w:val="24"/>
          <w:szCs w:val="24"/>
          <w:highlight w:val="none"/>
        </w:rPr>
        <w:t>（4）分期履行要求：</w:t>
      </w:r>
    </w:p>
    <w:p w14:paraId="48A7AA47">
      <w:pPr>
        <w:spacing w:before="116" w:line="219" w:lineRule="auto"/>
        <w:ind w:left="531"/>
        <w:outlineLvl w:val="9"/>
        <w:rPr>
          <w:rFonts w:hint="eastAsia" w:ascii="宋体" w:hAnsi="宋体" w:eastAsia="宋体" w:cs="宋体"/>
          <w:sz w:val="24"/>
          <w:szCs w:val="24"/>
          <w:highlight w:val="none"/>
          <w:lang w:eastAsia="zh-CN"/>
        </w:rPr>
      </w:pPr>
      <w:r>
        <w:rPr>
          <w:rFonts w:ascii="宋体" w:hAnsi="宋体" w:eastAsia="宋体" w:cs="宋体"/>
          <w:spacing w:val="-2"/>
          <w:sz w:val="24"/>
          <w:szCs w:val="24"/>
          <w:highlight w:val="none"/>
        </w:rPr>
        <w:t>（5）风险处置措施和替代方案：</w:t>
      </w:r>
    </w:p>
    <w:p w14:paraId="2D43ACC8">
      <w:pPr>
        <w:spacing w:before="113" w:line="219" w:lineRule="auto"/>
        <w:ind w:left="507"/>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4.合同验收</w:t>
      </w:r>
    </w:p>
    <w:p w14:paraId="0513BEEF">
      <w:pPr>
        <w:spacing w:before="134" w:line="262" w:lineRule="auto"/>
        <w:ind w:left="1106" w:right="2495" w:hanging="575"/>
        <w:outlineLvl w:val="9"/>
        <w:rPr>
          <w:rFonts w:hint="eastAsia" w:ascii="宋体" w:hAnsi="宋体" w:eastAsia="宋体" w:cs="宋体"/>
          <w:sz w:val="24"/>
          <w:szCs w:val="24"/>
          <w:highlight w:val="none"/>
          <w:lang w:eastAsia="zh-CN"/>
        </w:rPr>
      </w:pPr>
      <w:r>
        <w:rPr>
          <w:rFonts w:ascii="宋体" w:hAnsi="宋体" w:eastAsia="宋体" w:cs="宋体"/>
          <w:spacing w:val="-1"/>
          <w:sz w:val="24"/>
          <w:szCs w:val="24"/>
          <w:highlight w:val="none"/>
        </w:rPr>
        <w:t>（1）验收组织方式：</w:t>
      </w:r>
      <w:r>
        <w:rPr>
          <w:rFonts w:ascii="Wingdings" w:hAnsi="Wingdings" w:eastAsia="Wingdings" w:cs="Wingdings"/>
          <w:spacing w:val="-1"/>
          <w:sz w:val="18"/>
          <w:szCs w:val="18"/>
          <w:highlight w:val="none"/>
        </w:rPr>
        <w:t>o</w:t>
      </w:r>
      <w:r>
        <w:rPr>
          <w:rFonts w:ascii="宋体" w:hAnsi="宋体" w:eastAsia="宋体" w:cs="宋体"/>
          <w:spacing w:val="-1"/>
          <w:sz w:val="24"/>
          <w:szCs w:val="24"/>
          <w:highlight w:val="none"/>
        </w:rPr>
        <w:t>自行组织</w:t>
      </w:r>
      <w:r>
        <w:rPr>
          <w:rFonts w:ascii="Wingdings" w:hAnsi="Wingdings" w:eastAsia="Wingdings" w:cs="Wingdings"/>
          <w:spacing w:val="-1"/>
          <w:sz w:val="18"/>
          <w:szCs w:val="18"/>
          <w:highlight w:val="none"/>
        </w:rPr>
        <w:t>o</w:t>
      </w:r>
      <w:r>
        <w:rPr>
          <w:rFonts w:ascii="宋体" w:hAnsi="宋体" w:eastAsia="宋体" w:cs="宋体"/>
          <w:spacing w:val="-1"/>
          <w:sz w:val="24"/>
          <w:szCs w:val="24"/>
          <w:highlight w:val="none"/>
        </w:rPr>
        <w:t>委托</w:t>
      </w:r>
      <w:r>
        <w:rPr>
          <w:rFonts w:ascii="宋体" w:hAnsi="宋体" w:eastAsia="宋体" w:cs="宋体"/>
          <w:spacing w:val="-2"/>
          <w:sz w:val="24"/>
          <w:szCs w:val="24"/>
          <w:highlight w:val="none"/>
        </w:rPr>
        <w:t>第三方组织</w:t>
      </w:r>
      <w:r>
        <w:rPr>
          <w:rFonts w:ascii="宋体" w:hAnsi="宋体" w:eastAsia="宋体" w:cs="宋体"/>
          <w:spacing w:val="-5"/>
          <w:sz w:val="24"/>
          <w:szCs w:val="24"/>
          <w:highlight w:val="none"/>
        </w:rPr>
        <w:t>验收主体：</w:t>
      </w:r>
    </w:p>
    <w:p w14:paraId="125D66BA">
      <w:pPr>
        <w:spacing w:before="103" w:line="223" w:lineRule="auto"/>
        <w:ind w:left="996"/>
        <w:outlineLvl w:val="9"/>
        <w:rPr>
          <w:rFonts w:ascii="宋体" w:hAnsi="宋体" w:eastAsia="宋体" w:cs="宋体"/>
          <w:sz w:val="24"/>
          <w:szCs w:val="24"/>
          <w:highlight w:val="none"/>
        </w:rPr>
      </w:pPr>
      <w:r>
        <w:rPr>
          <w:rFonts w:ascii="宋体" w:hAnsi="宋体" w:eastAsia="宋体" w:cs="宋体"/>
          <w:sz w:val="24"/>
          <w:szCs w:val="24"/>
          <w:highlight w:val="none"/>
        </w:rPr>
        <w:t>是否邀请本项目的其他供应商参加验收：</w:t>
      </w:r>
      <w:r>
        <w:rPr>
          <w:rFonts w:ascii="Wingdings" w:hAnsi="Wingdings" w:eastAsia="Wingdings" w:cs="Wingdings"/>
          <w:sz w:val="18"/>
          <w:szCs w:val="18"/>
          <w:highlight w:val="none"/>
        </w:rPr>
        <w:t>o</w:t>
      </w:r>
      <w:r>
        <w:rPr>
          <w:rFonts w:ascii="宋体" w:hAnsi="宋体" w:eastAsia="宋体" w:cs="宋体"/>
          <w:sz w:val="24"/>
          <w:szCs w:val="24"/>
          <w:highlight w:val="none"/>
        </w:rPr>
        <w:t>是</w:t>
      </w:r>
      <w:r>
        <w:rPr>
          <w:rFonts w:ascii="Wingdings" w:hAnsi="Wingdings" w:eastAsia="Wingdings" w:cs="Wingdings"/>
          <w:sz w:val="18"/>
          <w:szCs w:val="18"/>
          <w:highlight w:val="none"/>
        </w:rPr>
        <w:t>o</w:t>
      </w:r>
      <w:r>
        <w:rPr>
          <w:rFonts w:ascii="宋体" w:hAnsi="宋体" w:eastAsia="宋体" w:cs="宋体"/>
          <w:sz w:val="24"/>
          <w:szCs w:val="24"/>
          <w:highlight w:val="none"/>
        </w:rPr>
        <w:t>否</w:t>
      </w:r>
    </w:p>
    <w:p w14:paraId="7DADD6B0">
      <w:pPr>
        <w:spacing w:before="110" w:line="224" w:lineRule="auto"/>
        <w:ind w:left="996"/>
        <w:outlineLvl w:val="9"/>
        <w:rPr>
          <w:rFonts w:ascii="宋体" w:hAnsi="宋体" w:eastAsia="宋体" w:cs="宋体"/>
          <w:sz w:val="24"/>
          <w:szCs w:val="24"/>
          <w:highlight w:val="none"/>
        </w:rPr>
      </w:pPr>
      <w:r>
        <w:rPr>
          <w:rFonts w:ascii="宋体" w:hAnsi="宋体" w:eastAsia="宋体" w:cs="宋体"/>
          <w:sz w:val="24"/>
          <w:szCs w:val="24"/>
          <w:highlight w:val="none"/>
        </w:rPr>
        <w:t>是否邀请专家参加验收：</w:t>
      </w:r>
      <w:r>
        <w:rPr>
          <w:rFonts w:ascii="Wingdings" w:hAnsi="Wingdings" w:eastAsia="Wingdings" w:cs="Wingdings"/>
          <w:sz w:val="18"/>
          <w:szCs w:val="18"/>
          <w:highlight w:val="none"/>
        </w:rPr>
        <w:t>o</w:t>
      </w:r>
      <w:r>
        <w:rPr>
          <w:rFonts w:ascii="宋体" w:hAnsi="宋体" w:eastAsia="宋体" w:cs="宋体"/>
          <w:sz w:val="24"/>
          <w:szCs w:val="24"/>
          <w:highlight w:val="none"/>
        </w:rPr>
        <w:t>是</w:t>
      </w:r>
      <w:r>
        <w:rPr>
          <w:rFonts w:ascii="Wingdings" w:hAnsi="Wingdings" w:eastAsia="Wingdings" w:cs="Wingdings"/>
          <w:sz w:val="18"/>
          <w:szCs w:val="18"/>
          <w:highlight w:val="none"/>
        </w:rPr>
        <w:t>o</w:t>
      </w:r>
      <w:r>
        <w:rPr>
          <w:rFonts w:ascii="宋体" w:hAnsi="宋体" w:eastAsia="宋体" w:cs="宋体"/>
          <w:sz w:val="24"/>
          <w:szCs w:val="24"/>
          <w:highlight w:val="none"/>
        </w:rPr>
        <w:t>否</w:t>
      </w:r>
    </w:p>
    <w:p w14:paraId="142235D0">
      <w:pPr>
        <w:spacing w:before="108" w:line="224" w:lineRule="auto"/>
        <w:ind w:left="996"/>
        <w:outlineLvl w:val="9"/>
        <w:rPr>
          <w:rFonts w:ascii="宋体" w:hAnsi="宋体" w:eastAsia="宋体" w:cs="宋体"/>
          <w:sz w:val="24"/>
          <w:szCs w:val="24"/>
          <w:highlight w:val="none"/>
        </w:rPr>
      </w:pPr>
      <w:r>
        <w:rPr>
          <w:rFonts w:ascii="宋体" w:hAnsi="宋体" w:eastAsia="宋体" w:cs="宋体"/>
          <w:sz w:val="24"/>
          <w:szCs w:val="24"/>
          <w:highlight w:val="none"/>
        </w:rPr>
        <w:t>是否邀请服务对象参加验收：</w:t>
      </w:r>
      <w:r>
        <w:rPr>
          <w:rFonts w:ascii="Wingdings" w:hAnsi="Wingdings" w:eastAsia="Wingdings" w:cs="Wingdings"/>
          <w:sz w:val="18"/>
          <w:szCs w:val="18"/>
          <w:highlight w:val="none"/>
        </w:rPr>
        <w:t>o</w:t>
      </w:r>
      <w:r>
        <w:rPr>
          <w:rFonts w:ascii="宋体" w:hAnsi="宋体" w:eastAsia="宋体" w:cs="宋体"/>
          <w:sz w:val="24"/>
          <w:szCs w:val="24"/>
          <w:highlight w:val="none"/>
        </w:rPr>
        <w:t>是</w:t>
      </w:r>
      <w:r>
        <w:rPr>
          <w:rFonts w:ascii="Wingdings" w:hAnsi="Wingdings" w:eastAsia="Wingdings" w:cs="Wingdings"/>
          <w:sz w:val="18"/>
          <w:szCs w:val="18"/>
          <w:highlight w:val="none"/>
        </w:rPr>
        <w:t>o</w:t>
      </w:r>
      <w:r>
        <w:rPr>
          <w:rFonts w:ascii="宋体" w:hAnsi="宋体" w:eastAsia="宋体" w:cs="宋体"/>
          <w:sz w:val="24"/>
          <w:szCs w:val="24"/>
          <w:highlight w:val="none"/>
        </w:rPr>
        <w:t>否</w:t>
      </w:r>
    </w:p>
    <w:p w14:paraId="10FD9FE0">
      <w:pPr>
        <w:spacing w:before="107" w:line="223" w:lineRule="auto"/>
        <w:ind w:left="996"/>
        <w:outlineLvl w:val="9"/>
        <w:rPr>
          <w:rFonts w:ascii="宋体" w:hAnsi="宋体" w:eastAsia="宋体" w:cs="宋体"/>
          <w:sz w:val="24"/>
          <w:szCs w:val="24"/>
          <w:highlight w:val="none"/>
        </w:rPr>
      </w:pPr>
      <w:r>
        <w:rPr>
          <w:rFonts w:ascii="宋体" w:hAnsi="宋体" w:eastAsia="宋体" w:cs="宋体"/>
          <w:sz w:val="24"/>
          <w:szCs w:val="24"/>
          <w:highlight w:val="none"/>
        </w:rPr>
        <w:t>是否邀请第三方检测机构参加验收：</w:t>
      </w:r>
      <w:r>
        <w:rPr>
          <w:rFonts w:ascii="Wingdings" w:hAnsi="Wingdings" w:eastAsia="Wingdings" w:cs="Wingdings"/>
          <w:sz w:val="18"/>
          <w:szCs w:val="18"/>
          <w:highlight w:val="none"/>
        </w:rPr>
        <w:t>o</w:t>
      </w:r>
      <w:r>
        <w:rPr>
          <w:rFonts w:ascii="宋体" w:hAnsi="宋体" w:eastAsia="宋体" w:cs="宋体"/>
          <w:sz w:val="24"/>
          <w:szCs w:val="24"/>
          <w:highlight w:val="none"/>
        </w:rPr>
        <w:t>是</w:t>
      </w:r>
      <w:r>
        <w:rPr>
          <w:rFonts w:ascii="Wingdings" w:hAnsi="Wingdings" w:eastAsia="Wingdings" w:cs="Wingdings"/>
          <w:sz w:val="18"/>
          <w:szCs w:val="18"/>
          <w:highlight w:val="none"/>
        </w:rPr>
        <w:t>o</w:t>
      </w:r>
      <w:r>
        <w:rPr>
          <w:rFonts w:ascii="宋体" w:hAnsi="宋体" w:eastAsia="宋体" w:cs="宋体"/>
          <w:sz w:val="24"/>
          <w:szCs w:val="24"/>
          <w:highlight w:val="none"/>
        </w:rPr>
        <w:t>否</w:t>
      </w:r>
    </w:p>
    <w:p w14:paraId="06835903">
      <w:pPr>
        <w:spacing w:line="223" w:lineRule="auto"/>
        <w:outlineLvl w:val="9"/>
        <w:rPr>
          <w:rFonts w:ascii="宋体" w:hAnsi="宋体" w:eastAsia="宋体" w:cs="宋体"/>
          <w:sz w:val="24"/>
          <w:szCs w:val="24"/>
          <w:highlight w:val="none"/>
        </w:rPr>
        <w:sectPr>
          <w:headerReference r:id="rId53" w:type="default"/>
          <w:footerReference r:id="rId54" w:type="default"/>
          <w:pgSz w:w="11906" w:h="16840"/>
          <w:pgMar w:top="1091" w:right="1759" w:bottom="1156" w:left="1785" w:header="1077" w:footer="910" w:gutter="0"/>
          <w:pgNumType w:fmt="decimal"/>
          <w:cols w:space="720" w:num="1"/>
        </w:sectPr>
      </w:pPr>
    </w:p>
    <w:p w14:paraId="797B09B9">
      <w:pPr>
        <w:pStyle w:val="2"/>
        <w:spacing w:line="401" w:lineRule="auto"/>
        <w:outlineLvl w:val="9"/>
        <w:rPr>
          <w:highlight w:val="none"/>
        </w:rPr>
      </w:pPr>
    </w:p>
    <w:p w14:paraId="4EB26113">
      <w:pPr>
        <w:spacing w:before="78" w:line="224" w:lineRule="auto"/>
        <w:ind w:left="996"/>
        <w:outlineLvl w:val="9"/>
        <w:rPr>
          <w:rFonts w:ascii="宋体" w:hAnsi="宋体" w:eastAsia="宋体" w:cs="宋体"/>
          <w:sz w:val="24"/>
          <w:szCs w:val="24"/>
          <w:highlight w:val="none"/>
        </w:rPr>
      </w:pPr>
      <w:r>
        <w:rPr>
          <w:rFonts w:ascii="宋体" w:hAnsi="宋体" w:eastAsia="宋体" w:cs="宋体"/>
          <w:sz w:val="24"/>
          <w:szCs w:val="24"/>
          <w:highlight w:val="none"/>
        </w:rPr>
        <w:t>是否进行抽查检测：</w:t>
      </w:r>
      <w:r>
        <w:rPr>
          <w:rFonts w:ascii="Wingdings" w:hAnsi="Wingdings" w:eastAsia="Wingdings" w:cs="Wingdings"/>
          <w:sz w:val="18"/>
          <w:szCs w:val="18"/>
          <w:highlight w:val="none"/>
        </w:rPr>
        <w:t>o</w:t>
      </w:r>
      <w:r>
        <w:rPr>
          <w:rFonts w:ascii="宋体" w:hAnsi="宋体" w:eastAsia="宋体" w:cs="宋体"/>
          <w:sz w:val="24"/>
          <w:szCs w:val="24"/>
          <w:highlight w:val="none"/>
        </w:rPr>
        <w:t>是，抽查比例：</w:t>
      </w:r>
      <w:r>
        <w:rPr>
          <w:rFonts w:ascii="Wingdings" w:hAnsi="Wingdings" w:eastAsia="Wingdings" w:cs="Wingdings"/>
          <w:sz w:val="18"/>
          <w:szCs w:val="18"/>
          <w:highlight w:val="none"/>
        </w:rPr>
        <w:t>o</w:t>
      </w:r>
      <w:r>
        <w:rPr>
          <w:rFonts w:ascii="宋体" w:hAnsi="宋体" w:eastAsia="宋体" w:cs="宋体"/>
          <w:sz w:val="24"/>
          <w:szCs w:val="24"/>
          <w:highlight w:val="none"/>
        </w:rPr>
        <w:t>否</w:t>
      </w:r>
    </w:p>
    <w:p w14:paraId="54FD537C">
      <w:pPr>
        <w:spacing w:before="124" w:line="298" w:lineRule="auto"/>
        <w:ind w:left="3401" w:hanging="2405"/>
        <w:outlineLvl w:val="9"/>
        <w:rPr>
          <w:rFonts w:ascii="宋体" w:hAnsi="宋体" w:eastAsia="宋体" w:cs="宋体"/>
          <w:sz w:val="24"/>
          <w:szCs w:val="24"/>
          <w:highlight w:val="none"/>
        </w:rPr>
      </w:pPr>
      <w:r>
        <w:rPr>
          <w:rFonts w:ascii="宋体" w:hAnsi="宋体" w:eastAsia="宋体" w:cs="宋体"/>
          <w:spacing w:val="-3"/>
          <w:sz w:val="24"/>
          <w:szCs w:val="24"/>
          <w:highlight w:val="none"/>
        </w:rPr>
        <w:t>是否存在破坏性检测：</w:t>
      </w:r>
      <w:r>
        <w:rPr>
          <w:rFonts w:ascii="Wingdings" w:hAnsi="Wingdings" w:eastAsia="Wingdings" w:cs="Wingdings"/>
          <w:spacing w:val="-3"/>
          <w:sz w:val="18"/>
          <w:szCs w:val="18"/>
          <w:highlight w:val="none"/>
        </w:rPr>
        <w:t>o</w:t>
      </w:r>
      <w:r>
        <w:rPr>
          <w:rFonts w:ascii="宋体" w:hAnsi="宋体" w:eastAsia="宋体" w:cs="宋体"/>
          <w:spacing w:val="-3"/>
          <w:sz w:val="24"/>
          <w:szCs w:val="24"/>
          <w:highlight w:val="none"/>
        </w:rPr>
        <w:t>是</w:t>
      </w:r>
      <w:r>
        <w:rPr>
          <w:rFonts w:ascii="宋体" w:hAnsi="宋体" w:eastAsia="宋体" w:cs="宋体"/>
          <w:spacing w:val="-46"/>
          <w:sz w:val="24"/>
          <w:szCs w:val="24"/>
          <w:highlight w:val="none"/>
        </w:rPr>
        <w:t>，</w:t>
      </w:r>
      <w:r>
        <w:rPr>
          <w:rFonts w:ascii="宋体" w:hAnsi="宋体" w:eastAsia="宋体" w:cs="宋体"/>
          <w:spacing w:val="-46"/>
          <w:sz w:val="24"/>
          <w:szCs w:val="24"/>
          <w:highlight w:val="none"/>
          <w:u w:val="single" w:color="auto"/>
        </w:rPr>
        <w:t>（</w:t>
      </w:r>
      <w:r>
        <w:rPr>
          <w:rFonts w:ascii="宋体" w:hAnsi="宋体" w:eastAsia="宋体" w:cs="宋体"/>
          <w:spacing w:val="-3"/>
          <w:sz w:val="24"/>
          <w:szCs w:val="24"/>
          <w:highlight w:val="none"/>
          <w:u w:val="single" w:color="auto"/>
        </w:rPr>
        <w:t>应明确对被破坏的检测产品的处理方式）</w:t>
      </w:r>
      <w:r>
        <w:rPr>
          <w:rFonts w:ascii="Wingdings" w:hAnsi="Wingdings" w:eastAsia="Wingdings" w:cs="Wingdings"/>
          <w:spacing w:val="-4"/>
          <w:sz w:val="18"/>
          <w:szCs w:val="18"/>
          <w:highlight w:val="none"/>
        </w:rPr>
        <w:t>o</w:t>
      </w:r>
      <w:r>
        <w:rPr>
          <w:rFonts w:ascii="宋体" w:hAnsi="宋体" w:eastAsia="宋体" w:cs="宋体"/>
          <w:spacing w:val="-4"/>
          <w:sz w:val="24"/>
          <w:szCs w:val="24"/>
          <w:highlight w:val="none"/>
        </w:rPr>
        <w:t>否</w:t>
      </w:r>
    </w:p>
    <w:p w14:paraId="45B2E30D">
      <w:pPr>
        <w:spacing w:line="219" w:lineRule="auto"/>
        <w:ind w:left="987"/>
        <w:outlineLvl w:val="9"/>
        <w:rPr>
          <w:rFonts w:hint="eastAsia" w:ascii="宋体" w:hAnsi="宋体" w:eastAsia="宋体" w:cs="宋体"/>
          <w:sz w:val="24"/>
          <w:szCs w:val="24"/>
          <w:highlight w:val="none"/>
          <w:lang w:eastAsia="zh-CN"/>
        </w:rPr>
      </w:pPr>
      <w:r>
        <w:rPr>
          <w:rFonts w:ascii="宋体" w:hAnsi="宋体" w:eastAsia="宋体" w:cs="宋体"/>
          <w:spacing w:val="-2"/>
          <w:sz w:val="24"/>
          <w:szCs w:val="24"/>
          <w:highlight w:val="none"/>
        </w:rPr>
        <w:t>验收组织的其他事项：</w:t>
      </w:r>
    </w:p>
    <w:p w14:paraId="206293BD">
      <w:pPr>
        <w:spacing w:before="135" w:line="266" w:lineRule="auto"/>
        <w:ind w:left="88" w:right="100" w:firstLine="443"/>
        <w:outlineLvl w:val="9"/>
        <w:rPr>
          <w:rFonts w:hint="eastAsia" w:ascii="宋体" w:hAnsi="宋体" w:eastAsia="宋体" w:cs="宋体"/>
          <w:sz w:val="24"/>
          <w:szCs w:val="24"/>
          <w:highlight w:val="none"/>
          <w:lang w:eastAsia="zh-CN"/>
        </w:rPr>
      </w:pPr>
      <w:r>
        <w:rPr>
          <w:rFonts w:ascii="宋体" w:hAnsi="宋体" w:eastAsia="宋体" w:cs="宋体"/>
          <w:spacing w:val="1"/>
          <w:sz w:val="24"/>
          <w:szCs w:val="24"/>
          <w:highlight w:val="none"/>
        </w:rPr>
        <w:t>（2）履约验收时间</w:t>
      </w:r>
      <w:r>
        <w:rPr>
          <w:rFonts w:ascii="宋体" w:hAnsi="宋体" w:eastAsia="宋体" w:cs="宋体"/>
          <w:spacing w:val="-22"/>
          <w:sz w:val="24"/>
          <w:szCs w:val="24"/>
          <w:highlight w:val="none"/>
        </w:rPr>
        <w:t>：</w:t>
      </w:r>
      <w:r>
        <w:rPr>
          <w:rFonts w:ascii="宋体" w:hAnsi="宋体" w:eastAsia="宋体" w:cs="宋体"/>
          <w:spacing w:val="-22"/>
          <w:sz w:val="24"/>
          <w:szCs w:val="24"/>
          <w:highlight w:val="none"/>
          <w:u w:val="single" w:color="auto"/>
        </w:rPr>
        <w:t>（</w:t>
      </w:r>
      <w:r>
        <w:rPr>
          <w:rFonts w:ascii="宋体" w:hAnsi="宋体" w:eastAsia="宋体" w:cs="宋体"/>
          <w:spacing w:val="1"/>
          <w:sz w:val="24"/>
          <w:szCs w:val="24"/>
          <w:highlight w:val="none"/>
          <w:u w:val="single" w:color="auto"/>
        </w:rPr>
        <w:t>计划于何时验收/供应商提出验收申请之日起</w:t>
      </w:r>
      <w:r>
        <w:rPr>
          <w:rFonts w:ascii="宋体" w:hAnsi="宋体" w:eastAsia="宋体" w:cs="宋体"/>
          <w:sz w:val="24"/>
          <w:szCs w:val="24"/>
          <w:highlight w:val="none"/>
          <w:u w:val="single" w:color="auto"/>
        </w:rPr>
        <w:t>日</w:t>
      </w:r>
      <w:r>
        <w:rPr>
          <w:rFonts w:ascii="宋体" w:hAnsi="宋体" w:eastAsia="宋体" w:cs="宋体"/>
          <w:spacing w:val="-13"/>
          <w:sz w:val="24"/>
          <w:szCs w:val="24"/>
          <w:highlight w:val="none"/>
          <w:u w:val="single" w:color="auto"/>
        </w:rPr>
        <w:t>内组织验收）</w:t>
      </w:r>
    </w:p>
    <w:p w14:paraId="11648D07">
      <w:pPr>
        <w:spacing w:before="90" w:line="224" w:lineRule="auto"/>
        <w:ind w:left="531"/>
        <w:outlineLvl w:val="9"/>
        <w:rPr>
          <w:rFonts w:ascii="宋体" w:hAnsi="宋体" w:eastAsia="宋体" w:cs="宋体"/>
          <w:sz w:val="24"/>
          <w:szCs w:val="24"/>
          <w:highlight w:val="none"/>
        </w:rPr>
      </w:pPr>
      <w:r>
        <w:rPr>
          <w:rFonts w:ascii="宋体" w:hAnsi="宋体" w:eastAsia="宋体" w:cs="宋体"/>
          <w:spacing w:val="-2"/>
          <w:sz w:val="24"/>
          <w:szCs w:val="24"/>
          <w:highlight w:val="none"/>
        </w:rPr>
        <w:t>（3）履约验收方式：</w:t>
      </w:r>
      <w:r>
        <w:rPr>
          <w:rFonts w:ascii="Wingdings" w:hAnsi="Wingdings" w:eastAsia="Wingdings" w:cs="Wingdings"/>
          <w:spacing w:val="-2"/>
          <w:sz w:val="18"/>
          <w:szCs w:val="18"/>
          <w:highlight w:val="none"/>
        </w:rPr>
        <w:t>o</w:t>
      </w:r>
      <w:r>
        <w:rPr>
          <w:rFonts w:ascii="宋体" w:hAnsi="宋体" w:eastAsia="宋体" w:cs="宋体"/>
          <w:spacing w:val="-2"/>
          <w:sz w:val="24"/>
          <w:szCs w:val="24"/>
          <w:highlight w:val="none"/>
        </w:rPr>
        <w:t>一次性验收</w:t>
      </w:r>
    </w:p>
    <w:p w14:paraId="5BDB75F5">
      <w:pPr>
        <w:spacing w:before="122" w:line="265" w:lineRule="auto"/>
        <w:ind w:left="28" w:right="100" w:firstLine="2773"/>
        <w:outlineLvl w:val="9"/>
        <w:rPr>
          <w:rFonts w:hint="eastAsia" w:ascii="宋体" w:hAnsi="宋体" w:eastAsia="宋体" w:cs="宋体"/>
          <w:sz w:val="24"/>
          <w:szCs w:val="24"/>
          <w:highlight w:val="none"/>
          <w:lang w:eastAsia="zh-CN"/>
        </w:rPr>
      </w:pPr>
      <w:r>
        <w:rPr>
          <w:rFonts w:ascii="Wingdings" w:hAnsi="Wingdings" w:eastAsia="Wingdings" w:cs="Wingdings"/>
          <w:spacing w:val="1"/>
          <w:sz w:val="18"/>
          <w:szCs w:val="18"/>
          <w:highlight w:val="none"/>
        </w:rPr>
        <w:t>o</w:t>
      </w:r>
      <w:r>
        <w:rPr>
          <w:rFonts w:ascii="宋体" w:hAnsi="宋体" w:eastAsia="宋体" w:cs="宋体"/>
          <w:spacing w:val="1"/>
          <w:sz w:val="24"/>
          <w:szCs w:val="24"/>
          <w:highlight w:val="none"/>
        </w:rPr>
        <w:t>分期/分项验收</w:t>
      </w:r>
      <w:r>
        <w:rPr>
          <w:rFonts w:ascii="宋体" w:hAnsi="宋体" w:eastAsia="宋体" w:cs="宋体"/>
          <w:spacing w:val="-29"/>
          <w:sz w:val="24"/>
          <w:szCs w:val="24"/>
          <w:highlight w:val="none"/>
        </w:rPr>
        <w:t>：</w:t>
      </w:r>
      <w:r>
        <w:rPr>
          <w:rFonts w:ascii="宋体" w:hAnsi="宋体" w:eastAsia="宋体" w:cs="宋体"/>
          <w:spacing w:val="-29"/>
          <w:sz w:val="24"/>
          <w:szCs w:val="24"/>
          <w:highlight w:val="none"/>
          <w:u w:val="single" w:color="auto"/>
        </w:rPr>
        <w:t>（</w:t>
      </w:r>
      <w:r>
        <w:rPr>
          <w:rFonts w:ascii="宋体" w:hAnsi="宋体" w:eastAsia="宋体" w:cs="宋体"/>
          <w:spacing w:val="1"/>
          <w:sz w:val="24"/>
          <w:szCs w:val="24"/>
          <w:highlight w:val="none"/>
          <w:u w:val="single" w:color="auto"/>
        </w:rPr>
        <w:t>应明确分期/分项验收的工</w:t>
      </w:r>
      <w:r>
        <w:rPr>
          <w:rFonts w:ascii="宋体" w:hAnsi="宋体" w:eastAsia="宋体" w:cs="宋体"/>
          <w:sz w:val="24"/>
          <w:szCs w:val="24"/>
          <w:highlight w:val="none"/>
          <w:u w:val="single" w:color="auto"/>
        </w:rPr>
        <w:t>作安</w:t>
      </w:r>
      <w:r>
        <w:rPr>
          <w:rFonts w:ascii="宋体" w:hAnsi="宋体" w:eastAsia="宋体" w:cs="宋体"/>
          <w:spacing w:val="-8"/>
          <w:sz w:val="24"/>
          <w:szCs w:val="24"/>
          <w:highlight w:val="none"/>
          <w:u w:val="single" w:color="auto"/>
        </w:rPr>
        <w:t>排）</w:t>
      </w:r>
    </w:p>
    <w:p w14:paraId="3441C94D">
      <w:pPr>
        <w:spacing w:before="90" w:line="219" w:lineRule="auto"/>
        <w:ind w:left="531"/>
        <w:outlineLvl w:val="9"/>
        <w:rPr>
          <w:rFonts w:hint="eastAsia" w:ascii="宋体" w:hAnsi="宋体" w:eastAsia="宋体" w:cs="宋体"/>
          <w:sz w:val="24"/>
          <w:szCs w:val="24"/>
          <w:highlight w:val="none"/>
          <w:lang w:eastAsia="zh-CN"/>
        </w:rPr>
      </w:pPr>
      <w:r>
        <w:rPr>
          <w:rFonts w:ascii="宋体" w:hAnsi="宋体" w:eastAsia="宋体" w:cs="宋体"/>
          <w:spacing w:val="-3"/>
          <w:sz w:val="24"/>
          <w:szCs w:val="24"/>
          <w:highlight w:val="none"/>
        </w:rPr>
        <w:t>（4）履约验收程序：</w:t>
      </w:r>
    </w:p>
    <w:p w14:paraId="70673441">
      <w:pPr>
        <w:spacing w:before="134" w:line="266" w:lineRule="auto"/>
        <w:ind w:left="33" w:right="96" w:firstLine="498"/>
        <w:outlineLvl w:val="9"/>
        <w:rPr>
          <w:rFonts w:hint="eastAsia" w:ascii="宋体" w:hAnsi="宋体" w:eastAsia="宋体" w:cs="宋体"/>
          <w:sz w:val="24"/>
          <w:szCs w:val="24"/>
          <w:highlight w:val="none"/>
          <w:lang w:eastAsia="zh-CN"/>
        </w:rPr>
      </w:pPr>
      <w:r>
        <w:rPr>
          <w:rFonts w:ascii="宋体" w:hAnsi="宋体" w:eastAsia="宋体" w:cs="宋体"/>
          <w:spacing w:val="-2"/>
          <w:sz w:val="24"/>
          <w:szCs w:val="24"/>
          <w:highlight w:val="none"/>
        </w:rPr>
        <w:t>（5）履约验收的内容</w:t>
      </w:r>
      <w:r>
        <w:rPr>
          <w:rFonts w:ascii="宋体" w:hAnsi="宋体" w:eastAsia="宋体" w:cs="宋体"/>
          <w:spacing w:val="-25"/>
          <w:sz w:val="24"/>
          <w:szCs w:val="24"/>
          <w:highlight w:val="none"/>
        </w:rPr>
        <w:t>：</w:t>
      </w:r>
      <w:r>
        <w:rPr>
          <w:rFonts w:ascii="宋体" w:hAnsi="宋体" w:eastAsia="宋体" w:cs="宋体"/>
          <w:spacing w:val="-25"/>
          <w:sz w:val="24"/>
          <w:szCs w:val="24"/>
          <w:highlight w:val="none"/>
          <w:u w:val="single" w:color="auto"/>
        </w:rPr>
        <w:t>（</w:t>
      </w:r>
      <w:r>
        <w:rPr>
          <w:rFonts w:ascii="宋体" w:hAnsi="宋体" w:eastAsia="宋体" w:cs="宋体"/>
          <w:spacing w:val="-2"/>
          <w:sz w:val="24"/>
          <w:szCs w:val="24"/>
          <w:highlight w:val="none"/>
          <w:u w:val="single" w:color="auto"/>
        </w:rPr>
        <w:t>应当包括每一项技术和商务要求的履约情况，特</w:t>
      </w:r>
      <w:r>
        <w:rPr>
          <w:rFonts w:ascii="宋体" w:hAnsi="宋体" w:eastAsia="宋体" w:cs="宋体"/>
          <w:spacing w:val="-3"/>
          <w:sz w:val="24"/>
          <w:szCs w:val="24"/>
          <w:highlight w:val="none"/>
          <w:u w:val="single" w:color="auto"/>
        </w:rPr>
        <w:t>别是落实政府采购扶持中小企业，支持绿色发展和乡村振兴等政策情况）</w:t>
      </w:r>
    </w:p>
    <w:p w14:paraId="4B52E836">
      <w:pPr>
        <w:spacing w:before="87" w:line="219" w:lineRule="auto"/>
        <w:ind w:left="531"/>
        <w:outlineLvl w:val="9"/>
        <w:rPr>
          <w:rFonts w:hint="eastAsia" w:ascii="宋体" w:hAnsi="宋体" w:eastAsia="宋体" w:cs="宋体"/>
          <w:sz w:val="24"/>
          <w:szCs w:val="24"/>
          <w:highlight w:val="none"/>
          <w:lang w:eastAsia="zh-CN"/>
        </w:rPr>
      </w:pPr>
      <w:r>
        <w:rPr>
          <w:rFonts w:ascii="宋体" w:hAnsi="宋体" w:eastAsia="宋体" w:cs="宋体"/>
          <w:spacing w:val="-3"/>
          <w:sz w:val="24"/>
          <w:szCs w:val="24"/>
          <w:highlight w:val="none"/>
        </w:rPr>
        <w:t>（6）履约验收标准：</w:t>
      </w:r>
    </w:p>
    <w:p w14:paraId="06865A00">
      <w:pPr>
        <w:spacing w:before="151" w:line="244" w:lineRule="exact"/>
        <w:ind w:left="444"/>
        <w:outlineLvl w:val="9"/>
        <w:rPr>
          <w:rFonts w:ascii="宋体" w:hAnsi="宋体" w:eastAsia="宋体" w:cs="宋体"/>
          <w:sz w:val="18"/>
          <w:szCs w:val="18"/>
          <w:highlight w:val="none"/>
        </w:rPr>
      </w:pPr>
      <w:r>
        <w:rPr>
          <w:rFonts w:ascii="宋体" w:hAnsi="宋体" w:eastAsia="宋体" w:cs="宋体"/>
          <w:spacing w:val="14"/>
          <w:position w:val="1"/>
          <w:sz w:val="18"/>
          <w:szCs w:val="18"/>
          <w:highlight w:val="none"/>
        </w:rPr>
        <w:t>（7）是否以采购活动中供应商提供的样品作为参考：</w:t>
      </w:r>
      <w:r>
        <w:rPr>
          <w:rFonts w:ascii="Wingdings" w:hAnsi="Wingdings" w:eastAsia="Wingdings" w:cs="Wingdings"/>
          <w:spacing w:val="14"/>
          <w:position w:val="1"/>
          <w:sz w:val="18"/>
          <w:szCs w:val="18"/>
          <w:highlight w:val="none"/>
        </w:rPr>
        <w:t>o</w:t>
      </w:r>
      <w:r>
        <w:rPr>
          <w:rFonts w:ascii="宋体" w:hAnsi="宋体" w:eastAsia="宋体" w:cs="宋体"/>
          <w:spacing w:val="14"/>
          <w:position w:val="1"/>
          <w:sz w:val="18"/>
          <w:szCs w:val="18"/>
          <w:highlight w:val="none"/>
        </w:rPr>
        <w:t>是</w:t>
      </w:r>
      <w:r>
        <w:rPr>
          <w:rFonts w:ascii="Wingdings" w:hAnsi="Wingdings" w:eastAsia="Wingdings" w:cs="Wingdings"/>
          <w:spacing w:val="14"/>
          <w:position w:val="1"/>
          <w:sz w:val="18"/>
          <w:szCs w:val="18"/>
          <w:highlight w:val="none"/>
        </w:rPr>
        <w:t>o</w:t>
      </w:r>
      <w:r>
        <w:rPr>
          <w:rFonts w:ascii="宋体" w:hAnsi="宋体" w:eastAsia="宋体" w:cs="宋体"/>
          <w:spacing w:val="14"/>
          <w:position w:val="1"/>
          <w:sz w:val="18"/>
          <w:szCs w:val="18"/>
          <w:highlight w:val="none"/>
        </w:rPr>
        <w:t>否</w:t>
      </w:r>
    </w:p>
    <w:p w14:paraId="619928DC">
      <w:pPr>
        <w:spacing w:before="122" w:line="219" w:lineRule="auto"/>
        <w:ind w:left="531"/>
        <w:outlineLvl w:val="9"/>
        <w:rPr>
          <w:rFonts w:hint="eastAsia" w:ascii="宋体" w:hAnsi="宋体" w:eastAsia="宋体" w:cs="宋体"/>
          <w:sz w:val="24"/>
          <w:szCs w:val="24"/>
          <w:highlight w:val="none"/>
          <w:lang w:eastAsia="zh-CN"/>
        </w:rPr>
      </w:pPr>
      <w:r>
        <w:rPr>
          <w:rFonts w:ascii="宋体" w:hAnsi="宋体" w:eastAsia="宋体" w:cs="宋体"/>
          <w:sz w:val="24"/>
          <w:szCs w:val="24"/>
          <w:highlight w:val="none"/>
        </w:rPr>
        <w:t>（8）履约验收其他事项</w:t>
      </w:r>
      <w:r>
        <w:rPr>
          <w:rFonts w:ascii="宋体" w:hAnsi="宋体" w:eastAsia="宋体" w:cs="宋体"/>
          <w:spacing w:val="-24"/>
          <w:sz w:val="24"/>
          <w:szCs w:val="24"/>
          <w:highlight w:val="none"/>
        </w:rPr>
        <w:t>：</w:t>
      </w:r>
      <w:r>
        <w:rPr>
          <w:rFonts w:ascii="宋体" w:hAnsi="宋体" w:eastAsia="宋体" w:cs="宋体"/>
          <w:spacing w:val="-24"/>
          <w:sz w:val="24"/>
          <w:szCs w:val="24"/>
          <w:highlight w:val="none"/>
          <w:u w:val="single" w:color="auto"/>
        </w:rPr>
        <w:t>（</w:t>
      </w:r>
      <w:r>
        <w:rPr>
          <w:rFonts w:ascii="宋体" w:hAnsi="宋体" w:eastAsia="宋体" w:cs="宋体"/>
          <w:sz w:val="24"/>
          <w:szCs w:val="24"/>
          <w:highlight w:val="none"/>
          <w:u w:val="single" w:color="auto"/>
        </w:rPr>
        <w:t>产权过户登记等）</w:t>
      </w:r>
    </w:p>
    <w:p w14:paraId="6F8B2943">
      <w:pPr>
        <w:spacing w:before="111" w:line="219" w:lineRule="auto"/>
        <w:ind w:left="517"/>
        <w:outlineLvl w:val="9"/>
        <w:rPr>
          <w:rFonts w:ascii="宋体" w:hAnsi="宋体" w:eastAsia="宋体" w:cs="宋体"/>
          <w:sz w:val="24"/>
          <w:szCs w:val="24"/>
          <w:highlight w:val="none"/>
        </w:rPr>
      </w:pPr>
      <w:r>
        <w:rPr>
          <w:rFonts w:ascii="宋体" w:hAnsi="宋体" w:eastAsia="宋体" w:cs="宋体"/>
          <w:b/>
          <w:bCs/>
          <w:spacing w:val="-6"/>
          <w:sz w:val="24"/>
          <w:szCs w:val="24"/>
          <w:highlight w:val="none"/>
        </w:rPr>
        <w:t>5.组成合同的文件</w:t>
      </w:r>
    </w:p>
    <w:p w14:paraId="23B01CD7">
      <w:pPr>
        <w:spacing w:before="138" w:line="298" w:lineRule="auto"/>
        <w:ind w:left="33" w:right="95" w:firstLine="475"/>
        <w:outlineLvl w:val="9"/>
        <w:rPr>
          <w:rFonts w:ascii="宋体" w:hAnsi="宋体" w:eastAsia="宋体" w:cs="宋体"/>
          <w:sz w:val="24"/>
          <w:szCs w:val="24"/>
          <w:highlight w:val="none"/>
        </w:rPr>
      </w:pPr>
      <w:r>
        <w:rPr>
          <w:rFonts w:ascii="宋体" w:hAnsi="宋体" w:eastAsia="宋体" w:cs="宋体"/>
          <w:spacing w:val="-3"/>
          <w:sz w:val="24"/>
          <w:szCs w:val="24"/>
          <w:highlight w:val="none"/>
        </w:rPr>
        <w:t>本协议书与下列文件一起构成合同文件，如下述文件之</w:t>
      </w:r>
      <w:r>
        <w:rPr>
          <w:rFonts w:ascii="宋体" w:hAnsi="宋体" w:eastAsia="宋体" w:cs="宋体"/>
          <w:spacing w:val="-4"/>
          <w:sz w:val="24"/>
          <w:szCs w:val="24"/>
          <w:highlight w:val="none"/>
        </w:rPr>
        <w:t>间有任何抵触、矛盾</w:t>
      </w:r>
      <w:r>
        <w:rPr>
          <w:rFonts w:ascii="宋体" w:hAnsi="宋体" w:eastAsia="宋体" w:cs="宋体"/>
          <w:spacing w:val="-2"/>
          <w:sz w:val="24"/>
          <w:szCs w:val="24"/>
          <w:highlight w:val="none"/>
        </w:rPr>
        <w:t>或歧义，应按以下顺序解释：</w:t>
      </w:r>
    </w:p>
    <w:p w14:paraId="75DED69C">
      <w:pPr>
        <w:spacing w:before="1" w:line="218" w:lineRule="auto"/>
        <w:ind w:left="531"/>
        <w:outlineLvl w:val="9"/>
        <w:rPr>
          <w:rFonts w:ascii="宋体" w:hAnsi="宋体" w:eastAsia="宋体" w:cs="宋体"/>
          <w:sz w:val="24"/>
          <w:szCs w:val="24"/>
          <w:highlight w:val="none"/>
        </w:rPr>
      </w:pPr>
      <w:r>
        <w:rPr>
          <w:rFonts w:ascii="宋体" w:hAnsi="宋体" w:eastAsia="宋体" w:cs="宋体"/>
          <w:spacing w:val="-2"/>
          <w:sz w:val="24"/>
          <w:szCs w:val="24"/>
          <w:highlight w:val="none"/>
        </w:rPr>
        <w:t>（1）政府采购合同协议书及其变更、补充协议</w:t>
      </w:r>
    </w:p>
    <w:p w14:paraId="39F7BAC8">
      <w:pPr>
        <w:spacing w:before="116" w:line="219" w:lineRule="auto"/>
        <w:ind w:left="531"/>
        <w:outlineLvl w:val="9"/>
        <w:rPr>
          <w:rFonts w:ascii="宋体" w:hAnsi="宋体" w:eastAsia="宋体" w:cs="宋体"/>
          <w:sz w:val="24"/>
          <w:szCs w:val="24"/>
          <w:highlight w:val="none"/>
        </w:rPr>
      </w:pPr>
      <w:r>
        <w:rPr>
          <w:rFonts w:ascii="宋体" w:hAnsi="宋体" w:eastAsia="宋体" w:cs="宋体"/>
          <w:spacing w:val="-4"/>
          <w:sz w:val="24"/>
          <w:szCs w:val="24"/>
          <w:highlight w:val="none"/>
        </w:rPr>
        <w:t>（2）政府采购合同专用条款</w:t>
      </w:r>
    </w:p>
    <w:p w14:paraId="17EDFF4D">
      <w:pPr>
        <w:spacing w:before="114" w:line="219" w:lineRule="auto"/>
        <w:ind w:left="531"/>
        <w:outlineLvl w:val="9"/>
        <w:rPr>
          <w:rFonts w:ascii="宋体" w:hAnsi="宋体" w:eastAsia="宋体" w:cs="宋体"/>
          <w:sz w:val="24"/>
          <w:szCs w:val="24"/>
          <w:highlight w:val="none"/>
        </w:rPr>
      </w:pPr>
      <w:r>
        <w:rPr>
          <w:rFonts w:ascii="宋体" w:hAnsi="宋体" w:eastAsia="宋体" w:cs="宋体"/>
          <w:spacing w:val="-4"/>
          <w:sz w:val="24"/>
          <w:szCs w:val="24"/>
          <w:highlight w:val="none"/>
        </w:rPr>
        <w:t>（3）政府采购合同通用条款</w:t>
      </w:r>
    </w:p>
    <w:p w14:paraId="3195BC9C">
      <w:pPr>
        <w:spacing w:before="113" w:line="219" w:lineRule="auto"/>
        <w:ind w:left="531"/>
        <w:outlineLvl w:val="9"/>
        <w:rPr>
          <w:rFonts w:ascii="宋体" w:hAnsi="宋体" w:eastAsia="宋体" w:cs="宋体"/>
          <w:sz w:val="24"/>
          <w:szCs w:val="24"/>
          <w:highlight w:val="none"/>
        </w:rPr>
      </w:pPr>
      <w:r>
        <w:rPr>
          <w:rFonts w:ascii="宋体" w:hAnsi="宋体" w:eastAsia="宋体" w:cs="宋体"/>
          <w:spacing w:val="-4"/>
          <w:sz w:val="24"/>
          <w:szCs w:val="24"/>
          <w:highlight w:val="none"/>
        </w:rPr>
        <w:t>（4）中标（成交）通知书</w:t>
      </w:r>
    </w:p>
    <w:p w14:paraId="23564491">
      <w:pPr>
        <w:spacing w:before="117" w:line="219" w:lineRule="auto"/>
        <w:ind w:left="531"/>
        <w:outlineLvl w:val="9"/>
        <w:rPr>
          <w:rFonts w:ascii="宋体" w:hAnsi="宋体" w:eastAsia="宋体" w:cs="宋体"/>
          <w:sz w:val="24"/>
          <w:szCs w:val="24"/>
          <w:highlight w:val="none"/>
        </w:rPr>
      </w:pPr>
      <w:r>
        <w:rPr>
          <w:rFonts w:ascii="宋体" w:hAnsi="宋体" w:eastAsia="宋体" w:cs="宋体"/>
          <w:spacing w:val="-4"/>
          <w:sz w:val="24"/>
          <w:szCs w:val="24"/>
          <w:highlight w:val="none"/>
        </w:rPr>
        <w:t>（5）投标（响应）文件</w:t>
      </w:r>
    </w:p>
    <w:p w14:paraId="55D743F9">
      <w:pPr>
        <w:spacing w:before="115" w:line="219" w:lineRule="auto"/>
        <w:ind w:left="531"/>
        <w:outlineLvl w:val="9"/>
        <w:rPr>
          <w:rFonts w:ascii="宋体" w:hAnsi="宋体" w:eastAsia="宋体" w:cs="宋体"/>
          <w:sz w:val="24"/>
          <w:szCs w:val="24"/>
          <w:highlight w:val="none"/>
        </w:rPr>
      </w:pPr>
      <w:r>
        <w:rPr>
          <w:rFonts w:ascii="宋体" w:hAnsi="宋体" w:eastAsia="宋体" w:cs="宋体"/>
          <w:spacing w:val="-6"/>
          <w:sz w:val="24"/>
          <w:szCs w:val="24"/>
          <w:highlight w:val="none"/>
        </w:rPr>
        <w:t>（6）采购文件</w:t>
      </w:r>
    </w:p>
    <w:p w14:paraId="1F614E55">
      <w:pPr>
        <w:spacing w:before="115" w:line="219" w:lineRule="auto"/>
        <w:ind w:left="531"/>
        <w:outlineLvl w:val="9"/>
        <w:rPr>
          <w:rFonts w:ascii="宋体" w:hAnsi="宋体" w:eastAsia="宋体" w:cs="宋体"/>
          <w:sz w:val="24"/>
          <w:szCs w:val="24"/>
          <w:highlight w:val="none"/>
        </w:rPr>
      </w:pPr>
      <w:r>
        <w:rPr>
          <w:rFonts w:ascii="宋体" w:hAnsi="宋体" w:eastAsia="宋体" w:cs="宋体"/>
          <w:spacing w:val="-4"/>
          <w:sz w:val="24"/>
          <w:szCs w:val="24"/>
          <w:highlight w:val="none"/>
        </w:rPr>
        <w:t>（7）有关技术文件，图纸</w:t>
      </w:r>
    </w:p>
    <w:p w14:paraId="3CD2CB70">
      <w:pPr>
        <w:spacing w:before="151" w:line="229" w:lineRule="auto"/>
        <w:ind w:left="444"/>
        <w:outlineLvl w:val="9"/>
        <w:rPr>
          <w:rFonts w:ascii="宋体" w:hAnsi="宋体" w:eastAsia="宋体" w:cs="宋体"/>
          <w:sz w:val="18"/>
          <w:szCs w:val="18"/>
          <w:highlight w:val="none"/>
        </w:rPr>
      </w:pPr>
      <w:r>
        <w:rPr>
          <w:rFonts w:ascii="宋体" w:hAnsi="宋体" w:eastAsia="宋体" w:cs="宋体"/>
          <w:spacing w:val="17"/>
          <w:sz w:val="18"/>
          <w:szCs w:val="18"/>
          <w:highlight w:val="none"/>
        </w:rPr>
        <w:t>（8）国家法律、行政法规和规章制度规定或合同约定的作</w:t>
      </w:r>
      <w:r>
        <w:rPr>
          <w:rFonts w:ascii="宋体" w:hAnsi="宋体" w:eastAsia="宋体" w:cs="宋体"/>
          <w:spacing w:val="16"/>
          <w:sz w:val="18"/>
          <w:szCs w:val="18"/>
          <w:highlight w:val="none"/>
        </w:rPr>
        <w:t>为合同组成部分的其他文件</w:t>
      </w:r>
    </w:p>
    <w:p w14:paraId="28499952">
      <w:pPr>
        <w:spacing w:before="142" w:line="220" w:lineRule="auto"/>
        <w:ind w:left="512"/>
        <w:outlineLvl w:val="9"/>
        <w:rPr>
          <w:rFonts w:ascii="宋体" w:hAnsi="宋体" w:eastAsia="宋体" w:cs="宋体"/>
          <w:sz w:val="24"/>
          <w:szCs w:val="24"/>
          <w:highlight w:val="none"/>
        </w:rPr>
      </w:pPr>
      <w:r>
        <w:rPr>
          <w:rFonts w:ascii="宋体" w:hAnsi="宋体" w:eastAsia="宋体" w:cs="宋体"/>
          <w:b/>
          <w:bCs/>
          <w:spacing w:val="-9"/>
          <w:sz w:val="24"/>
          <w:szCs w:val="24"/>
          <w:highlight w:val="none"/>
        </w:rPr>
        <w:t>6.合同生效</w:t>
      </w:r>
    </w:p>
    <w:p w14:paraId="683A439D">
      <w:pPr>
        <w:spacing w:before="107" w:line="219" w:lineRule="auto"/>
        <w:ind w:left="511"/>
        <w:outlineLvl w:val="9"/>
        <w:rPr>
          <w:rFonts w:ascii="宋体" w:hAnsi="宋体" w:eastAsia="宋体" w:cs="宋体"/>
          <w:sz w:val="24"/>
          <w:szCs w:val="24"/>
          <w:highlight w:val="none"/>
        </w:rPr>
      </w:pPr>
      <w:r>
        <w:rPr>
          <w:rFonts w:ascii="宋体" w:hAnsi="宋体" w:eastAsia="宋体" w:cs="宋体"/>
          <w:spacing w:val="-2"/>
          <w:sz w:val="24"/>
          <w:szCs w:val="24"/>
          <w:highlight w:val="none"/>
        </w:rPr>
        <w:t>本合同自生效。</w:t>
      </w:r>
    </w:p>
    <w:p w14:paraId="510942BC">
      <w:pPr>
        <w:spacing w:before="117" w:line="219" w:lineRule="auto"/>
        <w:ind w:left="521"/>
        <w:outlineLvl w:val="9"/>
        <w:rPr>
          <w:rFonts w:ascii="宋体" w:hAnsi="宋体" w:eastAsia="宋体" w:cs="宋体"/>
          <w:sz w:val="24"/>
          <w:szCs w:val="24"/>
          <w:highlight w:val="none"/>
        </w:rPr>
      </w:pPr>
      <w:r>
        <w:rPr>
          <w:rFonts w:ascii="宋体" w:hAnsi="宋体" w:eastAsia="宋体" w:cs="宋体"/>
          <w:b/>
          <w:bCs/>
          <w:spacing w:val="-9"/>
          <w:sz w:val="24"/>
          <w:szCs w:val="24"/>
          <w:highlight w:val="none"/>
        </w:rPr>
        <w:t>7.合同份数</w:t>
      </w:r>
    </w:p>
    <w:p w14:paraId="4C2AE50C">
      <w:pPr>
        <w:spacing w:before="138" w:line="299" w:lineRule="auto"/>
        <w:ind w:left="511" w:right="87"/>
        <w:outlineLvl w:val="9"/>
        <w:rPr>
          <w:rFonts w:ascii="宋体" w:hAnsi="宋体" w:eastAsia="宋体" w:cs="宋体"/>
          <w:sz w:val="24"/>
          <w:szCs w:val="24"/>
          <w:highlight w:val="none"/>
        </w:rPr>
      </w:pPr>
      <w:r>
        <w:rPr>
          <w:rFonts w:ascii="宋体" w:hAnsi="宋体" w:eastAsia="宋体" w:cs="宋体"/>
          <w:spacing w:val="-5"/>
          <w:sz w:val="24"/>
          <w:szCs w:val="24"/>
          <w:highlight w:val="none"/>
        </w:rPr>
        <w:t>本合同一式份，甲方执份，乙方执份，均具有同等法律效力。</w:t>
      </w:r>
      <w:r>
        <w:rPr>
          <w:rFonts w:ascii="宋体" w:hAnsi="宋体" w:eastAsia="宋体" w:cs="宋体"/>
          <w:spacing w:val="-3"/>
          <w:sz w:val="24"/>
          <w:szCs w:val="24"/>
          <w:highlight w:val="none"/>
        </w:rPr>
        <w:t>合同订立时间：年月日</w:t>
      </w:r>
    </w:p>
    <w:p w14:paraId="393A44F2">
      <w:pPr>
        <w:spacing w:before="1" w:line="221" w:lineRule="auto"/>
        <w:ind w:left="511"/>
        <w:outlineLvl w:val="9"/>
        <w:rPr>
          <w:rFonts w:hint="eastAsia" w:ascii="宋体" w:hAnsi="宋体" w:eastAsia="宋体" w:cs="宋体"/>
          <w:sz w:val="24"/>
          <w:szCs w:val="24"/>
          <w:highlight w:val="none"/>
          <w:lang w:eastAsia="zh-CN"/>
        </w:rPr>
      </w:pPr>
      <w:r>
        <w:rPr>
          <w:rFonts w:ascii="宋体" w:hAnsi="宋体" w:eastAsia="宋体" w:cs="宋体"/>
          <w:spacing w:val="-4"/>
          <w:sz w:val="24"/>
          <w:szCs w:val="24"/>
          <w:highlight w:val="none"/>
        </w:rPr>
        <w:t>合同订立地点：</w:t>
      </w:r>
    </w:p>
    <w:p w14:paraId="06342D69">
      <w:pPr>
        <w:spacing w:before="109" w:line="219" w:lineRule="auto"/>
        <w:ind w:left="546"/>
        <w:outlineLvl w:val="9"/>
        <w:rPr>
          <w:rFonts w:ascii="宋体" w:hAnsi="宋体" w:eastAsia="宋体" w:cs="宋体"/>
          <w:sz w:val="24"/>
          <w:szCs w:val="24"/>
          <w:highlight w:val="none"/>
        </w:rPr>
      </w:pPr>
      <w:r>
        <w:rPr>
          <w:rFonts w:ascii="宋体" w:hAnsi="宋体" w:eastAsia="宋体" w:cs="宋体"/>
          <w:spacing w:val="-2"/>
          <w:sz w:val="24"/>
          <w:szCs w:val="24"/>
          <w:highlight w:val="none"/>
        </w:rPr>
        <w:t>附件：具体标的及其技术要求和商务要求、联合协议、分包意向协议等。</w:t>
      </w:r>
    </w:p>
    <w:p w14:paraId="77B17195">
      <w:pPr>
        <w:spacing w:line="219" w:lineRule="auto"/>
        <w:outlineLvl w:val="9"/>
        <w:rPr>
          <w:rFonts w:ascii="宋体" w:hAnsi="宋体" w:eastAsia="宋体" w:cs="宋体"/>
          <w:sz w:val="24"/>
          <w:szCs w:val="24"/>
          <w:highlight w:val="none"/>
        </w:rPr>
        <w:sectPr>
          <w:headerReference r:id="rId55" w:type="default"/>
          <w:footerReference r:id="rId56" w:type="default"/>
          <w:pgSz w:w="11906" w:h="16840"/>
          <w:pgMar w:top="1091" w:right="1701" w:bottom="1156" w:left="1785" w:header="1077" w:footer="910" w:gutter="0"/>
          <w:pgNumType w:fmt="decimal"/>
          <w:cols w:space="720" w:num="1"/>
        </w:sectPr>
      </w:pPr>
    </w:p>
    <w:p w14:paraId="3B45D831">
      <w:pPr>
        <w:pStyle w:val="2"/>
        <w:spacing w:line="319" w:lineRule="auto"/>
        <w:outlineLvl w:val="9"/>
        <w:rPr>
          <w:highlight w:val="none"/>
        </w:rPr>
      </w:pPr>
    </w:p>
    <w:p w14:paraId="5F4C110C">
      <w:pPr>
        <w:spacing w:before="78" w:line="222" w:lineRule="auto"/>
        <w:ind w:left="2682"/>
        <w:outlineLvl w:val="9"/>
        <w:rPr>
          <w:rFonts w:ascii="黑体" w:hAnsi="黑体" w:eastAsia="黑体" w:cs="黑体"/>
          <w:sz w:val="24"/>
          <w:szCs w:val="24"/>
          <w:highlight w:val="none"/>
        </w:rPr>
      </w:pPr>
      <w:r>
        <w:rPr>
          <w:rFonts w:ascii="黑体" w:hAnsi="黑体" w:eastAsia="黑体" w:cs="黑体"/>
          <w:spacing w:val="-2"/>
          <w:sz w:val="24"/>
          <w:szCs w:val="24"/>
          <w:highlight w:val="none"/>
        </w:rPr>
        <w:t>第二节政府采购合同通用条款</w:t>
      </w:r>
    </w:p>
    <w:p w14:paraId="2517AE6A">
      <w:pPr>
        <w:spacing w:before="114" w:line="221" w:lineRule="auto"/>
        <w:ind w:left="60"/>
        <w:outlineLvl w:val="9"/>
        <w:rPr>
          <w:rFonts w:ascii="宋体" w:hAnsi="宋体" w:eastAsia="宋体" w:cs="宋体"/>
          <w:sz w:val="22"/>
          <w:szCs w:val="22"/>
          <w:highlight w:val="none"/>
        </w:rPr>
      </w:pPr>
      <w:r>
        <w:rPr>
          <w:rFonts w:ascii="宋体" w:hAnsi="宋体" w:eastAsia="宋体" w:cs="宋体"/>
          <w:b/>
          <w:bCs/>
          <w:spacing w:val="-14"/>
          <w:sz w:val="22"/>
          <w:szCs w:val="22"/>
          <w:highlight w:val="none"/>
        </w:rPr>
        <w:t>1.定义</w:t>
      </w:r>
    </w:p>
    <w:p w14:paraId="132E285B">
      <w:pPr>
        <w:spacing w:before="121" w:line="220" w:lineRule="auto"/>
        <w:ind w:left="545"/>
        <w:outlineLvl w:val="9"/>
        <w:rPr>
          <w:rFonts w:ascii="宋体" w:hAnsi="宋体" w:eastAsia="宋体" w:cs="宋体"/>
          <w:sz w:val="24"/>
          <w:szCs w:val="24"/>
          <w:highlight w:val="none"/>
        </w:rPr>
      </w:pPr>
      <w:r>
        <w:rPr>
          <w:rFonts w:ascii="宋体" w:hAnsi="宋体" w:eastAsia="宋体" w:cs="宋体"/>
          <w:spacing w:val="-7"/>
          <w:sz w:val="24"/>
          <w:szCs w:val="24"/>
          <w:highlight w:val="none"/>
        </w:rPr>
        <w:t>1.1合同当事人</w:t>
      </w:r>
    </w:p>
    <w:p w14:paraId="5054C66A">
      <w:pPr>
        <w:spacing w:before="133" w:line="264" w:lineRule="auto"/>
        <w:ind w:left="28" w:right="92" w:firstLine="503"/>
        <w:outlineLvl w:val="9"/>
        <w:rPr>
          <w:rFonts w:ascii="宋体" w:hAnsi="宋体" w:eastAsia="宋体" w:cs="宋体"/>
          <w:sz w:val="24"/>
          <w:szCs w:val="24"/>
          <w:highlight w:val="none"/>
        </w:rPr>
      </w:pPr>
      <w:r>
        <w:rPr>
          <w:rFonts w:ascii="宋体" w:hAnsi="宋体" w:eastAsia="宋体" w:cs="宋体"/>
          <w:spacing w:val="-2"/>
          <w:sz w:val="24"/>
          <w:szCs w:val="24"/>
          <w:highlight w:val="none"/>
        </w:rPr>
        <w:t>（1）采购人（以下称甲方）是指使用财政性资金，通过政府采购方式向供</w:t>
      </w:r>
      <w:r>
        <w:rPr>
          <w:rFonts w:ascii="宋体" w:hAnsi="宋体" w:eastAsia="宋体" w:cs="宋体"/>
          <w:spacing w:val="-1"/>
          <w:sz w:val="24"/>
          <w:szCs w:val="24"/>
          <w:highlight w:val="none"/>
        </w:rPr>
        <w:t>应商购买货物及其相关服务的国家机关、事</w:t>
      </w:r>
      <w:r>
        <w:rPr>
          <w:rFonts w:ascii="宋体" w:hAnsi="宋体" w:eastAsia="宋体" w:cs="宋体"/>
          <w:spacing w:val="-2"/>
          <w:sz w:val="24"/>
          <w:szCs w:val="24"/>
          <w:highlight w:val="none"/>
        </w:rPr>
        <w:t>业单位、团体组织。</w:t>
      </w:r>
    </w:p>
    <w:p w14:paraId="5248CB0D">
      <w:pPr>
        <w:spacing w:before="110" w:line="264" w:lineRule="auto"/>
        <w:ind w:left="27" w:right="77" w:firstLine="504"/>
        <w:outlineLvl w:val="9"/>
        <w:rPr>
          <w:rFonts w:ascii="宋体" w:hAnsi="宋体" w:eastAsia="宋体" w:cs="宋体"/>
          <w:sz w:val="24"/>
          <w:szCs w:val="24"/>
          <w:highlight w:val="none"/>
        </w:rPr>
      </w:pPr>
      <w:r>
        <w:rPr>
          <w:rFonts w:ascii="宋体" w:hAnsi="宋体" w:eastAsia="宋体" w:cs="宋体"/>
          <w:spacing w:val="-4"/>
          <w:sz w:val="24"/>
          <w:szCs w:val="24"/>
          <w:highlight w:val="none"/>
        </w:rPr>
        <w:t>（2）供应商（以下称乙方）是指参加政府采购活动并且中标（成交</w:t>
      </w:r>
      <w:r>
        <w:rPr>
          <w:rFonts w:ascii="宋体" w:hAnsi="宋体" w:eastAsia="宋体" w:cs="宋体"/>
          <w:spacing w:val="-11"/>
          <w:sz w:val="24"/>
          <w:szCs w:val="24"/>
          <w:highlight w:val="none"/>
        </w:rPr>
        <w:t>），</w:t>
      </w:r>
      <w:r>
        <w:rPr>
          <w:rFonts w:ascii="宋体" w:hAnsi="宋体" w:eastAsia="宋体" w:cs="宋体"/>
          <w:spacing w:val="-4"/>
          <w:sz w:val="24"/>
          <w:szCs w:val="24"/>
          <w:highlight w:val="none"/>
        </w:rPr>
        <w:t>向</w:t>
      </w:r>
      <w:r>
        <w:rPr>
          <w:rFonts w:ascii="宋体" w:hAnsi="宋体" w:eastAsia="宋体" w:cs="宋体"/>
          <w:spacing w:val="-1"/>
          <w:sz w:val="24"/>
          <w:szCs w:val="24"/>
          <w:highlight w:val="none"/>
        </w:rPr>
        <w:t>采购人提供合同约定的货物及其相关服务的法人、非法人组织或者自然人。</w:t>
      </w:r>
    </w:p>
    <w:p w14:paraId="32A99334">
      <w:pPr>
        <w:spacing w:before="113" w:line="264" w:lineRule="auto"/>
        <w:ind w:left="31" w:right="43" w:firstLine="500"/>
        <w:outlineLvl w:val="9"/>
        <w:rPr>
          <w:rFonts w:ascii="宋体" w:hAnsi="宋体" w:eastAsia="宋体" w:cs="宋体"/>
          <w:sz w:val="24"/>
          <w:szCs w:val="24"/>
          <w:highlight w:val="none"/>
        </w:rPr>
      </w:pPr>
      <w:r>
        <w:rPr>
          <w:rFonts w:ascii="宋体" w:hAnsi="宋体" w:eastAsia="宋体" w:cs="宋体"/>
          <w:spacing w:val="-7"/>
          <w:sz w:val="24"/>
          <w:szCs w:val="24"/>
          <w:highlight w:val="none"/>
        </w:rPr>
        <w:t>（3）其他合同主体是指除采购人和供应商以外，依法参</w:t>
      </w:r>
      <w:r>
        <w:rPr>
          <w:rFonts w:ascii="宋体" w:hAnsi="宋体" w:eastAsia="宋体" w:cs="宋体"/>
          <w:spacing w:val="-8"/>
          <w:sz w:val="24"/>
          <w:szCs w:val="24"/>
          <w:highlight w:val="none"/>
        </w:rPr>
        <w:t>与合同缔结或履行，</w:t>
      </w:r>
      <w:r>
        <w:rPr>
          <w:rFonts w:ascii="宋体" w:hAnsi="宋体" w:eastAsia="宋体" w:cs="宋体"/>
          <w:spacing w:val="-2"/>
          <w:sz w:val="24"/>
          <w:szCs w:val="24"/>
          <w:highlight w:val="none"/>
        </w:rPr>
        <w:t>享有权利、承担义务的合同当事人。</w:t>
      </w:r>
    </w:p>
    <w:p w14:paraId="183A5FF5">
      <w:pPr>
        <w:spacing w:before="86" w:line="219" w:lineRule="auto"/>
        <w:ind w:left="545"/>
        <w:outlineLvl w:val="9"/>
        <w:rPr>
          <w:rFonts w:ascii="宋体" w:hAnsi="宋体" w:eastAsia="宋体" w:cs="宋体"/>
          <w:sz w:val="24"/>
          <w:szCs w:val="24"/>
          <w:highlight w:val="none"/>
        </w:rPr>
      </w:pPr>
      <w:r>
        <w:rPr>
          <w:rFonts w:ascii="宋体" w:hAnsi="宋体" w:eastAsia="宋体" w:cs="宋体"/>
          <w:spacing w:val="-5"/>
          <w:sz w:val="24"/>
          <w:szCs w:val="24"/>
          <w:highlight w:val="none"/>
        </w:rPr>
        <w:t>1.2本合同下列术语应解释为：</w:t>
      </w:r>
    </w:p>
    <w:p w14:paraId="2C98B4B7">
      <w:pPr>
        <w:spacing w:before="137" w:line="290" w:lineRule="auto"/>
        <w:ind w:left="27" w:right="54" w:firstLine="504"/>
        <w:outlineLvl w:val="9"/>
        <w:rPr>
          <w:rFonts w:ascii="宋体" w:hAnsi="宋体" w:eastAsia="宋体" w:cs="宋体"/>
          <w:sz w:val="24"/>
          <w:szCs w:val="24"/>
          <w:highlight w:val="none"/>
        </w:rPr>
      </w:pPr>
      <w:r>
        <w:rPr>
          <w:rFonts w:ascii="宋体" w:hAnsi="宋体" w:eastAsia="宋体" w:cs="宋体"/>
          <w:spacing w:val="-4"/>
          <w:sz w:val="24"/>
          <w:szCs w:val="24"/>
          <w:highlight w:val="none"/>
        </w:rPr>
        <w:t>（1）“合同”系指合同当事人意思表示达成一致的任何协议，包括签署的</w:t>
      </w:r>
      <w:r>
        <w:rPr>
          <w:rFonts w:ascii="宋体" w:hAnsi="宋体" w:eastAsia="宋体" w:cs="宋体"/>
          <w:spacing w:val="-3"/>
          <w:sz w:val="24"/>
          <w:szCs w:val="24"/>
          <w:highlight w:val="none"/>
        </w:rPr>
        <w:t>政府采购合同协议书及其变更、补充协议，政府采购合同专用</w:t>
      </w:r>
      <w:r>
        <w:rPr>
          <w:rFonts w:ascii="宋体" w:hAnsi="宋体" w:eastAsia="宋体" w:cs="宋体"/>
          <w:spacing w:val="-4"/>
          <w:sz w:val="24"/>
          <w:szCs w:val="24"/>
          <w:highlight w:val="none"/>
        </w:rPr>
        <w:t>条款，政府采购合</w:t>
      </w:r>
      <w:r>
        <w:rPr>
          <w:rFonts w:ascii="宋体" w:hAnsi="宋体" w:eastAsia="宋体" w:cs="宋体"/>
          <w:spacing w:val="-3"/>
          <w:sz w:val="24"/>
          <w:szCs w:val="24"/>
          <w:highlight w:val="none"/>
        </w:rPr>
        <w:t>同通用条款，中标（成交）通知书，投标（响应）文件，采购</w:t>
      </w:r>
      <w:r>
        <w:rPr>
          <w:rFonts w:ascii="宋体" w:hAnsi="宋体" w:eastAsia="宋体" w:cs="宋体"/>
          <w:spacing w:val="-4"/>
          <w:sz w:val="24"/>
          <w:szCs w:val="24"/>
          <w:highlight w:val="none"/>
        </w:rPr>
        <w:t>文件，有关技术文</w:t>
      </w:r>
      <w:r>
        <w:rPr>
          <w:rFonts w:ascii="宋体" w:hAnsi="宋体" w:eastAsia="宋体" w:cs="宋体"/>
          <w:spacing w:val="16"/>
          <w:sz w:val="24"/>
          <w:szCs w:val="24"/>
          <w:highlight w:val="none"/>
        </w:rPr>
        <w:t>件和图纸，以及</w:t>
      </w:r>
      <w:r>
        <w:rPr>
          <w:rFonts w:ascii="宋体" w:hAnsi="宋体" w:eastAsia="宋体" w:cs="宋体"/>
          <w:spacing w:val="16"/>
          <w:sz w:val="18"/>
          <w:szCs w:val="18"/>
          <w:highlight w:val="none"/>
        </w:rPr>
        <w:t>国家法律、行政法规和规章制度规定或合同约定的作为</w:t>
      </w:r>
      <w:r>
        <w:rPr>
          <w:rFonts w:ascii="宋体" w:hAnsi="宋体" w:eastAsia="宋体" w:cs="宋体"/>
          <w:spacing w:val="15"/>
          <w:sz w:val="18"/>
          <w:szCs w:val="18"/>
          <w:highlight w:val="none"/>
        </w:rPr>
        <w:t>合同组成部分的其他</w:t>
      </w:r>
      <w:r>
        <w:rPr>
          <w:rFonts w:ascii="宋体" w:hAnsi="宋体" w:eastAsia="宋体" w:cs="宋体"/>
          <w:spacing w:val="4"/>
          <w:sz w:val="18"/>
          <w:szCs w:val="18"/>
          <w:highlight w:val="none"/>
        </w:rPr>
        <w:t>文件</w:t>
      </w:r>
      <w:r>
        <w:rPr>
          <w:rFonts w:ascii="宋体" w:hAnsi="宋体" w:eastAsia="宋体" w:cs="宋体"/>
          <w:spacing w:val="4"/>
          <w:sz w:val="24"/>
          <w:szCs w:val="24"/>
          <w:highlight w:val="none"/>
        </w:rPr>
        <w:t>。</w:t>
      </w:r>
    </w:p>
    <w:p w14:paraId="4AF0BD70">
      <w:pPr>
        <w:spacing w:before="111" w:line="264" w:lineRule="auto"/>
        <w:ind w:left="31" w:right="77" w:firstLine="500"/>
        <w:outlineLvl w:val="9"/>
        <w:rPr>
          <w:rFonts w:ascii="宋体" w:hAnsi="宋体" w:eastAsia="宋体" w:cs="宋体"/>
          <w:sz w:val="24"/>
          <w:szCs w:val="24"/>
          <w:highlight w:val="none"/>
        </w:rPr>
      </w:pPr>
      <w:r>
        <w:rPr>
          <w:rFonts w:ascii="宋体" w:hAnsi="宋体" w:eastAsia="宋体" w:cs="宋体"/>
          <w:spacing w:val="-4"/>
          <w:sz w:val="24"/>
          <w:szCs w:val="24"/>
          <w:highlight w:val="none"/>
        </w:rPr>
        <w:t>（2）“合同价款”系指根据本合同规定乙方在全面履行合同义务后甲方应</w:t>
      </w:r>
      <w:r>
        <w:rPr>
          <w:rFonts w:ascii="宋体" w:hAnsi="宋体" w:eastAsia="宋体" w:cs="宋体"/>
          <w:spacing w:val="-3"/>
          <w:sz w:val="24"/>
          <w:szCs w:val="24"/>
          <w:highlight w:val="none"/>
        </w:rPr>
        <w:t>支付给乙方的价款。</w:t>
      </w:r>
    </w:p>
    <w:p w14:paraId="4723A367">
      <w:pPr>
        <w:spacing w:before="112" w:line="279" w:lineRule="auto"/>
        <w:ind w:left="27" w:right="54" w:firstLine="504"/>
        <w:outlineLvl w:val="9"/>
        <w:rPr>
          <w:rFonts w:ascii="宋体" w:hAnsi="宋体" w:eastAsia="宋体" w:cs="宋体"/>
          <w:sz w:val="24"/>
          <w:szCs w:val="24"/>
          <w:highlight w:val="none"/>
        </w:rPr>
      </w:pPr>
      <w:r>
        <w:rPr>
          <w:rFonts w:ascii="宋体" w:hAnsi="宋体" w:eastAsia="宋体" w:cs="宋体"/>
          <w:spacing w:val="-4"/>
          <w:sz w:val="24"/>
          <w:szCs w:val="24"/>
          <w:highlight w:val="none"/>
        </w:rPr>
        <w:t>（3）“货物”系指乙方根据本合同规定须向甲方提供的各种形态和种类的</w:t>
      </w:r>
      <w:r>
        <w:rPr>
          <w:rFonts w:ascii="宋体" w:hAnsi="宋体" w:eastAsia="宋体" w:cs="宋体"/>
          <w:spacing w:val="-3"/>
          <w:sz w:val="24"/>
          <w:szCs w:val="24"/>
          <w:highlight w:val="none"/>
        </w:rPr>
        <w:t>物品，包括原材料、设备、产品（包括软件）及相关的其备品</w:t>
      </w:r>
      <w:r>
        <w:rPr>
          <w:rFonts w:ascii="宋体" w:hAnsi="宋体" w:eastAsia="宋体" w:cs="宋体"/>
          <w:spacing w:val="-4"/>
          <w:sz w:val="24"/>
          <w:szCs w:val="24"/>
          <w:highlight w:val="none"/>
        </w:rPr>
        <w:t>备件、工具、手册</w:t>
      </w:r>
      <w:r>
        <w:rPr>
          <w:rFonts w:ascii="宋体" w:hAnsi="宋体" w:eastAsia="宋体" w:cs="宋体"/>
          <w:spacing w:val="-2"/>
          <w:sz w:val="24"/>
          <w:szCs w:val="24"/>
          <w:highlight w:val="none"/>
        </w:rPr>
        <w:t>及其他技术资料和材料等。</w:t>
      </w:r>
    </w:p>
    <w:p w14:paraId="3AB3EC1F">
      <w:pPr>
        <w:spacing w:before="109" w:line="286" w:lineRule="auto"/>
        <w:ind w:left="31" w:right="51" w:firstLine="500"/>
        <w:outlineLvl w:val="9"/>
        <w:rPr>
          <w:rFonts w:ascii="宋体" w:hAnsi="宋体" w:eastAsia="宋体" w:cs="宋体"/>
          <w:sz w:val="24"/>
          <w:szCs w:val="24"/>
          <w:highlight w:val="none"/>
        </w:rPr>
      </w:pPr>
      <w:r>
        <w:rPr>
          <w:rFonts w:ascii="宋体" w:hAnsi="宋体" w:eastAsia="宋体" w:cs="宋体"/>
          <w:spacing w:val="-3"/>
          <w:sz w:val="24"/>
          <w:szCs w:val="24"/>
          <w:highlight w:val="none"/>
        </w:rPr>
        <w:t>（4）“相关服务”系指根据合同规定，乙方应提供的与货物有关的技术、管理和其他服务，包括但不限于：管理和质量保证、运输</w:t>
      </w:r>
      <w:r>
        <w:rPr>
          <w:rFonts w:ascii="宋体" w:hAnsi="宋体" w:eastAsia="宋体" w:cs="宋体"/>
          <w:spacing w:val="-4"/>
          <w:sz w:val="24"/>
          <w:szCs w:val="24"/>
          <w:highlight w:val="none"/>
        </w:rPr>
        <w:t>、保险、检验、现场准</w:t>
      </w:r>
      <w:r>
        <w:rPr>
          <w:rFonts w:ascii="宋体" w:hAnsi="宋体" w:eastAsia="宋体" w:cs="宋体"/>
          <w:spacing w:val="-3"/>
          <w:sz w:val="24"/>
          <w:szCs w:val="24"/>
          <w:highlight w:val="none"/>
        </w:rPr>
        <w:t>备、安装、集成、调试、培训、维修、废弃处置、技术支</w:t>
      </w:r>
      <w:r>
        <w:rPr>
          <w:rFonts w:ascii="宋体" w:hAnsi="宋体" w:eastAsia="宋体" w:cs="宋体"/>
          <w:spacing w:val="-4"/>
          <w:sz w:val="24"/>
          <w:szCs w:val="24"/>
          <w:highlight w:val="none"/>
        </w:rPr>
        <w:t>持等以及合同中规定乙</w:t>
      </w:r>
      <w:r>
        <w:rPr>
          <w:rFonts w:ascii="宋体" w:hAnsi="宋体" w:eastAsia="宋体" w:cs="宋体"/>
          <w:spacing w:val="-3"/>
          <w:sz w:val="24"/>
          <w:szCs w:val="24"/>
          <w:highlight w:val="none"/>
        </w:rPr>
        <w:t>方应承担的其他义务。</w:t>
      </w:r>
    </w:p>
    <w:p w14:paraId="1E0D4016">
      <w:pPr>
        <w:spacing w:before="112" w:line="278" w:lineRule="auto"/>
        <w:ind w:left="28" w:right="54" w:firstLine="503"/>
        <w:outlineLvl w:val="9"/>
        <w:rPr>
          <w:rFonts w:ascii="宋体" w:hAnsi="宋体" w:eastAsia="宋体" w:cs="宋体"/>
          <w:sz w:val="24"/>
          <w:szCs w:val="24"/>
          <w:highlight w:val="none"/>
        </w:rPr>
      </w:pPr>
      <w:r>
        <w:rPr>
          <w:rFonts w:ascii="宋体" w:hAnsi="宋体" w:eastAsia="宋体" w:cs="宋体"/>
          <w:spacing w:val="-4"/>
          <w:sz w:val="24"/>
          <w:szCs w:val="24"/>
          <w:highlight w:val="none"/>
        </w:rPr>
        <w:t>（5）“分包”系指中标（成交）供应商按采购文件、投标（响应）文件的</w:t>
      </w:r>
      <w:r>
        <w:rPr>
          <w:rFonts w:ascii="宋体" w:hAnsi="宋体" w:eastAsia="宋体" w:cs="宋体"/>
          <w:spacing w:val="-3"/>
          <w:sz w:val="24"/>
          <w:szCs w:val="24"/>
          <w:highlight w:val="none"/>
        </w:rPr>
        <w:t>规定，根据分包意向协议，将中标（成交）项目中的部分履</w:t>
      </w:r>
      <w:r>
        <w:rPr>
          <w:rFonts w:ascii="宋体" w:hAnsi="宋体" w:eastAsia="宋体" w:cs="宋体"/>
          <w:spacing w:val="-4"/>
          <w:sz w:val="24"/>
          <w:szCs w:val="24"/>
          <w:highlight w:val="none"/>
        </w:rPr>
        <w:t>约内容，分给具有相</w:t>
      </w:r>
      <w:r>
        <w:rPr>
          <w:rFonts w:ascii="宋体" w:hAnsi="宋体" w:eastAsia="宋体" w:cs="宋体"/>
          <w:spacing w:val="-2"/>
          <w:sz w:val="24"/>
          <w:szCs w:val="24"/>
          <w:highlight w:val="none"/>
        </w:rPr>
        <w:t>应资质条件的供应商履行合同的行为。</w:t>
      </w:r>
    </w:p>
    <w:p w14:paraId="30AF725A">
      <w:pPr>
        <w:spacing w:before="111" w:line="290" w:lineRule="auto"/>
        <w:ind w:left="27" w:firstLine="504"/>
        <w:outlineLvl w:val="9"/>
        <w:rPr>
          <w:rFonts w:ascii="宋体" w:hAnsi="宋体" w:eastAsia="宋体" w:cs="宋体"/>
          <w:sz w:val="24"/>
          <w:szCs w:val="24"/>
          <w:highlight w:val="none"/>
        </w:rPr>
      </w:pPr>
      <w:r>
        <w:rPr>
          <w:rFonts w:ascii="宋体" w:hAnsi="宋体" w:eastAsia="宋体" w:cs="宋体"/>
          <w:spacing w:val="-4"/>
          <w:sz w:val="24"/>
          <w:szCs w:val="24"/>
          <w:highlight w:val="none"/>
        </w:rPr>
        <w:t>（6）“联合体”系指由两个以上的自然人、法人或者非法人组织组成，以</w:t>
      </w:r>
      <w:r>
        <w:rPr>
          <w:rFonts w:ascii="宋体" w:hAnsi="宋体" w:eastAsia="宋体" w:cs="宋体"/>
          <w:spacing w:val="-3"/>
          <w:sz w:val="24"/>
          <w:szCs w:val="24"/>
          <w:highlight w:val="none"/>
        </w:rPr>
        <w:t>一个供应商的身份共同参加政府采购的主体。联合体各方应在</w:t>
      </w:r>
      <w:r>
        <w:rPr>
          <w:rFonts w:ascii="宋体" w:hAnsi="宋体" w:eastAsia="宋体" w:cs="宋体"/>
          <w:spacing w:val="-4"/>
          <w:sz w:val="24"/>
          <w:szCs w:val="24"/>
          <w:highlight w:val="none"/>
        </w:rPr>
        <w:t>签订合同协议书前</w:t>
      </w:r>
      <w:r>
        <w:rPr>
          <w:rFonts w:ascii="宋体" w:hAnsi="宋体" w:eastAsia="宋体" w:cs="宋体"/>
          <w:spacing w:val="-3"/>
          <w:sz w:val="24"/>
          <w:szCs w:val="24"/>
          <w:highlight w:val="none"/>
        </w:rPr>
        <w:t>向甲方提交联合协议，且明确牵头人及各成员单位的工作分工</w:t>
      </w:r>
      <w:r>
        <w:rPr>
          <w:rFonts w:ascii="宋体" w:hAnsi="宋体" w:eastAsia="宋体" w:cs="宋体"/>
          <w:spacing w:val="-4"/>
          <w:sz w:val="24"/>
          <w:szCs w:val="24"/>
          <w:highlight w:val="none"/>
        </w:rPr>
        <w:t>、权利、义务、责</w:t>
      </w:r>
      <w:r>
        <w:rPr>
          <w:rFonts w:ascii="宋体" w:hAnsi="宋体" w:eastAsia="宋体" w:cs="宋体"/>
          <w:spacing w:val="-8"/>
          <w:sz w:val="24"/>
          <w:szCs w:val="24"/>
          <w:highlight w:val="none"/>
        </w:rPr>
        <w:t>任，联合体各方应共同与甲方签订合同，就合同约定的事</w:t>
      </w:r>
      <w:r>
        <w:rPr>
          <w:rFonts w:ascii="宋体" w:hAnsi="宋体" w:eastAsia="宋体" w:cs="宋体"/>
          <w:spacing w:val="-9"/>
          <w:sz w:val="24"/>
          <w:szCs w:val="24"/>
          <w:highlight w:val="none"/>
        </w:rPr>
        <w:t>项对甲方承担连带责任。</w:t>
      </w:r>
      <w:r>
        <w:rPr>
          <w:rFonts w:ascii="宋体" w:hAnsi="宋体" w:eastAsia="宋体" w:cs="宋体"/>
          <w:spacing w:val="-3"/>
          <w:sz w:val="24"/>
          <w:szCs w:val="24"/>
          <w:highlight w:val="none"/>
        </w:rPr>
        <w:t>联合体具体要求见【</w:t>
      </w:r>
      <w:r>
        <w:rPr>
          <w:rFonts w:ascii="宋体" w:hAnsi="宋体" w:eastAsia="宋体" w:cs="宋体"/>
          <w:b/>
          <w:bCs/>
          <w:spacing w:val="-3"/>
          <w:sz w:val="24"/>
          <w:szCs w:val="24"/>
          <w:highlight w:val="none"/>
        </w:rPr>
        <w:t>政府采购合同专用条款</w:t>
      </w:r>
      <w:r>
        <w:rPr>
          <w:rFonts w:ascii="宋体" w:hAnsi="宋体" w:eastAsia="宋体" w:cs="宋体"/>
          <w:spacing w:val="-3"/>
          <w:sz w:val="24"/>
          <w:szCs w:val="24"/>
          <w:highlight w:val="none"/>
        </w:rPr>
        <w:t>】。</w:t>
      </w:r>
    </w:p>
    <w:p w14:paraId="051CEB63">
      <w:pPr>
        <w:spacing w:before="89" w:line="219" w:lineRule="auto"/>
        <w:ind w:left="531"/>
        <w:outlineLvl w:val="9"/>
        <w:rPr>
          <w:rFonts w:ascii="宋体" w:hAnsi="宋体" w:eastAsia="宋体" w:cs="宋体"/>
          <w:sz w:val="24"/>
          <w:szCs w:val="24"/>
          <w:highlight w:val="none"/>
        </w:rPr>
      </w:pPr>
      <w:r>
        <w:rPr>
          <w:rFonts w:ascii="宋体" w:hAnsi="宋体" w:eastAsia="宋体" w:cs="宋体"/>
          <w:spacing w:val="-4"/>
          <w:sz w:val="24"/>
          <w:szCs w:val="24"/>
          <w:highlight w:val="none"/>
        </w:rPr>
        <w:t>（7）其他术语解释，见【</w:t>
      </w:r>
      <w:r>
        <w:rPr>
          <w:rFonts w:ascii="宋体" w:hAnsi="宋体" w:eastAsia="宋体" w:cs="宋体"/>
          <w:b/>
          <w:bCs/>
          <w:spacing w:val="-4"/>
          <w:sz w:val="24"/>
          <w:szCs w:val="24"/>
          <w:highlight w:val="none"/>
        </w:rPr>
        <w:t>政府采购合同专用条款</w:t>
      </w:r>
      <w:r>
        <w:rPr>
          <w:rFonts w:ascii="宋体" w:hAnsi="宋体" w:eastAsia="宋体" w:cs="宋体"/>
          <w:spacing w:val="-4"/>
          <w:sz w:val="24"/>
          <w:szCs w:val="24"/>
          <w:highlight w:val="none"/>
        </w:rPr>
        <w:t>】。</w:t>
      </w:r>
    </w:p>
    <w:p w14:paraId="11D71B6E">
      <w:pPr>
        <w:spacing w:before="129" w:line="220" w:lineRule="auto"/>
        <w:ind w:left="32"/>
        <w:outlineLvl w:val="9"/>
        <w:rPr>
          <w:rFonts w:ascii="宋体" w:hAnsi="宋体" w:eastAsia="宋体" w:cs="宋体"/>
          <w:sz w:val="22"/>
          <w:szCs w:val="22"/>
          <w:highlight w:val="none"/>
        </w:rPr>
      </w:pPr>
      <w:r>
        <w:rPr>
          <w:rFonts w:ascii="宋体" w:hAnsi="宋体" w:eastAsia="宋体" w:cs="宋体"/>
          <w:b/>
          <w:bCs/>
          <w:spacing w:val="-5"/>
          <w:sz w:val="22"/>
          <w:szCs w:val="22"/>
          <w:highlight w:val="none"/>
        </w:rPr>
        <w:t>2.合同标的及金额</w:t>
      </w:r>
    </w:p>
    <w:p w14:paraId="4035781E">
      <w:pPr>
        <w:spacing w:before="124" w:line="219" w:lineRule="auto"/>
        <w:ind w:left="513"/>
        <w:outlineLvl w:val="9"/>
        <w:rPr>
          <w:rFonts w:ascii="宋体" w:hAnsi="宋体" w:eastAsia="宋体" w:cs="宋体"/>
          <w:sz w:val="24"/>
          <w:szCs w:val="24"/>
          <w:highlight w:val="none"/>
        </w:rPr>
      </w:pPr>
      <w:r>
        <w:rPr>
          <w:rFonts w:ascii="宋体" w:hAnsi="宋体" w:eastAsia="宋体" w:cs="宋体"/>
          <w:spacing w:val="-3"/>
          <w:sz w:val="24"/>
          <w:szCs w:val="24"/>
          <w:highlight w:val="none"/>
        </w:rPr>
        <w:t>2.1合同标的及金额应与中标（成交）结果一致。乙方为履</w:t>
      </w:r>
      <w:r>
        <w:rPr>
          <w:rFonts w:ascii="宋体" w:hAnsi="宋体" w:eastAsia="宋体" w:cs="宋体"/>
          <w:spacing w:val="-4"/>
          <w:sz w:val="24"/>
          <w:szCs w:val="24"/>
          <w:highlight w:val="none"/>
        </w:rPr>
        <w:t>行本合同而发生</w:t>
      </w:r>
    </w:p>
    <w:p w14:paraId="10497061">
      <w:pPr>
        <w:spacing w:line="219" w:lineRule="auto"/>
        <w:outlineLvl w:val="9"/>
        <w:rPr>
          <w:rFonts w:ascii="宋体" w:hAnsi="宋体" w:eastAsia="宋体" w:cs="宋体"/>
          <w:sz w:val="24"/>
          <w:szCs w:val="24"/>
          <w:highlight w:val="none"/>
        </w:rPr>
        <w:sectPr>
          <w:headerReference r:id="rId57" w:type="default"/>
          <w:footerReference r:id="rId58" w:type="default"/>
          <w:pgSz w:w="11906" w:h="16840"/>
          <w:pgMar w:top="1091" w:right="1750" w:bottom="1156" w:left="1785" w:header="1077" w:footer="910" w:gutter="0"/>
          <w:pgNumType w:fmt="decimal"/>
          <w:cols w:space="720" w:num="1"/>
        </w:sectPr>
      </w:pPr>
    </w:p>
    <w:p w14:paraId="5FDE2B07">
      <w:pPr>
        <w:pStyle w:val="2"/>
        <w:spacing w:line="393" w:lineRule="auto"/>
        <w:outlineLvl w:val="9"/>
        <w:rPr>
          <w:highlight w:val="none"/>
        </w:rPr>
      </w:pPr>
    </w:p>
    <w:p w14:paraId="77E6F18E">
      <w:pPr>
        <w:spacing w:before="78" w:line="218" w:lineRule="auto"/>
        <w:ind w:left="67"/>
        <w:outlineLvl w:val="9"/>
        <w:rPr>
          <w:rFonts w:ascii="宋体" w:hAnsi="宋体" w:eastAsia="宋体" w:cs="宋体"/>
          <w:sz w:val="24"/>
          <w:szCs w:val="24"/>
          <w:highlight w:val="none"/>
        </w:rPr>
      </w:pPr>
      <w:r>
        <w:rPr>
          <w:rFonts w:ascii="宋体" w:hAnsi="宋体" w:eastAsia="宋体" w:cs="宋体"/>
          <w:spacing w:val="-2"/>
          <w:sz w:val="24"/>
          <w:szCs w:val="24"/>
          <w:highlight w:val="none"/>
        </w:rPr>
        <w:t>的所有费用均应包含在合同价款中，甲方不再另行支付其他任何费用。</w:t>
      </w:r>
    </w:p>
    <w:p w14:paraId="51B03FC4">
      <w:pPr>
        <w:spacing w:before="133" w:line="221" w:lineRule="auto"/>
        <w:ind w:left="36"/>
        <w:outlineLvl w:val="9"/>
        <w:rPr>
          <w:rFonts w:ascii="宋体" w:hAnsi="宋体" w:eastAsia="宋体" w:cs="宋体"/>
          <w:sz w:val="22"/>
          <w:szCs w:val="22"/>
          <w:highlight w:val="none"/>
        </w:rPr>
      </w:pPr>
      <w:r>
        <w:rPr>
          <w:rFonts w:ascii="宋体" w:hAnsi="宋体" w:eastAsia="宋体" w:cs="宋体"/>
          <w:b/>
          <w:bCs/>
          <w:spacing w:val="-5"/>
          <w:sz w:val="22"/>
          <w:szCs w:val="22"/>
          <w:highlight w:val="none"/>
        </w:rPr>
        <w:t>3.履行合同的时间、地点和方式</w:t>
      </w:r>
    </w:p>
    <w:p w14:paraId="7321CAB6">
      <w:pPr>
        <w:spacing w:before="121" w:line="219" w:lineRule="auto"/>
        <w:ind w:left="517"/>
        <w:outlineLvl w:val="9"/>
        <w:rPr>
          <w:rFonts w:ascii="宋体" w:hAnsi="宋体" w:eastAsia="宋体" w:cs="宋体"/>
          <w:sz w:val="24"/>
          <w:szCs w:val="24"/>
          <w:highlight w:val="none"/>
        </w:rPr>
      </w:pPr>
      <w:r>
        <w:rPr>
          <w:rFonts w:ascii="宋体" w:hAnsi="宋体" w:eastAsia="宋体" w:cs="宋体"/>
          <w:spacing w:val="-4"/>
          <w:sz w:val="24"/>
          <w:szCs w:val="24"/>
          <w:highlight w:val="none"/>
        </w:rPr>
        <w:t>3.1乙方应当在约定的时间、地点，按照约定方式履行合同。</w:t>
      </w:r>
    </w:p>
    <w:p w14:paraId="184958A3">
      <w:pPr>
        <w:spacing w:before="124" w:line="220" w:lineRule="auto"/>
        <w:ind w:left="26"/>
        <w:outlineLvl w:val="9"/>
        <w:rPr>
          <w:rFonts w:ascii="宋体" w:hAnsi="宋体" w:eastAsia="宋体" w:cs="宋体"/>
          <w:sz w:val="22"/>
          <w:szCs w:val="22"/>
          <w:highlight w:val="none"/>
        </w:rPr>
      </w:pPr>
      <w:r>
        <w:rPr>
          <w:rFonts w:ascii="宋体" w:hAnsi="宋体" w:eastAsia="宋体" w:cs="宋体"/>
          <w:b/>
          <w:bCs/>
          <w:spacing w:val="-11"/>
          <w:sz w:val="22"/>
          <w:szCs w:val="22"/>
          <w:highlight w:val="none"/>
        </w:rPr>
        <w:t>4.甲方的权利和义务</w:t>
      </w:r>
    </w:p>
    <w:p w14:paraId="67F027A0">
      <w:pPr>
        <w:spacing w:before="145" w:line="279" w:lineRule="auto"/>
        <w:ind w:left="31" w:right="115" w:firstLine="475"/>
        <w:outlineLvl w:val="9"/>
        <w:rPr>
          <w:rFonts w:ascii="宋体" w:hAnsi="宋体" w:eastAsia="宋体" w:cs="宋体"/>
          <w:sz w:val="24"/>
          <w:szCs w:val="24"/>
          <w:highlight w:val="none"/>
        </w:rPr>
      </w:pPr>
      <w:r>
        <w:rPr>
          <w:rFonts w:ascii="宋体" w:hAnsi="宋体" w:eastAsia="宋体" w:cs="宋体"/>
          <w:spacing w:val="-3"/>
          <w:sz w:val="24"/>
          <w:szCs w:val="24"/>
          <w:highlight w:val="none"/>
        </w:rPr>
        <w:t>4.1签署合同后，甲方应确定项目负责人（或项目联系人</w:t>
      </w:r>
      <w:r>
        <w:rPr>
          <w:rFonts w:ascii="宋体" w:hAnsi="宋体" w:eastAsia="宋体" w:cs="宋体"/>
          <w:spacing w:val="-4"/>
          <w:sz w:val="24"/>
          <w:szCs w:val="24"/>
          <w:highlight w:val="none"/>
        </w:rPr>
        <w:t>），</w:t>
      </w:r>
      <w:r>
        <w:rPr>
          <w:rFonts w:ascii="宋体" w:hAnsi="宋体" w:eastAsia="宋体" w:cs="宋体"/>
          <w:spacing w:val="-3"/>
          <w:sz w:val="24"/>
          <w:szCs w:val="24"/>
          <w:highlight w:val="none"/>
        </w:rPr>
        <w:t>负责与本合同</w:t>
      </w:r>
      <w:r>
        <w:rPr>
          <w:rFonts w:ascii="宋体" w:hAnsi="宋体" w:eastAsia="宋体" w:cs="宋体"/>
          <w:spacing w:val="-8"/>
          <w:sz w:val="24"/>
          <w:szCs w:val="24"/>
          <w:highlight w:val="none"/>
        </w:rPr>
        <w:t>有关的事务。甲方有权对乙方的履约行为进行</w:t>
      </w:r>
      <w:r>
        <w:rPr>
          <w:rFonts w:ascii="宋体" w:hAnsi="宋体" w:eastAsia="宋体" w:cs="宋体"/>
          <w:spacing w:val="-9"/>
          <w:sz w:val="24"/>
          <w:szCs w:val="24"/>
          <w:highlight w:val="none"/>
        </w:rPr>
        <w:t>检查，并及时确认乙方提交的事项。</w:t>
      </w:r>
      <w:r>
        <w:rPr>
          <w:rFonts w:ascii="宋体" w:hAnsi="宋体" w:eastAsia="宋体" w:cs="宋体"/>
          <w:spacing w:val="-2"/>
          <w:sz w:val="24"/>
          <w:szCs w:val="24"/>
          <w:highlight w:val="none"/>
        </w:rPr>
        <w:t>甲方应当配合乙方完成相关项目实施工作。</w:t>
      </w:r>
    </w:p>
    <w:p w14:paraId="06F24731">
      <w:pPr>
        <w:spacing w:before="109" w:line="279" w:lineRule="auto"/>
        <w:ind w:left="31" w:right="159" w:firstLine="475"/>
        <w:outlineLvl w:val="9"/>
        <w:rPr>
          <w:rFonts w:ascii="宋体" w:hAnsi="宋体" w:eastAsia="宋体" w:cs="宋体"/>
          <w:sz w:val="24"/>
          <w:szCs w:val="24"/>
          <w:highlight w:val="none"/>
        </w:rPr>
      </w:pPr>
      <w:r>
        <w:rPr>
          <w:rFonts w:ascii="宋体" w:hAnsi="宋体" w:eastAsia="宋体" w:cs="宋体"/>
          <w:spacing w:val="-5"/>
          <w:sz w:val="24"/>
          <w:szCs w:val="24"/>
          <w:highlight w:val="none"/>
        </w:rPr>
        <w:t>4.2甲方有权要求乙方按时提交各阶段有关安排计划，并有</w:t>
      </w:r>
      <w:r>
        <w:rPr>
          <w:rFonts w:ascii="宋体" w:hAnsi="宋体" w:eastAsia="宋体" w:cs="宋体"/>
          <w:spacing w:val="-6"/>
          <w:sz w:val="24"/>
          <w:szCs w:val="24"/>
          <w:highlight w:val="none"/>
        </w:rPr>
        <w:t>权定期核对乙方</w:t>
      </w:r>
      <w:r>
        <w:rPr>
          <w:rFonts w:ascii="宋体" w:hAnsi="宋体" w:eastAsia="宋体" w:cs="宋体"/>
          <w:spacing w:val="-3"/>
          <w:sz w:val="24"/>
          <w:szCs w:val="24"/>
          <w:highlight w:val="none"/>
        </w:rPr>
        <w:t>提供货物数量、规格、质量等内容。甲方有权督促乙方工</w:t>
      </w:r>
      <w:r>
        <w:rPr>
          <w:rFonts w:ascii="宋体" w:hAnsi="宋体" w:eastAsia="宋体" w:cs="宋体"/>
          <w:spacing w:val="-4"/>
          <w:sz w:val="24"/>
          <w:szCs w:val="24"/>
          <w:highlight w:val="none"/>
        </w:rPr>
        <w:t>作并要求乙方更换不符</w:t>
      </w:r>
      <w:r>
        <w:rPr>
          <w:rFonts w:ascii="宋体" w:hAnsi="宋体" w:eastAsia="宋体" w:cs="宋体"/>
          <w:spacing w:val="-3"/>
          <w:sz w:val="24"/>
          <w:szCs w:val="24"/>
          <w:highlight w:val="none"/>
        </w:rPr>
        <w:t>合要求的货物。</w:t>
      </w:r>
    </w:p>
    <w:p w14:paraId="3EBEB65A">
      <w:pPr>
        <w:spacing w:before="110" w:line="264" w:lineRule="auto"/>
        <w:ind w:left="31" w:right="159" w:firstLine="475"/>
        <w:outlineLvl w:val="9"/>
        <w:rPr>
          <w:rFonts w:ascii="宋体" w:hAnsi="宋体" w:eastAsia="宋体" w:cs="宋体"/>
          <w:sz w:val="24"/>
          <w:szCs w:val="24"/>
          <w:highlight w:val="none"/>
        </w:rPr>
      </w:pPr>
      <w:r>
        <w:rPr>
          <w:rFonts w:ascii="宋体" w:hAnsi="宋体" w:eastAsia="宋体" w:cs="宋体"/>
          <w:spacing w:val="-5"/>
          <w:sz w:val="24"/>
          <w:szCs w:val="24"/>
          <w:highlight w:val="none"/>
        </w:rPr>
        <w:t>4.3甲方有权要求乙方对缺陷部分予以修复，并按合同约定</w:t>
      </w:r>
      <w:r>
        <w:rPr>
          <w:rFonts w:ascii="宋体" w:hAnsi="宋体" w:eastAsia="宋体" w:cs="宋体"/>
          <w:spacing w:val="-6"/>
          <w:sz w:val="24"/>
          <w:szCs w:val="24"/>
          <w:highlight w:val="none"/>
        </w:rPr>
        <w:t>享有货物保修及</w:t>
      </w:r>
      <w:r>
        <w:rPr>
          <w:rFonts w:ascii="宋体" w:hAnsi="宋体" w:eastAsia="宋体" w:cs="宋体"/>
          <w:spacing w:val="-3"/>
          <w:sz w:val="24"/>
          <w:szCs w:val="24"/>
          <w:highlight w:val="none"/>
        </w:rPr>
        <w:t>其他合同约定的权利。</w:t>
      </w:r>
    </w:p>
    <w:p w14:paraId="5368FF0E">
      <w:pPr>
        <w:spacing w:before="110" w:line="279" w:lineRule="auto"/>
        <w:ind w:left="27" w:right="52" w:firstLine="480"/>
        <w:outlineLvl w:val="9"/>
        <w:rPr>
          <w:rFonts w:ascii="宋体" w:hAnsi="宋体" w:eastAsia="宋体" w:cs="宋体"/>
          <w:sz w:val="24"/>
          <w:szCs w:val="24"/>
          <w:highlight w:val="none"/>
        </w:rPr>
      </w:pPr>
      <w:r>
        <w:rPr>
          <w:rFonts w:ascii="宋体" w:hAnsi="宋体" w:eastAsia="宋体" w:cs="宋体"/>
          <w:spacing w:val="-6"/>
          <w:sz w:val="24"/>
          <w:szCs w:val="24"/>
          <w:highlight w:val="none"/>
        </w:rPr>
        <w:t>4.4甲方应当按照合同约定及时对交付的货物</w:t>
      </w:r>
      <w:r>
        <w:rPr>
          <w:rFonts w:ascii="宋体" w:hAnsi="宋体" w:eastAsia="宋体" w:cs="宋体"/>
          <w:spacing w:val="-7"/>
          <w:sz w:val="24"/>
          <w:szCs w:val="24"/>
          <w:highlight w:val="none"/>
        </w:rPr>
        <w:t>进行验收，未在</w:t>
      </w:r>
      <w:r>
        <w:rPr>
          <w:rFonts w:ascii="宋体" w:hAnsi="宋体" w:eastAsia="宋体" w:cs="宋体"/>
          <w:b/>
          <w:bCs/>
          <w:spacing w:val="-7"/>
          <w:sz w:val="24"/>
          <w:szCs w:val="24"/>
          <w:highlight w:val="none"/>
        </w:rPr>
        <w:t>【政府采购合同专用条款】</w:t>
      </w:r>
      <w:r>
        <w:rPr>
          <w:rFonts w:ascii="宋体" w:hAnsi="宋体" w:eastAsia="宋体" w:cs="宋体"/>
          <w:spacing w:val="-7"/>
          <w:sz w:val="24"/>
          <w:szCs w:val="24"/>
          <w:highlight w:val="none"/>
        </w:rPr>
        <w:t>约定的期限内对乙方履约提出任何异议或者向乙方作出任何说明的，</w:t>
      </w:r>
      <w:r>
        <w:rPr>
          <w:rFonts w:ascii="宋体" w:hAnsi="宋体" w:eastAsia="宋体" w:cs="宋体"/>
          <w:spacing w:val="-3"/>
          <w:sz w:val="24"/>
          <w:szCs w:val="24"/>
          <w:highlight w:val="none"/>
        </w:rPr>
        <w:t>视为验收通过。</w:t>
      </w:r>
    </w:p>
    <w:p w14:paraId="664D58E2">
      <w:pPr>
        <w:spacing w:before="109" w:line="266" w:lineRule="auto"/>
        <w:ind w:left="36" w:firstLine="470"/>
        <w:outlineLvl w:val="9"/>
        <w:rPr>
          <w:rFonts w:ascii="宋体" w:hAnsi="宋体" w:eastAsia="宋体" w:cs="宋体"/>
          <w:sz w:val="24"/>
          <w:szCs w:val="24"/>
          <w:highlight w:val="none"/>
        </w:rPr>
      </w:pPr>
      <w:r>
        <w:rPr>
          <w:rFonts w:ascii="宋体" w:hAnsi="宋体" w:eastAsia="宋体" w:cs="宋体"/>
          <w:spacing w:val="-7"/>
          <w:sz w:val="24"/>
          <w:szCs w:val="24"/>
          <w:highlight w:val="none"/>
        </w:rPr>
        <w:t>4.5甲方应当根据合同约定及时向乙方支付合同价款</w:t>
      </w:r>
      <w:r>
        <w:rPr>
          <w:rFonts w:ascii="宋体" w:hAnsi="宋体" w:eastAsia="宋体" w:cs="宋体"/>
          <w:spacing w:val="-8"/>
          <w:sz w:val="24"/>
          <w:szCs w:val="24"/>
          <w:highlight w:val="none"/>
        </w:rPr>
        <w:t>，不得以内部人员变更、</w:t>
      </w:r>
      <w:r>
        <w:rPr>
          <w:rFonts w:ascii="宋体" w:hAnsi="宋体" w:eastAsia="宋体" w:cs="宋体"/>
          <w:spacing w:val="-2"/>
          <w:sz w:val="24"/>
          <w:szCs w:val="24"/>
          <w:highlight w:val="none"/>
        </w:rPr>
        <w:t>履行内部付款流程等为由，拒绝或迟延支付。</w:t>
      </w:r>
    </w:p>
    <w:p w14:paraId="455AD7CC">
      <w:pPr>
        <w:spacing w:before="111" w:line="264" w:lineRule="auto"/>
        <w:ind w:left="28" w:right="178" w:firstLine="479"/>
        <w:outlineLvl w:val="9"/>
        <w:rPr>
          <w:rFonts w:ascii="宋体" w:hAnsi="宋体" w:eastAsia="宋体" w:cs="宋体"/>
          <w:sz w:val="24"/>
          <w:szCs w:val="24"/>
          <w:highlight w:val="none"/>
        </w:rPr>
      </w:pPr>
      <w:r>
        <w:rPr>
          <w:rFonts w:ascii="宋体" w:hAnsi="宋体" w:eastAsia="宋体" w:cs="宋体"/>
          <w:spacing w:val="-7"/>
          <w:sz w:val="24"/>
          <w:szCs w:val="24"/>
          <w:highlight w:val="none"/>
        </w:rPr>
        <w:t>4.6国家法律法规规定及</w:t>
      </w:r>
      <w:r>
        <w:rPr>
          <w:rFonts w:ascii="宋体" w:hAnsi="宋体" w:eastAsia="宋体" w:cs="宋体"/>
          <w:b/>
          <w:bCs/>
          <w:spacing w:val="-7"/>
          <w:sz w:val="24"/>
          <w:szCs w:val="24"/>
          <w:highlight w:val="none"/>
        </w:rPr>
        <w:t>【政府采购合同专用条款】</w:t>
      </w:r>
      <w:r>
        <w:rPr>
          <w:rFonts w:ascii="宋体" w:hAnsi="宋体" w:eastAsia="宋体" w:cs="宋体"/>
          <w:spacing w:val="-7"/>
          <w:sz w:val="24"/>
          <w:szCs w:val="24"/>
          <w:highlight w:val="none"/>
        </w:rPr>
        <w:t>约定应由甲方承担的其</w:t>
      </w:r>
      <w:r>
        <w:rPr>
          <w:rFonts w:ascii="宋体" w:hAnsi="宋体" w:eastAsia="宋体" w:cs="宋体"/>
          <w:spacing w:val="-3"/>
          <w:sz w:val="24"/>
          <w:szCs w:val="24"/>
          <w:highlight w:val="none"/>
        </w:rPr>
        <w:t>他义务和责任。</w:t>
      </w:r>
    </w:p>
    <w:p w14:paraId="5E3DB15B">
      <w:pPr>
        <w:spacing w:before="102" w:line="220" w:lineRule="auto"/>
        <w:ind w:left="36"/>
        <w:outlineLvl w:val="9"/>
        <w:rPr>
          <w:rFonts w:ascii="宋体" w:hAnsi="宋体" w:eastAsia="宋体" w:cs="宋体"/>
          <w:sz w:val="22"/>
          <w:szCs w:val="22"/>
          <w:highlight w:val="none"/>
        </w:rPr>
      </w:pPr>
      <w:r>
        <w:rPr>
          <w:rFonts w:ascii="宋体" w:hAnsi="宋体" w:eastAsia="宋体" w:cs="宋体"/>
          <w:b/>
          <w:bCs/>
          <w:spacing w:val="-10"/>
          <w:sz w:val="22"/>
          <w:szCs w:val="22"/>
          <w:highlight w:val="none"/>
        </w:rPr>
        <w:t>5.乙方的权利和义务</w:t>
      </w:r>
    </w:p>
    <w:p w14:paraId="3CAAC357">
      <w:pPr>
        <w:spacing w:before="147" w:line="264" w:lineRule="auto"/>
        <w:ind w:left="31" w:right="161" w:firstLine="486"/>
        <w:outlineLvl w:val="9"/>
        <w:rPr>
          <w:rFonts w:ascii="宋体" w:hAnsi="宋体" w:eastAsia="宋体" w:cs="宋体"/>
          <w:sz w:val="24"/>
          <w:szCs w:val="24"/>
          <w:highlight w:val="none"/>
        </w:rPr>
      </w:pPr>
      <w:r>
        <w:rPr>
          <w:rFonts w:ascii="宋体" w:hAnsi="宋体" w:eastAsia="宋体" w:cs="宋体"/>
          <w:spacing w:val="-3"/>
          <w:sz w:val="24"/>
          <w:szCs w:val="24"/>
          <w:highlight w:val="none"/>
        </w:rPr>
        <w:t>5.1签署合同后，乙方应确定项目负责人（或项</w:t>
      </w:r>
      <w:r>
        <w:rPr>
          <w:rFonts w:ascii="宋体" w:hAnsi="宋体" w:eastAsia="宋体" w:cs="宋体"/>
          <w:spacing w:val="-4"/>
          <w:sz w:val="24"/>
          <w:szCs w:val="24"/>
          <w:highlight w:val="none"/>
        </w:rPr>
        <w:t>目联系人），负责与本合同</w:t>
      </w:r>
      <w:r>
        <w:rPr>
          <w:rFonts w:ascii="宋体" w:hAnsi="宋体" w:eastAsia="宋体" w:cs="宋体"/>
          <w:spacing w:val="-3"/>
          <w:sz w:val="24"/>
          <w:szCs w:val="24"/>
          <w:highlight w:val="none"/>
        </w:rPr>
        <w:t>有关的事务。</w:t>
      </w:r>
    </w:p>
    <w:p w14:paraId="5AF53B14">
      <w:pPr>
        <w:spacing w:before="110" w:line="279" w:lineRule="auto"/>
        <w:ind w:left="32" w:right="162" w:firstLine="485"/>
        <w:outlineLvl w:val="9"/>
        <w:rPr>
          <w:rFonts w:ascii="宋体" w:hAnsi="宋体" w:eastAsia="宋体" w:cs="宋体"/>
          <w:sz w:val="24"/>
          <w:szCs w:val="24"/>
          <w:highlight w:val="none"/>
        </w:rPr>
      </w:pPr>
      <w:r>
        <w:rPr>
          <w:rFonts w:ascii="宋体" w:hAnsi="宋体" w:eastAsia="宋体" w:cs="宋体"/>
          <w:spacing w:val="-5"/>
          <w:sz w:val="24"/>
          <w:szCs w:val="24"/>
          <w:highlight w:val="none"/>
        </w:rPr>
        <w:t>5.2乙方应按照合同要求履约，充分合理安排，确保提供的货物及</w:t>
      </w:r>
      <w:r>
        <w:rPr>
          <w:rFonts w:ascii="宋体" w:hAnsi="宋体" w:eastAsia="宋体" w:cs="宋体"/>
          <w:spacing w:val="-6"/>
          <w:sz w:val="24"/>
          <w:szCs w:val="24"/>
          <w:highlight w:val="none"/>
        </w:rPr>
        <w:t>相关服务</w:t>
      </w:r>
      <w:r>
        <w:rPr>
          <w:rFonts w:ascii="宋体" w:hAnsi="宋体" w:eastAsia="宋体" w:cs="宋体"/>
          <w:spacing w:val="-3"/>
          <w:sz w:val="24"/>
          <w:szCs w:val="24"/>
          <w:highlight w:val="none"/>
        </w:rPr>
        <w:t>符合合同有关要求。接受项目行业管理部门及政府有关</w:t>
      </w:r>
      <w:r>
        <w:rPr>
          <w:rFonts w:ascii="宋体" w:hAnsi="宋体" w:eastAsia="宋体" w:cs="宋体"/>
          <w:spacing w:val="-4"/>
          <w:sz w:val="24"/>
          <w:szCs w:val="24"/>
          <w:highlight w:val="none"/>
        </w:rPr>
        <w:t>部门的指导，配合甲方的</w:t>
      </w:r>
      <w:r>
        <w:rPr>
          <w:rFonts w:ascii="宋体" w:hAnsi="宋体" w:eastAsia="宋体" w:cs="宋体"/>
          <w:spacing w:val="-2"/>
          <w:sz w:val="24"/>
          <w:szCs w:val="24"/>
          <w:highlight w:val="none"/>
        </w:rPr>
        <w:t>履约检查及验收，并负责项目实施过程中的所有协调工作。</w:t>
      </w:r>
    </w:p>
    <w:p w14:paraId="71D8125D">
      <w:pPr>
        <w:spacing w:before="87" w:line="218" w:lineRule="auto"/>
        <w:ind w:left="460"/>
        <w:outlineLvl w:val="9"/>
        <w:rPr>
          <w:rFonts w:ascii="宋体" w:hAnsi="宋体" w:eastAsia="宋体" w:cs="宋体"/>
          <w:sz w:val="24"/>
          <w:szCs w:val="24"/>
          <w:highlight w:val="none"/>
        </w:rPr>
      </w:pPr>
      <w:r>
        <w:rPr>
          <w:rFonts w:ascii="宋体" w:hAnsi="宋体" w:eastAsia="宋体" w:cs="宋体"/>
          <w:spacing w:val="-4"/>
          <w:sz w:val="24"/>
          <w:szCs w:val="24"/>
          <w:highlight w:val="none"/>
        </w:rPr>
        <w:t>5.3乙方有权根据合同约定向甲方收取合同价款。</w:t>
      </w:r>
    </w:p>
    <w:p w14:paraId="4EBD97C2">
      <w:pPr>
        <w:spacing w:before="140" w:line="264" w:lineRule="auto"/>
        <w:ind w:left="28" w:right="183" w:firstLine="431"/>
        <w:outlineLvl w:val="9"/>
        <w:rPr>
          <w:rFonts w:ascii="宋体" w:hAnsi="宋体" w:eastAsia="宋体" w:cs="宋体"/>
          <w:sz w:val="24"/>
          <w:szCs w:val="24"/>
          <w:highlight w:val="none"/>
        </w:rPr>
      </w:pPr>
      <w:r>
        <w:rPr>
          <w:rFonts w:ascii="宋体" w:hAnsi="宋体" w:eastAsia="宋体" w:cs="宋体"/>
          <w:spacing w:val="-3"/>
          <w:sz w:val="24"/>
          <w:szCs w:val="24"/>
          <w:highlight w:val="none"/>
        </w:rPr>
        <w:t>5.4国家法律法规规定及</w:t>
      </w:r>
      <w:r>
        <w:rPr>
          <w:rFonts w:ascii="宋体" w:hAnsi="宋体" w:eastAsia="宋体" w:cs="宋体"/>
          <w:b/>
          <w:bCs/>
          <w:spacing w:val="-3"/>
          <w:sz w:val="24"/>
          <w:szCs w:val="24"/>
          <w:highlight w:val="none"/>
        </w:rPr>
        <w:t>【政府采购合同专用条款】</w:t>
      </w:r>
      <w:r>
        <w:rPr>
          <w:rFonts w:ascii="宋体" w:hAnsi="宋体" w:eastAsia="宋体" w:cs="宋体"/>
          <w:spacing w:val="-3"/>
          <w:sz w:val="24"/>
          <w:szCs w:val="24"/>
          <w:highlight w:val="none"/>
        </w:rPr>
        <w:t>约定应由</w:t>
      </w:r>
      <w:r>
        <w:rPr>
          <w:rFonts w:ascii="宋体" w:hAnsi="宋体" w:eastAsia="宋体" w:cs="宋体"/>
          <w:spacing w:val="-4"/>
          <w:sz w:val="24"/>
          <w:szCs w:val="24"/>
          <w:highlight w:val="none"/>
        </w:rPr>
        <w:t>乙方承担的其</w:t>
      </w:r>
      <w:r>
        <w:rPr>
          <w:rFonts w:ascii="宋体" w:hAnsi="宋体" w:eastAsia="宋体" w:cs="宋体"/>
          <w:spacing w:val="-3"/>
          <w:sz w:val="24"/>
          <w:szCs w:val="24"/>
          <w:highlight w:val="none"/>
        </w:rPr>
        <w:t>他义务和责任。</w:t>
      </w:r>
    </w:p>
    <w:p w14:paraId="104E7954">
      <w:pPr>
        <w:spacing w:before="104" w:line="221" w:lineRule="auto"/>
        <w:ind w:left="31"/>
        <w:outlineLvl w:val="9"/>
        <w:rPr>
          <w:rFonts w:ascii="宋体" w:hAnsi="宋体" w:eastAsia="宋体" w:cs="宋体"/>
          <w:sz w:val="22"/>
          <w:szCs w:val="22"/>
          <w:highlight w:val="none"/>
        </w:rPr>
      </w:pPr>
      <w:r>
        <w:rPr>
          <w:rFonts w:ascii="宋体" w:hAnsi="宋体" w:eastAsia="宋体" w:cs="宋体"/>
          <w:b/>
          <w:bCs/>
          <w:spacing w:val="-5"/>
          <w:sz w:val="22"/>
          <w:szCs w:val="22"/>
          <w:highlight w:val="none"/>
        </w:rPr>
        <w:t>6.合同履行</w:t>
      </w:r>
    </w:p>
    <w:p w14:paraId="30A6779E">
      <w:pPr>
        <w:spacing w:before="144" w:line="264" w:lineRule="auto"/>
        <w:ind w:left="36" w:right="206" w:firstLine="475"/>
        <w:outlineLvl w:val="9"/>
        <w:rPr>
          <w:rFonts w:ascii="宋体" w:hAnsi="宋体" w:eastAsia="宋体" w:cs="宋体"/>
          <w:sz w:val="24"/>
          <w:szCs w:val="24"/>
          <w:highlight w:val="none"/>
        </w:rPr>
      </w:pPr>
      <w:r>
        <w:rPr>
          <w:rFonts w:ascii="宋体" w:hAnsi="宋体" w:eastAsia="宋体" w:cs="宋体"/>
          <w:spacing w:val="-8"/>
          <w:sz w:val="24"/>
          <w:szCs w:val="24"/>
          <w:highlight w:val="none"/>
        </w:rPr>
        <w:t>6.1甲乙双方应当按照</w:t>
      </w:r>
      <w:r>
        <w:rPr>
          <w:rFonts w:ascii="宋体" w:hAnsi="宋体" w:eastAsia="宋体" w:cs="宋体"/>
          <w:b/>
          <w:bCs/>
          <w:spacing w:val="-8"/>
          <w:sz w:val="24"/>
          <w:szCs w:val="24"/>
          <w:highlight w:val="none"/>
        </w:rPr>
        <w:t>【政府采购合同专用条款】</w:t>
      </w:r>
      <w:r>
        <w:rPr>
          <w:rFonts w:ascii="宋体" w:hAnsi="宋体" w:eastAsia="宋体" w:cs="宋体"/>
          <w:spacing w:val="-8"/>
          <w:sz w:val="24"/>
          <w:szCs w:val="24"/>
          <w:highlight w:val="none"/>
        </w:rPr>
        <w:t>约定顺序履行合同义务；</w:t>
      </w:r>
      <w:r>
        <w:rPr>
          <w:rFonts w:ascii="宋体" w:hAnsi="宋体" w:eastAsia="宋体" w:cs="宋体"/>
          <w:spacing w:val="-2"/>
          <w:sz w:val="24"/>
          <w:szCs w:val="24"/>
          <w:highlight w:val="none"/>
        </w:rPr>
        <w:t>如果没有先后顺序的，应当同时履行。</w:t>
      </w:r>
    </w:p>
    <w:p w14:paraId="29EC25AA">
      <w:pPr>
        <w:spacing w:before="111" w:line="278" w:lineRule="auto"/>
        <w:ind w:left="27" w:right="38" w:firstLine="485"/>
        <w:outlineLvl w:val="9"/>
        <w:rPr>
          <w:rFonts w:ascii="宋体" w:hAnsi="宋体" w:eastAsia="宋体" w:cs="宋体"/>
          <w:sz w:val="24"/>
          <w:szCs w:val="24"/>
          <w:highlight w:val="none"/>
        </w:rPr>
      </w:pPr>
      <w:r>
        <w:rPr>
          <w:rFonts w:ascii="宋体" w:hAnsi="宋体" w:eastAsia="宋体" w:cs="宋体"/>
          <w:spacing w:val="-9"/>
          <w:sz w:val="24"/>
          <w:szCs w:val="24"/>
          <w:highlight w:val="none"/>
        </w:rPr>
        <w:t>6.2甲乙双方按照合同约定顺序履行合同义务时，应当先履行一方未履行的，</w:t>
      </w:r>
      <w:r>
        <w:rPr>
          <w:rFonts w:ascii="宋体" w:hAnsi="宋体" w:eastAsia="宋体" w:cs="宋体"/>
          <w:spacing w:val="-3"/>
          <w:sz w:val="24"/>
          <w:szCs w:val="24"/>
          <w:highlight w:val="none"/>
        </w:rPr>
        <w:t>后履行一方有权拒绝其履行请求。先履行一方履行不符合约定</w:t>
      </w:r>
      <w:r>
        <w:rPr>
          <w:rFonts w:ascii="宋体" w:hAnsi="宋体" w:eastAsia="宋体" w:cs="宋体"/>
          <w:spacing w:val="-4"/>
          <w:sz w:val="24"/>
          <w:szCs w:val="24"/>
          <w:highlight w:val="none"/>
        </w:rPr>
        <w:t>的，后履行一方有</w:t>
      </w:r>
      <w:r>
        <w:rPr>
          <w:rFonts w:ascii="宋体" w:hAnsi="宋体" w:eastAsia="宋体" w:cs="宋体"/>
          <w:spacing w:val="-2"/>
          <w:sz w:val="24"/>
          <w:szCs w:val="24"/>
          <w:highlight w:val="none"/>
        </w:rPr>
        <w:t>权拒绝其相应的履行请求。</w:t>
      </w:r>
    </w:p>
    <w:p w14:paraId="177452B7">
      <w:pPr>
        <w:spacing w:line="278" w:lineRule="auto"/>
        <w:outlineLvl w:val="9"/>
        <w:rPr>
          <w:rFonts w:ascii="宋体" w:hAnsi="宋体" w:eastAsia="宋体" w:cs="宋体"/>
          <w:sz w:val="24"/>
          <w:szCs w:val="24"/>
          <w:highlight w:val="none"/>
        </w:rPr>
        <w:sectPr>
          <w:headerReference r:id="rId59" w:type="default"/>
          <w:footerReference r:id="rId60" w:type="default"/>
          <w:pgSz w:w="11906" w:h="16840"/>
          <w:pgMar w:top="1091" w:right="1635" w:bottom="1156" w:left="1785" w:header="1077" w:footer="910" w:gutter="0"/>
          <w:pgNumType w:fmt="decimal"/>
          <w:cols w:space="720" w:num="1"/>
        </w:sectPr>
      </w:pPr>
    </w:p>
    <w:p w14:paraId="0E4136B3">
      <w:pPr>
        <w:pStyle w:val="2"/>
        <w:spacing w:line="414" w:lineRule="auto"/>
        <w:outlineLvl w:val="9"/>
        <w:rPr>
          <w:highlight w:val="none"/>
        </w:rPr>
      </w:pPr>
    </w:p>
    <w:p w14:paraId="154D2D79">
      <w:pPr>
        <w:spacing w:before="71" w:line="219" w:lineRule="auto"/>
        <w:ind w:left="37"/>
        <w:outlineLvl w:val="9"/>
        <w:rPr>
          <w:rFonts w:ascii="宋体" w:hAnsi="宋体" w:eastAsia="宋体" w:cs="宋体"/>
          <w:sz w:val="22"/>
          <w:szCs w:val="22"/>
          <w:highlight w:val="none"/>
        </w:rPr>
      </w:pPr>
      <w:r>
        <w:rPr>
          <w:rFonts w:ascii="宋体" w:hAnsi="宋体" w:eastAsia="宋体" w:cs="宋体"/>
          <w:b/>
          <w:bCs/>
          <w:spacing w:val="-5"/>
          <w:sz w:val="22"/>
          <w:szCs w:val="22"/>
          <w:highlight w:val="none"/>
        </w:rPr>
        <w:t>7.货物包装、运输、保险和交付要求</w:t>
      </w:r>
    </w:p>
    <w:p w14:paraId="7AAA7D2A">
      <w:pPr>
        <w:spacing w:before="144" w:line="279" w:lineRule="auto"/>
        <w:ind w:left="41" w:right="123" w:firstLine="480"/>
        <w:outlineLvl w:val="9"/>
        <w:rPr>
          <w:rFonts w:ascii="宋体" w:hAnsi="宋体" w:eastAsia="宋体" w:cs="宋体"/>
          <w:sz w:val="24"/>
          <w:szCs w:val="24"/>
          <w:highlight w:val="none"/>
        </w:rPr>
      </w:pPr>
      <w:r>
        <w:rPr>
          <w:rFonts w:ascii="宋体" w:hAnsi="宋体" w:eastAsia="宋体" w:cs="宋体"/>
          <w:spacing w:val="-5"/>
          <w:sz w:val="24"/>
          <w:szCs w:val="24"/>
          <w:highlight w:val="none"/>
        </w:rPr>
        <w:t>7.1本合同涉及商品包装、快递包装的，除</w:t>
      </w:r>
      <w:r>
        <w:rPr>
          <w:rFonts w:ascii="宋体" w:hAnsi="宋体" w:eastAsia="宋体" w:cs="宋体"/>
          <w:b/>
          <w:bCs/>
          <w:spacing w:val="-5"/>
          <w:sz w:val="24"/>
          <w:szCs w:val="24"/>
          <w:highlight w:val="none"/>
        </w:rPr>
        <w:t>【政府采购合同专用条款】</w:t>
      </w:r>
      <w:r>
        <w:rPr>
          <w:rFonts w:ascii="宋体" w:hAnsi="宋体" w:eastAsia="宋体" w:cs="宋体"/>
          <w:spacing w:val="-5"/>
          <w:sz w:val="24"/>
          <w:szCs w:val="24"/>
          <w:highlight w:val="none"/>
        </w:rPr>
        <w:t>另有</w:t>
      </w:r>
      <w:r>
        <w:rPr>
          <w:rFonts w:ascii="宋体" w:hAnsi="宋体" w:eastAsia="宋体" w:cs="宋体"/>
          <w:spacing w:val="-3"/>
          <w:sz w:val="24"/>
          <w:szCs w:val="24"/>
          <w:highlight w:val="none"/>
        </w:rPr>
        <w:t>约定外，包装应适应远距离运输、防潮、防震</w:t>
      </w:r>
      <w:r>
        <w:rPr>
          <w:rFonts w:ascii="宋体" w:hAnsi="宋体" w:eastAsia="宋体" w:cs="宋体"/>
          <w:spacing w:val="-4"/>
          <w:sz w:val="24"/>
          <w:szCs w:val="24"/>
          <w:highlight w:val="none"/>
        </w:rPr>
        <w:t>、防锈和防野蛮装卸等要求，确保</w:t>
      </w:r>
      <w:r>
        <w:rPr>
          <w:rFonts w:ascii="宋体" w:hAnsi="宋体" w:eastAsia="宋体" w:cs="宋体"/>
          <w:spacing w:val="-3"/>
          <w:sz w:val="24"/>
          <w:szCs w:val="24"/>
          <w:highlight w:val="none"/>
        </w:rPr>
        <w:t>货物安全无损地运抵</w:t>
      </w:r>
      <w:r>
        <w:rPr>
          <w:rFonts w:ascii="宋体" w:hAnsi="宋体" w:eastAsia="宋体" w:cs="宋体"/>
          <w:b/>
          <w:bCs/>
          <w:spacing w:val="-3"/>
          <w:sz w:val="24"/>
          <w:szCs w:val="24"/>
          <w:highlight w:val="none"/>
        </w:rPr>
        <w:t>【政府采购合同专用条款】</w:t>
      </w:r>
      <w:r>
        <w:rPr>
          <w:rFonts w:ascii="宋体" w:hAnsi="宋体" w:eastAsia="宋体" w:cs="宋体"/>
          <w:spacing w:val="-3"/>
          <w:sz w:val="24"/>
          <w:szCs w:val="24"/>
          <w:highlight w:val="none"/>
        </w:rPr>
        <w:t>约定的指定现场。</w:t>
      </w:r>
    </w:p>
    <w:p w14:paraId="5F7C46EC">
      <w:pPr>
        <w:spacing w:before="108" w:line="278" w:lineRule="auto"/>
        <w:ind w:left="31" w:right="128" w:firstLine="489"/>
        <w:outlineLvl w:val="9"/>
        <w:rPr>
          <w:rFonts w:ascii="宋体" w:hAnsi="宋体" w:eastAsia="宋体" w:cs="宋体"/>
          <w:sz w:val="24"/>
          <w:szCs w:val="24"/>
        </w:rPr>
      </w:pPr>
      <w:r>
        <w:rPr>
          <w:rFonts w:ascii="宋体" w:hAnsi="宋体" w:eastAsia="宋体" w:cs="宋体"/>
          <w:spacing w:val="-5"/>
          <w:sz w:val="24"/>
          <w:szCs w:val="24"/>
        </w:rPr>
        <w:t>7.2除</w:t>
      </w:r>
      <w:r>
        <w:rPr>
          <w:rFonts w:ascii="宋体" w:hAnsi="宋体" w:eastAsia="宋体" w:cs="宋体"/>
          <w:b/>
          <w:bCs/>
          <w:spacing w:val="-5"/>
          <w:sz w:val="24"/>
          <w:szCs w:val="24"/>
        </w:rPr>
        <w:t>【政府采购合同专用条款】</w:t>
      </w:r>
      <w:r>
        <w:rPr>
          <w:rFonts w:ascii="宋体" w:hAnsi="宋体" w:eastAsia="宋体" w:cs="宋体"/>
          <w:spacing w:val="-5"/>
          <w:sz w:val="24"/>
          <w:szCs w:val="24"/>
        </w:rPr>
        <w:t>另有约定外，乙方负责办理将货物运抵本</w:t>
      </w:r>
      <w:r>
        <w:rPr>
          <w:rFonts w:ascii="宋体" w:hAnsi="宋体" w:eastAsia="宋体" w:cs="宋体"/>
          <w:spacing w:val="-3"/>
          <w:sz w:val="24"/>
          <w:szCs w:val="24"/>
        </w:rPr>
        <w:t>合同规定的交货地点，并装卸、交付至甲方的一切运输事</w:t>
      </w:r>
      <w:r>
        <w:rPr>
          <w:rFonts w:ascii="宋体" w:hAnsi="宋体" w:eastAsia="宋体" w:cs="宋体"/>
          <w:spacing w:val="-4"/>
          <w:sz w:val="24"/>
          <w:szCs w:val="24"/>
        </w:rPr>
        <w:t>项，相关费用应包含在</w:t>
      </w:r>
      <w:r>
        <w:rPr>
          <w:rFonts w:ascii="宋体" w:hAnsi="宋体" w:eastAsia="宋体" w:cs="宋体"/>
          <w:spacing w:val="-3"/>
          <w:sz w:val="24"/>
          <w:szCs w:val="24"/>
        </w:rPr>
        <w:t>合同价款中。</w:t>
      </w:r>
    </w:p>
    <w:p w14:paraId="3CF0AECD">
      <w:pPr>
        <w:spacing w:before="92" w:line="219" w:lineRule="auto"/>
        <w:ind w:left="521"/>
        <w:outlineLvl w:val="9"/>
        <w:rPr>
          <w:rFonts w:ascii="宋体" w:hAnsi="宋体" w:eastAsia="宋体" w:cs="宋体"/>
          <w:sz w:val="24"/>
          <w:szCs w:val="24"/>
        </w:rPr>
      </w:pPr>
      <w:r>
        <w:rPr>
          <w:rFonts w:ascii="宋体" w:hAnsi="宋体" w:eastAsia="宋体" w:cs="宋体"/>
          <w:spacing w:val="-3"/>
          <w:sz w:val="24"/>
          <w:szCs w:val="24"/>
        </w:rPr>
        <w:t>7.3货物保险要求按</w:t>
      </w:r>
      <w:r>
        <w:rPr>
          <w:rFonts w:ascii="宋体" w:hAnsi="宋体" w:eastAsia="宋体" w:cs="宋体"/>
          <w:b/>
          <w:bCs/>
          <w:spacing w:val="-3"/>
          <w:sz w:val="24"/>
          <w:szCs w:val="24"/>
        </w:rPr>
        <w:t>【政府采购合同专用条款】</w:t>
      </w:r>
      <w:r>
        <w:rPr>
          <w:rFonts w:ascii="宋体" w:hAnsi="宋体" w:eastAsia="宋体" w:cs="宋体"/>
          <w:spacing w:val="-3"/>
          <w:sz w:val="24"/>
          <w:szCs w:val="24"/>
        </w:rPr>
        <w:t>规定执行。</w:t>
      </w:r>
    </w:p>
    <w:p w14:paraId="615A7C7F">
      <w:pPr>
        <w:spacing w:before="138" w:line="285" w:lineRule="auto"/>
        <w:ind w:left="36" w:right="126" w:firstLine="481"/>
        <w:outlineLvl w:val="9"/>
        <w:rPr>
          <w:rFonts w:ascii="宋体" w:hAnsi="宋体" w:eastAsia="宋体" w:cs="宋体"/>
          <w:sz w:val="24"/>
          <w:szCs w:val="24"/>
        </w:rPr>
      </w:pPr>
      <w:r>
        <w:rPr>
          <w:rFonts w:ascii="宋体" w:hAnsi="宋体" w:eastAsia="宋体" w:cs="宋体"/>
          <w:spacing w:val="-3"/>
          <w:sz w:val="24"/>
          <w:szCs w:val="24"/>
        </w:rPr>
        <w:t>7.4除采购活动对商品包装、快递包装达</w:t>
      </w:r>
      <w:r>
        <w:rPr>
          <w:rFonts w:ascii="宋体" w:hAnsi="宋体" w:eastAsia="宋体" w:cs="宋体"/>
          <w:spacing w:val="-4"/>
          <w:sz w:val="24"/>
          <w:szCs w:val="24"/>
        </w:rPr>
        <w:t>成具体约定外，乙方提供产品及相</w:t>
      </w:r>
      <w:r>
        <w:rPr>
          <w:rFonts w:ascii="宋体" w:hAnsi="宋体" w:eastAsia="宋体" w:cs="宋体"/>
          <w:spacing w:val="-3"/>
          <w:sz w:val="24"/>
          <w:szCs w:val="24"/>
        </w:rPr>
        <w:t>关快递服务涉及到具体包装要求的，应不低于《商</w:t>
      </w:r>
      <w:r>
        <w:rPr>
          <w:rFonts w:ascii="宋体" w:hAnsi="宋体" w:eastAsia="宋体" w:cs="宋体"/>
          <w:spacing w:val="-4"/>
          <w:sz w:val="24"/>
          <w:szCs w:val="24"/>
        </w:rPr>
        <w:t>品包装政府采购需求标准（试</w:t>
      </w:r>
      <w:r>
        <w:rPr>
          <w:rFonts w:ascii="宋体" w:hAnsi="宋体" w:eastAsia="宋体" w:cs="宋体"/>
          <w:spacing w:val="-3"/>
          <w:sz w:val="24"/>
          <w:szCs w:val="24"/>
        </w:rPr>
        <w:t>行）》《快递包装政府采购需求标准（试行）》标</w:t>
      </w:r>
      <w:r>
        <w:rPr>
          <w:rFonts w:ascii="宋体" w:hAnsi="宋体" w:eastAsia="宋体" w:cs="宋体"/>
          <w:spacing w:val="-4"/>
          <w:sz w:val="24"/>
          <w:szCs w:val="24"/>
        </w:rPr>
        <w:t>准，并作为履约验收的内容，</w:t>
      </w:r>
      <w:r>
        <w:rPr>
          <w:rFonts w:ascii="宋体" w:hAnsi="宋体" w:eastAsia="宋体" w:cs="宋体"/>
          <w:spacing w:val="-2"/>
          <w:sz w:val="24"/>
          <w:szCs w:val="24"/>
        </w:rPr>
        <w:t>必要时甲方可以要求乙方在履约验收环节出具检测报告。</w:t>
      </w:r>
    </w:p>
    <w:p w14:paraId="340FAA42">
      <w:pPr>
        <w:spacing w:before="114" w:line="264" w:lineRule="auto"/>
        <w:ind w:left="90" w:firstLine="430"/>
        <w:outlineLvl w:val="9"/>
        <w:rPr>
          <w:rFonts w:ascii="宋体" w:hAnsi="宋体" w:eastAsia="宋体" w:cs="宋体"/>
          <w:sz w:val="24"/>
          <w:szCs w:val="24"/>
        </w:rPr>
      </w:pPr>
      <w:r>
        <w:rPr>
          <w:rFonts w:ascii="宋体" w:hAnsi="宋体" w:eastAsia="宋体" w:cs="宋体"/>
          <w:spacing w:val="-9"/>
          <w:sz w:val="24"/>
          <w:szCs w:val="24"/>
        </w:rPr>
        <w:t>7.5乙方在运输到达之前应提前通知甲方，并提示货物运输装卸的注意事项，</w:t>
      </w:r>
      <w:r>
        <w:rPr>
          <w:rFonts w:ascii="宋体" w:hAnsi="宋体" w:eastAsia="宋体" w:cs="宋体"/>
          <w:spacing w:val="-6"/>
          <w:sz w:val="24"/>
          <w:szCs w:val="24"/>
        </w:rPr>
        <w:t>甲方配合乙方做好货物的接收工作。</w:t>
      </w:r>
    </w:p>
    <w:p w14:paraId="55E18571">
      <w:pPr>
        <w:spacing w:before="140" w:line="323" w:lineRule="auto"/>
        <w:ind w:left="40" w:right="137" w:firstLine="393"/>
        <w:outlineLvl w:val="9"/>
        <w:rPr>
          <w:rFonts w:ascii="宋体" w:hAnsi="宋体" w:eastAsia="宋体" w:cs="宋体"/>
          <w:sz w:val="18"/>
          <w:szCs w:val="18"/>
        </w:rPr>
      </w:pPr>
      <w:r>
        <w:rPr>
          <w:rFonts w:ascii="宋体" w:hAnsi="宋体" w:eastAsia="宋体" w:cs="宋体"/>
          <w:spacing w:val="15"/>
          <w:sz w:val="18"/>
          <w:szCs w:val="18"/>
        </w:rPr>
        <w:t>7.6如因包装、运输问题导致货物损毁、</w:t>
      </w:r>
      <w:r>
        <w:rPr>
          <w:rFonts w:ascii="宋体" w:hAnsi="宋体" w:eastAsia="宋体" w:cs="宋体"/>
          <w:spacing w:val="14"/>
          <w:sz w:val="18"/>
          <w:szCs w:val="18"/>
        </w:rPr>
        <w:t>丢失或者品质下降，甲方有权要求降价、换货、拒</w:t>
      </w:r>
      <w:r>
        <w:rPr>
          <w:rFonts w:ascii="宋体" w:hAnsi="宋体" w:eastAsia="宋体" w:cs="宋体"/>
          <w:spacing w:val="13"/>
          <w:sz w:val="18"/>
          <w:szCs w:val="18"/>
        </w:rPr>
        <w:t>收部分或整批货物，由此产生的费用和损失，均由乙方承担。</w:t>
      </w:r>
    </w:p>
    <w:p w14:paraId="21ECFC94">
      <w:pPr>
        <w:spacing w:before="134" w:line="221" w:lineRule="auto"/>
        <w:ind w:left="28"/>
        <w:outlineLvl w:val="9"/>
        <w:rPr>
          <w:rFonts w:ascii="宋体" w:hAnsi="宋体" w:eastAsia="宋体" w:cs="宋体"/>
          <w:sz w:val="22"/>
          <w:szCs w:val="22"/>
        </w:rPr>
      </w:pPr>
      <w:r>
        <w:rPr>
          <w:rFonts w:ascii="宋体" w:hAnsi="宋体" w:eastAsia="宋体" w:cs="宋体"/>
          <w:b/>
          <w:bCs/>
          <w:spacing w:val="-5"/>
          <w:sz w:val="22"/>
          <w:szCs w:val="22"/>
        </w:rPr>
        <w:t>8.质量标准和保证</w:t>
      </w:r>
    </w:p>
    <w:p w14:paraId="35034205">
      <w:pPr>
        <w:spacing w:before="122" w:line="220" w:lineRule="auto"/>
        <w:ind w:left="511"/>
        <w:outlineLvl w:val="9"/>
        <w:rPr>
          <w:rFonts w:ascii="宋体" w:hAnsi="宋体" w:eastAsia="宋体" w:cs="宋体"/>
          <w:sz w:val="24"/>
          <w:szCs w:val="24"/>
        </w:rPr>
      </w:pPr>
      <w:r>
        <w:rPr>
          <w:rFonts w:ascii="宋体" w:hAnsi="宋体" w:eastAsia="宋体" w:cs="宋体"/>
          <w:spacing w:val="-3"/>
          <w:sz w:val="24"/>
          <w:szCs w:val="24"/>
        </w:rPr>
        <w:t>8.1质量标准</w:t>
      </w:r>
    </w:p>
    <w:p w14:paraId="78CF5F14">
      <w:pPr>
        <w:spacing w:before="136" w:line="290" w:lineRule="auto"/>
        <w:ind w:left="27" w:right="131" w:firstLine="504"/>
        <w:outlineLvl w:val="9"/>
        <w:rPr>
          <w:rFonts w:ascii="宋体" w:hAnsi="宋体" w:eastAsia="宋体" w:cs="宋体"/>
          <w:sz w:val="24"/>
          <w:szCs w:val="24"/>
        </w:rPr>
      </w:pPr>
      <w:r>
        <w:rPr>
          <w:rFonts w:ascii="宋体" w:hAnsi="宋体" w:eastAsia="宋体" w:cs="宋体"/>
          <w:spacing w:val="-1"/>
          <w:sz w:val="24"/>
          <w:szCs w:val="24"/>
        </w:rPr>
        <w:t>（1）本合同下提供的货物应符合合同约定的品牌、规格型号、技术性能、</w:t>
      </w:r>
      <w:r>
        <w:rPr>
          <w:rFonts w:ascii="宋体" w:hAnsi="宋体" w:eastAsia="宋体" w:cs="宋体"/>
          <w:spacing w:val="-3"/>
          <w:sz w:val="24"/>
          <w:szCs w:val="24"/>
        </w:rPr>
        <w:t>配置、质量、数量等要求。质量要求不明确的，按照强制性国</w:t>
      </w:r>
      <w:r>
        <w:rPr>
          <w:rFonts w:ascii="宋体" w:hAnsi="宋体" w:eastAsia="宋体" w:cs="宋体"/>
          <w:spacing w:val="-4"/>
          <w:sz w:val="24"/>
          <w:szCs w:val="24"/>
        </w:rPr>
        <w:t>家标准履行；没有</w:t>
      </w:r>
      <w:r>
        <w:rPr>
          <w:rFonts w:ascii="宋体" w:hAnsi="宋体" w:eastAsia="宋体" w:cs="宋体"/>
          <w:spacing w:val="-3"/>
          <w:sz w:val="24"/>
          <w:szCs w:val="24"/>
        </w:rPr>
        <w:t>强制性国家标准的，按照推荐性国家标准履行；没有推荐性国</w:t>
      </w:r>
      <w:r>
        <w:rPr>
          <w:rFonts w:ascii="宋体" w:hAnsi="宋体" w:eastAsia="宋体" w:cs="宋体"/>
          <w:spacing w:val="-4"/>
          <w:sz w:val="24"/>
          <w:szCs w:val="24"/>
        </w:rPr>
        <w:t>家标准的，按照行</w:t>
      </w:r>
      <w:r>
        <w:rPr>
          <w:rFonts w:ascii="宋体" w:hAnsi="宋体" w:eastAsia="宋体" w:cs="宋体"/>
          <w:spacing w:val="-3"/>
          <w:sz w:val="24"/>
          <w:szCs w:val="24"/>
        </w:rPr>
        <w:t>业标准履行；没有国家标准、行业标准的，按照通常标准或者</w:t>
      </w:r>
      <w:r>
        <w:rPr>
          <w:rFonts w:ascii="宋体" w:hAnsi="宋体" w:eastAsia="宋体" w:cs="宋体"/>
          <w:spacing w:val="-4"/>
          <w:sz w:val="24"/>
          <w:szCs w:val="24"/>
        </w:rPr>
        <w:t>符合合同目的的特</w:t>
      </w:r>
      <w:r>
        <w:rPr>
          <w:rFonts w:ascii="宋体" w:hAnsi="宋体" w:eastAsia="宋体" w:cs="宋体"/>
          <w:spacing w:val="-3"/>
          <w:sz w:val="24"/>
          <w:szCs w:val="24"/>
        </w:rPr>
        <w:t>定标准履行。</w:t>
      </w:r>
    </w:p>
    <w:p w14:paraId="7E3B1967">
      <w:pPr>
        <w:spacing w:before="87" w:line="219" w:lineRule="auto"/>
        <w:ind w:left="531"/>
        <w:outlineLvl w:val="9"/>
        <w:rPr>
          <w:rFonts w:ascii="宋体" w:hAnsi="宋体" w:eastAsia="宋体" w:cs="宋体"/>
          <w:sz w:val="24"/>
          <w:szCs w:val="24"/>
        </w:rPr>
      </w:pPr>
      <w:r>
        <w:rPr>
          <w:rFonts w:ascii="宋体" w:hAnsi="宋体" w:eastAsia="宋体" w:cs="宋体"/>
          <w:spacing w:val="-3"/>
          <w:sz w:val="24"/>
          <w:szCs w:val="24"/>
        </w:rPr>
        <w:t>（2）采用中华人民共和国法定计量单位。</w:t>
      </w:r>
    </w:p>
    <w:p w14:paraId="2B181ADB">
      <w:pPr>
        <w:spacing w:before="112" w:line="219" w:lineRule="auto"/>
        <w:ind w:left="531"/>
        <w:outlineLvl w:val="9"/>
        <w:rPr>
          <w:rFonts w:ascii="宋体" w:hAnsi="宋体" w:eastAsia="宋体" w:cs="宋体"/>
          <w:sz w:val="24"/>
          <w:szCs w:val="24"/>
        </w:rPr>
      </w:pPr>
      <w:r>
        <w:rPr>
          <w:rFonts w:ascii="宋体" w:hAnsi="宋体" w:eastAsia="宋体" w:cs="宋体"/>
          <w:spacing w:val="-2"/>
          <w:sz w:val="24"/>
          <w:szCs w:val="24"/>
        </w:rPr>
        <w:t>（3）乙方所提供的货物应符合国家有关安全、环保、卫生的规定。</w:t>
      </w:r>
    </w:p>
    <w:p w14:paraId="33E084EF">
      <w:pPr>
        <w:spacing w:before="138" w:line="278" w:lineRule="auto"/>
        <w:ind w:left="28" w:right="120" w:firstLine="503"/>
        <w:outlineLvl w:val="9"/>
        <w:rPr>
          <w:rFonts w:ascii="宋体" w:hAnsi="宋体" w:eastAsia="宋体" w:cs="宋体"/>
          <w:sz w:val="24"/>
          <w:szCs w:val="24"/>
        </w:rPr>
      </w:pPr>
      <w:r>
        <w:rPr>
          <w:rFonts w:ascii="宋体" w:hAnsi="宋体" w:eastAsia="宋体" w:cs="宋体"/>
          <w:spacing w:val="-7"/>
          <w:sz w:val="24"/>
          <w:szCs w:val="24"/>
        </w:rPr>
        <w:t>（4）乙方应向甲方提交所提供货物的技术文件，包括相</w:t>
      </w:r>
      <w:r>
        <w:rPr>
          <w:rFonts w:ascii="宋体" w:hAnsi="宋体" w:eastAsia="宋体" w:cs="宋体"/>
          <w:spacing w:val="-8"/>
          <w:sz w:val="24"/>
          <w:szCs w:val="24"/>
        </w:rPr>
        <w:t>应的中文技术文件，</w:t>
      </w:r>
      <w:r>
        <w:rPr>
          <w:rFonts w:ascii="宋体" w:hAnsi="宋体" w:eastAsia="宋体" w:cs="宋体"/>
          <w:spacing w:val="-3"/>
          <w:sz w:val="24"/>
          <w:szCs w:val="24"/>
        </w:rPr>
        <w:t>如：产品目录、图纸、操作手册、使用说明、维护手册或服</w:t>
      </w:r>
      <w:r>
        <w:rPr>
          <w:rFonts w:ascii="宋体" w:hAnsi="宋体" w:eastAsia="宋体" w:cs="宋体"/>
          <w:spacing w:val="-4"/>
          <w:sz w:val="24"/>
          <w:szCs w:val="24"/>
        </w:rPr>
        <w:t>务指南等。上述文件</w:t>
      </w:r>
      <w:r>
        <w:rPr>
          <w:rFonts w:ascii="宋体" w:hAnsi="宋体" w:eastAsia="宋体" w:cs="宋体"/>
          <w:spacing w:val="-2"/>
          <w:sz w:val="24"/>
          <w:szCs w:val="24"/>
        </w:rPr>
        <w:t>应包装好随货物一同发运。</w:t>
      </w:r>
    </w:p>
    <w:p w14:paraId="3A6118CE">
      <w:pPr>
        <w:spacing w:before="94" w:line="220" w:lineRule="auto"/>
        <w:ind w:left="511"/>
        <w:outlineLvl w:val="9"/>
        <w:rPr>
          <w:rFonts w:ascii="宋体" w:hAnsi="宋体" w:eastAsia="宋体" w:cs="宋体"/>
          <w:sz w:val="24"/>
          <w:szCs w:val="24"/>
        </w:rPr>
      </w:pPr>
      <w:r>
        <w:rPr>
          <w:rFonts w:ascii="宋体" w:hAnsi="宋体" w:eastAsia="宋体" w:cs="宋体"/>
          <w:spacing w:val="-6"/>
          <w:sz w:val="24"/>
          <w:szCs w:val="24"/>
        </w:rPr>
        <w:t>8.2保证</w:t>
      </w:r>
    </w:p>
    <w:p w14:paraId="695DBD64">
      <w:pPr>
        <w:spacing w:before="135" w:line="308" w:lineRule="auto"/>
        <w:ind w:left="31" w:right="118" w:firstLine="500"/>
        <w:jc w:val="both"/>
        <w:outlineLvl w:val="9"/>
        <w:rPr>
          <w:rFonts w:ascii="宋体" w:hAnsi="宋体" w:eastAsia="宋体" w:cs="宋体"/>
          <w:sz w:val="24"/>
          <w:szCs w:val="24"/>
        </w:rPr>
      </w:pPr>
      <w:r>
        <w:rPr>
          <w:rFonts w:ascii="宋体" w:hAnsi="宋体" w:eastAsia="宋体" w:cs="宋体"/>
          <w:sz w:val="24"/>
          <w:szCs w:val="24"/>
        </w:rPr>
        <w:t>（1）乙方应保证提供的货物完全符合合同规定的质量、规格</w:t>
      </w:r>
      <w:r>
        <w:rPr>
          <w:rFonts w:ascii="宋体" w:hAnsi="宋体" w:eastAsia="宋体" w:cs="宋体"/>
          <w:spacing w:val="-1"/>
          <w:sz w:val="24"/>
          <w:szCs w:val="24"/>
        </w:rPr>
        <w:t>和性能要求。</w:t>
      </w:r>
      <w:r>
        <w:rPr>
          <w:rFonts w:ascii="宋体" w:hAnsi="宋体" w:eastAsia="宋体" w:cs="宋体"/>
          <w:spacing w:val="-3"/>
          <w:sz w:val="24"/>
          <w:szCs w:val="24"/>
        </w:rPr>
        <w:t>乙方应保证货物在正确安装、正常使用和保养条件下，在其使用寿命期内具备合</w:t>
      </w:r>
      <w:r>
        <w:rPr>
          <w:rFonts w:ascii="宋体" w:hAnsi="宋体" w:eastAsia="宋体" w:cs="宋体"/>
          <w:spacing w:val="-4"/>
          <w:sz w:val="24"/>
          <w:szCs w:val="24"/>
        </w:rPr>
        <w:t>同约定的性能。存在质量保证期的，货物最终交付验收合格后在</w:t>
      </w:r>
      <w:r>
        <w:rPr>
          <w:rFonts w:ascii="宋体" w:hAnsi="宋体" w:eastAsia="宋体" w:cs="宋体"/>
          <w:b/>
          <w:bCs/>
          <w:spacing w:val="-4"/>
          <w:sz w:val="24"/>
          <w:szCs w:val="24"/>
        </w:rPr>
        <w:t>【政府采购合同</w:t>
      </w:r>
      <w:r>
        <w:rPr>
          <w:rFonts w:ascii="宋体" w:hAnsi="宋体" w:eastAsia="宋体" w:cs="宋体"/>
          <w:b/>
          <w:bCs/>
          <w:spacing w:val="-3"/>
          <w:sz w:val="24"/>
          <w:szCs w:val="24"/>
        </w:rPr>
        <w:t>专用条款】</w:t>
      </w:r>
      <w:r>
        <w:rPr>
          <w:rFonts w:ascii="宋体" w:hAnsi="宋体" w:eastAsia="宋体" w:cs="宋体"/>
          <w:spacing w:val="-3"/>
          <w:sz w:val="24"/>
          <w:szCs w:val="24"/>
        </w:rPr>
        <w:t>规定或乙方书面承诺（两者以较长的为</w:t>
      </w:r>
      <w:r>
        <w:rPr>
          <w:rFonts w:ascii="宋体" w:hAnsi="宋体" w:eastAsia="宋体" w:cs="宋体"/>
          <w:spacing w:val="-4"/>
          <w:sz w:val="24"/>
          <w:szCs w:val="24"/>
        </w:rPr>
        <w:t>准）的质量保证期内，本保证保持有效。</w:t>
      </w:r>
    </w:p>
    <w:p w14:paraId="6A9C177D">
      <w:pPr>
        <w:spacing w:line="308" w:lineRule="auto"/>
        <w:outlineLvl w:val="9"/>
        <w:rPr>
          <w:rFonts w:ascii="宋体" w:hAnsi="宋体" w:eastAsia="宋体" w:cs="宋体"/>
          <w:sz w:val="24"/>
          <w:szCs w:val="24"/>
        </w:rPr>
        <w:sectPr>
          <w:headerReference r:id="rId61" w:type="default"/>
          <w:footerReference r:id="rId62" w:type="default"/>
          <w:pgSz w:w="11906" w:h="16840"/>
          <w:pgMar w:top="1091" w:right="1673" w:bottom="1156" w:left="1785" w:header="1077" w:footer="910" w:gutter="0"/>
          <w:pgNumType w:fmt="decimal"/>
          <w:cols w:space="720" w:num="1"/>
        </w:sectPr>
      </w:pPr>
    </w:p>
    <w:p w14:paraId="2BCA116D">
      <w:pPr>
        <w:pStyle w:val="2"/>
        <w:spacing w:line="393" w:lineRule="auto"/>
        <w:outlineLvl w:val="9"/>
      </w:pPr>
    </w:p>
    <w:p w14:paraId="1ADCE52B">
      <w:pPr>
        <w:spacing w:before="78" w:line="219" w:lineRule="auto"/>
        <w:ind w:left="531"/>
        <w:outlineLvl w:val="9"/>
        <w:rPr>
          <w:rFonts w:ascii="宋体" w:hAnsi="宋体" w:eastAsia="宋体" w:cs="宋体"/>
          <w:sz w:val="24"/>
          <w:szCs w:val="24"/>
        </w:rPr>
      </w:pPr>
      <w:r>
        <w:rPr>
          <w:rFonts w:ascii="宋体" w:hAnsi="宋体" w:eastAsia="宋体" w:cs="宋体"/>
          <w:spacing w:val="-2"/>
          <w:sz w:val="24"/>
          <w:szCs w:val="24"/>
        </w:rPr>
        <w:t>（2）在质量保证期内所发现的缺陷，甲方应尽快以书面形式通知乙方。</w:t>
      </w:r>
    </w:p>
    <w:p w14:paraId="0E86F432">
      <w:pPr>
        <w:spacing w:before="137" w:line="264" w:lineRule="auto"/>
        <w:ind w:left="84" w:right="202" w:firstLine="447"/>
        <w:outlineLvl w:val="9"/>
        <w:rPr>
          <w:rFonts w:ascii="宋体" w:hAnsi="宋体" w:eastAsia="宋体" w:cs="宋体"/>
          <w:sz w:val="24"/>
          <w:szCs w:val="24"/>
        </w:rPr>
      </w:pPr>
      <w:r>
        <w:rPr>
          <w:rFonts w:ascii="宋体" w:hAnsi="宋体" w:eastAsia="宋体" w:cs="宋体"/>
          <w:spacing w:val="-3"/>
          <w:sz w:val="24"/>
          <w:szCs w:val="24"/>
        </w:rPr>
        <w:t>（3）乙方收到通知后，应在</w:t>
      </w:r>
      <w:r>
        <w:rPr>
          <w:rFonts w:ascii="宋体" w:hAnsi="宋体" w:eastAsia="宋体" w:cs="宋体"/>
          <w:b/>
          <w:bCs/>
          <w:spacing w:val="-3"/>
          <w:sz w:val="24"/>
          <w:szCs w:val="24"/>
        </w:rPr>
        <w:t>【政府采购合同专用条款】</w:t>
      </w:r>
      <w:r>
        <w:rPr>
          <w:rFonts w:ascii="宋体" w:hAnsi="宋体" w:eastAsia="宋体" w:cs="宋体"/>
          <w:spacing w:val="-3"/>
          <w:sz w:val="24"/>
          <w:szCs w:val="24"/>
        </w:rPr>
        <w:t>规定的响应时间内</w:t>
      </w:r>
      <w:r>
        <w:rPr>
          <w:rFonts w:ascii="宋体" w:hAnsi="宋体" w:eastAsia="宋体" w:cs="宋体"/>
          <w:spacing w:val="-4"/>
          <w:sz w:val="24"/>
          <w:szCs w:val="24"/>
        </w:rPr>
        <w:t>以合理的速度免费维修或更换有缺陷的货物或部件。</w:t>
      </w:r>
    </w:p>
    <w:p w14:paraId="0EE4C643">
      <w:pPr>
        <w:spacing w:before="110" w:line="279" w:lineRule="auto"/>
        <w:ind w:left="31" w:right="164" w:firstLine="500"/>
        <w:outlineLvl w:val="9"/>
        <w:rPr>
          <w:rFonts w:ascii="宋体" w:hAnsi="宋体" w:eastAsia="宋体" w:cs="宋体"/>
          <w:sz w:val="24"/>
          <w:szCs w:val="24"/>
        </w:rPr>
      </w:pPr>
      <w:r>
        <w:rPr>
          <w:rFonts w:ascii="宋体" w:hAnsi="宋体" w:eastAsia="宋体" w:cs="宋体"/>
          <w:spacing w:val="-2"/>
          <w:sz w:val="24"/>
          <w:szCs w:val="24"/>
        </w:rPr>
        <w:t>（4）在质量保证期内，如果货物的质量或规格与合同不符，或证实货物是</w:t>
      </w:r>
      <w:r>
        <w:rPr>
          <w:rFonts w:ascii="宋体" w:hAnsi="宋体" w:eastAsia="宋体" w:cs="宋体"/>
          <w:spacing w:val="-3"/>
          <w:sz w:val="24"/>
          <w:szCs w:val="24"/>
        </w:rPr>
        <w:t>有缺陷的，包括潜在的缺陷或使用不符合要求的材料等，</w:t>
      </w:r>
      <w:r>
        <w:rPr>
          <w:rFonts w:ascii="宋体" w:hAnsi="宋体" w:eastAsia="宋体" w:cs="宋体"/>
          <w:spacing w:val="-4"/>
          <w:sz w:val="24"/>
          <w:szCs w:val="24"/>
        </w:rPr>
        <w:t>甲方可以根据本合同第</w:t>
      </w:r>
      <w:r>
        <w:rPr>
          <w:rFonts w:ascii="宋体" w:hAnsi="宋体" w:eastAsia="宋体" w:cs="宋体"/>
          <w:spacing w:val="-2"/>
          <w:sz w:val="24"/>
          <w:szCs w:val="24"/>
        </w:rPr>
        <w:t>15.1条规定以书面形式追究乙方的违约责任。</w:t>
      </w:r>
    </w:p>
    <w:p w14:paraId="3258E5C9">
      <w:pPr>
        <w:spacing w:before="110" w:line="264" w:lineRule="auto"/>
        <w:ind w:left="31" w:firstLine="500"/>
        <w:outlineLvl w:val="9"/>
        <w:rPr>
          <w:rFonts w:ascii="宋体" w:hAnsi="宋体" w:eastAsia="宋体" w:cs="宋体"/>
          <w:sz w:val="24"/>
          <w:szCs w:val="24"/>
        </w:rPr>
      </w:pPr>
      <w:r>
        <w:rPr>
          <w:rFonts w:ascii="宋体" w:hAnsi="宋体" w:eastAsia="宋体" w:cs="宋体"/>
          <w:spacing w:val="-2"/>
          <w:sz w:val="24"/>
          <w:szCs w:val="24"/>
        </w:rPr>
        <w:t>（5）乙方在约定的时间内未能弥补缺陷，甲方可采取必要的补救措施，但</w:t>
      </w:r>
      <w:r>
        <w:rPr>
          <w:rFonts w:ascii="宋体" w:hAnsi="宋体" w:eastAsia="宋体" w:cs="宋体"/>
          <w:spacing w:val="-5"/>
          <w:sz w:val="24"/>
          <w:szCs w:val="24"/>
        </w:rPr>
        <w:t>其风险和费用将由乙方承担，甲方根据合同约定对乙方行</w:t>
      </w:r>
      <w:r>
        <w:rPr>
          <w:rFonts w:ascii="宋体" w:hAnsi="宋体" w:eastAsia="宋体" w:cs="宋体"/>
          <w:spacing w:val="-6"/>
          <w:sz w:val="24"/>
          <w:szCs w:val="24"/>
        </w:rPr>
        <w:t>使的其他权利不受影响。</w:t>
      </w:r>
    </w:p>
    <w:p w14:paraId="4097368E">
      <w:pPr>
        <w:spacing w:before="104" w:line="220" w:lineRule="auto"/>
        <w:ind w:left="28"/>
        <w:outlineLvl w:val="9"/>
        <w:rPr>
          <w:rFonts w:ascii="宋体" w:hAnsi="宋体" w:eastAsia="宋体" w:cs="宋体"/>
          <w:sz w:val="22"/>
          <w:szCs w:val="22"/>
        </w:rPr>
      </w:pPr>
      <w:r>
        <w:rPr>
          <w:rFonts w:ascii="宋体" w:hAnsi="宋体" w:eastAsia="宋体" w:cs="宋体"/>
          <w:b/>
          <w:bCs/>
          <w:spacing w:val="-5"/>
          <w:sz w:val="22"/>
          <w:szCs w:val="22"/>
        </w:rPr>
        <w:t>9.权利瑕疵担保</w:t>
      </w:r>
    </w:p>
    <w:p w14:paraId="52CC49C8">
      <w:pPr>
        <w:spacing w:before="122" w:line="219" w:lineRule="auto"/>
        <w:ind w:left="511"/>
        <w:outlineLvl w:val="9"/>
        <w:rPr>
          <w:rFonts w:ascii="宋体" w:hAnsi="宋体" w:eastAsia="宋体" w:cs="宋体"/>
          <w:sz w:val="24"/>
          <w:szCs w:val="24"/>
        </w:rPr>
      </w:pPr>
      <w:r>
        <w:rPr>
          <w:rFonts w:ascii="宋体" w:hAnsi="宋体" w:eastAsia="宋体" w:cs="宋体"/>
          <w:spacing w:val="-4"/>
          <w:sz w:val="24"/>
          <w:szCs w:val="24"/>
        </w:rPr>
        <w:t>9.1乙方保证对其出售的货物享有合法的权利。</w:t>
      </w:r>
    </w:p>
    <w:p w14:paraId="62BCDE94">
      <w:pPr>
        <w:spacing w:before="113" w:line="219" w:lineRule="auto"/>
        <w:ind w:left="511"/>
        <w:outlineLvl w:val="9"/>
        <w:rPr>
          <w:rFonts w:ascii="宋体" w:hAnsi="宋体" w:eastAsia="宋体" w:cs="宋体"/>
          <w:sz w:val="24"/>
          <w:szCs w:val="24"/>
        </w:rPr>
      </w:pPr>
      <w:r>
        <w:rPr>
          <w:rFonts w:ascii="宋体" w:hAnsi="宋体" w:eastAsia="宋体" w:cs="宋体"/>
          <w:spacing w:val="-4"/>
          <w:sz w:val="24"/>
          <w:szCs w:val="24"/>
        </w:rPr>
        <w:t>9.2乙方保证在交付的货物上不存在抵押权等担保物权。</w:t>
      </w:r>
    </w:p>
    <w:p w14:paraId="1FFE2C58">
      <w:pPr>
        <w:spacing w:before="116" w:line="219" w:lineRule="auto"/>
        <w:ind w:left="511"/>
        <w:outlineLvl w:val="9"/>
        <w:rPr>
          <w:rFonts w:ascii="宋体" w:hAnsi="宋体" w:eastAsia="宋体" w:cs="宋体"/>
          <w:sz w:val="24"/>
          <w:szCs w:val="24"/>
        </w:rPr>
      </w:pPr>
      <w:r>
        <w:rPr>
          <w:rFonts w:ascii="宋体" w:hAnsi="宋体" w:eastAsia="宋体" w:cs="宋体"/>
          <w:spacing w:val="-1"/>
          <w:sz w:val="24"/>
          <w:szCs w:val="24"/>
        </w:rPr>
        <w:t>9.3如甲方使用上述货物构成对第三人侵权的，则由乙方承担全部责任。</w:t>
      </w:r>
    </w:p>
    <w:p w14:paraId="3191BC33">
      <w:pPr>
        <w:spacing w:before="129" w:line="220" w:lineRule="auto"/>
        <w:ind w:left="60"/>
        <w:outlineLvl w:val="9"/>
        <w:rPr>
          <w:rFonts w:ascii="宋体" w:hAnsi="宋体" w:eastAsia="宋体" w:cs="宋体"/>
          <w:sz w:val="22"/>
          <w:szCs w:val="22"/>
        </w:rPr>
      </w:pPr>
      <w:r>
        <w:rPr>
          <w:rFonts w:ascii="宋体" w:hAnsi="宋体" w:eastAsia="宋体" w:cs="宋体"/>
          <w:b/>
          <w:bCs/>
          <w:spacing w:val="-8"/>
          <w:sz w:val="22"/>
          <w:szCs w:val="22"/>
        </w:rPr>
        <w:t>10.知识产权保护</w:t>
      </w:r>
    </w:p>
    <w:p w14:paraId="695B4AE4">
      <w:pPr>
        <w:spacing w:before="143" w:line="306" w:lineRule="auto"/>
        <w:ind w:left="28" w:right="75" w:firstLine="516"/>
        <w:outlineLvl w:val="9"/>
        <w:rPr>
          <w:rFonts w:ascii="宋体" w:hAnsi="宋体" w:eastAsia="宋体" w:cs="宋体"/>
          <w:sz w:val="24"/>
          <w:szCs w:val="24"/>
        </w:rPr>
      </w:pPr>
      <w:r>
        <w:rPr>
          <w:rFonts w:ascii="宋体" w:hAnsi="宋体" w:eastAsia="宋体" w:cs="宋体"/>
          <w:sz w:val="24"/>
          <w:szCs w:val="24"/>
        </w:rPr>
        <w:t>10.1乙方对其所销售的货物应当享有知识产权或</w:t>
      </w:r>
      <w:r>
        <w:rPr>
          <w:rFonts w:ascii="宋体" w:hAnsi="宋体" w:eastAsia="宋体" w:cs="宋体"/>
          <w:spacing w:val="-1"/>
          <w:sz w:val="24"/>
          <w:szCs w:val="24"/>
        </w:rPr>
        <w:t>经权利人合法授权，保证没有侵犯任何第三人的知识产权等权利。因违反前述约定对第三人构成侵权的，</w:t>
      </w:r>
      <w:r>
        <w:rPr>
          <w:rFonts w:ascii="宋体" w:hAnsi="宋体" w:eastAsia="宋体" w:cs="宋体"/>
          <w:spacing w:val="-7"/>
          <w:sz w:val="24"/>
          <w:szCs w:val="24"/>
        </w:rPr>
        <w:t>应当由乙方向第三人承担法律责任；甲方依法向第三人赔</w:t>
      </w:r>
      <w:r>
        <w:rPr>
          <w:rFonts w:ascii="宋体" w:hAnsi="宋体" w:eastAsia="宋体" w:cs="宋体"/>
          <w:spacing w:val="-8"/>
          <w:sz w:val="24"/>
          <w:szCs w:val="24"/>
        </w:rPr>
        <w:t>偿后，有权向乙方追偿。</w:t>
      </w:r>
      <w:r>
        <w:rPr>
          <w:rFonts w:ascii="宋体" w:hAnsi="宋体" w:eastAsia="宋体" w:cs="宋体"/>
          <w:spacing w:val="-2"/>
          <w:sz w:val="24"/>
          <w:szCs w:val="24"/>
        </w:rPr>
        <w:t>甲方有其他损失的，乙方应当赔偿。</w:t>
      </w:r>
    </w:p>
    <w:p w14:paraId="517A685E">
      <w:pPr>
        <w:spacing w:line="220" w:lineRule="auto"/>
        <w:ind w:left="60"/>
        <w:outlineLvl w:val="9"/>
        <w:rPr>
          <w:rFonts w:ascii="宋体" w:hAnsi="宋体" w:eastAsia="宋体" w:cs="宋体"/>
          <w:sz w:val="22"/>
          <w:szCs w:val="22"/>
        </w:rPr>
      </w:pPr>
      <w:r>
        <w:rPr>
          <w:rFonts w:ascii="宋体" w:hAnsi="宋体" w:eastAsia="宋体" w:cs="宋体"/>
          <w:b/>
          <w:bCs/>
          <w:spacing w:val="-11"/>
          <w:sz w:val="22"/>
          <w:szCs w:val="22"/>
        </w:rPr>
        <w:t>11.保密义务</w:t>
      </w:r>
    </w:p>
    <w:p w14:paraId="605857C6">
      <w:pPr>
        <w:spacing w:before="142" w:line="306" w:lineRule="auto"/>
        <w:ind w:left="27" w:right="166" w:firstLine="517"/>
        <w:outlineLvl w:val="9"/>
        <w:rPr>
          <w:rFonts w:ascii="宋体" w:hAnsi="宋体" w:eastAsia="宋体" w:cs="宋体"/>
          <w:sz w:val="24"/>
          <w:szCs w:val="24"/>
        </w:rPr>
      </w:pPr>
      <w:r>
        <w:rPr>
          <w:rFonts w:ascii="宋体" w:hAnsi="宋体" w:eastAsia="宋体" w:cs="宋体"/>
          <w:spacing w:val="-3"/>
          <w:sz w:val="24"/>
          <w:szCs w:val="24"/>
        </w:rPr>
        <w:t>11.1甲、乙双方对采购和合同履行过程中所获悉的国家</w:t>
      </w:r>
      <w:r>
        <w:rPr>
          <w:rFonts w:ascii="宋体" w:hAnsi="宋体" w:eastAsia="宋体" w:cs="宋体"/>
          <w:spacing w:val="-4"/>
          <w:sz w:val="24"/>
          <w:szCs w:val="24"/>
        </w:rPr>
        <w:t>秘密、工作秘密、</w:t>
      </w:r>
      <w:r>
        <w:rPr>
          <w:rFonts w:ascii="宋体" w:hAnsi="宋体" w:eastAsia="宋体" w:cs="宋体"/>
          <w:spacing w:val="-3"/>
          <w:sz w:val="24"/>
          <w:szCs w:val="24"/>
        </w:rPr>
        <w:t>商业秘密或者其他应当保密的信息，均有保密义务且不受合同</w:t>
      </w:r>
      <w:r>
        <w:rPr>
          <w:rFonts w:ascii="宋体" w:hAnsi="宋体" w:eastAsia="宋体" w:cs="宋体"/>
          <w:spacing w:val="-4"/>
          <w:sz w:val="24"/>
          <w:szCs w:val="24"/>
        </w:rPr>
        <w:t>有效期所限，直至</w:t>
      </w:r>
      <w:r>
        <w:rPr>
          <w:rFonts w:ascii="宋体" w:hAnsi="宋体" w:eastAsia="宋体" w:cs="宋体"/>
          <w:spacing w:val="-3"/>
          <w:sz w:val="24"/>
          <w:szCs w:val="24"/>
        </w:rPr>
        <w:t>该信息成为公开信息。泄露、不正当地使用国家秘密、工作秘</w:t>
      </w:r>
      <w:r>
        <w:rPr>
          <w:rFonts w:ascii="宋体" w:hAnsi="宋体" w:eastAsia="宋体" w:cs="宋体"/>
          <w:spacing w:val="-4"/>
          <w:sz w:val="24"/>
          <w:szCs w:val="24"/>
        </w:rPr>
        <w:t>密、商业秘密或者</w:t>
      </w:r>
      <w:r>
        <w:rPr>
          <w:rFonts w:ascii="宋体" w:hAnsi="宋体" w:eastAsia="宋体" w:cs="宋体"/>
          <w:spacing w:val="-3"/>
          <w:sz w:val="24"/>
          <w:szCs w:val="24"/>
        </w:rPr>
        <w:t>其他应当保密的信息，应当承担相应责任。</w:t>
      </w:r>
      <w:r>
        <w:rPr>
          <w:rFonts w:ascii="宋体" w:hAnsi="宋体" w:eastAsia="宋体" w:cs="宋体"/>
          <w:spacing w:val="-4"/>
          <w:sz w:val="24"/>
          <w:szCs w:val="24"/>
        </w:rPr>
        <w:t>其他应当保密的信息由双方在</w:t>
      </w:r>
      <w:r>
        <w:rPr>
          <w:rFonts w:ascii="宋体" w:hAnsi="宋体" w:eastAsia="宋体" w:cs="宋体"/>
          <w:b/>
          <w:bCs/>
          <w:spacing w:val="-4"/>
          <w:sz w:val="24"/>
          <w:szCs w:val="24"/>
        </w:rPr>
        <w:t>【政府采购合同专用条款】</w:t>
      </w:r>
      <w:r>
        <w:rPr>
          <w:rFonts w:ascii="宋体" w:hAnsi="宋体" w:eastAsia="宋体" w:cs="宋体"/>
          <w:spacing w:val="-4"/>
          <w:sz w:val="24"/>
          <w:szCs w:val="24"/>
        </w:rPr>
        <w:t>中约定。</w:t>
      </w:r>
    </w:p>
    <w:p w14:paraId="0A145714">
      <w:pPr>
        <w:spacing w:before="1" w:line="218" w:lineRule="auto"/>
        <w:ind w:left="60"/>
        <w:outlineLvl w:val="9"/>
        <w:rPr>
          <w:rFonts w:ascii="宋体" w:hAnsi="宋体" w:eastAsia="宋体" w:cs="宋体"/>
          <w:sz w:val="22"/>
          <w:szCs w:val="22"/>
        </w:rPr>
      </w:pPr>
      <w:r>
        <w:rPr>
          <w:rFonts w:ascii="宋体" w:hAnsi="宋体" w:eastAsia="宋体" w:cs="宋体"/>
          <w:b/>
          <w:bCs/>
          <w:spacing w:val="-8"/>
          <w:sz w:val="22"/>
          <w:szCs w:val="22"/>
        </w:rPr>
        <w:t>12.合同价款支付</w:t>
      </w:r>
    </w:p>
    <w:p w14:paraId="669BB16B">
      <w:pPr>
        <w:spacing w:before="123" w:line="218" w:lineRule="auto"/>
        <w:ind w:left="545"/>
        <w:outlineLvl w:val="9"/>
        <w:rPr>
          <w:rFonts w:ascii="宋体" w:hAnsi="宋体" w:eastAsia="宋体" w:cs="宋体"/>
          <w:sz w:val="24"/>
          <w:szCs w:val="24"/>
        </w:rPr>
      </w:pPr>
      <w:r>
        <w:rPr>
          <w:rFonts w:ascii="宋体" w:hAnsi="宋体" w:eastAsia="宋体" w:cs="宋体"/>
          <w:spacing w:val="-2"/>
          <w:sz w:val="24"/>
          <w:szCs w:val="24"/>
        </w:rPr>
        <w:t>12.1合同价款支付按照国库集中支付制度及财政管理相关规定执行。</w:t>
      </w:r>
    </w:p>
    <w:p w14:paraId="7AAB162C">
      <w:pPr>
        <w:spacing w:before="169" w:line="367" w:lineRule="auto"/>
        <w:ind w:left="263" w:right="173" w:firstLine="427"/>
        <w:outlineLvl w:val="9"/>
        <w:rPr>
          <w:rFonts w:ascii="宋体" w:hAnsi="宋体" w:eastAsia="宋体" w:cs="宋体"/>
          <w:sz w:val="18"/>
          <w:szCs w:val="18"/>
        </w:rPr>
      </w:pPr>
      <w:r>
        <w:rPr>
          <w:rFonts w:ascii="宋体" w:hAnsi="宋体" w:eastAsia="宋体" w:cs="宋体"/>
          <w:spacing w:val="14"/>
          <w:sz w:val="18"/>
          <w:szCs w:val="18"/>
        </w:rPr>
        <w:t>12.2对于满足合同约定支付条件的，甲方原则上应当自</w:t>
      </w:r>
      <w:r>
        <w:rPr>
          <w:rFonts w:ascii="宋体" w:hAnsi="宋体" w:eastAsia="宋体" w:cs="宋体"/>
          <w:spacing w:val="13"/>
          <w:sz w:val="18"/>
          <w:szCs w:val="18"/>
        </w:rPr>
        <w:t>收到发票后10个工作日内将资</w:t>
      </w:r>
      <w:r>
        <w:rPr>
          <w:rFonts w:ascii="宋体" w:hAnsi="宋体" w:eastAsia="宋体" w:cs="宋体"/>
          <w:spacing w:val="21"/>
          <w:sz w:val="18"/>
          <w:szCs w:val="18"/>
        </w:rPr>
        <w:t>金支付到合同约定的乙方账户，不得以机构变动、人员更替、政策调整等为由迟延付款，不</w:t>
      </w:r>
      <w:r>
        <w:rPr>
          <w:rFonts w:ascii="宋体" w:hAnsi="宋体" w:eastAsia="宋体" w:cs="宋体"/>
          <w:spacing w:val="20"/>
          <w:sz w:val="18"/>
          <w:szCs w:val="18"/>
        </w:rPr>
        <w:t>得将采购文件和合同中未规定的义务作为向乙方付款的条件。具体合同价款支付时间在【</w:t>
      </w:r>
      <w:r>
        <w:rPr>
          <w:rFonts w:ascii="宋体" w:hAnsi="宋体" w:eastAsia="宋体" w:cs="宋体"/>
          <w:b/>
          <w:bCs/>
          <w:spacing w:val="20"/>
          <w:sz w:val="18"/>
          <w:szCs w:val="18"/>
        </w:rPr>
        <w:t>政</w:t>
      </w:r>
      <w:r>
        <w:rPr>
          <w:rFonts w:ascii="宋体" w:hAnsi="宋体" w:eastAsia="宋体" w:cs="宋体"/>
          <w:b/>
          <w:bCs/>
          <w:spacing w:val="8"/>
          <w:sz w:val="18"/>
          <w:szCs w:val="18"/>
        </w:rPr>
        <w:t>府采购合同专用条款</w:t>
      </w:r>
      <w:r>
        <w:rPr>
          <w:rFonts w:ascii="宋体" w:hAnsi="宋体" w:eastAsia="宋体" w:cs="宋体"/>
          <w:spacing w:val="8"/>
          <w:sz w:val="18"/>
          <w:szCs w:val="18"/>
        </w:rPr>
        <w:t>】中约定。</w:t>
      </w:r>
    </w:p>
    <w:p w14:paraId="6B111892">
      <w:pPr>
        <w:spacing w:before="132" w:line="221" w:lineRule="auto"/>
        <w:ind w:left="60"/>
        <w:outlineLvl w:val="9"/>
        <w:rPr>
          <w:rFonts w:ascii="宋体" w:hAnsi="宋体" w:eastAsia="宋体" w:cs="宋体"/>
          <w:sz w:val="22"/>
          <w:szCs w:val="22"/>
        </w:rPr>
      </w:pPr>
      <w:r>
        <w:rPr>
          <w:rFonts w:ascii="宋体" w:hAnsi="宋体" w:eastAsia="宋体" w:cs="宋体"/>
          <w:b/>
          <w:bCs/>
          <w:spacing w:val="-11"/>
          <w:sz w:val="22"/>
          <w:szCs w:val="22"/>
        </w:rPr>
        <w:t>13.履约保证金</w:t>
      </w:r>
    </w:p>
    <w:p w14:paraId="6CC54ADD">
      <w:pPr>
        <w:spacing w:before="139" w:line="265" w:lineRule="auto"/>
        <w:ind w:left="36" w:right="192" w:firstLine="505"/>
        <w:outlineLvl w:val="9"/>
        <w:rPr>
          <w:rFonts w:ascii="宋体" w:hAnsi="宋体" w:eastAsia="宋体" w:cs="宋体"/>
          <w:sz w:val="24"/>
          <w:szCs w:val="24"/>
        </w:rPr>
      </w:pPr>
      <w:r>
        <w:rPr>
          <w:rFonts w:ascii="宋体" w:hAnsi="宋体" w:eastAsia="宋体" w:cs="宋体"/>
          <w:spacing w:val="-4"/>
          <w:sz w:val="24"/>
          <w:szCs w:val="24"/>
        </w:rPr>
        <w:t>13.1乙方应当以支票、汇票、本票或者金融机构、担保机构出具的保函等非现金形式提交。</w:t>
      </w:r>
    </w:p>
    <w:p w14:paraId="64E18BCA">
      <w:pPr>
        <w:spacing w:before="110" w:line="264" w:lineRule="auto"/>
        <w:ind w:left="42" w:right="159" w:firstLine="502"/>
        <w:outlineLvl w:val="9"/>
        <w:rPr>
          <w:rFonts w:ascii="宋体" w:hAnsi="宋体" w:eastAsia="宋体" w:cs="宋体"/>
          <w:sz w:val="24"/>
          <w:szCs w:val="24"/>
        </w:rPr>
      </w:pPr>
      <w:r>
        <w:rPr>
          <w:rFonts w:ascii="宋体" w:hAnsi="宋体" w:eastAsia="宋体" w:cs="宋体"/>
          <w:spacing w:val="-3"/>
          <w:sz w:val="24"/>
          <w:szCs w:val="24"/>
        </w:rPr>
        <w:t>13.2如果乙方出现</w:t>
      </w:r>
      <w:r>
        <w:rPr>
          <w:rFonts w:ascii="宋体" w:hAnsi="宋体" w:eastAsia="宋体" w:cs="宋体"/>
          <w:b/>
          <w:bCs/>
          <w:spacing w:val="-3"/>
          <w:sz w:val="24"/>
          <w:szCs w:val="24"/>
        </w:rPr>
        <w:t>【政府采购合同专用条款】</w:t>
      </w:r>
      <w:r>
        <w:rPr>
          <w:rFonts w:ascii="宋体" w:hAnsi="宋体" w:eastAsia="宋体" w:cs="宋体"/>
          <w:spacing w:val="-3"/>
          <w:sz w:val="24"/>
          <w:szCs w:val="24"/>
        </w:rPr>
        <w:t>约定情形的，履约保证金不</w:t>
      </w:r>
      <w:r>
        <w:rPr>
          <w:rFonts w:ascii="宋体" w:hAnsi="宋体" w:eastAsia="宋体" w:cs="宋体"/>
          <w:spacing w:val="-4"/>
          <w:sz w:val="24"/>
          <w:szCs w:val="24"/>
        </w:rPr>
        <w:t>予退还；如果乙方未能按合同约定全面履行义务，甲方有权从履约保证金中取得</w:t>
      </w:r>
    </w:p>
    <w:p w14:paraId="1E27789A">
      <w:pPr>
        <w:spacing w:line="264" w:lineRule="auto"/>
        <w:outlineLvl w:val="9"/>
        <w:rPr>
          <w:rFonts w:ascii="宋体" w:hAnsi="宋体" w:eastAsia="宋体" w:cs="宋体"/>
          <w:sz w:val="24"/>
          <w:szCs w:val="24"/>
        </w:rPr>
        <w:sectPr>
          <w:headerReference r:id="rId63" w:type="default"/>
          <w:footerReference r:id="rId64" w:type="default"/>
          <w:pgSz w:w="11906" w:h="16840"/>
          <w:pgMar w:top="1091" w:right="1638" w:bottom="1156" w:left="1785" w:header="1077" w:footer="910" w:gutter="0"/>
          <w:pgNumType w:fmt="decimal"/>
          <w:cols w:space="720" w:num="1"/>
        </w:sectPr>
      </w:pPr>
    </w:p>
    <w:p w14:paraId="717F03A9">
      <w:pPr>
        <w:pStyle w:val="2"/>
        <w:spacing w:line="418" w:lineRule="auto"/>
        <w:outlineLvl w:val="9"/>
      </w:pPr>
    </w:p>
    <w:p w14:paraId="3F8B6EE9">
      <w:pPr>
        <w:spacing w:before="78" w:line="308" w:lineRule="auto"/>
        <w:ind w:left="66" w:right="53" w:hanging="38"/>
        <w:outlineLvl w:val="9"/>
        <w:rPr>
          <w:rFonts w:ascii="宋体" w:hAnsi="宋体" w:eastAsia="宋体" w:cs="宋体"/>
          <w:sz w:val="24"/>
          <w:szCs w:val="24"/>
        </w:rPr>
      </w:pPr>
      <w:r>
        <w:rPr>
          <w:rFonts w:ascii="宋体" w:hAnsi="宋体" w:eastAsia="宋体" w:cs="宋体"/>
          <w:spacing w:val="-3"/>
          <w:sz w:val="24"/>
          <w:szCs w:val="24"/>
        </w:rPr>
        <w:t>补偿或赔偿，且不影响甲方要求乙方承担合同约定的超过履</w:t>
      </w:r>
      <w:r>
        <w:rPr>
          <w:rFonts w:ascii="宋体" w:hAnsi="宋体" w:eastAsia="宋体" w:cs="宋体"/>
          <w:spacing w:val="-4"/>
          <w:sz w:val="24"/>
          <w:szCs w:val="24"/>
        </w:rPr>
        <w:t>约保证金的违约责任</w:t>
      </w:r>
      <w:r>
        <w:rPr>
          <w:rFonts w:ascii="宋体" w:hAnsi="宋体" w:eastAsia="宋体" w:cs="宋体"/>
          <w:spacing w:val="-12"/>
          <w:sz w:val="24"/>
          <w:szCs w:val="24"/>
        </w:rPr>
        <w:t>的权利。</w:t>
      </w:r>
    </w:p>
    <w:p w14:paraId="26DC89B2">
      <w:pPr>
        <w:spacing w:before="1" w:line="304" w:lineRule="auto"/>
        <w:ind w:left="17" w:right="41" w:firstLine="468"/>
        <w:jc w:val="both"/>
        <w:outlineLvl w:val="9"/>
        <w:rPr>
          <w:rFonts w:ascii="宋体" w:hAnsi="宋体" w:eastAsia="宋体" w:cs="宋体"/>
          <w:sz w:val="24"/>
          <w:szCs w:val="24"/>
        </w:rPr>
      </w:pPr>
      <w:r>
        <w:rPr>
          <w:rFonts w:ascii="宋体" w:hAnsi="宋体" w:eastAsia="宋体" w:cs="宋体"/>
          <w:spacing w:val="-2"/>
          <w:sz w:val="24"/>
          <w:szCs w:val="24"/>
        </w:rPr>
        <w:t>13.3甲方在项目通过验收后按照</w:t>
      </w:r>
      <w:r>
        <w:rPr>
          <w:rFonts w:ascii="宋体" w:hAnsi="宋体" w:eastAsia="宋体" w:cs="宋体"/>
          <w:b/>
          <w:bCs/>
          <w:spacing w:val="-2"/>
          <w:sz w:val="24"/>
          <w:szCs w:val="24"/>
        </w:rPr>
        <w:t>【政府采购合同专用条款】</w:t>
      </w:r>
      <w:r>
        <w:rPr>
          <w:rFonts w:ascii="宋体" w:hAnsi="宋体" w:eastAsia="宋体" w:cs="宋体"/>
          <w:spacing w:val="-2"/>
          <w:sz w:val="24"/>
          <w:szCs w:val="24"/>
        </w:rPr>
        <w:t>规</w:t>
      </w:r>
      <w:r>
        <w:rPr>
          <w:rFonts w:ascii="宋体" w:hAnsi="宋体" w:eastAsia="宋体" w:cs="宋体"/>
          <w:spacing w:val="-3"/>
          <w:sz w:val="24"/>
          <w:szCs w:val="24"/>
        </w:rPr>
        <w:t>定的时间内将履约保证金退还乙方；逾期退还的，乙方可要求甲方支付违约金，违约金按照</w:t>
      </w:r>
      <w:r>
        <w:rPr>
          <w:rFonts w:ascii="宋体" w:hAnsi="宋体" w:eastAsia="宋体" w:cs="宋体"/>
          <w:b/>
          <w:bCs/>
          <w:spacing w:val="-4"/>
          <w:sz w:val="24"/>
          <w:szCs w:val="24"/>
        </w:rPr>
        <w:t>【政府采购合同专用条款】</w:t>
      </w:r>
      <w:r>
        <w:rPr>
          <w:rFonts w:ascii="宋体" w:hAnsi="宋体" w:eastAsia="宋体" w:cs="宋体"/>
          <w:spacing w:val="-4"/>
          <w:sz w:val="24"/>
          <w:szCs w:val="24"/>
        </w:rPr>
        <w:t>规定支付。</w:t>
      </w:r>
    </w:p>
    <w:p w14:paraId="44DA6887">
      <w:pPr>
        <w:spacing w:line="220" w:lineRule="auto"/>
        <w:ind w:left="60"/>
        <w:outlineLvl w:val="9"/>
        <w:rPr>
          <w:rFonts w:ascii="宋体" w:hAnsi="宋体" w:eastAsia="宋体" w:cs="宋体"/>
          <w:sz w:val="22"/>
          <w:szCs w:val="22"/>
        </w:rPr>
      </w:pPr>
      <w:r>
        <w:rPr>
          <w:rFonts w:ascii="宋体" w:hAnsi="宋体" w:eastAsia="宋体" w:cs="宋体"/>
          <w:b/>
          <w:bCs/>
          <w:spacing w:val="-9"/>
          <w:sz w:val="22"/>
          <w:szCs w:val="22"/>
        </w:rPr>
        <w:t>14.售后服务</w:t>
      </w:r>
    </w:p>
    <w:p w14:paraId="7ACB2E36">
      <w:pPr>
        <w:spacing w:before="141" w:line="299" w:lineRule="auto"/>
        <w:ind w:left="28" w:right="87" w:firstLine="516"/>
        <w:outlineLvl w:val="9"/>
        <w:rPr>
          <w:rFonts w:ascii="宋体" w:hAnsi="宋体" w:eastAsia="宋体" w:cs="宋体"/>
          <w:sz w:val="24"/>
          <w:szCs w:val="24"/>
        </w:rPr>
      </w:pPr>
      <w:r>
        <w:rPr>
          <w:rFonts w:ascii="宋体" w:hAnsi="宋体" w:eastAsia="宋体" w:cs="宋体"/>
          <w:spacing w:val="-2"/>
          <w:sz w:val="24"/>
          <w:szCs w:val="24"/>
        </w:rPr>
        <w:t>14.1除项目不涉及或采购活动中明确约定无须承担外，乙方还应提供下列</w:t>
      </w:r>
      <w:r>
        <w:rPr>
          <w:rFonts w:ascii="宋体" w:hAnsi="宋体" w:eastAsia="宋体" w:cs="宋体"/>
          <w:spacing w:val="-5"/>
          <w:sz w:val="24"/>
          <w:szCs w:val="24"/>
        </w:rPr>
        <w:t>服务：</w:t>
      </w:r>
    </w:p>
    <w:p w14:paraId="23BF1577">
      <w:pPr>
        <w:spacing w:line="218" w:lineRule="auto"/>
        <w:ind w:left="531"/>
        <w:outlineLvl w:val="9"/>
        <w:rPr>
          <w:rFonts w:ascii="宋体" w:hAnsi="宋体" w:eastAsia="宋体" w:cs="宋体"/>
          <w:sz w:val="24"/>
          <w:szCs w:val="24"/>
        </w:rPr>
      </w:pPr>
      <w:r>
        <w:rPr>
          <w:rFonts w:ascii="宋体" w:hAnsi="宋体" w:eastAsia="宋体" w:cs="宋体"/>
          <w:spacing w:val="-2"/>
          <w:sz w:val="24"/>
          <w:szCs w:val="24"/>
        </w:rPr>
        <w:t>（1）货物的现场移动、安装、调试、启动监督及技术支持；</w:t>
      </w:r>
    </w:p>
    <w:p w14:paraId="307AF1B3">
      <w:pPr>
        <w:spacing w:before="111" w:line="219" w:lineRule="auto"/>
        <w:ind w:left="531"/>
        <w:outlineLvl w:val="9"/>
        <w:rPr>
          <w:rFonts w:ascii="宋体" w:hAnsi="宋体" w:eastAsia="宋体" w:cs="宋体"/>
          <w:sz w:val="24"/>
          <w:szCs w:val="24"/>
        </w:rPr>
      </w:pPr>
      <w:r>
        <w:rPr>
          <w:rFonts w:ascii="宋体" w:hAnsi="宋体" w:eastAsia="宋体" w:cs="宋体"/>
          <w:spacing w:val="-2"/>
          <w:sz w:val="24"/>
          <w:szCs w:val="24"/>
        </w:rPr>
        <w:t>（2）提供货物组装和维修所需的专用工具和辅助材料；</w:t>
      </w:r>
    </w:p>
    <w:p w14:paraId="12967800">
      <w:pPr>
        <w:spacing w:before="139" w:line="264" w:lineRule="auto"/>
        <w:ind w:left="37" w:right="81" w:firstLine="493"/>
        <w:outlineLvl w:val="9"/>
        <w:rPr>
          <w:rFonts w:ascii="宋体" w:hAnsi="宋体" w:eastAsia="宋体" w:cs="宋体"/>
          <w:sz w:val="24"/>
          <w:szCs w:val="24"/>
        </w:rPr>
      </w:pPr>
      <w:r>
        <w:rPr>
          <w:rFonts w:ascii="宋体" w:hAnsi="宋体" w:eastAsia="宋体" w:cs="宋体"/>
          <w:spacing w:val="-3"/>
          <w:sz w:val="24"/>
          <w:szCs w:val="24"/>
        </w:rPr>
        <w:t>（3）在</w:t>
      </w:r>
      <w:r>
        <w:rPr>
          <w:rFonts w:ascii="宋体" w:hAnsi="宋体" w:eastAsia="宋体" w:cs="宋体"/>
          <w:b/>
          <w:bCs/>
          <w:spacing w:val="-3"/>
          <w:sz w:val="24"/>
          <w:szCs w:val="24"/>
        </w:rPr>
        <w:t>【政府采购合同专用条款】</w:t>
      </w:r>
      <w:r>
        <w:rPr>
          <w:rFonts w:ascii="宋体" w:hAnsi="宋体" w:eastAsia="宋体" w:cs="宋体"/>
          <w:spacing w:val="-3"/>
          <w:sz w:val="24"/>
          <w:szCs w:val="24"/>
        </w:rPr>
        <w:t>约定的期限内对所有的货物实施运行监</w:t>
      </w:r>
      <w:r>
        <w:rPr>
          <w:rFonts w:ascii="宋体" w:hAnsi="宋体" w:eastAsia="宋体" w:cs="宋体"/>
          <w:spacing w:val="-4"/>
          <w:sz w:val="24"/>
          <w:szCs w:val="24"/>
        </w:rPr>
        <w:t>督、维修，但前提条件是该服务并不能免除乙方在质量</w:t>
      </w:r>
      <w:r>
        <w:rPr>
          <w:rFonts w:ascii="宋体" w:hAnsi="宋体" w:eastAsia="宋体" w:cs="宋体"/>
          <w:spacing w:val="-5"/>
          <w:sz w:val="24"/>
          <w:szCs w:val="24"/>
        </w:rPr>
        <w:t>保证期内所承担的义务；</w:t>
      </w:r>
    </w:p>
    <w:p w14:paraId="3C278313">
      <w:pPr>
        <w:spacing w:before="110" w:line="266" w:lineRule="auto"/>
        <w:ind w:left="37" w:right="92" w:firstLine="493"/>
        <w:outlineLvl w:val="9"/>
        <w:rPr>
          <w:rFonts w:ascii="宋体" w:hAnsi="宋体" w:eastAsia="宋体" w:cs="宋体"/>
          <w:sz w:val="24"/>
          <w:szCs w:val="24"/>
        </w:rPr>
      </w:pPr>
      <w:r>
        <w:rPr>
          <w:rFonts w:ascii="宋体" w:hAnsi="宋体" w:eastAsia="宋体" w:cs="宋体"/>
          <w:spacing w:val="-2"/>
          <w:sz w:val="24"/>
          <w:szCs w:val="24"/>
        </w:rPr>
        <w:t>（4）在制造商所在地或指定现场就货物的安装、启动、运营、维护、废弃处置等对甲方操作人员进行培训；</w:t>
      </w:r>
    </w:p>
    <w:p w14:paraId="0365D886">
      <w:pPr>
        <w:spacing w:before="137" w:line="323" w:lineRule="auto"/>
        <w:ind w:left="27" w:right="79" w:firstLine="416"/>
        <w:outlineLvl w:val="9"/>
        <w:rPr>
          <w:rFonts w:ascii="宋体" w:hAnsi="宋体" w:eastAsia="宋体" w:cs="宋体"/>
          <w:spacing w:val="-2"/>
          <w:sz w:val="24"/>
          <w:szCs w:val="24"/>
        </w:rPr>
      </w:pPr>
      <w:r>
        <w:rPr>
          <w:rFonts w:ascii="宋体" w:hAnsi="宋体" w:eastAsia="宋体" w:cs="宋体"/>
          <w:spacing w:val="16"/>
          <w:sz w:val="18"/>
          <w:szCs w:val="18"/>
        </w:rPr>
        <w:t>（5）</w:t>
      </w:r>
      <w:r>
        <w:rPr>
          <w:rFonts w:ascii="宋体" w:hAnsi="宋体" w:eastAsia="宋体" w:cs="宋体"/>
          <w:spacing w:val="-2"/>
          <w:sz w:val="24"/>
          <w:szCs w:val="24"/>
        </w:rPr>
        <w:t>依照法律、行政法规的规定或者按照</w:t>
      </w:r>
      <w:r>
        <w:rPr>
          <w:rFonts w:ascii="宋体" w:hAnsi="宋体" w:eastAsia="宋体" w:cs="宋体"/>
          <w:b/>
          <w:bCs/>
          <w:spacing w:val="-3"/>
          <w:sz w:val="24"/>
          <w:szCs w:val="24"/>
        </w:rPr>
        <w:t>【政府采购合同专用条款】</w:t>
      </w:r>
      <w:r>
        <w:rPr>
          <w:rFonts w:ascii="宋体" w:hAnsi="宋体" w:eastAsia="宋体" w:cs="宋体"/>
          <w:spacing w:val="-2"/>
          <w:sz w:val="24"/>
          <w:szCs w:val="24"/>
        </w:rPr>
        <w:t>约定，货物在有效使用年限届满后应予回收的，乙方负有自行或者委托第三人对货物予以回收的义务；</w:t>
      </w:r>
    </w:p>
    <w:p w14:paraId="04C6D17C">
      <w:pPr>
        <w:spacing w:before="118" w:line="219" w:lineRule="auto"/>
        <w:ind w:left="531"/>
        <w:outlineLvl w:val="9"/>
        <w:rPr>
          <w:rFonts w:ascii="宋体" w:hAnsi="宋体" w:eastAsia="宋体" w:cs="宋体"/>
          <w:sz w:val="24"/>
          <w:szCs w:val="24"/>
        </w:rPr>
      </w:pPr>
      <w:r>
        <w:rPr>
          <w:rFonts w:ascii="宋体" w:hAnsi="宋体" w:eastAsia="宋体" w:cs="宋体"/>
          <w:spacing w:val="-3"/>
          <w:sz w:val="24"/>
          <w:szCs w:val="24"/>
        </w:rPr>
        <w:t>（6）</w:t>
      </w:r>
      <w:r>
        <w:rPr>
          <w:rFonts w:ascii="宋体" w:hAnsi="宋体" w:eastAsia="宋体" w:cs="宋体"/>
          <w:b/>
          <w:bCs/>
          <w:spacing w:val="-3"/>
          <w:sz w:val="24"/>
          <w:szCs w:val="24"/>
        </w:rPr>
        <w:t>【政府采购合同专用条款】</w:t>
      </w:r>
      <w:r>
        <w:rPr>
          <w:rFonts w:ascii="宋体" w:hAnsi="宋体" w:eastAsia="宋体" w:cs="宋体"/>
          <w:spacing w:val="-3"/>
          <w:sz w:val="24"/>
          <w:szCs w:val="24"/>
        </w:rPr>
        <w:t>规定由乙</w:t>
      </w:r>
      <w:r>
        <w:rPr>
          <w:rFonts w:ascii="宋体" w:hAnsi="宋体" w:eastAsia="宋体" w:cs="宋体"/>
          <w:spacing w:val="-4"/>
          <w:sz w:val="24"/>
          <w:szCs w:val="24"/>
        </w:rPr>
        <w:t>方提供的其他服务。</w:t>
      </w:r>
    </w:p>
    <w:p w14:paraId="16A6F806">
      <w:pPr>
        <w:spacing w:before="114" w:line="218" w:lineRule="auto"/>
        <w:jc w:val="right"/>
        <w:outlineLvl w:val="9"/>
        <w:rPr>
          <w:rFonts w:ascii="宋体" w:hAnsi="宋体" w:eastAsia="宋体" w:cs="宋体"/>
          <w:sz w:val="24"/>
          <w:szCs w:val="24"/>
        </w:rPr>
      </w:pPr>
      <w:r>
        <w:rPr>
          <w:rFonts w:ascii="宋体" w:hAnsi="宋体" w:eastAsia="宋体" w:cs="宋体"/>
          <w:spacing w:val="-8"/>
          <w:sz w:val="24"/>
          <w:szCs w:val="24"/>
        </w:rPr>
        <w:t>14.2乙方提供的售后服务的费用已包含在合同价款中，甲方不再另行支付。</w:t>
      </w:r>
    </w:p>
    <w:p w14:paraId="53A05BA3">
      <w:pPr>
        <w:spacing w:before="132" w:line="220" w:lineRule="auto"/>
        <w:ind w:left="60"/>
        <w:outlineLvl w:val="9"/>
        <w:rPr>
          <w:rFonts w:ascii="宋体" w:hAnsi="宋体" w:eastAsia="宋体" w:cs="宋体"/>
          <w:sz w:val="22"/>
          <w:szCs w:val="22"/>
        </w:rPr>
      </w:pPr>
      <w:r>
        <w:rPr>
          <w:rFonts w:ascii="宋体" w:hAnsi="宋体" w:eastAsia="宋体" w:cs="宋体"/>
          <w:b/>
          <w:bCs/>
          <w:spacing w:val="-9"/>
          <w:sz w:val="22"/>
          <w:szCs w:val="22"/>
        </w:rPr>
        <w:t>15.违约责任</w:t>
      </w:r>
    </w:p>
    <w:p w14:paraId="3A0C7470">
      <w:pPr>
        <w:spacing w:before="122" w:line="219" w:lineRule="auto"/>
        <w:ind w:left="545"/>
        <w:outlineLvl w:val="9"/>
        <w:rPr>
          <w:rFonts w:ascii="宋体" w:hAnsi="宋体" w:eastAsia="宋体" w:cs="宋体"/>
          <w:sz w:val="24"/>
          <w:szCs w:val="24"/>
        </w:rPr>
      </w:pPr>
      <w:r>
        <w:rPr>
          <w:rFonts w:ascii="宋体" w:hAnsi="宋体" w:eastAsia="宋体" w:cs="宋体"/>
          <w:spacing w:val="-6"/>
          <w:sz w:val="24"/>
          <w:szCs w:val="24"/>
        </w:rPr>
        <w:t>15.1质量瑕疵的违约责任</w:t>
      </w:r>
    </w:p>
    <w:p w14:paraId="698F3BA5">
      <w:pPr>
        <w:spacing w:before="136" w:line="302" w:lineRule="auto"/>
        <w:ind w:left="31" w:right="53" w:firstLine="524"/>
        <w:outlineLvl w:val="9"/>
        <w:rPr>
          <w:rFonts w:ascii="宋体" w:hAnsi="宋体" w:eastAsia="宋体" w:cs="宋体"/>
          <w:sz w:val="24"/>
          <w:szCs w:val="24"/>
        </w:rPr>
      </w:pPr>
      <w:r>
        <w:rPr>
          <w:rFonts w:ascii="宋体" w:hAnsi="宋体" w:eastAsia="宋体" w:cs="宋体"/>
          <w:spacing w:val="-5"/>
          <w:sz w:val="24"/>
          <w:szCs w:val="24"/>
        </w:rPr>
        <w:t>乙方提供的产品不符合合同约定的质量标准或存在产品质量缺陷，甲方有权要求乙方根据</w:t>
      </w:r>
      <w:r>
        <w:rPr>
          <w:rFonts w:ascii="宋体" w:hAnsi="宋体" w:eastAsia="宋体" w:cs="宋体"/>
          <w:b/>
          <w:bCs/>
          <w:spacing w:val="-5"/>
          <w:sz w:val="24"/>
          <w:szCs w:val="24"/>
        </w:rPr>
        <w:t>【政府采购合同专用条款】</w:t>
      </w:r>
      <w:r>
        <w:rPr>
          <w:rFonts w:ascii="宋体" w:hAnsi="宋体" w:eastAsia="宋体" w:cs="宋体"/>
          <w:spacing w:val="-5"/>
          <w:sz w:val="24"/>
          <w:szCs w:val="24"/>
        </w:rPr>
        <w:t>要求及时修理、重作、更换，并承担由</w:t>
      </w:r>
      <w:r>
        <w:rPr>
          <w:rFonts w:ascii="宋体" w:hAnsi="宋体" w:eastAsia="宋体" w:cs="宋体"/>
          <w:spacing w:val="-3"/>
          <w:sz w:val="24"/>
          <w:szCs w:val="24"/>
        </w:rPr>
        <w:t>此给甲方造成的损失。</w:t>
      </w:r>
    </w:p>
    <w:p w14:paraId="5CE9F2C4">
      <w:pPr>
        <w:spacing w:line="218" w:lineRule="auto"/>
        <w:ind w:left="545"/>
        <w:outlineLvl w:val="9"/>
        <w:rPr>
          <w:rFonts w:ascii="宋体" w:hAnsi="宋体" w:eastAsia="宋体" w:cs="宋体"/>
          <w:sz w:val="24"/>
          <w:szCs w:val="24"/>
        </w:rPr>
      </w:pPr>
      <w:r>
        <w:rPr>
          <w:rFonts w:ascii="宋体" w:hAnsi="宋体" w:eastAsia="宋体" w:cs="宋体"/>
          <w:spacing w:val="-4"/>
          <w:sz w:val="24"/>
          <w:szCs w:val="24"/>
        </w:rPr>
        <w:t>15.2迟延交货的违约责任</w:t>
      </w:r>
    </w:p>
    <w:p w14:paraId="5B79AB9E">
      <w:pPr>
        <w:spacing w:before="136" w:line="285" w:lineRule="auto"/>
        <w:ind w:left="28" w:right="53" w:firstLine="503"/>
        <w:outlineLvl w:val="9"/>
        <w:rPr>
          <w:rFonts w:ascii="宋体" w:hAnsi="宋体" w:eastAsia="宋体" w:cs="宋体"/>
          <w:sz w:val="24"/>
          <w:szCs w:val="24"/>
        </w:rPr>
      </w:pPr>
      <w:r>
        <w:rPr>
          <w:rFonts w:ascii="宋体" w:hAnsi="宋体" w:eastAsia="宋体" w:cs="宋体"/>
          <w:spacing w:val="-2"/>
          <w:sz w:val="24"/>
          <w:szCs w:val="24"/>
        </w:rPr>
        <w:t>（1）乙方应按照本合同规定的时间、地点交货和提供相关服务。在履行合</w:t>
      </w:r>
      <w:r>
        <w:rPr>
          <w:rFonts w:ascii="宋体" w:hAnsi="宋体" w:eastAsia="宋体" w:cs="宋体"/>
          <w:spacing w:val="-3"/>
          <w:sz w:val="24"/>
          <w:szCs w:val="24"/>
        </w:rPr>
        <w:t>同过程中，如果乙方遇到可能影响按时交货和提供服务的情</w:t>
      </w:r>
      <w:r>
        <w:rPr>
          <w:rFonts w:ascii="宋体" w:hAnsi="宋体" w:eastAsia="宋体" w:cs="宋体"/>
          <w:spacing w:val="-4"/>
          <w:sz w:val="24"/>
          <w:szCs w:val="24"/>
        </w:rPr>
        <w:t>形时，应及时以书面</w:t>
      </w:r>
      <w:r>
        <w:rPr>
          <w:rFonts w:ascii="宋体" w:hAnsi="宋体" w:eastAsia="宋体" w:cs="宋体"/>
          <w:spacing w:val="-3"/>
          <w:sz w:val="24"/>
          <w:szCs w:val="24"/>
        </w:rPr>
        <w:t>形式将迟延的事实、可能迟延的期限和理由通知甲方。甲方</w:t>
      </w:r>
      <w:r>
        <w:rPr>
          <w:rFonts w:ascii="宋体" w:hAnsi="宋体" w:eastAsia="宋体" w:cs="宋体"/>
          <w:spacing w:val="-4"/>
          <w:sz w:val="24"/>
          <w:szCs w:val="24"/>
        </w:rPr>
        <w:t>在收到乙方通知后，</w:t>
      </w:r>
      <w:r>
        <w:rPr>
          <w:rFonts w:ascii="宋体" w:hAnsi="宋体" w:eastAsia="宋体" w:cs="宋体"/>
          <w:spacing w:val="-1"/>
          <w:sz w:val="24"/>
          <w:szCs w:val="24"/>
        </w:rPr>
        <w:t>应尽快对情况进行评价，并确定是否同意延长交货时间或延期提供服务。</w:t>
      </w:r>
    </w:p>
    <w:p w14:paraId="54DE3FA5">
      <w:pPr>
        <w:spacing w:before="118" w:line="285" w:lineRule="auto"/>
        <w:ind w:left="31" w:right="56" w:firstLine="500"/>
        <w:outlineLvl w:val="9"/>
        <w:rPr>
          <w:rFonts w:ascii="宋体" w:hAnsi="宋体" w:eastAsia="宋体" w:cs="宋体"/>
          <w:sz w:val="24"/>
          <w:szCs w:val="24"/>
        </w:rPr>
      </w:pPr>
      <w:r>
        <w:rPr>
          <w:rFonts w:ascii="宋体" w:hAnsi="宋体" w:eastAsia="宋体" w:cs="宋体"/>
          <w:spacing w:val="-2"/>
          <w:sz w:val="24"/>
          <w:szCs w:val="24"/>
        </w:rPr>
        <w:t>（2）如果乙方没有按照合同规定的时间交货和提供相关服务，甲方有权从</w:t>
      </w:r>
      <w:r>
        <w:rPr>
          <w:rFonts w:ascii="宋体" w:hAnsi="宋体" w:eastAsia="宋体" w:cs="宋体"/>
          <w:spacing w:val="-4"/>
          <w:sz w:val="24"/>
          <w:szCs w:val="24"/>
        </w:rPr>
        <w:t>货款中扣除误期赔偿费而不影响合同项下的其他补救方法，赔偿费按</w:t>
      </w:r>
      <w:r>
        <w:rPr>
          <w:rFonts w:ascii="宋体" w:hAnsi="宋体" w:eastAsia="宋体" w:cs="宋体"/>
          <w:b/>
          <w:bCs/>
          <w:spacing w:val="-4"/>
          <w:sz w:val="24"/>
          <w:szCs w:val="24"/>
        </w:rPr>
        <w:t>【政府采购合同专用条款】</w:t>
      </w:r>
      <w:r>
        <w:rPr>
          <w:rFonts w:ascii="宋体" w:hAnsi="宋体" w:eastAsia="宋体" w:cs="宋体"/>
          <w:spacing w:val="-4"/>
          <w:sz w:val="24"/>
          <w:szCs w:val="24"/>
        </w:rPr>
        <w:t>规定执行。如果涉及公共利益，且赔偿金额无法弥补公共利益损</w:t>
      </w:r>
      <w:r>
        <w:rPr>
          <w:rFonts w:ascii="宋体" w:hAnsi="宋体" w:eastAsia="宋体" w:cs="宋体"/>
          <w:spacing w:val="-2"/>
          <w:sz w:val="24"/>
          <w:szCs w:val="24"/>
        </w:rPr>
        <w:t>失，甲方可要求继续履行或者采取其他补救措施。</w:t>
      </w:r>
    </w:p>
    <w:p w14:paraId="3CCB9C82">
      <w:pPr>
        <w:spacing w:before="89" w:line="219" w:lineRule="auto"/>
        <w:ind w:left="545"/>
        <w:outlineLvl w:val="9"/>
        <w:rPr>
          <w:rFonts w:ascii="宋体" w:hAnsi="宋体" w:eastAsia="宋体" w:cs="宋体"/>
          <w:sz w:val="24"/>
          <w:szCs w:val="24"/>
        </w:rPr>
      </w:pPr>
      <w:r>
        <w:rPr>
          <w:rFonts w:ascii="宋体" w:hAnsi="宋体" w:eastAsia="宋体" w:cs="宋体"/>
          <w:spacing w:val="-4"/>
          <w:sz w:val="24"/>
          <w:szCs w:val="24"/>
        </w:rPr>
        <w:t>15.3迟延支付的违约责任</w:t>
      </w:r>
    </w:p>
    <w:p w14:paraId="2525CB81">
      <w:pPr>
        <w:spacing w:before="113" w:line="219" w:lineRule="auto"/>
        <w:ind w:left="570"/>
        <w:outlineLvl w:val="9"/>
        <w:rPr>
          <w:rFonts w:ascii="宋体" w:hAnsi="宋体" w:eastAsia="宋体" w:cs="宋体"/>
          <w:sz w:val="24"/>
          <w:szCs w:val="24"/>
        </w:rPr>
      </w:pPr>
      <w:r>
        <w:rPr>
          <w:rFonts w:ascii="宋体" w:hAnsi="宋体" w:eastAsia="宋体" w:cs="宋体"/>
          <w:spacing w:val="-6"/>
          <w:sz w:val="24"/>
          <w:szCs w:val="24"/>
        </w:rPr>
        <w:t>甲方存在迟延支付乙方合同款项的，应当承担</w:t>
      </w:r>
      <w:r>
        <w:rPr>
          <w:rFonts w:ascii="宋体" w:hAnsi="宋体" w:eastAsia="宋体" w:cs="宋体"/>
          <w:b/>
          <w:bCs/>
          <w:spacing w:val="-7"/>
          <w:sz w:val="24"/>
          <w:szCs w:val="24"/>
        </w:rPr>
        <w:t>【政府采购合同专用条款】</w:t>
      </w:r>
      <w:r>
        <w:rPr>
          <w:rFonts w:ascii="宋体" w:hAnsi="宋体" w:eastAsia="宋体" w:cs="宋体"/>
          <w:spacing w:val="-7"/>
          <w:sz w:val="24"/>
          <w:szCs w:val="24"/>
        </w:rPr>
        <w:t>规</w:t>
      </w:r>
    </w:p>
    <w:p w14:paraId="607CF77C">
      <w:pPr>
        <w:spacing w:line="219" w:lineRule="auto"/>
        <w:outlineLvl w:val="9"/>
        <w:rPr>
          <w:rFonts w:ascii="宋体" w:hAnsi="宋体" w:eastAsia="宋体" w:cs="宋体"/>
          <w:sz w:val="24"/>
          <w:szCs w:val="24"/>
        </w:rPr>
        <w:sectPr>
          <w:headerReference r:id="rId65" w:type="default"/>
          <w:footerReference r:id="rId66" w:type="default"/>
          <w:pgSz w:w="11906" w:h="16840"/>
          <w:pgMar w:top="1091" w:right="1750" w:bottom="1156" w:left="1785" w:header="1077" w:footer="910" w:gutter="0"/>
          <w:pgNumType w:fmt="decimal"/>
          <w:cols w:space="720" w:num="1"/>
        </w:sectPr>
      </w:pPr>
    </w:p>
    <w:p w14:paraId="412E92BA">
      <w:pPr>
        <w:pStyle w:val="2"/>
        <w:spacing w:line="396" w:lineRule="auto"/>
        <w:outlineLvl w:val="9"/>
      </w:pPr>
    </w:p>
    <w:p w14:paraId="3A5DE00F">
      <w:pPr>
        <w:spacing w:before="78" w:line="219" w:lineRule="auto"/>
        <w:ind w:left="41"/>
        <w:outlineLvl w:val="9"/>
        <w:rPr>
          <w:rFonts w:ascii="宋体" w:hAnsi="宋体" w:eastAsia="宋体" w:cs="宋体"/>
          <w:sz w:val="24"/>
          <w:szCs w:val="24"/>
        </w:rPr>
      </w:pPr>
      <w:r>
        <w:rPr>
          <w:rFonts w:ascii="宋体" w:hAnsi="宋体" w:eastAsia="宋体" w:cs="宋体"/>
          <w:spacing w:val="-4"/>
          <w:sz w:val="24"/>
          <w:szCs w:val="24"/>
        </w:rPr>
        <w:t>定的逾期付款利息。</w:t>
      </w:r>
    </w:p>
    <w:p w14:paraId="3FB48211">
      <w:pPr>
        <w:spacing w:before="135" w:line="304" w:lineRule="auto"/>
        <w:ind w:left="36" w:right="128" w:firstLine="505"/>
        <w:outlineLvl w:val="9"/>
        <w:rPr>
          <w:rFonts w:ascii="宋体" w:hAnsi="宋体" w:eastAsia="宋体" w:cs="宋体"/>
          <w:sz w:val="24"/>
          <w:szCs w:val="24"/>
        </w:rPr>
      </w:pPr>
      <w:r>
        <w:rPr>
          <w:rFonts w:ascii="宋体" w:hAnsi="宋体" w:eastAsia="宋体" w:cs="宋体"/>
          <w:spacing w:val="-4"/>
          <w:sz w:val="24"/>
          <w:szCs w:val="24"/>
        </w:rPr>
        <w:t>15.4其他违约责任根据项目实际需要按</w:t>
      </w:r>
      <w:r>
        <w:rPr>
          <w:rFonts w:ascii="宋体" w:hAnsi="宋体" w:eastAsia="宋体" w:cs="宋体"/>
          <w:b/>
          <w:bCs/>
          <w:spacing w:val="-4"/>
          <w:sz w:val="24"/>
          <w:szCs w:val="24"/>
        </w:rPr>
        <w:t>【政府采购合同专用条款】</w:t>
      </w:r>
      <w:r>
        <w:rPr>
          <w:rFonts w:ascii="宋体" w:hAnsi="宋体" w:eastAsia="宋体" w:cs="宋体"/>
          <w:spacing w:val="-4"/>
          <w:sz w:val="24"/>
          <w:szCs w:val="24"/>
        </w:rPr>
        <w:t>规定执</w:t>
      </w:r>
      <w:r>
        <w:rPr>
          <w:rFonts w:ascii="宋体" w:hAnsi="宋体" w:eastAsia="宋体" w:cs="宋体"/>
          <w:spacing w:val="-7"/>
          <w:sz w:val="24"/>
          <w:szCs w:val="24"/>
        </w:rPr>
        <w:t>行。</w:t>
      </w:r>
    </w:p>
    <w:p w14:paraId="1CE7DAE3">
      <w:pPr>
        <w:spacing w:before="1" w:line="220" w:lineRule="auto"/>
        <w:ind w:left="60"/>
        <w:outlineLvl w:val="9"/>
        <w:rPr>
          <w:rFonts w:ascii="宋体" w:hAnsi="宋体" w:eastAsia="宋体" w:cs="宋体"/>
          <w:sz w:val="22"/>
          <w:szCs w:val="22"/>
        </w:rPr>
      </w:pPr>
      <w:r>
        <w:rPr>
          <w:rFonts w:ascii="宋体" w:hAnsi="宋体" w:eastAsia="宋体" w:cs="宋体"/>
          <w:b/>
          <w:bCs/>
          <w:spacing w:val="-7"/>
          <w:sz w:val="22"/>
          <w:szCs w:val="22"/>
        </w:rPr>
        <w:t>16.合同变更、中止与终止</w:t>
      </w:r>
    </w:p>
    <w:p w14:paraId="1DDB3498">
      <w:pPr>
        <w:spacing w:before="120" w:line="221" w:lineRule="auto"/>
        <w:ind w:left="545"/>
        <w:outlineLvl w:val="9"/>
        <w:rPr>
          <w:rFonts w:ascii="宋体" w:hAnsi="宋体" w:eastAsia="宋体" w:cs="宋体"/>
          <w:sz w:val="24"/>
          <w:szCs w:val="24"/>
        </w:rPr>
      </w:pPr>
      <w:r>
        <w:rPr>
          <w:rFonts w:ascii="宋体" w:hAnsi="宋体" w:eastAsia="宋体" w:cs="宋体"/>
          <w:spacing w:val="-8"/>
          <w:sz w:val="24"/>
          <w:szCs w:val="24"/>
        </w:rPr>
        <w:t>16.1合同的变更</w:t>
      </w:r>
    </w:p>
    <w:p w14:paraId="672E0BDF">
      <w:pPr>
        <w:spacing w:before="131" w:line="302" w:lineRule="auto"/>
        <w:ind w:left="31" w:right="25" w:firstLine="475"/>
        <w:outlineLvl w:val="9"/>
        <w:rPr>
          <w:rFonts w:ascii="宋体" w:hAnsi="宋体" w:eastAsia="宋体" w:cs="宋体"/>
          <w:sz w:val="24"/>
          <w:szCs w:val="24"/>
        </w:rPr>
      </w:pPr>
      <w:r>
        <w:rPr>
          <w:rFonts w:ascii="宋体" w:hAnsi="宋体" w:eastAsia="宋体" w:cs="宋体"/>
          <w:spacing w:val="-3"/>
          <w:sz w:val="24"/>
          <w:szCs w:val="24"/>
        </w:rPr>
        <w:t>政府采购合同履行中，在不改变合同其他条款的前提下，甲</w:t>
      </w:r>
      <w:r>
        <w:rPr>
          <w:rFonts w:ascii="宋体" w:hAnsi="宋体" w:eastAsia="宋体" w:cs="宋体"/>
          <w:spacing w:val="-4"/>
          <w:sz w:val="24"/>
          <w:szCs w:val="24"/>
        </w:rPr>
        <w:t>方可以在合同价</w:t>
      </w:r>
      <w:r>
        <w:rPr>
          <w:rFonts w:ascii="宋体" w:hAnsi="宋体" w:eastAsia="宋体" w:cs="宋体"/>
          <w:spacing w:val="-1"/>
          <w:sz w:val="24"/>
          <w:szCs w:val="24"/>
        </w:rPr>
        <w:t>款10%的范围内追加与合同标的相同的货物，并就此与乙方协商一致后签订补充</w:t>
      </w:r>
      <w:r>
        <w:rPr>
          <w:rFonts w:ascii="宋体" w:hAnsi="宋体" w:eastAsia="宋体" w:cs="宋体"/>
          <w:spacing w:val="-6"/>
          <w:sz w:val="24"/>
          <w:szCs w:val="24"/>
        </w:rPr>
        <w:t>协议。</w:t>
      </w:r>
    </w:p>
    <w:p w14:paraId="54AA3B6E">
      <w:pPr>
        <w:spacing w:line="220" w:lineRule="auto"/>
        <w:ind w:left="545"/>
        <w:outlineLvl w:val="9"/>
        <w:rPr>
          <w:rFonts w:ascii="宋体" w:hAnsi="宋体" w:eastAsia="宋体" w:cs="宋体"/>
          <w:sz w:val="24"/>
          <w:szCs w:val="24"/>
        </w:rPr>
      </w:pPr>
      <w:r>
        <w:rPr>
          <w:rFonts w:ascii="宋体" w:hAnsi="宋体" w:eastAsia="宋体" w:cs="宋体"/>
          <w:spacing w:val="-8"/>
          <w:sz w:val="24"/>
          <w:szCs w:val="24"/>
        </w:rPr>
        <w:t>16.2合同的中止</w:t>
      </w:r>
    </w:p>
    <w:p w14:paraId="59E6620F">
      <w:pPr>
        <w:spacing w:before="133" w:line="266" w:lineRule="auto"/>
        <w:ind w:left="90" w:right="191" w:firstLine="441"/>
        <w:outlineLvl w:val="9"/>
        <w:rPr>
          <w:rFonts w:ascii="宋体" w:hAnsi="宋体" w:eastAsia="宋体" w:cs="宋体"/>
          <w:sz w:val="24"/>
          <w:szCs w:val="24"/>
        </w:rPr>
      </w:pPr>
      <w:r>
        <w:rPr>
          <w:rFonts w:ascii="宋体" w:hAnsi="宋体" w:eastAsia="宋体" w:cs="宋体"/>
          <w:spacing w:val="-5"/>
          <w:sz w:val="24"/>
          <w:szCs w:val="24"/>
        </w:rPr>
        <w:t>（1）合同履行过程中因供应商就采购文件、采</w:t>
      </w:r>
      <w:r>
        <w:rPr>
          <w:rFonts w:ascii="宋体" w:hAnsi="宋体" w:eastAsia="宋体" w:cs="宋体"/>
          <w:spacing w:val="-6"/>
          <w:sz w:val="24"/>
          <w:szCs w:val="24"/>
        </w:rPr>
        <w:t>购过程或结果提起投诉的，</w:t>
      </w:r>
      <w:r>
        <w:rPr>
          <w:rFonts w:ascii="宋体" w:hAnsi="宋体" w:eastAsia="宋体" w:cs="宋体"/>
          <w:spacing w:val="-5"/>
          <w:sz w:val="24"/>
          <w:szCs w:val="24"/>
        </w:rPr>
        <w:t>甲方认为有必要的，可以中止合同的履行。</w:t>
      </w:r>
    </w:p>
    <w:p w14:paraId="5330696A">
      <w:pPr>
        <w:spacing w:before="111" w:line="295" w:lineRule="auto"/>
        <w:ind w:left="27" w:right="25" w:firstLine="504"/>
        <w:outlineLvl w:val="9"/>
        <w:rPr>
          <w:rFonts w:ascii="宋体" w:hAnsi="宋体" w:eastAsia="宋体" w:cs="宋体"/>
          <w:sz w:val="24"/>
          <w:szCs w:val="24"/>
        </w:rPr>
      </w:pPr>
      <w:r>
        <w:rPr>
          <w:rFonts w:ascii="宋体" w:hAnsi="宋体" w:eastAsia="宋体" w:cs="宋体"/>
          <w:spacing w:val="-4"/>
          <w:sz w:val="24"/>
          <w:szCs w:val="24"/>
        </w:rPr>
        <w:t>（2）合同履行过程中，如果乙方出现以下情形之一的：1．经营状况严重恶</w:t>
      </w:r>
      <w:r>
        <w:rPr>
          <w:rFonts w:ascii="宋体" w:hAnsi="宋体" w:eastAsia="宋体" w:cs="宋体"/>
          <w:spacing w:val="-1"/>
          <w:sz w:val="24"/>
          <w:szCs w:val="24"/>
        </w:rPr>
        <w:t>化；2．转移财产、抽逃资金，以逃避债务；3．丧失商业信誉；4．有丧失或者</w:t>
      </w:r>
      <w:r>
        <w:rPr>
          <w:rFonts w:ascii="宋体" w:hAnsi="宋体" w:eastAsia="宋体" w:cs="宋体"/>
          <w:spacing w:val="-3"/>
          <w:sz w:val="24"/>
          <w:szCs w:val="24"/>
        </w:rPr>
        <w:t>可能丧失履约能力的其他情形，乙方有义务及时告知甲方。甲</w:t>
      </w:r>
      <w:r>
        <w:rPr>
          <w:rFonts w:ascii="宋体" w:hAnsi="宋体" w:eastAsia="宋体" w:cs="宋体"/>
          <w:spacing w:val="-4"/>
          <w:sz w:val="24"/>
          <w:szCs w:val="24"/>
        </w:rPr>
        <w:t>方有权以书面形式</w:t>
      </w:r>
      <w:r>
        <w:rPr>
          <w:rFonts w:ascii="宋体" w:hAnsi="宋体" w:eastAsia="宋体" w:cs="宋体"/>
          <w:spacing w:val="-3"/>
          <w:sz w:val="24"/>
          <w:szCs w:val="24"/>
        </w:rPr>
        <w:t>通知乙方中止合同并要求乙方在合理期限内消除相关情形或者</w:t>
      </w:r>
      <w:r>
        <w:rPr>
          <w:rFonts w:ascii="宋体" w:hAnsi="宋体" w:eastAsia="宋体" w:cs="宋体"/>
          <w:spacing w:val="-4"/>
          <w:sz w:val="24"/>
          <w:szCs w:val="24"/>
        </w:rPr>
        <w:t>提供适当担保。乙</w:t>
      </w:r>
      <w:r>
        <w:rPr>
          <w:rFonts w:ascii="宋体" w:hAnsi="宋体" w:eastAsia="宋体" w:cs="宋体"/>
          <w:spacing w:val="-3"/>
          <w:sz w:val="24"/>
          <w:szCs w:val="24"/>
        </w:rPr>
        <w:t>方提供适当担保的，合同继续履行；乙方在合理期限内未恢复</w:t>
      </w:r>
      <w:r>
        <w:rPr>
          <w:rFonts w:ascii="宋体" w:hAnsi="宋体" w:eastAsia="宋体" w:cs="宋体"/>
          <w:spacing w:val="-4"/>
          <w:sz w:val="24"/>
          <w:szCs w:val="24"/>
        </w:rPr>
        <w:t>履约能力且未提供</w:t>
      </w:r>
      <w:r>
        <w:rPr>
          <w:rFonts w:ascii="宋体" w:hAnsi="宋体" w:eastAsia="宋体" w:cs="宋体"/>
          <w:spacing w:val="-3"/>
          <w:sz w:val="24"/>
          <w:szCs w:val="24"/>
        </w:rPr>
        <w:t>适当担保的，视为拒绝继续履约，甲方有权解除合同并要求乙</w:t>
      </w:r>
      <w:r>
        <w:rPr>
          <w:rFonts w:ascii="宋体" w:hAnsi="宋体" w:eastAsia="宋体" w:cs="宋体"/>
          <w:spacing w:val="-4"/>
          <w:sz w:val="24"/>
          <w:szCs w:val="24"/>
        </w:rPr>
        <w:t>方承担由此给甲方</w:t>
      </w:r>
      <w:r>
        <w:rPr>
          <w:rFonts w:ascii="宋体" w:hAnsi="宋体" w:eastAsia="宋体" w:cs="宋体"/>
          <w:spacing w:val="-3"/>
          <w:sz w:val="24"/>
          <w:szCs w:val="24"/>
        </w:rPr>
        <w:t>造成的损失。</w:t>
      </w:r>
    </w:p>
    <w:p w14:paraId="182D100C">
      <w:pPr>
        <w:spacing w:before="111" w:line="295" w:lineRule="auto"/>
        <w:ind w:left="27" w:right="25" w:firstLine="504"/>
        <w:outlineLvl w:val="9"/>
        <w:rPr>
          <w:rFonts w:ascii="宋体" w:hAnsi="宋体" w:eastAsia="宋体" w:cs="宋体"/>
          <w:spacing w:val="-1"/>
          <w:sz w:val="24"/>
          <w:szCs w:val="24"/>
        </w:rPr>
      </w:pPr>
      <w:r>
        <w:rPr>
          <w:rFonts w:ascii="宋体" w:hAnsi="宋体" w:eastAsia="宋体" w:cs="宋体"/>
          <w:spacing w:val="-1"/>
          <w:sz w:val="24"/>
          <w:szCs w:val="24"/>
        </w:rPr>
        <w:t>（3）乙方分立、合并或者变更住所的，应当及时以书面形式告知甲方。乙方没有及时告知甲方，致使合同履行发生困难的，甲方可以中止合同履行并要求乙方承担由此给甲方造成的损失。</w:t>
      </w:r>
    </w:p>
    <w:p w14:paraId="63A120AF">
      <w:pPr>
        <w:spacing w:before="138" w:line="264" w:lineRule="auto"/>
        <w:ind w:left="27" w:right="70" w:firstLine="504"/>
        <w:outlineLvl w:val="9"/>
        <w:rPr>
          <w:rFonts w:ascii="宋体" w:hAnsi="宋体" w:eastAsia="宋体" w:cs="宋体"/>
          <w:sz w:val="24"/>
          <w:szCs w:val="24"/>
        </w:rPr>
      </w:pPr>
      <w:r>
        <w:rPr>
          <w:rFonts w:ascii="宋体" w:hAnsi="宋体" w:eastAsia="宋体" w:cs="宋体"/>
          <w:spacing w:val="-2"/>
          <w:sz w:val="24"/>
          <w:szCs w:val="24"/>
        </w:rPr>
        <w:t>（4）甲方不得以行政区划调整、政府换届、机构或者职能调整以及相关责任人更替为由中止合同。</w:t>
      </w:r>
    </w:p>
    <w:p w14:paraId="3FAED50D">
      <w:pPr>
        <w:spacing w:before="93" w:line="221" w:lineRule="auto"/>
        <w:ind w:left="545"/>
        <w:outlineLvl w:val="9"/>
        <w:rPr>
          <w:rFonts w:ascii="宋体" w:hAnsi="宋体" w:eastAsia="宋体" w:cs="宋体"/>
          <w:sz w:val="24"/>
          <w:szCs w:val="24"/>
        </w:rPr>
      </w:pPr>
      <w:r>
        <w:rPr>
          <w:rFonts w:ascii="宋体" w:hAnsi="宋体" w:eastAsia="宋体" w:cs="宋体"/>
          <w:spacing w:val="-8"/>
          <w:sz w:val="24"/>
          <w:szCs w:val="24"/>
        </w:rPr>
        <w:t>16.3合同的终止</w:t>
      </w:r>
    </w:p>
    <w:p w14:paraId="3732710B">
      <w:pPr>
        <w:spacing w:before="111" w:line="219" w:lineRule="auto"/>
        <w:ind w:left="531"/>
        <w:outlineLvl w:val="9"/>
        <w:rPr>
          <w:rFonts w:ascii="宋体" w:hAnsi="宋体" w:eastAsia="宋体" w:cs="宋体"/>
          <w:sz w:val="24"/>
          <w:szCs w:val="24"/>
        </w:rPr>
      </w:pPr>
      <w:r>
        <w:rPr>
          <w:rFonts w:ascii="宋体" w:hAnsi="宋体" w:eastAsia="宋体" w:cs="宋体"/>
          <w:spacing w:val="-4"/>
          <w:sz w:val="24"/>
          <w:szCs w:val="24"/>
        </w:rPr>
        <w:t>（1）合同因有效期限届满而终止；</w:t>
      </w:r>
    </w:p>
    <w:p w14:paraId="16A7DE21">
      <w:pPr>
        <w:spacing w:before="135" w:line="264" w:lineRule="auto"/>
        <w:ind w:left="28" w:right="37" w:firstLine="503"/>
        <w:outlineLvl w:val="9"/>
        <w:rPr>
          <w:rFonts w:ascii="宋体" w:hAnsi="宋体" w:eastAsia="宋体" w:cs="宋体"/>
          <w:sz w:val="24"/>
          <w:szCs w:val="24"/>
        </w:rPr>
      </w:pPr>
      <w:r>
        <w:rPr>
          <w:rFonts w:ascii="宋体" w:hAnsi="宋体" w:eastAsia="宋体" w:cs="宋体"/>
          <w:spacing w:val="-1"/>
          <w:sz w:val="24"/>
          <w:szCs w:val="24"/>
        </w:rPr>
        <w:t>（2）乙方未按合同约定履行，构成根本性违约的，甲方有权终止合同，并</w:t>
      </w:r>
      <w:r>
        <w:rPr>
          <w:rFonts w:ascii="宋体" w:hAnsi="宋体" w:eastAsia="宋体" w:cs="宋体"/>
          <w:spacing w:val="-2"/>
          <w:sz w:val="24"/>
          <w:szCs w:val="24"/>
        </w:rPr>
        <w:t>追究乙方的违约责任。</w:t>
      </w:r>
    </w:p>
    <w:p w14:paraId="11E0048C">
      <w:pPr>
        <w:spacing w:before="111" w:line="295" w:lineRule="auto"/>
        <w:ind w:left="27" w:right="25" w:firstLine="504"/>
        <w:outlineLvl w:val="9"/>
        <w:rPr>
          <w:rFonts w:ascii="宋体" w:hAnsi="宋体" w:eastAsia="宋体" w:cs="宋体"/>
          <w:spacing w:val="-1"/>
          <w:sz w:val="24"/>
          <w:szCs w:val="24"/>
        </w:rPr>
      </w:pPr>
      <w:r>
        <w:rPr>
          <w:rFonts w:ascii="宋体" w:hAnsi="宋体" w:eastAsia="宋体" w:cs="宋体"/>
          <w:spacing w:val="-1"/>
          <w:sz w:val="24"/>
          <w:szCs w:val="24"/>
        </w:rPr>
        <w:t>16.4涉及国家利益、社会公共利益的情形</w:t>
      </w:r>
    </w:p>
    <w:p w14:paraId="6F1C2F72">
      <w:pPr>
        <w:spacing w:before="111" w:line="295" w:lineRule="auto"/>
        <w:ind w:left="27" w:right="25" w:firstLine="504"/>
        <w:outlineLvl w:val="9"/>
        <w:rPr>
          <w:rFonts w:ascii="宋体" w:hAnsi="宋体" w:eastAsia="宋体" w:cs="宋体"/>
          <w:spacing w:val="-1"/>
          <w:sz w:val="24"/>
          <w:szCs w:val="24"/>
        </w:rPr>
      </w:pPr>
      <w:r>
        <w:rPr>
          <w:rFonts w:ascii="宋体" w:hAnsi="宋体" w:eastAsia="宋体" w:cs="宋体"/>
          <w:spacing w:val="-1"/>
          <w:sz w:val="24"/>
          <w:szCs w:val="24"/>
        </w:rPr>
        <w:t>政府采购合同继续履行将损害国家利益和社会公共利益的，双方当事人应当变更、中止或者终止合同。有过错的一方应当承担赔偿责任，双方都有过错的，各自承担相应的责任。</w:t>
      </w:r>
    </w:p>
    <w:p w14:paraId="522D2033">
      <w:pPr>
        <w:spacing w:before="1" w:line="220" w:lineRule="auto"/>
        <w:ind w:left="60"/>
        <w:outlineLvl w:val="9"/>
        <w:rPr>
          <w:rFonts w:ascii="宋体" w:hAnsi="宋体" w:eastAsia="宋体" w:cs="宋体"/>
          <w:sz w:val="22"/>
          <w:szCs w:val="22"/>
        </w:rPr>
      </w:pPr>
      <w:r>
        <w:rPr>
          <w:rFonts w:ascii="宋体" w:hAnsi="宋体" w:eastAsia="宋体" w:cs="宋体"/>
          <w:b/>
          <w:bCs/>
          <w:spacing w:val="-11"/>
          <w:sz w:val="22"/>
          <w:szCs w:val="22"/>
        </w:rPr>
        <w:t>17.合同分包</w:t>
      </w:r>
    </w:p>
    <w:p w14:paraId="16CCBF7B">
      <w:pPr>
        <w:spacing w:before="141" w:line="264" w:lineRule="auto"/>
        <w:ind w:left="26" w:right="58" w:firstLine="518"/>
        <w:outlineLvl w:val="9"/>
        <w:rPr>
          <w:rFonts w:ascii="宋体" w:hAnsi="宋体" w:eastAsia="宋体" w:cs="宋体"/>
          <w:sz w:val="24"/>
          <w:szCs w:val="24"/>
        </w:rPr>
      </w:pPr>
      <w:r>
        <w:rPr>
          <w:rFonts w:ascii="宋体" w:hAnsi="宋体" w:eastAsia="宋体" w:cs="宋体"/>
          <w:spacing w:val="-4"/>
          <w:sz w:val="24"/>
          <w:szCs w:val="24"/>
        </w:rPr>
        <w:t>17.1乙方不得将合同转包给其他供应商。涉及合同分包的，乙方应根据采</w:t>
      </w:r>
      <w:r>
        <w:rPr>
          <w:rFonts w:ascii="宋体" w:hAnsi="宋体" w:eastAsia="宋体" w:cs="宋体"/>
          <w:spacing w:val="-2"/>
          <w:sz w:val="24"/>
          <w:szCs w:val="24"/>
        </w:rPr>
        <w:t>购文件和投标（响应）文件规定进行合同分包。</w:t>
      </w:r>
    </w:p>
    <w:p w14:paraId="61CA14B2">
      <w:pPr>
        <w:spacing w:before="71" w:line="220" w:lineRule="auto"/>
        <w:outlineLvl w:val="9"/>
        <w:rPr>
          <w:rFonts w:ascii="宋体" w:hAnsi="宋体" w:eastAsia="宋体" w:cs="宋体"/>
          <w:spacing w:val="-1"/>
          <w:sz w:val="24"/>
          <w:szCs w:val="24"/>
        </w:rPr>
      </w:pPr>
      <w:r>
        <w:rPr>
          <w:rFonts w:ascii="宋体" w:hAnsi="宋体" w:eastAsia="宋体" w:cs="宋体"/>
          <w:spacing w:val="-4"/>
          <w:sz w:val="24"/>
          <w:szCs w:val="24"/>
        </w:rPr>
        <w:t>17.2乙方执行政府采购政策向中小企业依法分包的，乙方应当按采购文件</w:t>
      </w:r>
      <w:r>
        <w:rPr>
          <w:rFonts w:ascii="宋体" w:hAnsi="宋体" w:eastAsia="宋体" w:cs="宋体"/>
          <w:spacing w:val="-1"/>
          <w:sz w:val="24"/>
          <w:szCs w:val="24"/>
        </w:rPr>
        <w:t>和投标（响应）文件签订分包意向协议，分包意向协议属于本合同组成部分。</w:t>
      </w:r>
    </w:p>
    <w:p w14:paraId="4E76A9A2">
      <w:pPr>
        <w:spacing w:before="71" w:line="220" w:lineRule="auto"/>
        <w:outlineLvl w:val="9"/>
        <w:rPr>
          <w:rFonts w:ascii="宋体" w:hAnsi="宋体" w:eastAsia="宋体" w:cs="宋体"/>
          <w:sz w:val="22"/>
          <w:szCs w:val="22"/>
        </w:rPr>
      </w:pPr>
      <w:r>
        <w:rPr>
          <w:rFonts w:ascii="宋体" w:hAnsi="宋体" w:eastAsia="宋体" w:cs="宋体"/>
          <w:b/>
          <w:bCs/>
          <w:spacing w:val="-11"/>
          <w:sz w:val="22"/>
          <w:szCs w:val="22"/>
        </w:rPr>
        <w:t>18.不可抗力</w:t>
      </w:r>
    </w:p>
    <w:p w14:paraId="73F4A4F0">
      <w:pPr>
        <w:spacing w:before="122" w:line="219" w:lineRule="auto"/>
        <w:ind w:right="40"/>
        <w:jc w:val="right"/>
        <w:outlineLvl w:val="9"/>
        <w:rPr>
          <w:rFonts w:ascii="宋体" w:hAnsi="宋体" w:eastAsia="宋体" w:cs="宋体"/>
          <w:sz w:val="24"/>
          <w:szCs w:val="24"/>
        </w:rPr>
      </w:pPr>
      <w:r>
        <w:rPr>
          <w:rFonts w:ascii="宋体" w:hAnsi="宋体" w:eastAsia="宋体" w:cs="宋体"/>
          <w:spacing w:val="-2"/>
          <w:sz w:val="24"/>
          <w:szCs w:val="24"/>
        </w:rPr>
        <w:t>18.1不可抗力是指合同双方不能预见、不能避免且不能克服的客观情况。</w:t>
      </w:r>
    </w:p>
    <w:p w14:paraId="254C1C0B">
      <w:pPr>
        <w:spacing w:before="135" w:line="264" w:lineRule="auto"/>
        <w:ind w:left="46" w:right="52" w:firstLine="498"/>
        <w:outlineLvl w:val="9"/>
        <w:rPr>
          <w:rFonts w:ascii="宋体" w:hAnsi="宋体" w:eastAsia="宋体" w:cs="宋体"/>
          <w:sz w:val="24"/>
          <w:szCs w:val="24"/>
        </w:rPr>
      </w:pPr>
      <w:r>
        <w:rPr>
          <w:rFonts w:ascii="宋体" w:hAnsi="宋体" w:eastAsia="宋体" w:cs="宋体"/>
          <w:spacing w:val="-2"/>
          <w:sz w:val="24"/>
          <w:szCs w:val="24"/>
        </w:rPr>
        <w:t>18.2任何一方对由于不可抗力造成的部分或全部不能履行合同不承担违约责任。但迟延履行后发生不可抗力的，不能免除责任。</w:t>
      </w:r>
    </w:p>
    <w:p w14:paraId="46539623">
      <w:pPr>
        <w:spacing w:before="109" w:line="278" w:lineRule="auto"/>
        <w:ind w:left="27" w:right="52" w:firstLine="517"/>
        <w:outlineLvl w:val="9"/>
        <w:rPr>
          <w:rFonts w:ascii="宋体" w:hAnsi="宋体" w:eastAsia="宋体" w:cs="宋体"/>
          <w:sz w:val="24"/>
          <w:szCs w:val="24"/>
        </w:rPr>
      </w:pPr>
      <w:r>
        <w:rPr>
          <w:rFonts w:ascii="宋体" w:hAnsi="宋体" w:eastAsia="宋体" w:cs="宋体"/>
          <w:spacing w:val="-2"/>
          <w:sz w:val="24"/>
          <w:szCs w:val="24"/>
        </w:rPr>
        <w:t>18.3遇有不可抗力的一方，应及时将事件情况以书面形式告知另一方，并</w:t>
      </w:r>
      <w:r>
        <w:rPr>
          <w:rFonts w:ascii="宋体" w:hAnsi="宋体" w:eastAsia="宋体" w:cs="宋体"/>
          <w:spacing w:val="-1"/>
          <w:sz w:val="24"/>
          <w:szCs w:val="24"/>
        </w:rPr>
        <w:t>在事件发生后及时向另一方提交合同不能履行或部分不能履行或需要延期履行</w:t>
      </w:r>
      <w:r>
        <w:rPr>
          <w:rFonts w:ascii="宋体" w:hAnsi="宋体" w:eastAsia="宋体" w:cs="宋体"/>
          <w:spacing w:val="-2"/>
          <w:sz w:val="24"/>
          <w:szCs w:val="24"/>
        </w:rPr>
        <w:t>的详细报告，以及证明不可抗力发生及其持续时间的证据。</w:t>
      </w:r>
    </w:p>
    <w:p w14:paraId="4DA7A3C3">
      <w:pPr>
        <w:spacing w:before="109" w:line="220" w:lineRule="auto"/>
        <w:ind w:left="60"/>
        <w:outlineLvl w:val="9"/>
        <w:rPr>
          <w:rFonts w:ascii="宋体" w:hAnsi="宋体" w:eastAsia="宋体" w:cs="宋体"/>
          <w:sz w:val="22"/>
          <w:szCs w:val="22"/>
        </w:rPr>
      </w:pPr>
      <w:r>
        <w:rPr>
          <w:rFonts w:ascii="宋体" w:hAnsi="宋体" w:eastAsia="宋体" w:cs="宋体"/>
          <w:b/>
          <w:bCs/>
          <w:spacing w:val="-8"/>
          <w:sz w:val="22"/>
          <w:szCs w:val="22"/>
        </w:rPr>
        <w:t>19.解决争议的方法</w:t>
      </w:r>
    </w:p>
    <w:p w14:paraId="503869AC">
      <w:pPr>
        <w:spacing w:before="170" w:line="354" w:lineRule="auto"/>
        <w:ind w:left="32" w:right="22" w:firstLine="420"/>
        <w:outlineLvl w:val="9"/>
        <w:rPr>
          <w:rFonts w:ascii="宋体" w:hAnsi="宋体" w:eastAsia="宋体" w:cs="宋体"/>
          <w:sz w:val="18"/>
          <w:szCs w:val="18"/>
        </w:rPr>
      </w:pPr>
      <w:r>
        <w:rPr>
          <w:rFonts w:ascii="宋体" w:hAnsi="宋体" w:eastAsia="宋体" w:cs="宋体"/>
          <w:spacing w:val="15"/>
          <w:sz w:val="18"/>
          <w:szCs w:val="18"/>
        </w:rPr>
        <w:t>19.1因本合同及合同有关事项发生的争议</w:t>
      </w:r>
      <w:r>
        <w:rPr>
          <w:rFonts w:ascii="宋体" w:hAnsi="宋体" w:eastAsia="宋体" w:cs="宋体"/>
          <w:spacing w:val="14"/>
          <w:sz w:val="18"/>
          <w:szCs w:val="18"/>
        </w:rPr>
        <w:t>，由甲乙双方友好协商解决。协商不成时，可以</w:t>
      </w:r>
      <w:r>
        <w:rPr>
          <w:rFonts w:ascii="宋体" w:hAnsi="宋体" w:eastAsia="宋体" w:cs="宋体"/>
          <w:spacing w:val="17"/>
          <w:sz w:val="18"/>
          <w:szCs w:val="18"/>
        </w:rPr>
        <w:t>向有关组织申请调解。合同一方或双方不愿调解或调解不成的，可以通过仲裁或诉讼的方式解决</w:t>
      </w:r>
      <w:r>
        <w:rPr>
          <w:rFonts w:ascii="宋体" w:hAnsi="宋体" w:eastAsia="宋体" w:cs="宋体"/>
          <w:spacing w:val="3"/>
          <w:sz w:val="18"/>
          <w:szCs w:val="18"/>
        </w:rPr>
        <w:t>争议。</w:t>
      </w:r>
    </w:p>
    <w:p w14:paraId="28481181">
      <w:pPr>
        <w:spacing w:before="161" w:line="354" w:lineRule="auto"/>
        <w:ind w:left="27" w:right="37" w:firstLine="426"/>
        <w:outlineLvl w:val="9"/>
        <w:rPr>
          <w:rFonts w:ascii="宋体" w:hAnsi="宋体" w:eastAsia="宋体" w:cs="宋体"/>
          <w:sz w:val="18"/>
          <w:szCs w:val="18"/>
        </w:rPr>
      </w:pPr>
      <w:r>
        <w:rPr>
          <w:rFonts w:ascii="宋体" w:hAnsi="宋体" w:eastAsia="宋体" w:cs="宋体"/>
          <w:spacing w:val="14"/>
          <w:sz w:val="18"/>
          <w:szCs w:val="18"/>
        </w:rPr>
        <w:t>19.2选择仲裁的，应在</w:t>
      </w:r>
      <w:r>
        <w:rPr>
          <w:rFonts w:ascii="宋体" w:hAnsi="宋体" w:eastAsia="宋体" w:cs="宋体"/>
          <w:b/>
          <w:bCs/>
          <w:spacing w:val="14"/>
          <w:sz w:val="18"/>
          <w:szCs w:val="18"/>
        </w:rPr>
        <w:t>【政府采购合同专用条款】</w:t>
      </w:r>
      <w:r>
        <w:rPr>
          <w:rFonts w:ascii="宋体" w:hAnsi="宋体" w:eastAsia="宋体" w:cs="宋体"/>
          <w:spacing w:val="14"/>
          <w:sz w:val="18"/>
          <w:szCs w:val="18"/>
        </w:rPr>
        <w:t>中明确仲裁机构及仲裁地；通过诉讼方</w:t>
      </w:r>
      <w:r>
        <w:rPr>
          <w:rFonts w:ascii="宋体" w:hAnsi="宋体" w:eastAsia="宋体" w:cs="宋体"/>
          <w:spacing w:val="15"/>
          <w:sz w:val="18"/>
          <w:szCs w:val="18"/>
        </w:rPr>
        <w:t>式解决的，可以在</w:t>
      </w:r>
      <w:r>
        <w:rPr>
          <w:rFonts w:ascii="宋体" w:hAnsi="宋体" w:eastAsia="宋体" w:cs="宋体"/>
          <w:b/>
          <w:bCs/>
          <w:spacing w:val="15"/>
          <w:sz w:val="18"/>
          <w:szCs w:val="18"/>
        </w:rPr>
        <w:t>【政府采购合同专用条款】</w:t>
      </w:r>
      <w:r>
        <w:rPr>
          <w:rFonts w:ascii="宋体" w:hAnsi="宋体" w:eastAsia="宋体" w:cs="宋体"/>
          <w:spacing w:val="15"/>
          <w:sz w:val="18"/>
          <w:szCs w:val="18"/>
        </w:rPr>
        <w:t>中进一步约定选择与争议有实际联系的地点的人民</w:t>
      </w:r>
      <w:r>
        <w:rPr>
          <w:rFonts w:ascii="宋体" w:hAnsi="宋体" w:eastAsia="宋体" w:cs="宋体"/>
          <w:spacing w:val="18"/>
          <w:sz w:val="18"/>
          <w:szCs w:val="18"/>
        </w:rPr>
        <w:t>法院管辖，但管辖法院的约定不得违反级别管辖和专</w:t>
      </w:r>
      <w:r>
        <w:rPr>
          <w:rFonts w:ascii="宋体" w:hAnsi="宋体" w:eastAsia="宋体" w:cs="宋体"/>
          <w:spacing w:val="17"/>
          <w:sz w:val="18"/>
          <w:szCs w:val="18"/>
        </w:rPr>
        <w:t>属管辖的规定。</w:t>
      </w:r>
    </w:p>
    <w:p w14:paraId="0730128A">
      <w:pPr>
        <w:spacing w:before="164" w:line="326" w:lineRule="auto"/>
        <w:ind w:left="28" w:right="30" w:firstLine="422"/>
        <w:outlineLvl w:val="9"/>
        <w:rPr>
          <w:rFonts w:ascii="宋体" w:hAnsi="宋体" w:eastAsia="宋体" w:cs="宋体"/>
          <w:sz w:val="18"/>
          <w:szCs w:val="18"/>
        </w:rPr>
      </w:pPr>
      <w:r>
        <w:rPr>
          <w:rFonts w:ascii="宋体" w:hAnsi="宋体" w:eastAsia="宋体" w:cs="宋体"/>
          <w:spacing w:val="17"/>
          <w:sz w:val="18"/>
          <w:szCs w:val="18"/>
        </w:rPr>
        <w:t>19.3如甲乙双方有争议的事项不影响合同其他部分的履行，在争议解决期间，合同其他部</w:t>
      </w:r>
      <w:r>
        <w:rPr>
          <w:rFonts w:ascii="宋体" w:hAnsi="宋体" w:eastAsia="宋体" w:cs="宋体"/>
          <w:spacing w:val="12"/>
          <w:sz w:val="18"/>
          <w:szCs w:val="18"/>
        </w:rPr>
        <w:t>分应当继续履行。</w:t>
      </w:r>
    </w:p>
    <w:p w14:paraId="6479C630">
      <w:pPr>
        <w:spacing w:before="129" w:line="219" w:lineRule="auto"/>
        <w:ind w:left="32"/>
        <w:outlineLvl w:val="9"/>
        <w:rPr>
          <w:rFonts w:ascii="宋体" w:hAnsi="宋体" w:eastAsia="宋体" w:cs="宋体"/>
          <w:sz w:val="22"/>
          <w:szCs w:val="22"/>
        </w:rPr>
      </w:pPr>
      <w:r>
        <w:rPr>
          <w:rFonts w:ascii="宋体" w:hAnsi="宋体" w:eastAsia="宋体" w:cs="宋体"/>
          <w:b/>
          <w:bCs/>
          <w:spacing w:val="-6"/>
          <w:sz w:val="22"/>
          <w:szCs w:val="22"/>
        </w:rPr>
        <w:t>20.政府采购政策</w:t>
      </w:r>
    </w:p>
    <w:p w14:paraId="2D44953A">
      <w:pPr>
        <w:spacing w:before="122" w:line="219" w:lineRule="auto"/>
        <w:ind w:left="513"/>
        <w:outlineLvl w:val="9"/>
        <w:rPr>
          <w:rFonts w:ascii="宋体" w:hAnsi="宋体" w:eastAsia="宋体" w:cs="宋体"/>
          <w:sz w:val="24"/>
          <w:szCs w:val="24"/>
        </w:rPr>
      </w:pPr>
      <w:r>
        <w:rPr>
          <w:rFonts w:ascii="宋体" w:hAnsi="宋体" w:eastAsia="宋体" w:cs="宋体"/>
          <w:spacing w:val="-2"/>
          <w:sz w:val="24"/>
          <w:szCs w:val="24"/>
        </w:rPr>
        <w:t>20.1本合同应当按照规定执行政府采购政策。</w:t>
      </w:r>
    </w:p>
    <w:p w14:paraId="28459C1F">
      <w:pPr>
        <w:spacing w:before="134" w:line="280" w:lineRule="auto"/>
        <w:ind w:left="31" w:right="44" w:firstLine="481"/>
        <w:outlineLvl w:val="9"/>
        <w:rPr>
          <w:rFonts w:ascii="宋体" w:hAnsi="宋体" w:eastAsia="宋体" w:cs="宋体"/>
          <w:sz w:val="24"/>
          <w:szCs w:val="24"/>
        </w:rPr>
      </w:pPr>
      <w:r>
        <w:rPr>
          <w:rFonts w:ascii="宋体" w:hAnsi="宋体" w:eastAsia="宋体" w:cs="宋体"/>
          <w:spacing w:val="-1"/>
          <w:sz w:val="24"/>
          <w:szCs w:val="24"/>
        </w:rPr>
        <w:t>20.2本合同依法执行政府采购政策的方式和内容，属于合同履约验收的范</w:t>
      </w:r>
      <w:r>
        <w:rPr>
          <w:rFonts w:ascii="宋体" w:hAnsi="宋体" w:eastAsia="宋体" w:cs="宋体"/>
          <w:spacing w:val="2"/>
          <w:sz w:val="24"/>
          <w:szCs w:val="24"/>
        </w:rPr>
        <w:t>围。</w:t>
      </w:r>
      <w:r>
        <w:rPr>
          <w:rFonts w:ascii="宋体" w:hAnsi="宋体" w:eastAsia="宋体" w:cs="宋体"/>
          <w:spacing w:val="2"/>
          <w:sz w:val="18"/>
          <w:szCs w:val="18"/>
        </w:rPr>
        <w:t>甲乙双方</w:t>
      </w:r>
      <w:r>
        <w:rPr>
          <w:rFonts w:ascii="宋体" w:hAnsi="宋体" w:eastAsia="宋体" w:cs="宋体"/>
          <w:spacing w:val="2"/>
          <w:sz w:val="24"/>
          <w:szCs w:val="24"/>
        </w:rPr>
        <w:t>未按规定要求执行政府采购政策</w:t>
      </w:r>
      <w:r>
        <w:rPr>
          <w:rFonts w:ascii="宋体" w:hAnsi="宋体" w:eastAsia="宋体" w:cs="宋体"/>
          <w:spacing w:val="1"/>
          <w:sz w:val="24"/>
          <w:szCs w:val="24"/>
        </w:rPr>
        <w:t>造成损失的，有过错的一方应当承</w:t>
      </w:r>
      <w:r>
        <w:rPr>
          <w:rFonts w:ascii="宋体" w:hAnsi="宋体" w:eastAsia="宋体" w:cs="宋体"/>
          <w:spacing w:val="-2"/>
          <w:sz w:val="24"/>
          <w:szCs w:val="24"/>
        </w:rPr>
        <w:t>担赔偿责任，双方都有过错的，各自承担相应的责任。</w:t>
      </w:r>
    </w:p>
    <w:p w14:paraId="10964720">
      <w:pPr>
        <w:spacing w:before="109" w:line="285" w:lineRule="auto"/>
        <w:ind w:left="28" w:right="18" w:firstLine="485"/>
        <w:outlineLvl w:val="9"/>
        <w:rPr>
          <w:rFonts w:ascii="宋体" w:hAnsi="宋体" w:eastAsia="宋体" w:cs="宋体"/>
          <w:sz w:val="24"/>
          <w:szCs w:val="24"/>
        </w:rPr>
      </w:pPr>
      <w:r>
        <w:rPr>
          <w:rFonts w:ascii="宋体" w:hAnsi="宋体" w:eastAsia="宋体" w:cs="宋体"/>
          <w:sz w:val="24"/>
          <w:szCs w:val="24"/>
        </w:rPr>
        <w:t>20.3对于为落实中小企业支持政策，通过</w:t>
      </w:r>
      <w:r>
        <w:rPr>
          <w:rFonts w:ascii="宋体" w:hAnsi="宋体" w:eastAsia="宋体" w:cs="宋体"/>
          <w:spacing w:val="-1"/>
          <w:sz w:val="24"/>
          <w:szCs w:val="24"/>
        </w:rPr>
        <w:t>采购项目整体预留、设置采购包</w:t>
      </w:r>
      <w:r>
        <w:rPr>
          <w:rFonts w:ascii="宋体" w:hAnsi="宋体" w:eastAsia="宋体" w:cs="宋体"/>
          <w:spacing w:val="-3"/>
          <w:sz w:val="24"/>
          <w:szCs w:val="24"/>
        </w:rPr>
        <w:t>专门预留、要求以联合体形式参加或者合同分包等措施签订</w:t>
      </w:r>
      <w:r>
        <w:rPr>
          <w:rFonts w:ascii="宋体" w:hAnsi="宋体" w:eastAsia="宋体" w:cs="宋体"/>
          <w:spacing w:val="-4"/>
          <w:sz w:val="24"/>
          <w:szCs w:val="24"/>
        </w:rPr>
        <w:t>的采购合同，应当明</w:t>
      </w:r>
      <w:r>
        <w:rPr>
          <w:rFonts w:ascii="宋体" w:hAnsi="宋体" w:eastAsia="宋体" w:cs="宋体"/>
          <w:spacing w:val="-3"/>
          <w:sz w:val="24"/>
          <w:szCs w:val="24"/>
        </w:rPr>
        <w:t>确标注本合同为中小企业预留合同。其中，要求以联合体形</w:t>
      </w:r>
      <w:r>
        <w:rPr>
          <w:rFonts w:ascii="宋体" w:hAnsi="宋体" w:eastAsia="宋体" w:cs="宋体"/>
          <w:spacing w:val="-4"/>
          <w:sz w:val="24"/>
          <w:szCs w:val="24"/>
        </w:rPr>
        <w:t>式参加采购活动或者</w:t>
      </w:r>
      <w:r>
        <w:rPr>
          <w:rFonts w:ascii="宋体" w:hAnsi="宋体" w:eastAsia="宋体" w:cs="宋体"/>
          <w:spacing w:val="-1"/>
          <w:sz w:val="24"/>
          <w:szCs w:val="24"/>
        </w:rPr>
        <w:t>合同分包的，须将联合协议或者分包意向协议作为采购合同的组成部分。</w:t>
      </w:r>
    </w:p>
    <w:p w14:paraId="74E891F6">
      <w:pPr>
        <w:spacing w:before="108" w:line="220" w:lineRule="auto"/>
        <w:ind w:left="32"/>
        <w:outlineLvl w:val="9"/>
        <w:rPr>
          <w:rFonts w:ascii="宋体" w:hAnsi="宋体" w:eastAsia="宋体" w:cs="宋体"/>
          <w:sz w:val="22"/>
          <w:szCs w:val="22"/>
        </w:rPr>
      </w:pPr>
      <w:r>
        <w:rPr>
          <w:rFonts w:ascii="宋体" w:hAnsi="宋体" w:eastAsia="宋体" w:cs="宋体"/>
          <w:b/>
          <w:bCs/>
          <w:spacing w:val="-6"/>
          <w:sz w:val="22"/>
          <w:szCs w:val="22"/>
        </w:rPr>
        <w:t>21.法律适用</w:t>
      </w:r>
    </w:p>
    <w:p w14:paraId="224D6906">
      <w:pPr>
        <w:spacing w:before="170" w:line="327" w:lineRule="auto"/>
        <w:ind w:left="27" w:right="42" w:firstLine="399"/>
        <w:outlineLvl w:val="9"/>
        <w:rPr>
          <w:rFonts w:ascii="宋体" w:hAnsi="宋体" w:eastAsia="宋体" w:cs="宋体"/>
          <w:sz w:val="18"/>
          <w:szCs w:val="18"/>
        </w:rPr>
      </w:pPr>
      <w:r>
        <w:rPr>
          <w:rFonts w:ascii="宋体" w:hAnsi="宋体" w:eastAsia="宋体" w:cs="宋体"/>
          <w:spacing w:val="18"/>
          <w:sz w:val="18"/>
          <w:szCs w:val="18"/>
        </w:rPr>
        <w:t>21.1本合同的订立、生效、解释、履行</w:t>
      </w:r>
      <w:r>
        <w:rPr>
          <w:rFonts w:ascii="宋体" w:hAnsi="宋体" w:eastAsia="宋体" w:cs="宋体"/>
          <w:spacing w:val="17"/>
          <w:sz w:val="18"/>
          <w:szCs w:val="18"/>
        </w:rPr>
        <w:t>及与本合同有关的争议解决，均适用法律、行政法</w:t>
      </w:r>
      <w:r>
        <w:rPr>
          <w:rFonts w:ascii="宋体" w:hAnsi="宋体" w:eastAsia="宋体" w:cs="宋体"/>
          <w:sz w:val="18"/>
          <w:szCs w:val="18"/>
        </w:rPr>
        <w:t>规。</w:t>
      </w:r>
    </w:p>
    <w:p w14:paraId="6BA6DF12">
      <w:pPr>
        <w:spacing w:before="161" w:line="326" w:lineRule="auto"/>
        <w:ind w:left="27" w:right="42" w:firstLine="399"/>
        <w:outlineLvl w:val="9"/>
        <w:rPr>
          <w:rFonts w:ascii="宋体" w:hAnsi="宋体" w:eastAsia="宋体" w:cs="宋体"/>
          <w:sz w:val="18"/>
          <w:szCs w:val="18"/>
        </w:rPr>
      </w:pPr>
      <w:r>
        <w:rPr>
          <w:rFonts w:ascii="宋体" w:hAnsi="宋体" w:eastAsia="宋体" w:cs="宋体"/>
          <w:spacing w:val="18"/>
          <w:sz w:val="18"/>
          <w:szCs w:val="18"/>
        </w:rPr>
        <w:t>21.2本合同条款与法律、行政法规的强</w:t>
      </w:r>
      <w:r>
        <w:rPr>
          <w:rFonts w:ascii="宋体" w:hAnsi="宋体" w:eastAsia="宋体" w:cs="宋体"/>
          <w:spacing w:val="17"/>
          <w:sz w:val="18"/>
          <w:szCs w:val="18"/>
        </w:rPr>
        <w:t>制性规定不一致的，双方当事人应按照法律、行政法规的强制性规定修改本合同的相关条款。</w:t>
      </w:r>
    </w:p>
    <w:p w14:paraId="5CCE7293">
      <w:pPr>
        <w:spacing w:before="130" w:line="222" w:lineRule="auto"/>
        <w:ind w:left="32"/>
        <w:outlineLvl w:val="9"/>
        <w:rPr>
          <w:rFonts w:ascii="宋体" w:hAnsi="宋体" w:eastAsia="宋体" w:cs="宋体"/>
          <w:sz w:val="22"/>
          <w:szCs w:val="22"/>
        </w:rPr>
      </w:pPr>
      <w:r>
        <w:rPr>
          <w:rFonts w:ascii="宋体" w:hAnsi="宋体" w:eastAsia="宋体" w:cs="宋体"/>
          <w:b/>
          <w:bCs/>
          <w:spacing w:val="-8"/>
          <w:sz w:val="22"/>
          <w:szCs w:val="22"/>
        </w:rPr>
        <w:t>22.通知</w:t>
      </w:r>
    </w:p>
    <w:p w14:paraId="38C4B80A">
      <w:pPr>
        <w:spacing w:before="167" w:line="412" w:lineRule="auto"/>
        <w:ind w:left="36" w:right="42" w:firstLine="390"/>
        <w:outlineLvl w:val="9"/>
        <w:rPr>
          <w:rFonts w:ascii="宋体" w:hAnsi="宋体" w:eastAsia="宋体" w:cs="宋体"/>
          <w:sz w:val="18"/>
          <w:szCs w:val="18"/>
        </w:rPr>
      </w:pPr>
      <w:r>
        <w:rPr>
          <w:rFonts w:ascii="宋体" w:hAnsi="宋体" w:eastAsia="宋体" w:cs="宋体"/>
          <w:spacing w:val="18"/>
          <w:sz w:val="18"/>
          <w:szCs w:val="18"/>
        </w:rPr>
        <w:t>22.1本合同任何一方向对方发出的通知</w:t>
      </w:r>
      <w:r>
        <w:rPr>
          <w:rFonts w:ascii="宋体" w:hAnsi="宋体" w:eastAsia="宋体" w:cs="宋体"/>
          <w:spacing w:val="17"/>
          <w:sz w:val="18"/>
          <w:szCs w:val="18"/>
        </w:rPr>
        <w:t>、信件、数据电文等，应当发送至本合同第一部分</w:t>
      </w:r>
      <w:r>
        <w:rPr>
          <w:rFonts w:ascii="宋体" w:hAnsi="宋体" w:eastAsia="宋体" w:cs="宋体"/>
          <w:spacing w:val="18"/>
          <w:sz w:val="18"/>
          <w:szCs w:val="18"/>
        </w:rPr>
        <w:t>《政府采购合同协议书》所约定的通讯地址、联系人、</w:t>
      </w:r>
      <w:r>
        <w:rPr>
          <w:rFonts w:ascii="宋体" w:hAnsi="宋体" w:eastAsia="宋体" w:cs="宋体"/>
          <w:spacing w:val="17"/>
          <w:sz w:val="18"/>
          <w:szCs w:val="18"/>
        </w:rPr>
        <w:t>联系电话或电子邮箱。</w:t>
      </w:r>
    </w:p>
    <w:p w14:paraId="5F78E73A">
      <w:pPr>
        <w:spacing w:line="412" w:lineRule="auto"/>
        <w:outlineLvl w:val="9"/>
        <w:rPr>
          <w:rFonts w:ascii="宋体" w:hAnsi="宋体" w:eastAsia="宋体" w:cs="宋体"/>
          <w:sz w:val="18"/>
          <w:szCs w:val="18"/>
        </w:rPr>
        <w:sectPr>
          <w:headerReference r:id="rId67" w:type="default"/>
          <w:footerReference r:id="rId68" w:type="default"/>
          <w:pgSz w:w="11906" w:h="16840"/>
          <w:pgMar w:top="1091" w:right="1785" w:bottom="1156" w:left="1785" w:header="1077" w:footer="910" w:gutter="0"/>
          <w:pgNumType w:fmt="decimal"/>
          <w:cols w:space="720" w:num="1"/>
        </w:sectPr>
      </w:pPr>
    </w:p>
    <w:p w14:paraId="18449E5E">
      <w:pPr>
        <w:pStyle w:val="2"/>
        <w:spacing w:line="463" w:lineRule="auto"/>
        <w:outlineLvl w:val="9"/>
      </w:pPr>
    </w:p>
    <w:p w14:paraId="4D87EAF5">
      <w:pPr>
        <w:spacing w:before="58" w:line="323" w:lineRule="auto"/>
        <w:ind w:left="92" w:right="21" w:firstLine="334"/>
        <w:outlineLvl w:val="9"/>
        <w:rPr>
          <w:rFonts w:ascii="宋体" w:hAnsi="宋体" w:eastAsia="宋体" w:cs="宋体"/>
          <w:sz w:val="18"/>
          <w:szCs w:val="18"/>
        </w:rPr>
      </w:pPr>
      <w:r>
        <w:rPr>
          <w:rFonts w:ascii="宋体" w:hAnsi="宋体" w:eastAsia="宋体" w:cs="宋体"/>
          <w:spacing w:val="16"/>
          <w:sz w:val="18"/>
          <w:szCs w:val="18"/>
        </w:rPr>
        <w:t>22.2一方当事人变更名称、住所、联系人</w:t>
      </w:r>
      <w:r>
        <w:rPr>
          <w:rFonts w:ascii="宋体" w:hAnsi="宋体" w:eastAsia="宋体" w:cs="宋体"/>
          <w:spacing w:val="15"/>
          <w:sz w:val="18"/>
          <w:szCs w:val="18"/>
        </w:rPr>
        <w:t>、联系电话或电子邮箱等信息的，应当在变更后3日内及时书面通知对方，对方实际收到变更通知前的</w:t>
      </w:r>
      <w:r>
        <w:rPr>
          <w:rFonts w:ascii="宋体" w:hAnsi="宋体" w:eastAsia="宋体" w:cs="宋体"/>
          <w:spacing w:val="14"/>
          <w:sz w:val="18"/>
          <w:szCs w:val="18"/>
        </w:rPr>
        <w:t>送达仍为有效送达。</w:t>
      </w:r>
    </w:p>
    <w:p w14:paraId="308E0A45">
      <w:pPr>
        <w:spacing w:before="140" w:line="264" w:lineRule="auto"/>
        <w:ind w:left="75" w:right="104" w:firstLine="437"/>
        <w:outlineLvl w:val="9"/>
        <w:rPr>
          <w:rFonts w:ascii="宋体" w:hAnsi="宋体" w:eastAsia="宋体" w:cs="宋体"/>
          <w:sz w:val="24"/>
          <w:szCs w:val="24"/>
        </w:rPr>
      </w:pPr>
      <w:r>
        <w:rPr>
          <w:rFonts w:ascii="宋体" w:hAnsi="宋体" w:eastAsia="宋体" w:cs="宋体"/>
          <w:spacing w:val="-2"/>
          <w:sz w:val="24"/>
          <w:szCs w:val="24"/>
        </w:rPr>
        <w:t>22.3本合同一方给另一方的通知均应采用书面形式，传真或快递送到本合</w:t>
      </w:r>
      <w:r>
        <w:rPr>
          <w:rFonts w:ascii="宋体" w:hAnsi="宋体" w:eastAsia="宋体" w:cs="宋体"/>
          <w:spacing w:val="-4"/>
          <w:sz w:val="24"/>
          <w:szCs w:val="24"/>
        </w:rPr>
        <w:t>同中规定的对方的地址和办理签收手续。</w:t>
      </w:r>
    </w:p>
    <w:p w14:paraId="53A93D86">
      <w:pPr>
        <w:spacing w:before="109" w:line="267" w:lineRule="auto"/>
        <w:ind w:left="112" w:right="104" w:firstLine="400"/>
        <w:outlineLvl w:val="9"/>
        <w:rPr>
          <w:rFonts w:ascii="宋体" w:hAnsi="宋体" w:eastAsia="宋体" w:cs="宋体"/>
          <w:sz w:val="24"/>
          <w:szCs w:val="24"/>
        </w:rPr>
      </w:pPr>
      <w:r>
        <w:rPr>
          <w:rFonts w:ascii="宋体" w:hAnsi="宋体" w:eastAsia="宋体" w:cs="宋体"/>
          <w:spacing w:val="-2"/>
          <w:sz w:val="24"/>
          <w:szCs w:val="24"/>
        </w:rPr>
        <w:t>22.4通知以送达之日或通知书中规定的生效之日起生效，两者中以较迟之</w:t>
      </w:r>
      <w:r>
        <w:rPr>
          <w:rFonts w:ascii="宋体" w:hAnsi="宋体" w:eastAsia="宋体" w:cs="宋体"/>
          <w:spacing w:val="-20"/>
          <w:sz w:val="24"/>
          <w:szCs w:val="24"/>
        </w:rPr>
        <w:t>日为准。</w:t>
      </w:r>
    </w:p>
    <w:p w14:paraId="1363DDDA">
      <w:pPr>
        <w:spacing w:before="97" w:line="221" w:lineRule="auto"/>
        <w:ind w:left="32"/>
        <w:outlineLvl w:val="9"/>
        <w:rPr>
          <w:rFonts w:ascii="宋体" w:hAnsi="宋体" w:eastAsia="宋体" w:cs="宋体"/>
          <w:sz w:val="22"/>
          <w:szCs w:val="22"/>
        </w:rPr>
      </w:pPr>
      <w:r>
        <w:rPr>
          <w:rFonts w:ascii="宋体" w:hAnsi="宋体" w:eastAsia="宋体" w:cs="宋体"/>
          <w:b/>
          <w:bCs/>
          <w:spacing w:val="-6"/>
          <w:sz w:val="22"/>
          <w:szCs w:val="22"/>
        </w:rPr>
        <w:t>23.合同未尽事项</w:t>
      </w:r>
    </w:p>
    <w:p w14:paraId="12084CEA">
      <w:pPr>
        <w:spacing w:before="121" w:line="219" w:lineRule="auto"/>
        <w:ind w:left="513"/>
        <w:outlineLvl w:val="9"/>
        <w:rPr>
          <w:rFonts w:ascii="宋体" w:hAnsi="宋体" w:eastAsia="宋体" w:cs="宋体"/>
          <w:sz w:val="24"/>
          <w:szCs w:val="24"/>
        </w:rPr>
      </w:pPr>
      <w:r>
        <w:rPr>
          <w:rFonts w:ascii="宋体" w:hAnsi="宋体" w:eastAsia="宋体" w:cs="宋体"/>
          <w:spacing w:val="-4"/>
          <w:sz w:val="24"/>
          <w:szCs w:val="24"/>
        </w:rPr>
        <w:t>23.1合同未尽事项见</w:t>
      </w:r>
      <w:r>
        <w:rPr>
          <w:rFonts w:ascii="宋体" w:hAnsi="宋体" w:eastAsia="宋体" w:cs="宋体"/>
          <w:b/>
          <w:bCs/>
          <w:spacing w:val="-4"/>
          <w:sz w:val="24"/>
          <w:szCs w:val="24"/>
        </w:rPr>
        <w:t>【政府采购合同专用条款】</w:t>
      </w:r>
      <w:r>
        <w:rPr>
          <w:rFonts w:ascii="宋体" w:hAnsi="宋体" w:eastAsia="宋体" w:cs="宋体"/>
          <w:spacing w:val="-4"/>
          <w:sz w:val="24"/>
          <w:szCs w:val="24"/>
        </w:rPr>
        <w:t>。</w:t>
      </w:r>
    </w:p>
    <w:p w14:paraId="223E6FBB">
      <w:pPr>
        <w:spacing w:before="116" w:line="219" w:lineRule="auto"/>
        <w:ind w:left="513"/>
        <w:outlineLvl w:val="9"/>
        <w:rPr>
          <w:rFonts w:ascii="宋体" w:hAnsi="宋体" w:eastAsia="宋体" w:cs="宋体"/>
          <w:sz w:val="24"/>
          <w:szCs w:val="24"/>
        </w:rPr>
        <w:sectPr>
          <w:headerReference r:id="rId69" w:type="default"/>
          <w:footerReference r:id="rId70" w:type="default"/>
          <w:pgSz w:w="11906" w:h="16840"/>
          <w:pgMar w:top="1091" w:right="1772" w:bottom="1156" w:left="1785" w:header="1077" w:footer="910" w:gutter="0"/>
          <w:pgNumType w:fmt="decimal"/>
          <w:cols w:space="720" w:num="1"/>
        </w:sectPr>
      </w:pPr>
      <w:r>
        <w:rPr>
          <w:rFonts w:ascii="宋体" w:hAnsi="宋体" w:eastAsia="宋体" w:cs="宋体"/>
          <w:spacing w:val="-2"/>
          <w:sz w:val="24"/>
          <w:szCs w:val="24"/>
        </w:rPr>
        <w:t>23.2合同附件与合同正文具有同等的法律效力</w:t>
      </w:r>
    </w:p>
    <w:p w14:paraId="1A1BD02A">
      <w:pPr>
        <w:pStyle w:val="2"/>
        <w:spacing w:line="307" w:lineRule="auto"/>
        <w:outlineLvl w:val="9"/>
      </w:pPr>
    </w:p>
    <w:p w14:paraId="620F3875">
      <w:pPr>
        <w:spacing w:before="78" w:line="208" w:lineRule="auto"/>
        <w:ind w:left="2691"/>
        <w:outlineLvl w:val="9"/>
        <w:rPr>
          <w:rFonts w:ascii="黑体" w:hAnsi="黑体" w:eastAsia="黑体" w:cs="黑体"/>
          <w:sz w:val="24"/>
          <w:szCs w:val="24"/>
        </w:rPr>
      </w:pPr>
      <w:r>
        <w:rPr>
          <w:rFonts w:ascii="黑体" w:hAnsi="黑体" w:eastAsia="黑体" w:cs="黑体"/>
          <w:spacing w:val="-2"/>
          <w:sz w:val="24"/>
          <w:szCs w:val="24"/>
        </w:rPr>
        <w:t>第三节政府采购合同专用条款</w:t>
      </w:r>
    </w:p>
    <w:tbl>
      <w:tblPr>
        <w:tblStyle w:val="10"/>
        <w:tblW w:w="85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1"/>
        <w:gridCol w:w="1740"/>
        <w:gridCol w:w="5180"/>
      </w:tblGrid>
      <w:tr w14:paraId="3278D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2" w:hRule="atLeast"/>
        </w:trPr>
        <w:tc>
          <w:tcPr>
            <w:tcW w:w="1621" w:type="dxa"/>
            <w:vAlign w:val="top"/>
          </w:tcPr>
          <w:p w14:paraId="67A64FDE">
            <w:pPr>
              <w:pStyle w:val="11"/>
              <w:spacing w:before="130" w:line="219" w:lineRule="auto"/>
              <w:ind w:left="469"/>
              <w:outlineLvl w:val="9"/>
            </w:pPr>
            <w:r>
              <w:rPr>
                <w:spacing w:val="-5"/>
              </w:rPr>
              <w:t>第二节</w:t>
            </w:r>
          </w:p>
          <w:p w14:paraId="26F3AD34">
            <w:pPr>
              <w:pStyle w:val="11"/>
              <w:spacing w:before="24" w:line="219" w:lineRule="auto"/>
              <w:ind w:left="135"/>
              <w:outlineLvl w:val="9"/>
            </w:pPr>
            <w:r>
              <w:rPr>
                <w:spacing w:val="-16"/>
              </w:rPr>
              <w:t>第1.2（6）项</w:t>
            </w:r>
          </w:p>
        </w:tc>
        <w:tc>
          <w:tcPr>
            <w:tcW w:w="1740" w:type="dxa"/>
            <w:vAlign w:val="top"/>
          </w:tcPr>
          <w:p w14:paraId="5003E25E">
            <w:pPr>
              <w:pStyle w:val="11"/>
              <w:spacing w:before="150" w:line="235" w:lineRule="auto"/>
              <w:ind w:left="123" w:right="191"/>
              <w:outlineLvl w:val="9"/>
            </w:pPr>
            <w:r>
              <w:rPr>
                <w:spacing w:val="-4"/>
              </w:rPr>
              <w:t>联合体具体要</w:t>
            </w:r>
            <w:r>
              <w:t>求</w:t>
            </w:r>
          </w:p>
        </w:tc>
        <w:tc>
          <w:tcPr>
            <w:tcW w:w="5180" w:type="dxa"/>
            <w:vAlign w:val="top"/>
          </w:tcPr>
          <w:p w14:paraId="326F9C7E">
            <w:pPr>
              <w:outlineLvl w:val="9"/>
              <w:rPr>
                <w:rFonts w:ascii="Arial"/>
                <w:sz w:val="21"/>
              </w:rPr>
            </w:pPr>
          </w:p>
        </w:tc>
      </w:tr>
      <w:tr w14:paraId="73AC1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621" w:type="dxa"/>
            <w:vAlign w:val="top"/>
          </w:tcPr>
          <w:p w14:paraId="40D47A0F">
            <w:pPr>
              <w:pStyle w:val="11"/>
              <w:spacing w:before="47" w:line="219" w:lineRule="auto"/>
              <w:ind w:left="469"/>
              <w:outlineLvl w:val="9"/>
            </w:pPr>
            <w:r>
              <w:rPr>
                <w:spacing w:val="-5"/>
              </w:rPr>
              <w:t>第二节</w:t>
            </w:r>
          </w:p>
          <w:p w14:paraId="437E1B29">
            <w:pPr>
              <w:pStyle w:val="11"/>
              <w:spacing w:before="16" w:line="211" w:lineRule="auto"/>
              <w:ind w:left="135"/>
              <w:outlineLvl w:val="9"/>
            </w:pPr>
            <w:r>
              <w:rPr>
                <w:spacing w:val="-16"/>
              </w:rPr>
              <w:t>第1.2（7）项</w:t>
            </w:r>
          </w:p>
        </w:tc>
        <w:tc>
          <w:tcPr>
            <w:tcW w:w="1740" w:type="dxa"/>
            <w:vAlign w:val="top"/>
          </w:tcPr>
          <w:p w14:paraId="3C4A3AC5">
            <w:pPr>
              <w:pStyle w:val="11"/>
              <w:spacing w:before="203" w:line="219" w:lineRule="auto"/>
              <w:ind w:left="123"/>
              <w:outlineLvl w:val="9"/>
            </w:pPr>
            <w:r>
              <w:rPr>
                <w:spacing w:val="-3"/>
              </w:rPr>
              <w:t>其他术语解释</w:t>
            </w:r>
          </w:p>
        </w:tc>
        <w:tc>
          <w:tcPr>
            <w:tcW w:w="5180" w:type="dxa"/>
            <w:vAlign w:val="top"/>
          </w:tcPr>
          <w:p w14:paraId="1C634152">
            <w:pPr>
              <w:outlineLvl w:val="9"/>
              <w:rPr>
                <w:rFonts w:ascii="Arial"/>
                <w:sz w:val="21"/>
              </w:rPr>
            </w:pPr>
          </w:p>
        </w:tc>
      </w:tr>
      <w:tr w14:paraId="6AC04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3" w:hRule="atLeast"/>
        </w:trPr>
        <w:tc>
          <w:tcPr>
            <w:tcW w:w="1621" w:type="dxa"/>
            <w:vAlign w:val="top"/>
          </w:tcPr>
          <w:p w14:paraId="6C145D08">
            <w:pPr>
              <w:spacing w:line="298" w:lineRule="auto"/>
              <w:outlineLvl w:val="9"/>
              <w:rPr>
                <w:rFonts w:ascii="Arial"/>
                <w:sz w:val="21"/>
              </w:rPr>
            </w:pPr>
          </w:p>
          <w:p w14:paraId="6421B1D9">
            <w:pPr>
              <w:pStyle w:val="11"/>
              <w:spacing w:before="78" w:line="244" w:lineRule="auto"/>
              <w:ind w:left="349" w:right="320" w:firstLine="120"/>
              <w:outlineLvl w:val="9"/>
            </w:pPr>
            <w:r>
              <w:rPr>
                <w:spacing w:val="-6"/>
              </w:rPr>
              <w:t>第二节</w:t>
            </w:r>
            <w:r>
              <w:rPr>
                <w:spacing w:val="-8"/>
              </w:rPr>
              <w:t>第4.4款</w:t>
            </w:r>
          </w:p>
        </w:tc>
        <w:tc>
          <w:tcPr>
            <w:tcW w:w="1740" w:type="dxa"/>
            <w:vAlign w:val="top"/>
          </w:tcPr>
          <w:p w14:paraId="70EF5436">
            <w:pPr>
              <w:pStyle w:val="11"/>
              <w:spacing w:before="57" w:line="228" w:lineRule="auto"/>
              <w:ind w:left="123" w:right="188" w:firstLine="2"/>
              <w:jc w:val="both"/>
              <w:outlineLvl w:val="9"/>
            </w:pPr>
            <w:r>
              <w:rPr>
                <w:spacing w:val="-4"/>
              </w:rPr>
              <w:t>履约验收中甲</w:t>
            </w:r>
            <w:r>
              <w:rPr>
                <w:spacing w:val="-3"/>
              </w:rPr>
              <w:t>方提出异议或作出说明的期</w:t>
            </w:r>
            <w:r>
              <w:t>限</w:t>
            </w:r>
          </w:p>
        </w:tc>
        <w:tc>
          <w:tcPr>
            <w:tcW w:w="5180" w:type="dxa"/>
            <w:vAlign w:val="top"/>
          </w:tcPr>
          <w:p w14:paraId="26D8AF72">
            <w:pPr>
              <w:outlineLvl w:val="9"/>
              <w:rPr>
                <w:rFonts w:ascii="Arial"/>
                <w:sz w:val="21"/>
              </w:rPr>
            </w:pPr>
          </w:p>
        </w:tc>
      </w:tr>
      <w:tr w14:paraId="6E10A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1621" w:type="dxa"/>
            <w:vAlign w:val="top"/>
          </w:tcPr>
          <w:p w14:paraId="70506528">
            <w:pPr>
              <w:pStyle w:val="11"/>
              <w:spacing w:before="224" w:line="244" w:lineRule="auto"/>
              <w:ind w:left="349" w:right="320" w:firstLine="120"/>
              <w:outlineLvl w:val="9"/>
            </w:pPr>
            <w:r>
              <w:rPr>
                <w:spacing w:val="-6"/>
              </w:rPr>
              <w:t>第二节</w:t>
            </w:r>
            <w:r>
              <w:rPr>
                <w:spacing w:val="-8"/>
              </w:rPr>
              <w:t>第4.6款</w:t>
            </w:r>
          </w:p>
        </w:tc>
        <w:tc>
          <w:tcPr>
            <w:tcW w:w="1740" w:type="dxa"/>
            <w:vAlign w:val="top"/>
          </w:tcPr>
          <w:p w14:paraId="7B68CD20">
            <w:pPr>
              <w:pStyle w:val="11"/>
              <w:spacing w:before="58" w:line="224" w:lineRule="auto"/>
              <w:ind w:left="135" w:right="188" w:hanging="2"/>
              <w:jc w:val="both"/>
              <w:outlineLvl w:val="9"/>
            </w:pPr>
            <w:r>
              <w:rPr>
                <w:spacing w:val="-5"/>
              </w:rPr>
              <w:t>约定甲方承担的其他义务和</w:t>
            </w:r>
            <w:r>
              <w:rPr>
                <w:spacing w:val="-9"/>
              </w:rPr>
              <w:t>责任</w:t>
            </w:r>
          </w:p>
        </w:tc>
        <w:tc>
          <w:tcPr>
            <w:tcW w:w="5180" w:type="dxa"/>
            <w:vAlign w:val="top"/>
          </w:tcPr>
          <w:p w14:paraId="111E1F9D">
            <w:pPr>
              <w:outlineLvl w:val="9"/>
              <w:rPr>
                <w:rFonts w:ascii="Arial"/>
                <w:sz w:val="21"/>
              </w:rPr>
            </w:pPr>
          </w:p>
        </w:tc>
      </w:tr>
      <w:tr w14:paraId="7D8E5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1621" w:type="dxa"/>
            <w:vAlign w:val="top"/>
          </w:tcPr>
          <w:p w14:paraId="47B1120E">
            <w:pPr>
              <w:pStyle w:val="11"/>
              <w:spacing w:before="228" w:line="242" w:lineRule="auto"/>
              <w:ind w:left="349" w:right="320" w:firstLine="120"/>
              <w:outlineLvl w:val="9"/>
            </w:pPr>
            <w:r>
              <w:rPr>
                <w:spacing w:val="-6"/>
              </w:rPr>
              <w:t>第二节</w:t>
            </w:r>
            <w:r>
              <w:rPr>
                <w:spacing w:val="-10"/>
              </w:rPr>
              <w:t>第5.4款</w:t>
            </w:r>
          </w:p>
        </w:tc>
        <w:tc>
          <w:tcPr>
            <w:tcW w:w="1740" w:type="dxa"/>
            <w:vAlign w:val="top"/>
          </w:tcPr>
          <w:p w14:paraId="43385DBB">
            <w:pPr>
              <w:pStyle w:val="11"/>
              <w:spacing w:before="61" w:line="223" w:lineRule="auto"/>
              <w:ind w:left="135" w:right="188" w:hanging="2"/>
              <w:jc w:val="both"/>
              <w:outlineLvl w:val="9"/>
            </w:pPr>
            <w:r>
              <w:rPr>
                <w:spacing w:val="-5"/>
              </w:rPr>
              <w:t>约定乙方承担的其他义务和</w:t>
            </w:r>
            <w:r>
              <w:rPr>
                <w:spacing w:val="-9"/>
              </w:rPr>
              <w:t>责任</w:t>
            </w:r>
          </w:p>
        </w:tc>
        <w:tc>
          <w:tcPr>
            <w:tcW w:w="5180" w:type="dxa"/>
            <w:vAlign w:val="top"/>
          </w:tcPr>
          <w:p w14:paraId="3ACB00CD">
            <w:pPr>
              <w:outlineLvl w:val="9"/>
              <w:rPr>
                <w:rFonts w:ascii="Arial"/>
                <w:sz w:val="21"/>
              </w:rPr>
            </w:pPr>
          </w:p>
        </w:tc>
      </w:tr>
      <w:tr w14:paraId="2F7E7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1621" w:type="dxa"/>
            <w:vAlign w:val="top"/>
          </w:tcPr>
          <w:p w14:paraId="34216170">
            <w:pPr>
              <w:pStyle w:val="11"/>
              <w:spacing w:before="130" w:line="233" w:lineRule="auto"/>
              <w:ind w:left="349" w:right="320" w:firstLine="120"/>
              <w:outlineLvl w:val="9"/>
            </w:pPr>
            <w:r>
              <w:rPr>
                <w:spacing w:val="-6"/>
              </w:rPr>
              <w:t>第二节</w:t>
            </w:r>
            <w:r>
              <w:rPr>
                <w:spacing w:val="-9"/>
              </w:rPr>
              <w:t>第6.1款</w:t>
            </w:r>
          </w:p>
        </w:tc>
        <w:tc>
          <w:tcPr>
            <w:tcW w:w="1740" w:type="dxa"/>
            <w:vAlign w:val="top"/>
          </w:tcPr>
          <w:p w14:paraId="5990FE3C">
            <w:pPr>
              <w:pStyle w:val="11"/>
              <w:spacing w:before="130" w:line="233" w:lineRule="auto"/>
              <w:ind w:left="158" w:right="193" w:hanging="30"/>
              <w:outlineLvl w:val="9"/>
            </w:pPr>
            <w:r>
              <w:rPr>
                <w:spacing w:val="-5"/>
              </w:rPr>
              <w:t>履行合同义务</w:t>
            </w:r>
            <w:r>
              <w:rPr>
                <w:spacing w:val="-13"/>
              </w:rPr>
              <w:t>的顺序</w:t>
            </w:r>
          </w:p>
        </w:tc>
        <w:tc>
          <w:tcPr>
            <w:tcW w:w="5180" w:type="dxa"/>
            <w:vAlign w:val="top"/>
          </w:tcPr>
          <w:p w14:paraId="7C0979AA">
            <w:pPr>
              <w:outlineLvl w:val="9"/>
              <w:rPr>
                <w:rFonts w:ascii="Arial"/>
                <w:sz w:val="21"/>
              </w:rPr>
            </w:pPr>
          </w:p>
        </w:tc>
      </w:tr>
      <w:tr w14:paraId="6AB16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621" w:type="dxa"/>
            <w:vMerge w:val="restart"/>
            <w:tcBorders>
              <w:bottom w:val="nil"/>
            </w:tcBorders>
            <w:vAlign w:val="top"/>
          </w:tcPr>
          <w:p w14:paraId="123ABDAC">
            <w:pPr>
              <w:spacing w:line="358" w:lineRule="auto"/>
              <w:outlineLvl w:val="9"/>
              <w:rPr>
                <w:rFonts w:ascii="Arial"/>
                <w:sz w:val="21"/>
              </w:rPr>
            </w:pPr>
          </w:p>
          <w:p w14:paraId="07003DAA">
            <w:pPr>
              <w:pStyle w:val="11"/>
              <w:spacing w:before="78" w:line="242" w:lineRule="auto"/>
              <w:ind w:left="349" w:right="320" w:firstLine="120"/>
              <w:outlineLvl w:val="9"/>
            </w:pPr>
            <w:r>
              <w:rPr>
                <w:spacing w:val="-6"/>
              </w:rPr>
              <w:t>第二节</w:t>
            </w:r>
            <w:r>
              <w:rPr>
                <w:spacing w:val="-9"/>
              </w:rPr>
              <w:t>第7.1款</w:t>
            </w:r>
          </w:p>
        </w:tc>
        <w:tc>
          <w:tcPr>
            <w:tcW w:w="1740" w:type="dxa"/>
            <w:vAlign w:val="top"/>
          </w:tcPr>
          <w:p w14:paraId="16B7CF5D">
            <w:pPr>
              <w:pStyle w:val="11"/>
              <w:spacing w:before="230" w:line="219" w:lineRule="auto"/>
              <w:ind w:left="120"/>
              <w:outlineLvl w:val="9"/>
            </w:pPr>
            <w:r>
              <w:rPr>
                <w:spacing w:val="-3"/>
              </w:rPr>
              <w:t>包装特殊要求</w:t>
            </w:r>
          </w:p>
        </w:tc>
        <w:tc>
          <w:tcPr>
            <w:tcW w:w="5180" w:type="dxa"/>
            <w:vAlign w:val="top"/>
          </w:tcPr>
          <w:p w14:paraId="771AC0D8">
            <w:pPr>
              <w:outlineLvl w:val="9"/>
              <w:rPr>
                <w:rFonts w:ascii="Arial"/>
                <w:sz w:val="21"/>
              </w:rPr>
            </w:pPr>
          </w:p>
        </w:tc>
      </w:tr>
      <w:tr w14:paraId="517A5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621" w:type="dxa"/>
            <w:vMerge w:val="continue"/>
            <w:tcBorders>
              <w:top w:val="nil"/>
            </w:tcBorders>
            <w:vAlign w:val="top"/>
          </w:tcPr>
          <w:p w14:paraId="5656FCD5">
            <w:pPr>
              <w:outlineLvl w:val="9"/>
              <w:rPr>
                <w:rFonts w:ascii="Arial"/>
                <w:sz w:val="21"/>
              </w:rPr>
            </w:pPr>
          </w:p>
        </w:tc>
        <w:tc>
          <w:tcPr>
            <w:tcW w:w="1740" w:type="dxa"/>
            <w:vAlign w:val="top"/>
          </w:tcPr>
          <w:p w14:paraId="58C06BBA">
            <w:pPr>
              <w:pStyle w:val="11"/>
              <w:spacing w:before="229" w:line="220" w:lineRule="auto"/>
              <w:ind w:left="125"/>
              <w:outlineLvl w:val="9"/>
            </w:pPr>
            <w:r>
              <w:rPr>
                <w:spacing w:val="-5"/>
              </w:rPr>
              <w:t>指定现场</w:t>
            </w:r>
          </w:p>
        </w:tc>
        <w:tc>
          <w:tcPr>
            <w:tcW w:w="5180" w:type="dxa"/>
            <w:vAlign w:val="top"/>
          </w:tcPr>
          <w:p w14:paraId="30862792">
            <w:pPr>
              <w:outlineLvl w:val="9"/>
              <w:rPr>
                <w:rFonts w:ascii="Arial"/>
                <w:sz w:val="21"/>
              </w:rPr>
            </w:pPr>
          </w:p>
        </w:tc>
      </w:tr>
      <w:tr w14:paraId="251B1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621" w:type="dxa"/>
            <w:vAlign w:val="top"/>
          </w:tcPr>
          <w:p w14:paraId="4411FA9F">
            <w:pPr>
              <w:pStyle w:val="11"/>
              <w:spacing w:before="149" w:line="239" w:lineRule="auto"/>
              <w:ind w:left="349" w:right="320" w:firstLine="120"/>
              <w:outlineLvl w:val="9"/>
            </w:pPr>
            <w:r>
              <w:rPr>
                <w:spacing w:val="-6"/>
              </w:rPr>
              <w:t>第二节</w:t>
            </w:r>
            <w:r>
              <w:rPr>
                <w:spacing w:val="-9"/>
              </w:rPr>
              <w:t>第7.2款</w:t>
            </w:r>
          </w:p>
        </w:tc>
        <w:tc>
          <w:tcPr>
            <w:tcW w:w="1740" w:type="dxa"/>
            <w:vAlign w:val="top"/>
          </w:tcPr>
          <w:p w14:paraId="6BBAADFF">
            <w:pPr>
              <w:pStyle w:val="11"/>
              <w:spacing w:before="284" w:line="219" w:lineRule="auto"/>
              <w:ind w:left="120"/>
              <w:outlineLvl w:val="9"/>
            </w:pPr>
            <w:r>
              <w:rPr>
                <w:spacing w:val="-3"/>
              </w:rPr>
              <w:t>运输特殊要求</w:t>
            </w:r>
          </w:p>
        </w:tc>
        <w:tc>
          <w:tcPr>
            <w:tcW w:w="5180" w:type="dxa"/>
            <w:vAlign w:val="top"/>
          </w:tcPr>
          <w:p w14:paraId="708A30DD">
            <w:pPr>
              <w:outlineLvl w:val="9"/>
              <w:rPr>
                <w:rFonts w:ascii="Arial"/>
                <w:sz w:val="21"/>
              </w:rPr>
            </w:pPr>
          </w:p>
        </w:tc>
      </w:tr>
      <w:tr w14:paraId="753FD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621" w:type="dxa"/>
            <w:vAlign w:val="top"/>
          </w:tcPr>
          <w:p w14:paraId="68FFC6B7">
            <w:pPr>
              <w:pStyle w:val="11"/>
              <w:spacing w:before="89" w:line="222" w:lineRule="auto"/>
              <w:ind w:left="349" w:right="320" w:firstLine="120"/>
              <w:outlineLvl w:val="9"/>
            </w:pPr>
            <w:r>
              <w:rPr>
                <w:spacing w:val="-6"/>
              </w:rPr>
              <w:t>第二节</w:t>
            </w:r>
            <w:r>
              <w:rPr>
                <w:spacing w:val="-9"/>
              </w:rPr>
              <w:t>第7.3款</w:t>
            </w:r>
          </w:p>
        </w:tc>
        <w:tc>
          <w:tcPr>
            <w:tcW w:w="1740" w:type="dxa"/>
            <w:vAlign w:val="top"/>
          </w:tcPr>
          <w:p w14:paraId="3BC7D39F">
            <w:pPr>
              <w:pStyle w:val="11"/>
              <w:spacing w:before="232" w:line="220" w:lineRule="auto"/>
              <w:ind w:left="123"/>
              <w:outlineLvl w:val="9"/>
            </w:pPr>
            <w:r>
              <w:rPr>
                <w:spacing w:val="-5"/>
              </w:rPr>
              <w:t>保险要求</w:t>
            </w:r>
          </w:p>
        </w:tc>
        <w:tc>
          <w:tcPr>
            <w:tcW w:w="5180" w:type="dxa"/>
            <w:vAlign w:val="top"/>
          </w:tcPr>
          <w:p w14:paraId="071A9519">
            <w:pPr>
              <w:outlineLvl w:val="9"/>
              <w:rPr>
                <w:rFonts w:ascii="Arial"/>
                <w:sz w:val="21"/>
              </w:rPr>
            </w:pPr>
          </w:p>
        </w:tc>
      </w:tr>
      <w:tr w14:paraId="54CAA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1621" w:type="dxa"/>
            <w:vAlign w:val="top"/>
          </w:tcPr>
          <w:p w14:paraId="182942B4">
            <w:pPr>
              <w:pStyle w:val="11"/>
              <w:spacing w:before="110" w:line="219" w:lineRule="auto"/>
              <w:ind w:left="469"/>
              <w:outlineLvl w:val="9"/>
            </w:pPr>
            <w:r>
              <w:rPr>
                <w:spacing w:val="-5"/>
              </w:rPr>
              <w:t>第二节</w:t>
            </w:r>
          </w:p>
          <w:p w14:paraId="7646106D">
            <w:pPr>
              <w:pStyle w:val="11"/>
              <w:spacing w:before="27" w:line="219" w:lineRule="auto"/>
              <w:ind w:left="135"/>
              <w:outlineLvl w:val="9"/>
            </w:pPr>
            <w:r>
              <w:rPr>
                <w:spacing w:val="-13"/>
              </w:rPr>
              <w:t>第8.2（1）项</w:t>
            </w:r>
          </w:p>
        </w:tc>
        <w:tc>
          <w:tcPr>
            <w:tcW w:w="1740" w:type="dxa"/>
            <w:vAlign w:val="top"/>
          </w:tcPr>
          <w:p w14:paraId="7928E979">
            <w:pPr>
              <w:pStyle w:val="11"/>
              <w:spacing w:before="268" w:line="220" w:lineRule="auto"/>
              <w:ind w:left="123"/>
              <w:outlineLvl w:val="9"/>
            </w:pPr>
            <w:r>
              <w:rPr>
                <w:spacing w:val="-4"/>
              </w:rPr>
              <w:t>质量保证期</w:t>
            </w:r>
          </w:p>
        </w:tc>
        <w:tc>
          <w:tcPr>
            <w:tcW w:w="5180" w:type="dxa"/>
            <w:vAlign w:val="top"/>
          </w:tcPr>
          <w:p w14:paraId="254205A1">
            <w:pPr>
              <w:outlineLvl w:val="9"/>
              <w:rPr>
                <w:rFonts w:ascii="Arial"/>
                <w:sz w:val="21"/>
              </w:rPr>
            </w:pPr>
          </w:p>
        </w:tc>
      </w:tr>
      <w:tr w14:paraId="6F3FC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1621" w:type="dxa"/>
            <w:vAlign w:val="top"/>
          </w:tcPr>
          <w:p w14:paraId="6D91534E">
            <w:pPr>
              <w:pStyle w:val="11"/>
              <w:spacing w:before="110" w:line="219" w:lineRule="auto"/>
              <w:ind w:left="469"/>
              <w:outlineLvl w:val="9"/>
            </w:pPr>
            <w:r>
              <w:rPr>
                <w:spacing w:val="-5"/>
              </w:rPr>
              <w:t>第二节</w:t>
            </w:r>
          </w:p>
          <w:p w14:paraId="3DF2FCA7">
            <w:pPr>
              <w:pStyle w:val="11"/>
              <w:spacing w:before="27" w:line="219" w:lineRule="auto"/>
              <w:ind w:left="135"/>
              <w:outlineLvl w:val="9"/>
            </w:pPr>
            <w:r>
              <w:rPr>
                <w:spacing w:val="-13"/>
              </w:rPr>
              <w:t>第8.2（3）项</w:t>
            </w:r>
          </w:p>
        </w:tc>
        <w:tc>
          <w:tcPr>
            <w:tcW w:w="1740" w:type="dxa"/>
            <w:vAlign w:val="top"/>
          </w:tcPr>
          <w:p w14:paraId="33437839">
            <w:pPr>
              <w:pStyle w:val="11"/>
              <w:spacing w:before="132" w:line="232" w:lineRule="auto"/>
              <w:ind w:left="144" w:right="191" w:hanging="11"/>
              <w:outlineLvl w:val="9"/>
            </w:pPr>
            <w:r>
              <w:rPr>
                <w:spacing w:val="-5"/>
              </w:rPr>
              <w:t>货物质量缺陷</w:t>
            </w:r>
            <w:r>
              <w:rPr>
                <w:spacing w:val="-9"/>
              </w:rPr>
              <w:t>响应时间</w:t>
            </w:r>
          </w:p>
        </w:tc>
        <w:tc>
          <w:tcPr>
            <w:tcW w:w="5180" w:type="dxa"/>
            <w:vAlign w:val="top"/>
          </w:tcPr>
          <w:p w14:paraId="7E975598">
            <w:pPr>
              <w:outlineLvl w:val="9"/>
              <w:rPr>
                <w:rFonts w:ascii="Arial"/>
                <w:sz w:val="21"/>
              </w:rPr>
            </w:pPr>
          </w:p>
        </w:tc>
      </w:tr>
      <w:tr w14:paraId="3C3A8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1621" w:type="dxa"/>
            <w:vAlign w:val="top"/>
          </w:tcPr>
          <w:p w14:paraId="555A7598">
            <w:pPr>
              <w:pStyle w:val="11"/>
              <w:spacing w:before="88" w:line="278" w:lineRule="auto"/>
              <w:ind w:left="405" w:right="393" w:firstLine="64"/>
              <w:outlineLvl w:val="9"/>
              <w:rPr>
                <w:sz w:val="19"/>
                <w:szCs w:val="19"/>
              </w:rPr>
            </w:pPr>
            <w:r>
              <w:rPr>
                <w:spacing w:val="-6"/>
              </w:rPr>
              <w:t>第二节</w:t>
            </w:r>
            <w:r>
              <w:rPr>
                <w:spacing w:val="9"/>
                <w:sz w:val="19"/>
                <w:szCs w:val="19"/>
              </w:rPr>
              <w:t>第11.1款</w:t>
            </w:r>
          </w:p>
        </w:tc>
        <w:tc>
          <w:tcPr>
            <w:tcW w:w="1740" w:type="dxa"/>
            <w:vAlign w:val="top"/>
          </w:tcPr>
          <w:p w14:paraId="27491432">
            <w:pPr>
              <w:pStyle w:val="11"/>
              <w:spacing w:before="132" w:line="232" w:lineRule="auto"/>
              <w:ind w:left="158" w:right="121" w:hanging="35"/>
              <w:outlineLvl w:val="9"/>
            </w:pPr>
            <w:r>
              <w:rPr>
                <w:spacing w:val="8"/>
              </w:rPr>
              <w:t>其他应当保密</w:t>
            </w:r>
            <w:r>
              <w:rPr>
                <w:spacing w:val="-13"/>
              </w:rPr>
              <w:t>的信息</w:t>
            </w:r>
          </w:p>
        </w:tc>
        <w:tc>
          <w:tcPr>
            <w:tcW w:w="5180" w:type="dxa"/>
            <w:vAlign w:val="top"/>
          </w:tcPr>
          <w:p w14:paraId="40D0248B">
            <w:pPr>
              <w:outlineLvl w:val="9"/>
              <w:rPr>
                <w:rFonts w:ascii="Arial"/>
                <w:sz w:val="21"/>
              </w:rPr>
            </w:pPr>
          </w:p>
        </w:tc>
      </w:tr>
      <w:tr w14:paraId="00404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1621" w:type="dxa"/>
            <w:vAlign w:val="top"/>
          </w:tcPr>
          <w:p w14:paraId="02ED5837">
            <w:pPr>
              <w:pStyle w:val="11"/>
              <w:spacing w:before="109" w:line="226" w:lineRule="auto"/>
              <w:ind w:left="289" w:right="260" w:firstLine="180"/>
              <w:outlineLvl w:val="9"/>
            </w:pPr>
            <w:r>
              <w:rPr>
                <w:spacing w:val="-6"/>
              </w:rPr>
              <w:t>第二节</w:t>
            </w:r>
            <w:r>
              <w:rPr>
                <w:spacing w:val="-12"/>
              </w:rPr>
              <w:t>第12.2款</w:t>
            </w:r>
          </w:p>
        </w:tc>
        <w:tc>
          <w:tcPr>
            <w:tcW w:w="1740" w:type="dxa"/>
            <w:vAlign w:val="top"/>
          </w:tcPr>
          <w:p w14:paraId="380E0A0A">
            <w:pPr>
              <w:pStyle w:val="11"/>
              <w:spacing w:before="109" w:line="226" w:lineRule="auto"/>
              <w:ind w:left="142" w:right="191" w:hanging="19"/>
              <w:outlineLvl w:val="9"/>
            </w:pPr>
            <w:r>
              <w:rPr>
                <w:spacing w:val="-4"/>
              </w:rPr>
              <w:t>合同价款支付</w:t>
            </w:r>
            <w:r>
              <w:rPr>
                <w:spacing w:val="-11"/>
              </w:rPr>
              <w:t>时间</w:t>
            </w:r>
          </w:p>
        </w:tc>
        <w:tc>
          <w:tcPr>
            <w:tcW w:w="5180" w:type="dxa"/>
            <w:vAlign w:val="top"/>
          </w:tcPr>
          <w:p w14:paraId="655C8396">
            <w:pPr>
              <w:outlineLvl w:val="9"/>
              <w:rPr>
                <w:rFonts w:ascii="Arial"/>
                <w:sz w:val="21"/>
              </w:rPr>
            </w:pPr>
          </w:p>
        </w:tc>
      </w:tr>
      <w:tr w14:paraId="0507C9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1621" w:type="dxa"/>
            <w:vAlign w:val="top"/>
          </w:tcPr>
          <w:p w14:paraId="7B2A2E5C">
            <w:pPr>
              <w:pStyle w:val="11"/>
              <w:spacing w:before="112" w:line="225" w:lineRule="auto"/>
              <w:ind w:left="289" w:right="260" w:firstLine="180"/>
              <w:outlineLvl w:val="9"/>
            </w:pPr>
            <w:r>
              <w:rPr>
                <w:spacing w:val="-6"/>
              </w:rPr>
              <w:t>第二节</w:t>
            </w:r>
            <w:r>
              <w:rPr>
                <w:spacing w:val="-12"/>
              </w:rPr>
              <w:t>第13.2款</w:t>
            </w:r>
          </w:p>
        </w:tc>
        <w:tc>
          <w:tcPr>
            <w:tcW w:w="1740" w:type="dxa"/>
            <w:vAlign w:val="top"/>
          </w:tcPr>
          <w:p w14:paraId="78976DE3">
            <w:pPr>
              <w:pStyle w:val="11"/>
              <w:spacing w:before="112" w:line="225" w:lineRule="auto"/>
              <w:ind w:left="133" w:right="191" w:hanging="5"/>
              <w:outlineLvl w:val="9"/>
            </w:pPr>
            <w:r>
              <w:rPr>
                <w:spacing w:val="-5"/>
              </w:rPr>
              <w:t>履约保证金不</w:t>
            </w:r>
            <w:r>
              <w:rPr>
                <w:spacing w:val="-6"/>
              </w:rPr>
              <w:t>予退还的情形</w:t>
            </w:r>
          </w:p>
        </w:tc>
        <w:tc>
          <w:tcPr>
            <w:tcW w:w="5180" w:type="dxa"/>
            <w:vAlign w:val="top"/>
          </w:tcPr>
          <w:p w14:paraId="29FE510C">
            <w:pPr>
              <w:outlineLvl w:val="9"/>
              <w:rPr>
                <w:rFonts w:ascii="Arial"/>
                <w:sz w:val="21"/>
              </w:rPr>
            </w:pPr>
          </w:p>
        </w:tc>
      </w:tr>
      <w:tr w14:paraId="438A2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1621" w:type="dxa"/>
            <w:vAlign w:val="top"/>
          </w:tcPr>
          <w:p w14:paraId="1A88BABB">
            <w:pPr>
              <w:pStyle w:val="11"/>
              <w:spacing w:before="232" w:line="242" w:lineRule="auto"/>
              <w:ind w:left="289" w:right="260" w:firstLine="180"/>
              <w:outlineLvl w:val="9"/>
            </w:pPr>
            <w:r>
              <w:rPr>
                <w:spacing w:val="-6"/>
              </w:rPr>
              <w:t>第二节</w:t>
            </w:r>
            <w:r>
              <w:rPr>
                <w:spacing w:val="-12"/>
              </w:rPr>
              <w:t>第13.3款</w:t>
            </w:r>
          </w:p>
        </w:tc>
        <w:tc>
          <w:tcPr>
            <w:tcW w:w="1740" w:type="dxa"/>
            <w:vAlign w:val="top"/>
          </w:tcPr>
          <w:p w14:paraId="4C5E0576">
            <w:pPr>
              <w:pStyle w:val="11"/>
              <w:spacing w:before="73" w:line="220" w:lineRule="auto"/>
              <w:ind w:left="119" w:right="191" w:firstLine="7"/>
              <w:jc w:val="both"/>
              <w:outlineLvl w:val="9"/>
            </w:pPr>
            <w:r>
              <w:rPr>
                <w:spacing w:val="-5"/>
              </w:rPr>
              <w:t>履约保证金退</w:t>
            </w:r>
            <w:r>
              <w:rPr>
                <w:spacing w:val="-4"/>
              </w:rPr>
              <w:t>还时间及逾期</w:t>
            </w:r>
            <w:r>
              <w:rPr>
                <w:spacing w:val="-3"/>
              </w:rPr>
              <w:t>退还的违约金</w:t>
            </w:r>
          </w:p>
        </w:tc>
        <w:tc>
          <w:tcPr>
            <w:tcW w:w="5180" w:type="dxa"/>
            <w:vAlign w:val="top"/>
          </w:tcPr>
          <w:p w14:paraId="7C5FA996">
            <w:pPr>
              <w:outlineLvl w:val="9"/>
              <w:rPr>
                <w:rFonts w:ascii="Arial"/>
                <w:sz w:val="21"/>
              </w:rPr>
            </w:pPr>
          </w:p>
        </w:tc>
      </w:tr>
      <w:tr w14:paraId="31710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621" w:type="dxa"/>
            <w:vAlign w:val="top"/>
          </w:tcPr>
          <w:p w14:paraId="61D58567">
            <w:pPr>
              <w:pStyle w:val="11"/>
              <w:spacing w:before="159" w:line="242" w:lineRule="auto"/>
              <w:ind w:left="140" w:right="149" w:firstLine="328"/>
              <w:outlineLvl w:val="9"/>
            </w:pPr>
            <w:r>
              <w:rPr>
                <w:spacing w:val="-6"/>
              </w:rPr>
              <w:t>第二节</w:t>
            </w:r>
            <w:r>
              <w:rPr>
                <w:spacing w:val="-13"/>
              </w:rPr>
              <w:t>第14.1（3）</w:t>
            </w:r>
          </w:p>
        </w:tc>
        <w:tc>
          <w:tcPr>
            <w:tcW w:w="1740" w:type="dxa"/>
            <w:vAlign w:val="top"/>
          </w:tcPr>
          <w:p w14:paraId="3D827006">
            <w:pPr>
              <w:pStyle w:val="11"/>
              <w:spacing w:before="159" w:line="242" w:lineRule="auto"/>
              <w:ind w:left="120" w:right="193"/>
              <w:outlineLvl w:val="9"/>
            </w:pPr>
            <w:r>
              <w:rPr>
                <w:spacing w:val="-4"/>
              </w:rPr>
              <w:t>运行监督、维</w:t>
            </w:r>
            <w:r>
              <w:rPr>
                <w:spacing w:val="-5"/>
              </w:rPr>
              <w:t>修期限</w:t>
            </w:r>
          </w:p>
        </w:tc>
        <w:tc>
          <w:tcPr>
            <w:tcW w:w="5180" w:type="dxa"/>
            <w:vAlign w:val="top"/>
          </w:tcPr>
          <w:p w14:paraId="5739204A">
            <w:pPr>
              <w:outlineLvl w:val="9"/>
              <w:rPr>
                <w:rFonts w:ascii="Arial"/>
                <w:sz w:val="21"/>
              </w:rPr>
            </w:pPr>
          </w:p>
        </w:tc>
      </w:tr>
    </w:tbl>
    <w:p w14:paraId="370638AA">
      <w:pPr>
        <w:pStyle w:val="2"/>
        <w:outlineLvl w:val="9"/>
      </w:pPr>
    </w:p>
    <w:p w14:paraId="5FC61A67">
      <w:pPr>
        <w:outlineLvl w:val="9"/>
        <w:sectPr>
          <w:headerReference r:id="rId71" w:type="default"/>
          <w:footerReference r:id="rId72" w:type="default"/>
          <w:pgSz w:w="11906" w:h="16840"/>
          <w:pgMar w:top="1091" w:right="1582" w:bottom="1156" w:left="1776" w:header="1077" w:footer="910" w:gutter="0"/>
          <w:pgNumType w:fmt="decimal"/>
          <w:cols w:space="720" w:num="1"/>
        </w:sectPr>
      </w:pPr>
    </w:p>
    <w:p w14:paraId="4CF7168D">
      <w:pPr>
        <w:spacing w:before="105"/>
        <w:outlineLvl w:val="9"/>
      </w:pPr>
    </w:p>
    <w:tbl>
      <w:tblPr>
        <w:tblStyle w:val="10"/>
        <w:tblW w:w="85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1"/>
        <w:gridCol w:w="1720"/>
        <w:gridCol w:w="20"/>
        <w:gridCol w:w="5180"/>
      </w:tblGrid>
      <w:tr w14:paraId="20A28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621" w:type="dxa"/>
            <w:vAlign w:val="top"/>
          </w:tcPr>
          <w:p w14:paraId="4958FB20">
            <w:pPr>
              <w:pStyle w:val="11"/>
              <w:spacing w:before="62" w:line="220" w:lineRule="auto"/>
              <w:ind w:left="715"/>
              <w:outlineLvl w:val="9"/>
            </w:pPr>
            <w:r>
              <w:t>项</w:t>
            </w:r>
          </w:p>
        </w:tc>
        <w:tc>
          <w:tcPr>
            <w:tcW w:w="1720" w:type="dxa"/>
            <w:vAlign w:val="top"/>
          </w:tcPr>
          <w:p w14:paraId="442361ED">
            <w:pPr>
              <w:outlineLvl w:val="9"/>
              <w:rPr>
                <w:rFonts w:ascii="Arial"/>
                <w:sz w:val="21"/>
              </w:rPr>
            </w:pPr>
          </w:p>
        </w:tc>
        <w:tc>
          <w:tcPr>
            <w:tcW w:w="5200" w:type="dxa"/>
            <w:gridSpan w:val="2"/>
            <w:vAlign w:val="top"/>
          </w:tcPr>
          <w:p w14:paraId="46E6437F">
            <w:pPr>
              <w:outlineLvl w:val="9"/>
              <w:rPr>
                <w:rFonts w:ascii="Arial"/>
                <w:sz w:val="21"/>
              </w:rPr>
            </w:pPr>
          </w:p>
        </w:tc>
      </w:tr>
      <w:tr w14:paraId="48DD9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1621" w:type="dxa"/>
            <w:vAlign w:val="top"/>
          </w:tcPr>
          <w:p w14:paraId="58A25081">
            <w:pPr>
              <w:pStyle w:val="11"/>
              <w:spacing w:before="70" w:line="226" w:lineRule="auto"/>
              <w:ind w:left="140" w:right="149" w:firstLine="328"/>
              <w:outlineLvl w:val="9"/>
            </w:pPr>
            <w:r>
              <w:rPr>
                <w:spacing w:val="-6"/>
              </w:rPr>
              <w:t>第二节</w:t>
            </w:r>
            <w:r>
              <w:rPr>
                <w:spacing w:val="-13"/>
              </w:rPr>
              <w:t>第14.1（5）</w:t>
            </w:r>
          </w:p>
          <w:p w14:paraId="6D5580EF">
            <w:pPr>
              <w:pStyle w:val="11"/>
              <w:spacing w:before="1" w:line="210" w:lineRule="auto"/>
              <w:ind w:left="715"/>
              <w:outlineLvl w:val="9"/>
            </w:pPr>
            <w:r>
              <w:t>项</w:t>
            </w:r>
          </w:p>
        </w:tc>
        <w:tc>
          <w:tcPr>
            <w:tcW w:w="1720" w:type="dxa"/>
            <w:vAlign w:val="top"/>
          </w:tcPr>
          <w:p w14:paraId="0CA3F991">
            <w:pPr>
              <w:pStyle w:val="11"/>
              <w:spacing w:before="226" w:line="242" w:lineRule="auto"/>
              <w:ind w:left="133" w:right="171"/>
              <w:outlineLvl w:val="9"/>
            </w:pPr>
            <w:r>
              <w:rPr>
                <w:spacing w:val="-5"/>
              </w:rPr>
              <w:t>货物回收的约</w:t>
            </w:r>
            <w:r>
              <w:t>定</w:t>
            </w:r>
          </w:p>
        </w:tc>
        <w:tc>
          <w:tcPr>
            <w:tcW w:w="5200" w:type="dxa"/>
            <w:gridSpan w:val="2"/>
            <w:vAlign w:val="top"/>
          </w:tcPr>
          <w:p w14:paraId="1941C3C7">
            <w:pPr>
              <w:outlineLvl w:val="9"/>
              <w:rPr>
                <w:rFonts w:ascii="Arial"/>
                <w:sz w:val="21"/>
              </w:rPr>
            </w:pPr>
          </w:p>
        </w:tc>
      </w:tr>
      <w:tr w14:paraId="0BA95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1621" w:type="dxa"/>
            <w:vAlign w:val="top"/>
          </w:tcPr>
          <w:p w14:paraId="33B2F9A0">
            <w:pPr>
              <w:pStyle w:val="11"/>
              <w:spacing w:before="71" w:line="226" w:lineRule="auto"/>
              <w:ind w:left="140" w:right="149" w:firstLine="328"/>
              <w:outlineLvl w:val="9"/>
            </w:pPr>
            <w:r>
              <w:rPr>
                <w:spacing w:val="-6"/>
              </w:rPr>
              <w:t>第二节</w:t>
            </w:r>
            <w:r>
              <w:rPr>
                <w:spacing w:val="-13"/>
              </w:rPr>
              <w:t>第14.1（6）</w:t>
            </w:r>
          </w:p>
          <w:p w14:paraId="09F43284">
            <w:pPr>
              <w:pStyle w:val="11"/>
              <w:spacing w:line="210" w:lineRule="auto"/>
              <w:ind w:left="715"/>
              <w:outlineLvl w:val="9"/>
            </w:pPr>
            <w:r>
              <w:t>项</w:t>
            </w:r>
          </w:p>
        </w:tc>
        <w:tc>
          <w:tcPr>
            <w:tcW w:w="1720" w:type="dxa"/>
            <w:vAlign w:val="top"/>
          </w:tcPr>
          <w:p w14:paraId="4959219A">
            <w:pPr>
              <w:pStyle w:val="11"/>
              <w:spacing w:before="227" w:line="242" w:lineRule="auto"/>
              <w:ind w:left="120" w:right="171" w:firstLine="47"/>
              <w:outlineLvl w:val="9"/>
            </w:pPr>
            <w:r>
              <w:rPr>
                <w:spacing w:val="-11"/>
              </w:rPr>
              <w:t>乙方提供的其</w:t>
            </w:r>
            <w:r>
              <w:rPr>
                <w:spacing w:val="-5"/>
              </w:rPr>
              <w:t>他服务</w:t>
            </w:r>
          </w:p>
        </w:tc>
        <w:tc>
          <w:tcPr>
            <w:tcW w:w="5200" w:type="dxa"/>
            <w:gridSpan w:val="2"/>
            <w:vAlign w:val="top"/>
          </w:tcPr>
          <w:p w14:paraId="3B4443E9">
            <w:pPr>
              <w:outlineLvl w:val="9"/>
              <w:rPr>
                <w:rFonts w:ascii="Arial"/>
                <w:sz w:val="21"/>
              </w:rPr>
            </w:pPr>
          </w:p>
        </w:tc>
      </w:tr>
      <w:tr w14:paraId="48EC4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1621" w:type="dxa"/>
            <w:vAlign w:val="top"/>
          </w:tcPr>
          <w:p w14:paraId="303DC3DC">
            <w:pPr>
              <w:pStyle w:val="11"/>
              <w:spacing w:before="228" w:line="242" w:lineRule="auto"/>
              <w:ind w:left="289" w:right="260" w:firstLine="180"/>
              <w:outlineLvl w:val="9"/>
            </w:pPr>
            <w:r>
              <w:rPr>
                <w:spacing w:val="-6"/>
              </w:rPr>
              <w:t>第二节</w:t>
            </w:r>
            <w:r>
              <w:rPr>
                <w:spacing w:val="-12"/>
              </w:rPr>
              <w:t>第15.1款</w:t>
            </w:r>
          </w:p>
        </w:tc>
        <w:tc>
          <w:tcPr>
            <w:tcW w:w="1720" w:type="dxa"/>
            <w:vAlign w:val="top"/>
          </w:tcPr>
          <w:p w14:paraId="09E7B9AC">
            <w:pPr>
              <w:pStyle w:val="11"/>
              <w:spacing w:before="61" w:line="223" w:lineRule="auto"/>
              <w:ind w:left="120" w:right="173"/>
              <w:outlineLvl w:val="9"/>
            </w:pPr>
            <w:r>
              <w:rPr>
                <w:spacing w:val="-4"/>
              </w:rPr>
              <w:t>修理、重作、更换相关具体</w:t>
            </w:r>
            <w:r>
              <w:rPr>
                <w:spacing w:val="-6"/>
              </w:rPr>
              <w:t>规定</w:t>
            </w:r>
          </w:p>
        </w:tc>
        <w:tc>
          <w:tcPr>
            <w:tcW w:w="5200" w:type="dxa"/>
            <w:gridSpan w:val="2"/>
            <w:vAlign w:val="top"/>
          </w:tcPr>
          <w:p w14:paraId="4C19A518">
            <w:pPr>
              <w:outlineLvl w:val="9"/>
              <w:rPr>
                <w:rFonts w:ascii="Arial"/>
                <w:sz w:val="21"/>
              </w:rPr>
            </w:pPr>
          </w:p>
        </w:tc>
      </w:tr>
      <w:tr w14:paraId="30197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1621" w:type="dxa"/>
            <w:vAlign w:val="top"/>
          </w:tcPr>
          <w:p w14:paraId="58F529DA">
            <w:pPr>
              <w:pStyle w:val="11"/>
              <w:spacing w:before="76" w:line="225" w:lineRule="auto"/>
              <w:ind w:left="140" w:right="149" w:firstLine="328"/>
              <w:outlineLvl w:val="9"/>
            </w:pPr>
            <w:r>
              <w:rPr>
                <w:spacing w:val="-6"/>
              </w:rPr>
              <w:t>第二节</w:t>
            </w:r>
            <w:r>
              <w:rPr>
                <w:spacing w:val="-13"/>
              </w:rPr>
              <w:t>第15.2（2）</w:t>
            </w:r>
          </w:p>
          <w:p w14:paraId="05F508D6">
            <w:pPr>
              <w:pStyle w:val="11"/>
              <w:spacing w:line="208" w:lineRule="auto"/>
              <w:ind w:left="715"/>
              <w:outlineLvl w:val="9"/>
            </w:pPr>
            <w:r>
              <w:t>项</w:t>
            </w:r>
          </w:p>
        </w:tc>
        <w:tc>
          <w:tcPr>
            <w:tcW w:w="1720" w:type="dxa"/>
            <w:vAlign w:val="top"/>
          </w:tcPr>
          <w:p w14:paraId="5020039C">
            <w:pPr>
              <w:pStyle w:val="11"/>
              <w:spacing w:before="233" w:line="242" w:lineRule="auto"/>
              <w:ind w:left="147" w:right="173" w:hanging="27"/>
              <w:outlineLvl w:val="9"/>
            </w:pPr>
            <w:r>
              <w:rPr>
                <w:spacing w:val="-4"/>
              </w:rPr>
              <w:t>迟延交货赔偿</w:t>
            </w:r>
            <w:r>
              <w:t>费</w:t>
            </w:r>
          </w:p>
        </w:tc>
        <w:tc>
          <w:tcPr>
            <w:tcW w:w="5200" w:type="dxa"/>
            <w:gridSpan w:val="2"/>
            <w:vAlign w:val="top"/>
          </w:tcPr>
          <w:p w14:paraId="34D011DF">
            <w:pPr>
              <w:outlineLvl w:val="9"/>
              <w:rPr>
                <w:rFonts w:ascii="Arial"/>
                <w:sz w:val="21"/>
              </w:rPr>
            </w:pPr>
          </w:p>
        </w:tc>
      </w:tr>
      <w:tr w14:paraId="6F9EF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1621" w:type="dxa"/>
            <w:vAlign w:val="top"/>
          </w:tcPr>
          <w:p w14:paraId="1472D815">
            <w:pPr>
              <w:pStyle w:val="11"/>
              <w:spacing w:before="132" w:line="232" w:lineRule="auto"/>
              <w:ind w:left="289" w:right="260" w:firstLine="180"/>
              <w:outlineLvl w:val="9"/>
            </w:pPr>
            <w:r>
              <w:rPr>
                <w:spacing w:val="-6"/>
              </w:rPr>
              <w:t>第二节</w:t>
            </w:r>
            <w:r>
              <w:rPr>
                <w:spacing w:val="-12"/>
              </w:rPr>
              <w:t>第15.3款</w:t>
            </w:r>
          </w:p>
        </w:tc>
        <w:tc>
          <w:tcPr>
            <w:tcW w:w="1720" w:type="dxa"/>
            <w:vAlign w:val="top"/>
          </w:tcPr>
          <w:p w14:paraId="4A24B7C5">
            <w:pPr>
              <w:pStyle w:val="11"/>
              <w:spacing w:before="268" w:line="219" w:lineRule="auto"/>
              <w:ind w:left="116"/>
              <w:outlineLvl w:val="9"/>
            </w:pPr>
            <w:r>
              <w:rPr>
                <w:spacing w:val="-3"/>
              </w:rPr>
              <w:t>逾期付款利息</w:t>
            </w:r>
          </w:p>
        </w:tc>
        <w:tc>
          <w:tcPr>
            <w:tcW w:w="5200" w:type="dxa"/>
            <w:gridSpan w:val="2"/>
            <w:vAlign w:val="top"/>
          </w:tcPr>
          <w:p w14:paraId="51EB3481">
            <w:pPr>
              <w:outlineLvl w:val="9"/>
              <w:rPr>
                <w:rFonts w:ascii="Arial"/>
                <w:sz w:val="21"/>
              </w:rPr>
            </w:pPr>
          </w:p>
        </w:tc>
      </w:tr>
      <w:tr w14:paraId="353E0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1621" w:type="dxa"/>
            <w:vAlign w:val="top"/>
          </w:tcPr>
          <w:p w14:paraId="7A77E93C">
            <w:pPr>
              <w:pStyle w:val="11"/>
              <w:spacing w:before="201" w:line="244" w:lineRule="auto"/>
              <w:ind w:left="289" w:right="260" w:firstLine="180"/>
              <w:outlineLvl w:val="9"/>
            </w:pPr>
            <w:r>
              <w:rPr>
                <w:spacing w:val="-6"/>
              </w:rPr>
              <w:t>第二节</w:t>
            </w:r>
            <w:r>
              <w:rPr>
                <w:spacing w:val="-12"/>
              </w:rPr>
              <w:t>第15.4款</w:t>
            </w:r>
          </w:p>
        </w:tc>
        <w:tc>
          <w:tcPr>
            <w:tcW w:w="1740" w:type="dxa"/>
            <w:gridSpan w:val="2"/>
            <w:vAlign w:val="top"/>
          </w:tcPr>
          <w:p w14:paraId="5EDA1BBB">
            <w:pPr>
              <w:spacing w:line="258" w:lineRule="auto"/>
              <w:outlineLvl w:val="9"/>
              <w:rPr>
                <w:rFonts w:ascii="Arial"/>
                <w:sz w:val="21"/>
              </w:rPr>
            </w:pPr>
          </w:p>
          <w:p w14:paraId="261E4B9D">
            <w:pPr>
              <w:pStyle w:val="11"/>
              <w:spacing w:before="78" w:line="219" w:lineRule="auto"/>
              <w:ind w:left="121"/>
              <w:outlineLvl w:val="9"/>
            </w:pPr>
            <w:r>
              <w:rPr>
                <w:spacing w:val="-3"/>
              </w:rPr>
              <w:t>其他违约责任</w:t>
            </w:r>
          </w:p>
        </w:tc>
        <w:tc>
          <w:tcPr>
            <w:tcW w:w="5180" w:type="dxa"/>
            <w:vAlign w:val="top"/>
          </w:tcPr>
          <w:p w14:paraId="2AC67BEE">
            <w:pPr>
              <w:outlineLvl w:val="9"/>
              <w:rPr>
                <w:rFonts w:ascii="Arial"/>
                <w:sz w:val="21"/>
              </w:rPr>
            </w:pPr>
          </w:p>
        </w:tc>
      </w:tr>
      <w:tr w14:paraId="34AC2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6" w:hRule="atLeast"/>
        </w:trPr>
        <w:tc>
          <w:tcPr>
            <w:tcW w:w="1621" w:type="dxa"/>
            <w:vAlign w:val="top"/>
          </w:tcPr>
          <w:p w14:paraId="6AC9CE99">
            <w:pPr>
              <w:spacing w:line="317" w:lineRule="auto"/>
              <w:outlineLvl w:val="9"/>
              <w:rPr>
                <w:rFonts w:ascii="Arial"/>
                <w:sz w:val="21"/>
              </w:rPr>
            </w:pPr>
          </w:p>
          <w:p w14:paraId="2AE56B28">
            <w:pPr>
              <w:spacing w:line="318" w:lineRule="auto"/>
              <w:outlineLvl w:val="9"/>
              <w:rPr>
                <w:rFonts w:ascii="Arial"/>
                <w:sz w:val="21"/>
              </w:rPr>
            </w:pPr>
          </w:p>
          <w:p w14:paraId="3DCB8B23">
            <w:pPr>
              <w:pStyle w:val="11"/>
              <w:spacing w:before="78" w:line="244" w:lineRule="auto"/>
              <w:ind w:left="289" w:right="260" w:firstLine="180"/>
              <w:outlineLvl w:val="9"/>
            </w:pPr>
            <w:r>
              <w:rPr>
                <w:spacing w:val="-6"/>
              </w:rPr>
              <w:t>第二节</w:t>
            </w:r>
            <w:r>
              <w:rPr>
                <w:spacing w:val="-12"/>
              </w:rPr>
              <w:t>第19.2款</w:t>
            </w:r>
          </w:p>
        </w:tc>
        <w:tc>
          <w:tcPr>
            <w:tcW w:w="1740" w:type="dxa"/>
            <w:gridSpan w:val="2"/>
            <w:vAlign w:val="top"/>
          </w:tcPr>
          <w:p w14:paraId="726CD91D">
            <w:pPr>
              <w:spacing w:line="317" w:lineRule="auto"/>
              <w:outlineLvl w:val="9"/>
              <w:rPr>
                <w:rFonts w:ascii="Arial"/>
                <w:sz w:val="21"/>
              </w:rPr>
            </w:pPr>
          </w:p>
          <w:p w14:paraId="02CF8F2C">
            <w:pPr>
              <w:spacing w:line="317" w:lineRule="auto"/>
              <w:outlineLvl w:val="9"/>
              <w:rPr>
                <w:rFonts w:ascii="Arial"/>
                <w:sz w:val="21"/>
              </w:rPr>
            </w:pPr>
          </w:p>
          <w:p w14:paraId="7EFA79F3">
            <w:pPr>
              <w:pStyle w:val="11"/>
              <w:spacing w:before="78" w:line="251" w:lineRule="auto"/>
              <w:ind w:left="120" w:right="196" w:hanging="4"/>
              <w:outlineLvl w:val="9"/>
            </w:pPr>
            <w:r>
              <w:rPr>
                <w:spacing w:val="-4"/>
              </w:rPr>
              <w:t>解决争议的方</w:t>
            </w:r>
            <w:r>
              <w:t>法</w:t>
            </w:r>
          </w:p>
        </w:tc>
        <w:tc>
          <w:tcPr>
            <w:tcW w:w="5180" w:type="dxa"/>
            <w:vAlign w:val="top"/>
          </w:tcPr>
          <w:p w14:paraId="485F149C">
            <w:pPr>
              <w:pStyle w:val="11"/>
              <w:spacing w:before="157" w:line="306" w:lineRule="auto"/>
              <w:ind w:left="122" w:right="124" w:firstLine="35"/>
              <w:outlineLvl w:val="9"/>
            </w:pPr>
            <w:r>
              <w:rPr>
                <w:spacing w:val="-8"/>
              </w:rPr>
              <w:t>因本合同及合同有关事项发生的争议，按下列第</w:t>
            </w:r>
            <w:r>
              <w:rPr>
                <w:spacing w:val="-3"/>
              </w:rPr>
              <w:t>种方式解决：</w:t>
            </w:r>
          </w:p>
          <w:p w14:paraId="46F5CF19">
            <w:pPr>
              <w:pStyle w:val="11"/>
              <w:spacing w:line="262" w:lineRule="auto"/>
              <w:ind w:left="121" w:right="153" w:firstLine="24"/>
              <w:outlineLvl w:val="9"/>
            </w:pPr>
            <w:r>
              <w:rPr>
                <w:spacing w:val="-2"/>
              </w:rPr>
              <w:t>（1）向仲裁委员会申请仲裁，仲裁地点为；</w:t>
            </w:r>
          </w:p>
          <w:p w14:paraId="05131959">
            <w:pPr>
              <w:pStyle w:val="11"/>
              <w:spacing w:line="209" w:lineRule="auto"/>
              <w:ind w:left="146"/>
              <w:outlineLvl w:val="9"/>
            </w:pPr>
            <w:r>
              <w:rPr>
                <w:spacing w:val="-2"/>
              </w:rPr>
              <w:t>（2）向人民法院</w:t>
            </w:r>
            <w:r>
              <w:rPr>
                <w:spacing w:val="-3"/>
              </w:rPr>
              <w:t>起诉。</w:t>
            </w:r>
          </w:p>
        </w:tc>
      </w:tr>
      <w:tr w14:paraId="2B53D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1" w:hRule="atLeast"/>
        </w:trPr>
        <w:tc>
          <w:tcPr>
            <w:tcW w:w="1621" w:type="dxa"/>
            <w:vAlign w:val="top"/>
          </w:tcPr>
          <w:p w14:paraId="71BED14F">
            <w:pPr>
              <w:pStyle w:val="11"/>
              <w:spacing w:before="155" w:line="242" w:lineRule="auto"/>
              <w:ind w:left="289" w:right="260" w:firstLine="180"/>
              <w:outlineLvl w:val="9"/>
            </w:pPr>
            <w:r>
              <w:rPr>
                <w:spacing w:val="-6"/>
              </w:rPr>
              <w:t>第二节</w:t>
            </w:r>
            <w:r>
              <w:rPr>
                <w:spacing w:val="-8"/>
              </w:rPr>
              <w:t>第23.1款</w:t>
            </w:r>
          </w:p>
        </w:tc>
        <w:tc>
          <w:tcPr>
            <w:tcW w:w="1720" w:type="dxa"/>
            <w:vAlign w:val="top"/>
          </w:tcPr>
          <w:p w14:paraId="273BD6F4">
            <w:pPr>
              <w:pStyle w:val="11"/>
              <w:spacing w:before="289" w:line="219" w:lineRule="auto"/>
              <w:ind w:left="123"/>
              <w:outlineLvl w:val="9"/>
            </w:pPr>
            <w:r>
              <w:rPr>
                <w:spacing w:val="-3"/>
              </w:rPr>
              <w:t>其他专用条款</w:t>
            </w:r>
          </w:p>
        </w:tc>
        <w:tc>
          <w:tcPr>
            <w:tcW w:w="5200" w:type="dxa"/>
            <w:gridSpan w:val="2"/>
            <w:vAlign w:val="top"/>
          </w:tcPr>
          <w:p w14:paraId="1DB212C9">
            <w:pPr>
              <w:outlineLvl w:val="9"/>
              <w:rPr>
                <w:rFonts w:ascii="Arial"/>
                <w:sz w:val="21"/>
              </w:rPr>
            </w:pPr>
          </w:p>
        </w:tc>
      </w:tr>
    </w:tbl>
    <w:p w14:paraId="61006469">
      <w:pPr>
        <w:pStyle w:val="2"/>
        <w:outlineLvl w:val="9"/>
      </w:pPr>
    </w:p>
    <w:p w14:paraId="3CFEFF35">
      <w:pPr>
        <w:outlineLvl w:val="9"/>
        <w:sectPr>
          <w:footerReference r:id="rId73" w:type="default"/>
          <w:pgSz w:w="11906" w:h="16840"/>
          <w:pgMar w:top="1091" w:right="1582" w:bottom="1156" w:left="1776" w:header="1077" w:footer="910" w:gutter="0"/>
          <w:pgNumType w:fmt="decimal"/>
          <w:cols w:space="720" w:num="1"/>
        </w:sectPr>
      </w:pPr>
    </w:p>
    <w:p w14:paraId="59DC9D71">
      <w:pPr>
        <w:pStyle w:val="2"/>
        <w:spacing w:line="393" w:lineRule="auto"/>
      </w:pPr>
    </w:p>
    <w:p w14:paraId="631A945E">
      <w:pPr>
        <w:spacing w:before="110" w:line="225" w:lineRule="auto"/>
        <w:ind w:left="2204"/>
        <w:outlineLvl w:val="0"/>
        <w:rPr>
          <w:rFonts w:ascii="宋体" w:hAnsi="宋体" w:eastAsia="宋体" w:cs="宋体"/>
          <w:sz w:val="34"/>
          <w:szCs w:val="34"/>
        </w:rPr>
      </w:pPr>
      <w:bookmarkStart w:id="15" w:name="_Toc8816_WPSOffice_Level1"/>
      <w:r>
        <w:rPr>
          <w:rFonts w:ascii="宋体" w:hAnsi="宋体" w:eastAsia="宋体" w:cs="宋体"/>
          <w:b/>
          <w:bCs/>
          <w:spacing w:val="11"/>
          <w:sz w:val="34"/>
          <w:szCs w:val="34"/>
        </w:rPr>
        <w:t>第六部分投标文件格式</w:t>
      </w:r>
      <w:bookmarkEnd w:id="15"/>
    </w:p>
    <w:p w14:paraId="7AF00F3E">
      <w:pPr>
        <w:pStyle w:val="2"/>
        <w:spacing w:line="250" w:lineRule="auto"/>
      </w:pPr>
    </w:p>
    <w:p w14:paraId="3044FC1F">
      <w:pPr>
        <w:pStyle w:val="2"/>
        <w:spacing w:line="250" w:lineRule="auto"/>
      </w:pPr>
    </w:p>
    <w:p w14:paraId="4CE08752">
      <w:pPr>
        <w:pStyle w:val="2"/>
        <w:spacing w:line="251" w:lineRule="auto"/>
        <w:outlineLvl w:val="9"/>
      </w:pPr>
    </w:p>
    <w:p w14:paraId="7EF206E0">
      <w:pPr>
        <w:pStyle w:val="2"/>
        <w:spacing w:line="251" w:lineRule="auto"/>
        <w:outlineLvl w:val="9"/>
      </w:pPr>
    </w:p>
    <w:p w14:paraId="7FE929F5">
      <w:pPr>
        <w:pStyle w:val="2"/>
        <w:spacing w:line="251" w:lineRule="auto"/>
        <w:outlineLvl w:val="9"/>
      </w:pPr>
    </w:p>
    <w:p w14:paraId="3FD069E2">
      <w:pPr>
        <w:pStyle w:val="2"/>
        <w:spacing w:line="251" w:lineRule="auto"/>
        <w:outlineLvl w:val="9"/>
      </w:pPr>
    </w:p>
    <w:p w14:paraId="35E901FA">
      <w:pPr>
        <w:pStyle w:val="2"/>
        <w:spacing w:line="251" w:lineRule="auto"/>
        <w:outlineLvl w:val="9"/>
      </w:pPr>
    </w:p>
    <w:p w14:paraId="5D514D20">
      <w:pPr>
        <w:pStyle w:val="2"/>
        <w:spacing w:line="251" w:lineRule="auto"/>
        <w:outlineLvl w:val="9"/>
      </w:pPr>
    </w:p>
    <w:p w14:paraId="5E6A9809">
      <w:pPr>
        <w:tabs>
          <w:tab w:val="left" w:pos="5607"/>
        </w:tabs>
        <w:spacing w:before="91" w:line="221" w:lineRule="auto"/>
        <w:ind w:left="2248"/>
        <w:outlineLvl w:val="9"/>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z w:val="28"/>
          <w:szCs w:val="28"/>
        </w:rPr>
        <w:t>（项目名称）</w:t>
      </w:r>
    </w:p>
    <w:p w14:paraId="7D397BFB">
      <w:pPr>
        <w:tabs>
          <w:tab w:val="left" w:pos="5607"/>
        </w:tabs>
        <w:spacing w:before="286" w:line="220" w:lineRule="auto"/>
        <w:ind w:left="2248"/>
        <w:outlineLvl w:val="9"/>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z w:val="28"/>
          <w:szCs w:val="28"/>
        </w:rPr>
        <w:t>（项目编号）</w:t>
      </w:r>
    </w:p>
    <w:p w14:paraId="134686B2">
      <w:pPr>
        <w:pStyle w:val="2"/>
        <w:spacing w:line="264" w:lineRule="auto"/>
        <w:outlineLvl w:val="9"/>
      </w:pPr>
    </w:p>
    <w:p w14:paraId="20D1FD81">
      <w:pPr>
        <w:pStyle w:val="2"/>
        <w:spacing w:line="264" w:lineRule="auto"/>
        <w:outlineLvl w:val="9"/>
      </w:pPr>
    </w:p>
    <w:p w14:paraId="726E5F90">
      <w:pPr>
        <w:pStyle w:val="2"/>
        <w:spacing w:line="265" w:lineRule="auto"/>
        <w:outlineLvl w:val="9"/>
      </w:pPr>
    </w:p>
    <w:p w14:paraId="38D43BC7">
      <w:pPr>
        <w:pStyle w:val="2"/>
        <w:spacing w:line="265" w:lineRule="auto"/>
        <w:outlineLvl w:val="9"/>
      </w:pPr>
    </w:p>
    <w:p w14:paraId="0D0DD9E3">
      <w:pPr>
        <w:pStyle w:val="2"/>
        <w:spacing w:line="265" w:lineRule="auto"/>
        <w:outlineLvl w:val="9"/>
      </w:pPr>
    </w:p>
    <w:p w14:paraId="44E7D7CB">
      <w:pPr>
        <w:pStyle w:val="2"/>
        <w:spacing w:line="265" w:lineRule="auto"/>
        <w:outlineLvl w:val="9"/>
      </w:pPr>
    </w:p>
    <w:p w14:paraId="061CD7D5">
      <w:pPr>
        <w:spacing w:before="228" w:line="224" w:lineRule="auto"/>
        <w:ind w:left="2764"/>
        <w:outlineLvl w:val="9"/>
        <w:rPr>
          <w:rFonts w:ascii="黑体" w:hAnsi="黑体" w:eastAsia="黑体" w:cs="黑体"/>
          <w:sz w:val="70"/>
          <w:szCs w:val="70"/>
        </w:rPr>
      </w:pPr>
      <w:r>
        <w:rPr>
          <w:rFonts w:ascii="黑体" w:hAnsi="黑体" w:eastAsia="黑体" w:cs="黑体"/>
          <w:b/>
          <w:bCs/>
          <w:spacing w:val="-2"/>
          <w:sz w:val="70"/>
          <w:szCs w:val="70"/>
        </w:rPr>
        <w:t>投标文件</w:t>
      </w:r>
    </w:p>
    <w:p w14:paraId="364AD769">
      <w:pPr>
        <w:pStyle w:val="2"/>
        <w:spacing w:line="249" w:lineRule="auto"/>
        <w:outlineLvl w:val="9"/>
      </w:pPr>
    </w:p>
    <w:p w14:paraId="39200375">
      <w:pPr>
        <w:pStyle w:val="2"/>
        <w:spacing w:line="249" w:lineRule="auto"/>
        <w:outlineLvl w:val="9"/>
      </w:pPr>
    </w:p>
    <w:p w14:paraId="3DDBBD1A">
      <w:pPr>
        <w:pStyle w:val="2"/>
        <w:spacing w:line="249" w:lineRule="auto"/>
        <w:outlineLvl w:val="9"/>
      </w:pPr>
    </w:p>
    <w:p w14:paraId="414A87AF">
      <w:pPr>
        <w:pStyle w:val="2"/>
        <w:spacing w:line="249" w:lineRule="auto"/>
        <w:outlineLvl w:val="9"/>
      </w:pPr>
    </w:p>
    <w:p w14:paraId="096DD93E">
      <w:pPr>
        <w:pStyle w:val="2"/>
        <w:spacing w:line="249" w:lineRule="auto"/>
        <w:outlineLvl w:val="9"/>
      </w:pPr>
    </w:p>
    <w:p w14:paraId="611FDB7A">
      <w:pPr>
        <w:pStyle w:val="2"/>
        <w:spacing w:line="249" w:lineRule="auto"/>
        <w:outlineLvl w:val="9"/>
      </w:pPr>
    </w:p>
    <w:p w14:paraId="5DCDEE2D">
      <w:pPr>
        <w:pStyle w:val="2"/>
        <w:spacing w:line="249" w:lineRule="auto"/>
        <w:outlineLvl w:val="9"/>
      </w:pPr>
    </w:p>
    <w:p w14:paraId="2EBA3F27">
      <w:pPr>
        <w:pStyle w:val="2"/>
        <w:spacing w:line="249" w:lineRule="auto"/>
        <w:outlineLvl w:val="9"/>
      </w:pPr>
    </w:p>
    <w:p w14:paraId="759E8E9D">
      <w:pPr>
        <w:pStyle w:val="2"/>
        <w:spacing w:line="249" w:lineRule="auto"/>
        <w:outlineLvl w:val="9"/>
      </w:pPr>
    </w:p>
    <w:p w14:paraId="6ADE5E82">
      <w:pPr>
        <w:pStyle w:val="2"/>
        <w:spacing w:line="249" w:lineRule="auto"/>
        <w:outlineLvl w:val="9"/>
      </w:pPr>
    </w:p>
    <w:p w14:paraId="60F21EF8">
      <w:pPr>
        <w:pStyle w:val="2"/>
        <w:spacing w:line="249" w:lineRule="auto"/>
        <w:outlineLvl w:val="9"/>
      </w:pPr>
    </w:p>
    <w:p w14:paraId="0DEB8245">
      <w:pPr>
        <w:pStyle w:val="2"/>
        <w:spacing w:line="249" w:lineRule="auto"/>
        <w:outlineLvl w:val="9"/>
      </w:pPr>
    </w:p>
    <w:p w14:paraId="108E5816">
      <w:pPr>
        <w:pStyle w:val="2"/>
        <w:spacing w:line="249" w:lineRule="auto"/>
        <w:outlineLvl w:val="9"/>
      </w:pPr>
    </w:p>
    <w:p w14:paraId="49C1C5B3">
      <w:pPr>
        <w:pStyle w:val="2"/>
        <w:spacing w:line="249" w:lineRule="auto"/>
        <w:outlineLvl w:val="9"/>
      </w:pPr>
    </w:p>
    <w:p w14:paraId="6D7E0580">
      <w:pPr>
        <w:pStyle w:val="2"/>
        <w:spacing w:line="250" w:lineRule="auto"/>
        <w:outlineLvl w:val="9"/>
      </w:pPr>
    </w:p>
    <w:p w14:paraId="217ED36E">
      <w:pPr>
        <w:spacing w:before="91" w:line="219" w:lineRule="auto"/>
        <w:ind w:left="1602"/>
        <w:outlineLvl w:val="9"/>
        <w:rPr>
          <w:rFonts w:ascii="宋体" w:hAnsi="宋体" w:eastAsia="宋体" w:cs="宋体"/>
          <w:sz w:val="28"/>
          <w:szCs w:val="28"/>
        </w:rPr>
      </w:pPr>
      <w:r>
        <w:rPr>
          <w:rFonts w:ascii="宋体" w:hAnsi="宋体" w:eastAsia="宋体" w:cs="宋体"/>
          <w:spacing w:val="3"/>
          <w:sz w:val="28"/>
          <w:szCs w:val="28"/>
        </w:rPr>
        <w:t>投标人</w:t>
      </w:r>
      <w:r>
        <w:rPr>
          <w:rFonts w:ascii="宋体" w:hAnsi="宋体" w:eastAsia="宋体" w:cs="宋体"/>
          <w:spacing w:val="-29"/>
          <w:sz w:val="28"/>
          <w:szCs w:val="28"/>
        </w:rPr>
        <w:t>：（</w:t>
      </w:r>
      <w:r>
        <w:rPr>
          <w:rFonts w:ascii="宋体" w:hAnsi="宋体" w:eastAsia="宋体" w:cs="宋体"/>
          <w:spacing w:val="3"/>
          <w:sz w:val="28"/>
          <w:szCs w:val="28"/>
        </w:rPr>
        <w:t>公章）</w:t>
      </w:r>
    </w:p>
    <w:p w14:paraId="4523AED3">
      <w:pPr>
        <w:spacing w:before="292" w:line="219" w:lineRule="auto"/>
        <w:ind w:left="33"/>
        <w:outlineLvl w:val="9"/>
        <w:rPr>
          <w:rFonts w:ascii="宋体" w:hAnsi="宋体" w:eastAsia="宋体" w:cs="宋体"/>
          <w:sz w:val="28"/>
          <w:szCs w:val="28"/>
        </w:rPr>
      </w:pPr>
      <w:r>
        <w:rPr>
          <w:rFonts w:ascii="宋体" w:hAnsi="宋体" w:eastAsia="宋体" w:cs="宋体"/>
          <w:spacing w:val="1"/>
          <w:sz w:val="28"/>
          <w:szCs w:val="28"/>
        </w:rPr>
        <w:t>法定代表人或其授权委托人</w:t>
      </w:r>
      <w:r>
        <w:rPr>
          <w:rFonts w:ascii="宋体" w:hAnsi="宋体" w:eastAsia="宋体" w:cs="宋体"/>
          <w:spacing w:val="-24"/>
          <w:sz w:val="28"/>
          <w:szCs w:val="28"/>
        </w:rPr>
        <w:t>：（</w:t>
      </w:r>
      <w:r>
        <w:rPr>
          <w:rFonts w:ascii="宋体" w:hAnsi="宋体" w:eastAsia="宋体" w:cs="宋体"/>
          <w:spacing w:val="1"/>
          <w:sz w:val="28"/>
          <w:szCs w:val="28"/>
        </w:rPr>
        <w:t>签字或盖章）</w:t>
      </w:r>
    </w:p>
    <w:p w14:paraId="70AC8278">
      <w:pPr>
        <w:spacing w:before="292" w:line="220" w:lineRule="auto"/>
        <w:ind w:left="1834"/>
        <w:outlineLvl w:val="9"/>
        <w:rPr>
          <w:rFonts w:ascii="宋体" w:hAnsi="宋体" w:eastAsia="宋体" w:cs="宋体"/>
          <w:sz w:val="28"/>
          <w:szCs w:val="28"/>
        </w:rPr>
      </w:pPr>
      <w:r>
        <w:rPr>
          <w:rFonts w:ascii="宋体" w:hAnsi="宋体" w:eastAsia="宋体" w:cs="宋体"/>
          <w:spacing w:val="-11"/>
          <w:sz w:val="28"/>
          <w:szCs w:val="28"/>
        </w:rPr>
        <w:t>日期（年/月/日）</w:t>
      </w:r>
    </w:p>
    <w:p w14:paraId="73B66658">
      <w:pPr>
        <w:spacing w:line="220" w:lineRule="auto"/>
        <w:outlineLvl w:val="9"/>
        <w:rPr>
          <w:rFonts w:ascii="宋体" w:hAnsi="宋体" w:eastAsia="宋体" w:cs="宋体"/>
          <w:sz w:val="28"/>
          <w:szCs w:val="28"/>
        </w:rPr>
        <w:sectPr>
          <w:headerReference r:id="rId74" w:type="default"/>
          <w:footerReference r:id="rId75" w:type="default"/>
          <w:pgSz w:w="11906" w:h="16840"/>
          <w:pgMar w:top="1091" w:right="1785" w:bottom="1151" w:left="1785" w:header="1077" w:footer="906" w:gutter="0"/>
          <w:pgNumType w:fmt="decimal"/>
          <w:cols w:space="720" w:num="1"/>
        </w:sectPr>
      </w:pPr>
    </w:p>
    <w:p w14:paraId="2D181FEA">
      <w:pPr>
        <w:pStyle w:val="2"/>
        <w:spacing w:line="434" w:lineRule="auto"/>
        <w:outlineLvl w:val="9"/>
      </w:pPr>
    </w:p>
    <w:p w14:paraId="08790011">
      <w:pPr>
        <w:spacing w:before="91" w:line="222" w:lineRule="auto"/>
        <w:ind w:left="4293"/>
        <w:outlineLvl w:val="9"/>
        <w:rPr>
          <w:rFonts w:ascii="宋体" w:hAnsi="宋体" w:eastAsia="宋体" w:cs="宋体"/>
          <w:spacing w:val="-32"/>
          <w:sz w:val="28"/>
          <w:szCs w:val="28"/>
        </w:rPr>
      </w:pPr>
      <w:r>
        <w:rPr>
          <w:rFonts w:ascii="宋体" w:hAnsi="宋体" w:eastAsia="宋体" w:cs="宋体"/>
          <w:spacing w:val="-32"/>
          <w:sz w:val="28"/>
          <w:szCs w:val="28"/>
        </w:rPr>
        <w:t>目录</w:t>
      </w:r>
    </w:p>
    <w:p w14:paraId="3DED91C7">
      <w:pPr>
        <w:spacing w:before="91" w:line="222" w:lineRule="auto"/>
        <w:ind w:left="4293"/>
        <w:outlineLvl w:val="9"/>
        <w:rPr>
          <w:rFonts w:ascii="宋体" w:hAnsi="宋体" w:eastAsia="宋体" w:cs="宋体"/>
          <w:spacing w:val="-32"/>
          <w:sz w:val="28"/>
          <w:szCs w:val="28"/>
        </w:rPr>
      </w:pPr>
    </w:p>
    <w:p w14:paraId="44170C55">
      <w:pPr>
        <w:spacing w:before="91" w:line="222" w:lineRule="auto"/>
        <w:ind w:left="4293"/>
        <w:outlineLvl w:val="9"/>
        <w:rPr>
          <w:rFonts w:hint="eastAsia" w:ascii="宋体" w:hAnsi="宋体" w:eastAsia="宋体" w:cs="宋体"/>
          <w:spacing w:val="-32"/>
          <w:sz w:val="28"/>
          <w:szCs w:val="28"/>
          <w:lang w:val="en-US" w:eastAsia="zh-CN"/>
        </w:rPr>
        <w:sectPr>
          <w:headerReference r:id="rId76" w:type="default"/>
          <w:footerReference r:id="rId77" w:type="default"/>
          <w:pgSz w:w="11906" w:h="16840"/>
          <w:pgMar w:top="1091" w:right="1753" w:bottom="1156" w:left="1785" w:header="1077" w:footer="910" w:gutter="0"/>
          <w:pgNumType w:fmt="decimal"/>
          <w:cols w:space="720" w:num="1"/>
        </w:sectPr>
      </w:pPr>
      <w:r>
        <w:rPr>
          <w:rFonts w:hint="eastAsia" w:ascii="宋体" w:hAnsi="宋体" w:eastAsia="宋体" w:cs="宋体"/>
          <w:spacing w:val="-32"/>
          <w:sz w:val="28"/>
          <w:szCs w:val="28"/>
          <w:lang w:val="en-US" w:eastAsia="zh-CN"/>
        </w:rPr>
        <w:t>格式自拟</w:t>
      </w:r>
    </w:p>
    <w:p w14:paraId="1E3EE762">
      <w:pPr>
        <w:spacing w:line="219" w:lineRule="auto"/>
        <w:outlineLvl w:val="9"/>
        <w:rPr>
          <w:rFonts w:ascii="宋体" w:hAnsi="宋体" w:eastAsia="宋体" w:cs="宋体"/>
          <w:sz w:val="24"/>
          <w:szCs w:val="24"/>
        </w:rPr>
        <w:sectPr>
          <w:headerReference r:id="rId78" w:type="default"/>
          <w:footerReference r:id="rId79" w:type="default"/>
          <w:pgSz w:w="11906" w:h="16840"/>
          <w:pgMar w:top="1091" w:right="1785" w:bottom="1156" w:left="1785" w:header="1077" w:footer="910" w:gutter="0"/>
          <w:pgNumType w:fmt="decimal"/>
          <w:cols w:space="720" w:num="1"/>
        </w:sectPr>
      </w:pPr>
    </w:p>
    <w:p w14:paraId="1D73CF1E">
      <w:pPr>
        <w:pStyle w:val="2"/>
        <w:spacing w:line="284" w:lineRule="auto"/>
        <w:outlineLvl w:val="9"/>
      </w:pPr>
    </w:p>
    <w:p w14:paraId="326609AF">
      <w:pPr>
        <w:pStyle w:val="2"/>
        <w:spacing w:line="284" w:lineRule="auto"/>
        <w:outlineLvl w:val="9"/>
      </w:pPr>
    </w:p>
    <w:p w14:paraId="35B2B3AB">
      <w:pPr>
        <w:pStyle w:val="2"/>
        <w:spacing w:line="284" w:lineRule="auto"/>
        <w:outlineLvl w:val="9"/>
      </w:pPr>
    </w:p>
    <w:p w14:paraId="7D84B389">
      <w:pPr>
        <w:pStyle w:val="2"/>
        <w:spacing w:line="285" w:lineRule="auto"/>
        <w:outlineLvl w:val="9"/>
      </w:pPr>
    </w:p>
    <w:p w14:paraId="29E7F821">
      <w:pPr>
        <w:spacing w:before="97" w:line="228" w:lineRule="auto"/>
        <w:ind w:left="69"/>
        <w:outlineLvl w:val="9"/>
        <w:rPr>
          <w:rFonts w:ascii="黑体" w:hAnsi="黑体" w:eastAsia="黑体" w:cs="黑体"/>
          <w:sz w:val="30"/>
          <w:szCs w:val="30"/>
        </w:rPr>
      </w:pPr>
      <w:bookmarkStart w:id="16" w:name="_Toc7070_WPSOffice_Level1"/>
      <w:r>
        <w:rPr>
          <w:rFonts w:ascii="黑体" w:hAnsi="黑体" w:eastAsia="黑体" w:cs="黑体"/>
          <w:b/>
          <w:bCs/>
          <w:spacing w:val="11"/>
          <w:sz w:val="30"/>
          <w:szCs w:val="30"/>
        </w:rPr>
        <w:t>附件一：具备履行合同所必需的设备和专业技术能力的书面</w:t>
      </w:r>
      <w:bookmarkEnd w:id="16"/>
    </w:p>
    <w:p w14:paraId="4359B8D3">
      <w:pPr>
        <w:spacing w:before="251" w:line="227" w:lineRule="auto"/>
        <w:ind w:left="3866"/>
        <w:outlineLvl w:val="9"/>
        <w:rPr>
          <w:rFonts w:ascii="黑体" w:hAnsi="黑体" w:eastAsia="黑体" w:cs="黑体"/>
          <w:sz w:val="30"/>
          <w:szCs w:val="30"/>
        </w:rPr>
      </w:pPr>
      <w:r>
        <w:rPr>
          <w:rFonts w:ascii="黑体" w:hAnsi="黑体" w:eastAsia="黑体" w:cs="黑体"/>
          <w:b/>
          <w:bCs/>
          <w:spacing w:val="1"/>
          <w:sz w:val="30"/>
          <w:szCs w:val="30"/>
        </w:rPr>
        <w:t>声明</w:t>
      </w:r>
    </w:p>
    <w:p w14:paraId="2AF8C8C8">
      <w:pPr>
        <w:pStyle w:val="2"/>
        <w:spacing w:line="260" w:lineRule="auto"/>
        <w:outlineLvl w:val="9"/>
      </w:pPr>
    </w:p>
    <w:p w14:paraId="5F29C4B7">
      <w:pPr>
        <w:spacing w:before="78" w:line="304" w:lineRule="auto"/>
        <w:ind w:left="36" w:right="28" w:firstLine="487"/>
        <w:outlineLvl w:val="9"/>
        <w:rPr>
          <w:rFonts w:ascii="宋体" w:hAnsi="宋体" w:eastAsia="宋体" w:cs="宋体"/>
          <w:sz w:val="24"/>
          <w:szCs w:val="24"/>
        </w:rPr>
      </w:pPr>
      <w:r>
        <w:rPr>
          <w:rFonts w:ascii="宋体" w:hAnsi="宋体" w:eastAsia="宋体" w:cs="宋体"/>
          <w:spacing w:val="-4"/>
          <w:sz w:val="24"/>
          <w:szCs w:val="24"/>
        </w:rPr>
        <w:t>我单位郑重声明：我单位具备履行本项采购合同所必需的</w:t>
      </w:r>
      <w:r>
        <w:rPr>
          <w:rFonts w:ascii="宋体" w:hAnsi="宋体" w:eastAsia="宋体" w:cs="宋体"/>
          <w:spacing w:val="-5"/>
          <w:sz w:val="24"/>
          <w:szCs w:val="24"/>
        </w:rPr>
        <w:t>设备和专业技术能</w:t>
      </w:r>
      <w:r>
        <w:rPr>
          <w:rFonts w:ascii="宋体" w:hAnsi="宋体" w:eastAsia="宋体" w:cs="宋体"/>
          <w:spacing w:val="-2"/>
          <w:sz w:val="24"/>
          <w:szCs w:val="24"/>
        </w:rPr>
        <w:t>力，为履行本项采购合同我公司具备如下主要设备和主要专业技术能力：</w:t>
      </w:r>
    </w:p>
    <w:p w14:paraId="4B768F84">
      <w:pPr>
        <w:spacing w:before="125" w:line="220" w:lineRule="auto"/>
        <w:ind w:left="524"/>
        <w:outlineLvl w:val="9"/>
        <w:rPr>
          <w:rFonts w:hint="eastAsia" w:ascii="宋体" w:hAnsi="宋体" w:eastAsia="宋体" w:cs="宋体"/>
          <w:sz w:val="24"/>
          <w:szCs w:val="24"/>
          <w:lang w:eastAsia="zh-CN"/>
        </w:rPr>
      </w:pPr>
      <w:r>
        <w:rPr>
          <w:rFonts w:ascii="宋体" w:hAnsi="宋体" w:eastAsia="宋体" w:cs="宋体"/>
          <w:spacing w:val="-4"/>
          <w:sz w:val="24"/>
          <w:szCs w:val="24"/>
        </w:rPr>
        <w:t>主要设备有：</w:t>
      </w:r>
    </w:p>
    <w:p w14:paraId="7DB873C8">
      <w:pPr>
        <w:spacing w:before="259" w:line="219" w:lineRule="auto"/>
        <w:ind w:left="524"/>
        <w:outlineLvl w:val="9"/>
        <w:rPr>
          <w:rFonts w:hint="eastAsia" w:ascii="宋体" w:hAnsi="宋体" w:eastAsia="宋体" w:cs="宋体"/>
          <w:sz w:val="24"/>
          <w:szCs w:val="24"/>
          <w:lang w:eastAsia="zh-CN"/>
        </w:rPr>
      </w:pPr>
      <w:r>
        <w:rPr>
          <w:rFonts w:ascii="宋体" w:hAnsi="宋体" w:eastAsia="宋体" w:cs="宋体"/>
          <w:spacing w:val="-4"/>
          <w:sz w:val="24"/>
          <w:szCs w:val="24"/>
        </w:rPr>
        <w:t>主要专业技术能力有：</w:t>
      </w:r>
    </w:p>
    <w:p w14:paraId="098476F2">
      <w:pPr>
        <w:pStyle w:val="2"/>
        <w:spacing w:line="303" w:lineRule="auto"/>
        <w:outlineLvl w:val="9"/>
      </w:pPr>
    </w:p>
    <w:p w14:paraId="0D3A0587">
      <w:pPr>
        <w:pStyle w:val="2"/>
        <w:spacing w:line="304" w:lineRule="auto"/>
        <w:outlineLvl w:val="9"/>
      </w:pPr>
    </w:p>
    <w:p w14:paraId="67C51280">
      <w:pPr>
        <w:spacing w:before="78" w:line="219" w:lineRule="auto"/>
        <w:ind w:left="3993"/>
        <w:outlineLvl w:val="9"/>
        <w:rPr>
          <w:rFonts w:hint="eastAsia" w:ascii="宋体" w:hAnsi="宋体" w:eastAsia="宋体" w:cs="宋体"/>
          <w:sz w:val="24"/>
          <w:szCs w:val="24"/>
          <w:lang w:eastAsia="zh-CN"/>
        </w:rPr>
      </w:pPr>
      <w:r>
        <w:rPr>
          <w:rFonts w:ascii="宋体" w:hAnsi="宋体" w:eastAsia="宋体" w:cs="宋体"/>
          <w:spacing w:val="-4"/>
          <w:sz w:val="24"/>
          <w:szCs w:val="24"/>
        </w:rPr>
        <w:t>投标人名称（公章</w:t>
      </w:r>
      <w:r>
        <w:rPr>
          <w:rFonts w:ascii="宋体" w:hAnsi="宋体" w:eastAsia="宋体" w:cs="宋体"/>
          <w:spacing w:val="1"/>
          <w:sz w:val="24"/>
          <w:szCs w:val="24"/>
        </w:rPr>
        <w:t>）：</w:t>
      </w:r>
    </w:p>
    <w:p w14:paraId="005C21BE">
      <w:pPr>
        <w:pStyle w:val="2"/>
        <w:spacing w:line="475" w:lineRule="auto"/>
        <w:outlineLvl w:val="9"/>
      </w:pPr>
    </w:p>
    <w:p w14:paraId="558493D1">
      <w:pPr>
        <w:spacing w:before="78" w:line="219" w:lineRule="auto"/>
        <w:ind w:left="4312"/>
        <w:outlineLvl w:val="9"/>
        <w:rPr>
          <w:rFonts w:ascii="宋体" w:hAnsi="宋体" w:eastAsia="宋体" w:cs="宋体"/>
          <w:sz w:val="24"/>
          <w:szCs w:val="24"/>
        </w:rPr>
      </w:pPr>
      <w:r>
        <w:rPr>
          <w:rFonts w:ascii="宋体" w:hAnsi="宋体" w:eastAsia="宋体" w:cs="宋体"/>
          <w:spacing w:val="-19"/>
          <w:sz w:val="24"/>
          <w:szCs w:val="24"/>
        </w:rPr>
        <w:t>日期：年月日</w:t>
      </w:r>
    </w:p>
    <w:p w14:paraId="34DDFDD0">
      <w:pPr>
        <w:spacing w:line="219" w:lineRule="auto"/>
        <w:outlineLvl w:val="9"/>
        <w:rPr>
          <w:rFonts w:ascii="宋体" w:hAnsi="宋体" w:eastAsia="宋体" w:cs="宋体"/>
          <w:sz w:val="24"/>
          <w:szCs w:val="24"/>
        </w:rPr>
        <w:sectPr>
          <w:footerReference r:id="rId80" w:type="default"/>
          <w:pgSz w:w="11906" w:h="16840"/>
          <w:pgMar w:top="1091" w:right="1785" w:bottom="1156" w:left="1785" w:header="1077" w:footer="910" w:gutter="0"/>
          <w:pgNumType w:fmt="decimal"/>
          <w:cols w:space="720" w:num="1"/>
        </w:sectPr>
      </w:pPr>
    </w:p>
    <w:p w14:paraId="0119BEB0">
      <w:pPr>
        <w:pStyle w:val="2"/>
        <w:spacing w:line="271" w:lineRule="auto"/>
        <w:outlineLvl w:val="9"/>
      </w:pPr>
    </w:p>
    <w:p w14:paraId="4B224D31">
      <w:pPr>
        <w:pStyle w:val="2"/>
        <w:spacing w:line="272" w:lineRule="auto"/>
        <w:outlineLvl w:val="9"/>
      </w:pPr>
    </w:p>
    <w:p w14:paraId="55E84755">
      <w:pPr>
        <w:spacing w:before="97" w:line="225" w:lineRule="auto"/>
        <w:ind w:left="141"/>
        <w:outlineLvl w:val="9"/>
        <w:rPr>
          <w:rFonts w:ascii="宋体" w:hAnsi="宋体" w:eastAsia="宋体" w:cs="宋体"/>
          <w:sz w:val="30"/>
          <w:szCs w:val="30"/>
        </w:rPr>
      </w:pPr>
      <w:bookmarkStart w:id="17" w:name="_Toc24802_WPSOffice_Level1"/>
      <w:r>
        <w:rPr>
          <w:rFonts w:ascii="宋体" w:hAnsi="宋体" w:eastAsia="宋体" w:cs="宋体"/>
          <w:b/>
          <w:bCs/>
          <w:spacing w:val="12"/>
          <w:sz w:val="30"/>
          <w:szCs w:val="30"/>
        </w:rPr>
        <w:t>附件二：参加政府采购活动前3年内在经营活动中没</w:t>
      </w:r>
      <w:r>
        <w:rPr>
          <w:rFonts w:ascii="宋体" w:hAnsi="宋体" w:eastAsia="宋体" w:cs="宋体"/>
          <w:b/>
          <w:bCs/>
          <w:spacing w:val="11"/>
          <w:sz w:val="30"/>
          <w:szCs w:val="30"/>
        </w:rPr>
        <w:t>有重</w:t>
      </w:r>
      <w:bookmarkEnd w:id="17"/>
    </w:p>
    <w:p w14:paraId="6C52BC86">
      <w:pPr>
        <w:spacing w:before="255" w:line="225" w:lineRule="auto"/>
        <w:ind w:left="2590"/>
        <w:outlineLvl w:val="9"/>
        <w:rPr>
          <w:rFonts w:ascii="宋体" w:hAnsi="宋体" w:eastAsia="宋体" w:cs="宋体"/>
          <w:sz w:val="30"/>
          <w:szCs w:val="30"/>
        </w:rPr>
      </w:pPr>
      <w:r>
        <w:rPr>
          <w:rFonts w:ascii="宋体" w:hAnsi="宋体" w:eastAsia="宋体" w:cs="宋体"/>
          <w:b/>
          <w:bCs/>
          <w:spacing w:val="11"/>
          <w:sz w:val="30"/>
          <w:szCs w:val="30"/>
        </w:rPr>
        <w:t>大违法记录的书面声明</w:t>
      </w:r>
    </w:p>
    <w:p w14:paraId="52764DE8">
      <w:pPr>
        <w:pStyle w:val="2"/>
        <w:spacing w:line="249" w:lineRule="auto"/>
        <w:outlineLvl w:val="9"/>
      </w:pPr>
    </w:p>
    <w:p w14:paraId="71B06ACC">
      <w:pPr>
        <w:spacing w:before="78" w:line="219" w:lineRule="auto"/>
        <w:ind w:left="3832"/>
        <w:outlineLvl w:val="9"/>
        <w:rPr>
          <w:rFonts w:ascii="宋体" w:hAnsi="宋体" w:eastAsia="宋体" w:cs="宋体"/>
          <w:sz w:val="24"/>
          <w:szCs w:val="24"/>
        </w:rPr>
      </w:pPr>
      <w:r>
        <w:rPr>
          <w:rFonts w:ascii="宋体" w:hAnsi="宋体" w:eastAsia="宋体" w:cs="宋体"/>
          <w:b/>
          <w:bCs/>
          <w:spacing w:val="-10"/>
          <w:sz w:val="24"/>
          <w:szCs w:val="24"/>
        </w:rPr>
        <w:t>声明</w:t>
      </w:r>
    </w:p>
    <w:p w14:paraId="2047361B">
      <w:pPr>
        <w:spacing w:before="282" w:line="301" w:lineRule="auto"/>
        <w:ind w:left="28" w:right="9" w:firstLine="484"/>
        <w:jc w:val="both"/>
        <w:outlineLvl w:val="9"/>
        <w:rPr>
          <w:rFonts w:ascii="宋体" w:hAnsi="宋体" w:eastAsia="宋体" w:cs="宋体"/>
          <w:sz w:val="24"/>
          <w:szCs w:val="24"/>
        </w:rPr>
      </w:pPr>
      <w:r>
        <w:rPr>
          <w:rFonts w:ascii="宋体" w:hAnsi="宋体" w:eastAsia="宋体" w:cs="宋体"/>
          <w:sz w:val="24"/>
          <w:szCs w:val="24"/>
        </w:rPr>
        <w:t>我单位郑重声明：参加本次政府采购活动前3年内，我单位在经营活动中</w:t>
      </w:r>
      <w:r>
        <w:rPr>
          <w:rFonts w:ascii="宋体" w:hAnsi="宋体" w:eastAsia="宋体" w:cs="宋体"/>
          <w:spacing w:val="-3"/>
          <w:sz w:val="24"/>
          <w:szCs w:val="24"/>
        </w:rPr>
        <w:t>没有因违法经营受到刑事处罚或者责令停产停业、吊销许可证或者执照、较大数额罚款等行政处罚。</w:t>
      </w:r>
    </w:p>
    <w:p w14:paraId="4ACD02DC">
      <w:pPr>
        <w:pStyle w:val="2"/>
        <w:spacing w:line="352" w:lineRule="auto"/>
        <w:outlineLvl w:val="9"/>
      </w:pPr>
    </w:p>
    <w:p w14:paraId="615CBDE2">
      <w:pPr>
        <w:pStyle w:val="2"/>
        <w:spacing w:line="352" w:lineRule="auto"/>
        <w:outlineLvl w:val="9"/>
      </w:pPr>
    </w:p>
    <w:p w14:paraId="5F63F449">
      <w:pPr>
        <w:spacing w:before="79" w:line="219" w:lineRule="auto"/>
        <w:ind w:left="3993"/>
        <w:outlineLvl w:val="9"/>
        <w:rPr>
          <w:rFonts w:hint="eastAsia" w:ascii="宋体" w:hAnsi="宋体" w:eastAsia="宋体" w:cs="宋体"/>
          <w:sz w:val="24"/>
          <w:szCs w:val="24"/>
          <w:lang w:eastAsia="zh-CN"/>
        </w:rPr>
      </w:pPr>
      <w:r>
        <w:rPr>
          <w:rFonts w:ascii="宋体" w:hAnsi="宋体" w:eastAsia="宋体" w:cs="宋体"/>
          <w:spacing w:val="-4"/>
          <w:sz w:val="24"/>
          <w:szCs w:val="24"/>
        </w:rPr>
        <w:t>投标人名称（公章</w:t>
      </w:r>
      <w:r>
        <w:rPr>
          <w:rFonts w:ascii="宋体" w:hAnsi="宋体" w:eastAsia="宋体" w:cs="宋体"/>
          <w:spacing w:val="1"/>
          <w:sz w:val="24"/>
          <w:szCs w:val="24"/>
        </w:rPr>
        <w:t>）：</w:t>
      </w:r>
    </w:p>
    <w:p w14:paraId="1C892A65">
      <w:pPr>
        <w:pStyle w:val="2"/>
        <w:spacing w:line="317" w:lineRule="auto"/>
        <w:outlineLvl w:val="9"/>
      </w:pPr>
    </w:p>
    <w:p w14:paraId="35750689">
      <w:pPr>
        <w:pStyle w:val="2"/>
        <w:spacing w:line="318" w:lineRule="auto"/>
        <w:outlineLvl w:val="9"/>
      </w:pPr>
    </w:p>
    <w:p w14:paraId="14E565A5">
      <w:pPr>
        <w:spacing w:before="78" w:line="219" w:lineRule="auto"/>
        <w:ind w:left="3904"/>
        <w:outlineLvl w:val="9"/>
        <w:rPr>
          <w:rFonts w:ascii="宋体" w:hAnsi="宋体" w:eastAsia="宋体" w:cs="宋体"/>
          <w:sz w:val="24"/>
          <w:szCs w:val="24"/>
        </w:rPr>
      </w:pPr>
      <w:r>
        <w:rPr>
          <w:rFonts w:ascii="宋体" w:hAnsi="宋体" w:eastAsia="宋体" w:cs="宋体"/>
          <w:spacing w:val="-18"/>
          <w:sz w:val="24"/>
          <w:szCs w:val="24"/>
        </w:rPr>
        <w:t>日期：年月日</w:t>
      </w:r>
    </w:p>
    <w:p w14:paraId="151B67DB">
      <w:pPr>
        <w:spacing w:line="219" w:lineRule="auto"/>
        <w:outlineLvl w:val="9"/>
        <w:rPr>
          <w:rFonts w:ascii="宋体" w:hAnsi="宋体" w:eastAsia="宋体" w:cs="宋体"/>
          <w:sz w:val="24"/>
          <w:szCs w:val="24"/>
        </w:rPr>
        <w:sectPr>
          <w:footerReference r:id="rId81" w:type="default"/>
          <w:pgSz w:w="11906" w:h="16840"/>
          <w:pgMar w:top="1091" w:right="1785" w:bottom="1156" w:left="1785" w:header="1077" w:footer="910" w:gutter="0"/>
          <w:pgNumType w:fmt="decimal"/>
          <w:cols w:space="720" w:num="1"/>
        </w:sectPr>
      </w:pPr>
    </w:p>
    <w:p w14:paraId="78E848FE">
      <w:pPr>
        <w:pStyle w:val="2"/>
        <w:spacing w:line="277" w:lineRule="auto"/>
        <w:outlineLvl w:val="9"/>
      </w:pPr>
    </w:p>
    <w:p w14:paraId="25AE3B82">
      <w:pPr>
        <w:pStyle w:val="2"/>
        <w:spacing w:line="278" w:lineRule="auto"/>
        <w:outlineLvl w:val="9"/>
      </w:pPr>
    </w:p>
    <w:p w14:paraId="79E2EF6F">
      <w:pPr>
        <w:pStyle w:val="2"/>
        <w:spacing w:line="278" w:lineRule="auto"/>
        <w:outlineLvl w:val="9"/>
      </w:pPr>
      <w:r>
        <w:pict>
          <v:shape id="_x0000_s1030" o:spid="_x0000_s1030" style="position:absolute;left:0pt;margin-left:0.45pt;margin-top:5.8pt;height:0.75pt;width:415.7pt;z-index:251685888;mso-width-relative:page;mso-height-relative:page;" fillcolor="#000000" filled="t" stroked="f" coordsize="8314,15" path="m0,0l8313,0,8313,14,0,14,0,0xe">
            <v:path/>
            <v:fill on="t" focussize="0,0"/>
            <v:stroke on="f"/>
            <v:imagedata o:title=""/>
            <o:lock v:ext="edit"/>
          </v:shape>
        </w:pict>
      </w:r>
    </w:p>
    <w:p w14:paraId="7F640E17">
      <w:pPr>
        <w:pStyle w:val="2"/>
        <w:spacing w:line="278" w:lineRule="auto"/>
        <w:outlineLvl w:val="9"/>
      </w:pPr>
    </w:p>
    <w:p w14:paraId="38BBBAA8">
      <w:pPr>
        <w:spacing w:before="98" w:line="225" w:lineRule="auto"/>
        <w:ind w:left="83"/>
        <w:outlineLvl w:val="9"/>
        <w:rPr>
          <w:rFonts w:ascii="宋体" w:hAnsi="宋体" w:eastAsia="宋体" w:cs="宋体"/>
          <w:sz w:val="30"/>
          <w:szCs w:val="30"/>
        </w:rPr>
      </w:pPr>
      <w:bookmarkStart w:id="18" w:name="_Toc29401_WPSOffice_Level1"/>
      <w:r>
        <w:rPr>
          <w:rFonts w:ascii="宋体" w:hAnsi="宋体" w:eastAsia="宋体" w:cs="宋体"/>
          <w:b/>
          <w:bCs/>
          <w:spacing w:val="-7"/>
          <w:sz w:val="30"/>
          <w:szCs w:val="30"/>
        </w:rPr>
        <w:t>附件三：</w:t>
      </w:r>
      <w:bookmarkEnd w:id="18"/>
    </w:p>
    <w:p w14:paraId="7BCB7DB8">
      <w:pPr>
        <w:spacing w:before="233" w:line="225" w:lineRule="auto"/>
        <w:ind w:left="2425"/>
        <w:outlineLvl w:val="9"/>
        <w:rPr>
          <w:rFonts w:ascii="宋体" w:hAnsi="宋体" w:eastAsia="宋体" w:cs="宋体"/>
          <w:sz w:val="30"/>
          <w:szCs w:val="30"/>
        </w:rPr>
      </w:pPr>
      <w:r>
        <w:rPr>
          <w:rFonts w:ascii="宋体" w:hAnsi="宋体" w:eastAsia="宋体" w:cs="宋体"/>
          <w:b/>
          <w:bCs/>
          <w:spacing w:val="12"/>
          <w:sz w:val="30"/>
          <w:szCs w:val="30"/>
        </w:rPr>
        <w:t>法定代表人资格证明文件</w:t>
      </w:r>
    </w:p>
    <w:p w14:paraId="27B1D3B1">
      <w:pPr>
        <w:pStyle w:val="2"/>
        <w:spacing w:line="243" w:lineRule="auto"/>
        <w:outlineLvl w:val="9"/>
      </w:pPr>
    </w:p>
    <w:p w14:paraId="3656FB74">
      <w:pPr>
        <w:pStyle w:val="2"/>
        <w:spacing w:line="244" w:lineRule="auto"/>
        <w:outlineLvl w:val="9"/>
      </w:pPr>
    </w:p>
    <w:p w14:paraId="50A9D91C">
      <w:pPr>
        <w:pStyle w:val="2"/>
        <w:spacing w:line="244" w:lineRule="auto"/>
        <w:outlineLvl w:val="9"/>
      </w:pPr>
    </w:p>
    <w:p w14:paraId="0AFC591C">
      <w:pPr>
        <w:tabs>
          <w:tab w:val="left" w:pos="2518"/>
        </w:tabs>
        <w:spacing w:before="78" w:line="239" w:lineRule="auto"/>
        <w:ind w:left="479"/>
        <w:outlineLvl w:val="9"/>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z w:val="24"/>
          <w:szCs w:val="24"/>
        </w:rPr>
        <w:t>:</w:t>
      </w:r>
    </w:p>
    <w:p w14:paraId="25EC1A1C">
      <w:pPr>
        <w:spacing w:before="207" w:line="375" w:lineRule="auto"/>
        <w:ind w:left="27" w:right="13" w:firstLine="489"/>
        <w:outlineLvl w:val="9"/>
        <w:rPr>
          <w:rFonts w:ascii="宋体" w:hAnsi="宋体" w:eastAsia="宋体" w:cs="宋体"/>
          <w:sz w:val="24"/>
          <w:szCs w:val="24"/>
        </w:rPr>
      </w:pPr>
      <w:r>
        <w:rPr>
          <w:rFonts w:ascii="宋体" w:hAnsi="宋体" w:eastAsia="宋体" w:cs="宋体"/>
          <w:spacing w:val="-2"/>
          <w:sz w:val="24"/>
          <w:szCs w:val="24"/>
        </w:rPr>
        <w:t>兹有同志为</w:t>
      </w:r>
      <w:r>
        <w:rPr>
          <w:rFonts w:ascii="宋体" w:hAnsi="宋体" w:eastAsia="宋体" w:cs="宋体"/>
          <w:spacing w:val="-3"/>
          <w:sz w:val="24"/>
          <w:szCs w:val="24"/>
        </w:rPr>
        <w:t>公司法定代表人，代表我公司办理一</w:t>
      </w:r>
      <w:r>
        <w:rPr>
          <w:rFonts w:ascii="宋体" w:hAnsi="宋体" w:eastAsia="宋体" w:cs="宋体"/>
          <w:spacing w:val="-2"/>
          <w:sz w:val="24"/>
          <w:szCs w:val="24"/>
        </w:rPr>
        <w:t>切社会公务事宜，具有法律效力。</w:t>
      </w:r>
    </w:p>
    <w:p w14:paraId="1D6DF02A">
      <w:pPr>
        <w:spacing w:line="218" w:lineRule="auto"/>
        <w:ind w:left="546"/>
        <w:outlineLvl w:val="9"/>
        <w:rPr>
          <w:rFonts w:ascii="宋体" w:hAnsi="宋体" w:eastAsia="宋体" w:cs="宋体"/>
          <w:sz w:val="24"/>
          <w:szCs w:val="24"/>
        </w:rPr>
      </w:pPr>
      <w:r>
        <w:rPr>
          <w:rFonts w:ascii="宋体" w:hAnsi="宋体" w:eastAsia="宋体" w:cs="宋体"/>
          <w:spacing w:val="-5"/>
          <w:sz w:val="24"/>
          <w:szCs w:val="24"/>
        </w:rPr>
        <w:t>附法定代表人基本情况：</w:t>
      </w:r>
    </w:p>
    <w:p w14:paraId="6DE892BF">
      <w:pPr>
        <w:spacing w:before="217" w:line="219" w:lineRule="auto"/>
        <w:ind w:left="508"/>
        <w:outlineLvl w:val="9"/>
        <w:rPr>
          <w:rFonts w:hint="eastAsia" w:ascii="宋体" w:hAnsi="宋体" w:eastAsia="宋体" w:cs="宋体"/>
          <w:sz w:val="24"/>
          <w:szCs w:val="24"/>
          <w:lang w:eastAsia="zh-CN"/>
        </w:rPr>
      </w:pPr>
      <w:r>
        <w:rPr>
          <w:rFonts w:ascii="宋体" w:hAnsi="宋体" w:eastAsia="宋体" w:cs="宋体"/>
          <w:spacing w:val="-3"/>
          <w:sz w:val="24"/>
          <w:szCs w:val="24"/>
        </w:rPr>
        <w:t>姓名：性别：年龄</w:t>
      </w:r>
      <w:r>
        <w:rPr>
          <w:rFonts w:ascii="宋体" w:hAnsi="宋体" w:eastAsia="宋体" w:cs="宋体"/>
          <w:spacing w:val="-4"/>
          <w:sz w:val="24"/>
          <w:szCs w:val="24"/>
        </w:rPr>
        <w:t>：职务：</w:t>
      </w:r>
    </w:p>
    <w:p w14:paraId="7A6F7EF3">
      <w:pPr>
        <w:spacing w:before="217" w:line="219" w:lineRule="auto"/>
        <w:ind w:left="521"/>
        <w:outlineLvl w:val="9"/>
        <w:rPr>
          <w:rFonts w:hint="eastAsia" w:ascii="宋体" w:hAnsi="宋体" w:eastAsia="宋体" w:cs="宋体"/>
          <w:sz w:val="24"/>
          <w:szCs w:val="24"/>
          <w:lang w:eastAsia="zh-CN"/>
        </w:rPr>
      </w:pPr>
      <w:r>
        <w:rPr>
          <w:rFonts w:ascii="宋体" w:hAnsi="宋体" w:eastAsia="宋体" w:cs="宋体"/>
          <w:spacing w:val="-6"/>
          <w:sz w:val="24"/>
          <w:szCs w:val="24"/>
        </w:rPr>
        <w:t>身份证号码：</w:t>
      </w:r>
    </w:p>
    <w:p w14:paraId="5815EDCB">
      <w:pPr>
        <w:spacing w:before="219" w:line="227" w:lineRule="auto"/>
        <w:ind w:left="508"/>
        <w:outlineLvl w:val="9"/>
        <w:rPr>
          <w:rFonts w:hint="eastAsia" w:ascii="宋体" w:hAnsi="宋体" w:eastAsia="宋体" w:cs="宋体"/>
          <w:sz w:val="24"/>
          <w:szCs w:val="24"/>
          <w:lang w:eastAsia="zh-CN"/>
        </w:rPr>
      </w:pPr>
      <w:r>
        <w:rPr>
          <w:rFonts w:ascii="宋体" w:hAnsi="宋体" w:eastAsia="宋体" w:cs="宋体"/>
          <w:spacing w:val="-4"/>
          <w:sz w:val="24"/>
          <w:szCs w:val="24"/>
        </w:rPr>
        <w:t>通讯地址：</w:t>
      </w:r>
    </w:p>
    <w:p w14:paraId="5B2B292C">
      <w:pPr>
        <w:spacing w:before="198" w:line="219" w:lineRule="auto"/>
        <w:ind w:left="565"/>
        <w:outlineLvl w:val="9"/>
        <w:rPr>
          <w:rFonts w:hint="eastAsia" w:ascii="宋体" w:hAnsi="宋体" w:eastAsia="宋体" w:cs="宋体"/>
          <w:sz w:val="24"/>
          <w:szCs w:val="24"/>
          <w:lang w:eastAsia="zh-CN"/>
        </w:rPr>
      </w:pPr>
      <w:r>
        <w:rPr>
          <w:rFonts w:ascii="宋体" w:hAnsi="宋体" w:eastAsia="宋体" w:cs="宋体"/>
          <w:spacing w:val="-8"/>
          <w:sz w:val="24"/>
          <w:szCs w:val="24"/>
        </w:rPr>
        <w:t>电话号码：邮</w:t>
      </w:r>
      <w:r>
        <w:rPr>
          <w:rFonts w:ascii="宋体" w:hAnsi="宋体" w:eastAsia="宋体" w:cs="宋体"/>
          <w:spacing w:val="-9"/>
          <w:sz w:val="24"/>
          <w:szCs w:val="24"/>
        </w:rPr>
        <w:t>政编码：</w:t>
      </w:r>
    </w:p>
    <w:p w14:paraId="12FFAEB7">
      <w:pPr>
        <w:spacing w:before="11"/>
        <w:outlineLvl w:val="9"/>
      </w:pPr>
    </w:p>
    <w:p w14:paraId="55C09E93">
      <w:pPr>
        <w:spacing w:before="11"/>
        <w:outlineLvl w:val="9"/>
      </w:pPr>
    </w:p>
    <w:tbl>
      <w:tblPr>
        <w:tblStyle w:val="10"/>
        <w:tblW w:w="6807" w:type="dxa"/>
        <w:tblInd w:w="128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6807"/>
      </w:tblGrid>
      <w:tr w14:paraId="168147C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996" w:hRule="atLeast"/>
        </w:trPr>
        <w:tc>
          <w:tcPr>
            <w:tcW w:w="6807" w:type="dxa"/>
            <w:vAlign w:val="top"/>
          </w:tcPr>
          <w:p w14:paraId="65BAAED5">
            <w:pPr>
              <w:spacing w:line="282" w:lineRule="auto"/>
              <w:outlineLvl w:val="9"/>
              <w:rPr>
                <w:rFonts w:ascii="Arial"/>
                <w:sz w:val="21"/>
              </w:rPr>
            </w:pPr>
          </w:p>
          <w:p w14:paraId="48D54789">
            <w:pPr>
              <w:spacing w:line="282" w:lineRule="auto"/>
              <w:outlineLvl w:val="9"/>
              <w:rPr>
                <w:rFonts w:ascii="Arial"/>
                <w:sz w:val="21"/>
              </w:rPr>
            </w:pPr>
          </w:p>
          <w:p w14:paraId="587B40A3">
            <w:pPr>
              <w:spacing w:line="282" w:lineRule="auto"/>
              <w:outlineLvl w:val="9"/>
              <w:rPr>
                <w:rFonts w:ascii="Arial"/>
                <w:sz w:val="21"/>
              </w:rPr>
            </w:pPr>
          </w:p>
          <w:p w14:paraId="587D569C">
            <w:pPr>
              <w:spacing w:line="283" w:lineRule="auto"/>
              <w:outlineLvl w:val="9"/>
              <w:rPr>
                <w:rFonts w:ascii="Arial"/>
                <w:sz w:val="21"/>
              </w:rPr>
            </w:pPr>
          </w:p>
          <w:p w14:paraId="0F609C0B">
            <w:pPr>
              <w:pStyle w:val="11"/>
              <w:spacing w:before="78" w:line="219" w:lineRule="auto"/>
              <w:ind w:left="1620"/>
              <w:outlineLvl w:val="9"/>
            </w:pPr>
            <w:r>
              <w:rPr>
                <w:spacing w:val="-2"/>
              </w:rPr>
              <w:t>法定代表人《居民身份证》正反面</w:t>
            </w:r>
          </w:p>
        </w:tc>
      </w:tr>
    </w:tbl>
    <w:p w14:paraId="0520DB1B">
      <w:pPr>
        <w:pStyle w:val="2"/>
        <w:spacing w:line="313" w:lineRule="auto"/>
        <w:outlineLvl w:val="9"/>
      </w:pPr>
    </w:p>
    <w:p w14:paraId="62E90857">
      <w:pPr>
        <w:pStyle w:val="2"/>
        <w:spacing w:line="314" w:lineRule="auto"/>
        <w:outlineLvl w:val="9"/>
      </w:pPr>
    </w:p>
    <w:p w14:paraId="462CCFC7">
      <w:pPr>
        <w:spacing w:before="78" w:line="219" w:lineRule="auto"/>
        <w:ind w:left="782"/>
        <w:outlineLvl w:val="9"/>
        <w:rPr>
          <w:rFonts w:hint="eastAsia" w:ascii="宋体" w:hAnsi="宋体" w:eastAsia="宋体" w:cs="宋体"/>
          <w:sz w:val="24"/>
          <w:szCs w:val="24"/>
          <w:lang w:eastAsia="zh-CN"/>
        </w:rPr>
      </w:pPr>
      <w:r>
        <w:rPr>
          <w:rFonts w:ascii="宋体" w:hAnsi="宋体" w:eastAsia="宋体" w:cs="宋体"/>
          <w:spacing w:val="-4"/>
          <w:sz w:val="24"/>
          <w:szCs w:val="24"/>
        </w:rPr>
        <w:t>投标人名称（公章</w:t>
      </w:r>
      <w:r>
        <w:rPr>
          <w:rFonts w:ascii="宋体" w:hAnsi="宋体" w:eastAsia="宋体" w:cs="宋体"/>
          <w:spacing w:val="3"/>
          <w:sz w:val="24"/>
          <w:szCs w:val="24"/>
        </w:rPr>
        <w:t>）：</w:t>
      </w:r>
    </w:p>
    <w:p w14:paraId="65E6D218">
      <w:pPr>
        <w:spacing w:before="213" w:line="219" w:lineRule="auto"/>
        <w:ind w:left="751"/>
        <w:outlineLvl w:val="9"/>
        <w:rPr>
          <w:rFonts w:hint="eastAsia" w:ascii="宋体" w:hAnsi="宋体" w:eastAsia="宋体" w:cs="宋体"/>
          <w:sz w:val="24"/>
          <w:szCs w:val="24"/>
          <w:lang w:eastAsia="zh-CN"/>
        </w:rPr>
      </w:pPr>
      <w:r>
        <w:rPr>
          <w:rFonts w:ascii="宋体" w:hAnsi="宋体" w:eastAsia="宋体" w:cs="宋体"/>
          <w:spacing w:val="-2"/>
          <w:sz w:val="24"/>
          <w:szCs w:val="24"/>
        </w:rPr>
        <w:t>法定代表人（签字或盖章</w:t>
      </w:r>
      <w:r>
        <w:rPr>
          <w:rFonts w:ascii="宋体" w:hAnsi="宋体" w:eastAsia="宋体" w:cs="宋体"/>
          <w:spacing w:val="-10"/>
          <w:sz w:val="24"/>
          <w:szCs w:val="24"/>
        </w:rPr>
        <w:t>）：</w:t>
      </w:r>
    </w:p>
    <w:p w14:paraId="19E3582C">
      <w:pPr>
        <w:spacing w:before="217" w:line="219" w:lineRule="auto"/>
        <w:ind w:left="832"/>
        <w:outlineLvl w:val="9"/>
        <w:rPr>
          <w:rFonts w:ascii="宋体" w:hAnsi="宋体" w:eastAsia="宋体" w:cs="宋体"/>
          <w:sz w:val="24"/>
          <w:szCs w:val="24"/>
        </w:rPr>
      </w:pPr>
      <w:r>
        <w:rPr>
          <w:rFonts w:ascii="宋体" w:hAnsi="宋体" w:eastAsia="宋体" w:cs="宋体"/>
          <w:spacing w:val="-18"/>
          <w:sz w:val="24"/>
          <w:szCs w:val="24"/>
        </w:rPr>
        <w:t>日期：年月日</w:t>
      </w:r>
    </w:p>
    <w:p w14:paraId="7D6AE4B5">
      <w:pPr>
        <w:spacing w:line="219" w:lineRule="auto"/>
        <w:outlineLvl w:val="9"/>
        <w:rPr>
          <w:rFonts w:ascii="宋体" w:hAnsi="宋体" w:eastAsia="宋体" w:cs="宋体"/>
          <w:sz w:val="24"/>
          <w:szCs w:val="24"/>
        </w:rPr>
        <w:sectPr>
          <w:headerReference r:id="rId82" w:type="default"/>
          <w:footerReference r:id="rId83" w:type="default"/>
          <w:pgSz w:w="11906" w:h="16840"/>
          <w:pgMar w:top="400" w:right="1785" w:bottom="1156" w:left="1785" w:header="0" w:footer="910" w:gutter="0"/>
          <w:pgNumType w:fmt="decimal"/>
          <w:cols w:space="720" w:num="1"/>
        </w:sectPr>
      </w:pPr>
    </w:p>
    <w:p w14:paraId="788CFA63">
      <w:pPr>
        <w:pStyle w:val="2"/>
        <w:spacing w:line="397" w:lineRule="auto"/>
        <w:outlineLvl w:val="9"/>
      </w:pPr>
    </w:p>
    <w:p w14:paraId="6FF23FE0">
      <w:pPr>
        <w:spacing w:before="98" w:line="225" w:lineRule="auto"/>
        <w:ind w:left="2585"/>
        <w:outlineLvl w:val="9"/>
        <w:rPr>
          <w:rFonts w:ascii="宋体" w:hAnsi="宋体" w:eastAsia="宋体" w:cs="宋体"/>
          <w:sz w:val="30"/>
          <w:szCs w:val="30"/>
        </w:rPr>
      </w:pPr>
      <w:r>
        <w:rPr>
          <w:rFonts w:ascii="宋体" w:hAnsi="宋体" w:eastAsia="宋体" w:cs="宋体"/>
          <w:b/>
          <w:bCs/>
          <w:spacing w:val="12"/>
          <w:sz w:val="30"/>
          <w:szCs w:val="30"/>
        </w:rPr>
        <w:t>法定代表人授权委托书</w:t>
      </w:r>
    </w:p>
    <w:p w14:paraId="76BB144E">
      <w:pPr>
        <w:pStyle w:val="2"/>
        <w:spacing w:line="244" w:lineRule="auto"/>
        <w:outlineLvl w:val="9"/>
      </w:pPr>
    </w:p>
    <w:p w14:paraId="376D76AA">
      <w:pPr>
        <w:pStyle w:val="2"/>
        <w:spacing w:line="244" w:lineRule="auto"/>
        <w:outlineLvl w:val="9"/>
      </w:pPr>
    </w:p>
    <w:p w14:paraId="71753748">
      <w:pPr>
        <w:pStyle w:val="2"/>
        <w:spacing w:line="244" w:lineRule="auto"/>
        <w:outlineLvl w:val="9"/>
      </w:pPr>
    </w:p>
    <w:p w14:paraId="1413120C">
      <w:pPr>
        <w:tabs>
          <w:tab w:val="left" w:pos="2306"/>
        </w:tabs>
        <w:spacing w:before="78" w:line="239" w:lineRule="auto"/>
        <w:ind w:left="9"/>
        <w:outlineLvl w:val="9"/>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z w:val="24"/>
          <w:szCs w:val="24"/>
        </w:rPr>
        <w:t>:</w:t>
      </w:r>
    </w:p>
    <w:p w14:paraId="38D5EAD3">
      <w:pPr>
        <w:spacing w:before="211" w:line="386" w:lineRule="auto"/>
        <w:ind w:left="36" w:right="6" w:firstLine="480"/>
        <w:jc w:val="both"/>
        <w:outlineLvl w:val="9"/>
        <w:rPr>
          <w:rFonts w:ascii="宋体" w:hAnsi="宋体" w:eastAsia="宋体" w:cs="宋体"/>
          <w:sz w:val="24"/>
          <w:szCs w:val="24"/>
        </w:rPr>
      </w:pPr>
      <w:r>
        <w:rPr>
          <w:rFonts w:ascii="宋体" w:hAnsi="宋体" w:eastAsia="宋体" w:cs="宋体"/>
          <w:spacing w:val="-7"/>
          <w:sz w:val="24"/>
          <w:szCs w:val="24"/>
        </w:rPr>
        <w:t>兹授权同志为我公司参加贵单位组织的编号为的</w:t>
      </w:r>
      <w:r>
        <w:rPr>
          <w:rFonts w:ascii="宋体" w:hAnsi="宋体" w:eastAsia="宋体" w:cs="宋体"/>
          <w:spacing w:val="-7"/>
          <w:sz w:val="24"/>
          <w:szCs w:val="24"/>
          <w:u w:val="single" w:color="auto"/>
        </w:rPr>
        <w:t>（项</w:t>
      </w:r>
      <w:r>
        <w:rPr>
          <w:rFonts w:ascii="宋体" w:hAnsi="宋体" w:eastAsia="宋体" w:cs="宋体"/>
          <w:spacing w:val="-3"/>
          <w:sz w:val="24"/>
          <w:szCs w:val="24"/>
          <w:u w:val="single" w:color="auto"/>
        </w:rPr>
        <w:t>目名称）</w:t>
      </w:r>
      <w:r>
        <w:rPr>
          <w:rFonts w:ascii="宋体" w:hAnsi="宋体" w:eastAsia="宋体" w:cs="宋体"/>
          <w:spacing w:val="-3"/>
          <w:sz w:val="24"/>
          <w:szCs w:val="24"/>
        </w:rPr>
        <w:t>采购活动的投标代表人，全权代表我公司处理在该项目采购活</w:t>
      </w:r>
      <w:r>
        <w:rPr>
          <w:rFonts w:ascii="宋体" w:hAnsi="宋体" w:eastAsia="宋体" w:cs="宋体"/>
          <w:spacing w:val="-4"/>
          <w:sz w:val="24"/>
          <w:szCs w:val="24"/>
        </w:rPr>
        <w:t>动中的</w:t>
      </w:r>
      <w:r>
        <w:rPr>
          <w:rFonts w:ascii="宋体" w:hAnsi="宋体" w:eastAsia="宋体" w:cs="宋体"/>
          <w:spacing w:val="-8"/>
          <w:sz w:val="24"/>
          <w:szCs w:val="24"/>
        </w:rPr>
        <w:t>一切事宜。代理期限从年月日起至年月日止。</w:t>
      </w:r>
    </w:p>
    <w:p w14:paraId="2B503F1C">
      <w:pPr>
        <w:pStyle w:val="2"/>
        <w:spacing w:line="387" w:lineRule="auto"/>
        <w:outlineLvl w:val="9"/>
      </w:pPr>
    </w:p>
    <w:p w14:paraId="59C17EDD">
      <w:pPr>
        <w:spacing w:before="78" w:line="219" w:lineRule="auto"/>
        <w:ind w:left="33"/>
        <w:outlineLvl w:val="9"/>
        <w:rPr>
          <w:rFonts w:hint="eastAsia" w:ascii="宋体" w:hAnsi="宋体" w:eastAsia="宋体" w:cs="宋体"/>
          <w:sz w:val="24"/>
          <w:szCs w:val="24"/>
          <w:lang w:eastAsia="zh-CN"/>
        </w:rPr>
      </w:pPr>
      <w:r>
        <w:rPr>
          <w:rFonts w:ascii="宋体" w:hAnsi="宋体" w:eastAsia="宋体" w:cs="宋体"/>
          <w:spacing w:val="-5"/>
          <w:sz w:val="24"/>
          <w:szCs w:val="24"/>
        </w:rPr>
        <w:t>投标人（公章</w:t>
      </w:r>
      <w:r>
        <w:rPr>
          <w:rFonts w:ascii="宋体" w:hAnsi="宋体" w:eastAsia="宋体" w:cs="宋体"/>
          <w:sz w:val="24"/>
          <w:szCs w:val="24"/>
        </w:rPr>
        <w:t>）：</w:t>
      </w:r>
    </w:p>
    <w:p w14:paraId="33C94005">
      <w:pPr>
        <w:spacing w:before="212" w:line="219" w:lineRule="auto"/>
        <w:ind w:left="31"/>
        <w:outlineLvl w:val="9"/>
        <w:rPr>
          <w:rFonts w:hint="eastAsia" w:ascii="宋体" w:hAnsi="宋体" w:eastAsia="宋体" w:cs="宋体"/>
          <w:sz w:val="24"/>
          <w:szCs w:val="24"/>
          <w:lang w:eastAsia="zh-CN"/>
        </w:rPr>
      </w:pPr>
      <w:r>
        <w:rPr>
          <w:rFonts w:ascii="宋体" w:hAnsi="宋体" w:eastAsia="宋体" w:cs="宋体"/>
          <w:spacing w:val="-2"/>
          <w:sz w:val="24"/>
          <w:szCs w:val="24"/>
        </w:rPr>
        <w:t>法定代表人（签字或盖章</w:t>
      </w:r>
      <w:r>
        <w:rPr>
          <w:rFonts w:ascii="宋体" w:hAnsi="宋体" w:eastAsia="宋体" w:cs="宋体"/>
          <w:spacing w:val="-3"/>
          <w:sz w:val="24"/>
          <w:szCs w:val="24"/>
        </w:rPr>
        <w:t>）：</w:t>
      </w:r>
    </w:p>
    <w:p w14:paraId="7D835311">
      <w:pPr>
        <w:spacing w:before="215" w:line="219" w:lineRule="auto"/>
        <w:ind w:left="28"/>
        <w:outlineLvl w:val="9"/>
        <w:rPr>
          <w:rFonts w:ascii="宋体" w:hAnsi="宋体" w:eastAsia="宋体" w:cs="宋体"/>
          <w:sz w:val="24"/>
          <w:szCs w:val="24"/>
        </w:rPr>
      </w:pPr>
      <w:r>
        <w:rPr>
          <w:rFonts w:ascii="宋体" w:hAnsi="宋体" w:eastAsia="宋体" w:cs="宋体"/>
          <w:spacing w:val="-4"/>
          <w:sz w:val="24"/>
          <w:szCs w:val="24"/>
        </w:rPr>
        <w:t>签发日期：年月日</w:t>
      </w:r>
    </w:p>
    <w:p w14:paraId="61225A3E">
      <w:pPr>
        <w:pStyle w:val="2"/>
        <w:spacing w:line="316" w:lineRule="auto"/>
        <w:outlineLvl w:val="9"/>
      </w:pPr>
    </w:p>
    <w:p w14:paraId="6065960A">
      <w:pPr>
        <w:pStyle w:val="2"/>
        <w:spacing w:line="317" w:lineRule="auto"/>
        <w:outlineLvl w:val="9"/>
      </w:pPr>
    </w:p>
    <w:p w14:paraId="56EC42BC">
      <w:pPr>
        <w:spacing w:before="79" w:line="219" w:lineRule="auto"/>
        <w:ind w:left="66"/>
        <w:outlineLvl w:val="9"/>
        <w:rPr>
          <w:rFonts w:ascii="宋体" w:hAnsi="宋体" w:eastAsia="宋体" w:cs="宋体"/>
          <w:sz w:val="24"/>
          <w:szCs w:val="24"/>
        </w:rPr>
      </w:pPr>
      <w:r>
        <w:rPr>
          <w:rFonts w:ascii="宋体" w:hAnsi="宋体" w:eastAsia="宋体" w:cs="宋体"/>
          <w:spacing w:val="-15"/>
          <w:sz w:val="24"/>
          <w:szCs w:val="24"/>
        </w:rPr>
        <w:t>附：</w:t>
      </w:r>
    </w:p>
    <w:p w14:paraId="2B71A907">
      <w:pPr>
        <w:spacing w:before="212" w:line="219" w:lineRule="auto"/>
        <w:ind w:left="27"/>
        <w:outlineLvl w:val="9"/>
        <w:rPr>
          <w:rFonts w:hint="eastAsia" w:ascii="宋体" w:hAnsi="宋体" w:eastAsia="宋体" w:cs="宋体"/>
          <w:sz w:val="24"/>
          <w:szCs w:val="24"/>
          <w:lang w:eastAsia="zh-CN"/>
        </w:rPr>
      </w:pPr>
      <w:r>
        <w:rPr>
          <w:rFonts w:ascii="宋体" w:hAnsi="宋体" w:eastAsia="宋体" w:cs="宋体"/>
          <w:spacing w:val="-2"/>
          <w:sz w:val="24"/>
          <w:szCs w:val="24"/>
        </w:rPr>
        <w:t>授权委托人（签字或盖章</w:t>
      </w:r>
      <w:r>
        <w:rPr>
          <w:rFonts w:ascii="宋体" w:hAnsi="宋体" w:eastAsia="宋体" w:cs="宋体"/>
          <w:spacing w:val="-1"/>
          <w:sz w:val="24"/>
          <w:szCs w:val="24"/>
        </w:rPr>
        <w:t>）：</w:t>
      </w:r>
    </w:p>
    <w:p w14:paraId="7C0F2DDB">
      <w:pPr>
        <w:spacing w:before="217" w:line="219" w:lineRule="auto"/>
        <w:ind w:left="31"/>
        <w:outlineLvl w:val="9"/>
        <w:rPr>
          <w:rFonts w:hint="eastAsia" w:ascii="宋体" w:hAnsi="宋体" w:eastAsia="宋体" w:cs="宋体"/>
          <w:sz w:val="24"/>
          <w:szCs w:val="24"/>
          <w:lang w:eastAsia="zh-CN"/>
        </w:rPr>
      </w:pPr>
      <w:r>
        <w:rPr>
          <w:rFonts w:ascii="宋体" w:hAnsi="宋体" w:eastAsia="宋体" w:cs="宋体"/>
          <w:spacing w:val="-8"/>
          <w:sz w:val="24"/>
          <w:szCs w:val="24"/>
        </w:rPr>
        <w:t>职务：性别：</w:t>
      </w:r>
    </w:p>
    <w:p w14:paraId="25B80C50">
      <w:pPr>
        <w:spacing w:before="215" w:line="219" w:lineRule="auto"/>
        <w:ind w:left="41"/>
        <w:outlineLvl w:val="9"/>
        <w:rPr>
          <w:rFonts w:hint="eastAsia" w:ascii="宋体" w:hAnsi="宋体" w:eastAsia="宋体" w:cs="宋体"/>
          <w:sz w:val="24"/>
          <w:szCs w:val="24"/>
          <w:lang w:eastAsia="zh-CN"/>
        </w:rPr>
      </w:pPr>
      <w:r>
        <w:rPr>
          <w:rFonts w:ascii="宋体" w:hAnsi="宋体" w:eastAsia="宋体" w:cs="宋体"/>
          <w:spacing w:val="-4"/>
          <w:sz w:val="24"/>
          <w:szCs w:val="24"/>
        </w:rPr>
        <w:t>身份证号码：</w:t>
      </w:r>
    </w:p>
    <w:p w14:paraId="4F673AFD">
      <w:pPr>
        <w:spacing w:before="11"/>
        <w:outlineLvl w:val="9"/>
      </w:pPr>
    </w:p>
    <w:p w14:paraId="685243FC">
      <w:pPr>
        <w:spacing w:before="11"/>
        <w:outlineLvl w:val="9"/>
      </w:pPr>
    </w:p>
    <w:tbl>
      <w:tblPr>
        <w:tblStyle w:val="10"/>
        <w:tblW w:w="5783" w:type="dxa"/>
        <w:tblInd w:w="127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5783"/>
      </w:tblGrid>
      <w:tr w14:paraId="7ACDE07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904" w:hRule="atLeast"/>
        </w:trPr>
        <w:tc>
          <w:tcPr>
            <w:tcW w:w="5783" w:type="dxa"/>
            <w:vAlign w:val="top"/>
          </w:tcPr>
          <w:p w14:paraId="39AC4B6C">
            <w:pPr>
              <w:spacing w:line="281" w:lineRule="auto"/>
              <w:outlineLvl w:val="9"/>
              <w:rPr>
                <w:rFonts w:ascii="Arial"/>
                <w:sz w:val="21"/>
              </w:rPr>
            </w:pPr>
          </w:p>
          <w:p w14:paraId="5049D85B">
            <w:pPr>
              <w:spacing w:line="282" w:lineRule="auto"/>
              <w:outlineLvl w:val="9"/>
              <w:rPr>
                <w:rFonts w:ascii="Arial"/>
                <w:sz w:val="21"/>
              </w:rPr>
            </w:pPr>
          </w:p>
          <w:p w14:paraId="7CF5A3B9">
            <w:pPr>
              <w:spacing w:line="282" w:lineRule="auto"/>
              <w:outlineLvl w:val="9"/>
              <w:rPr>
                <w:rFonts w:ascii="Arial"/>
                <w:sz w:val="21"/>
              </w:rPr>
            </w:pPr>
          </w:p>
          <w:p w14:paraId="635D97E1">
            <w:pPr>
              <w:spacing w:line="282" w:lineRule="auto"/>
              <w:outlineLvl w:val="9"/>
              <w:rPr>
                <w:rFonts w:ascii="Arial"/>
                <w:sz w:val="21"/>
              </w:rPr>
            </w:pPr>
          </w:p>
          <w:p w14:paraId="2368C484">
            <w:pPr>
              <w:pStyle w:val="11"/>
              <w:spacing w:before="78" w:line="219" w:lineRule="auto"/>
              <w:ind w:left="1466"/>
              <w:outlineLvl w:val="9"/>
            </w:pPr>
            <w:r>
              <w:rPr>
                <w:spacing w:val="-2"/>
              </w:rPr>
              <w:t>粘贴被授权人身份证正反面</w:t>
            </w:r>
          </w:p>
        </w:tc>
      </w:tr>
    </w:tbl>
    <w:p w14:paraId="22F30B0F">
      <w:pPr>
        <w:pStyle w:val="2"/>
        <w:outlineLvl w:val="9"/>
      </w:pPr>
    </w:p>
    <w:p w14:paraId="36921A9A">
      <w:pPr>
        <w:outlineLvl w:val="9"/>
        <w:sectPr>
          <w:headerReference r:id="rId84" w:type="default"/>
          <w:footerReference r:id="rId85" w:type="default"/>
          <w:pgSz w:w="11906" w:h="16840"/>
          <w:pgMar w:top="1091" w:right="1785" w:bottom="1156" w:left="1785" w:header="1077" w:footer="910" w:gutter="0"/>
          <w:pgNumType w:fmt="decimal"/>
          <w:cols w:space="720" w:num="1"/>
        </w:sectPr>
      </w:pPr>
    </w:p>
    <w:p w14:paraId="5175F157">
      <w:pPr>
        <w:pStyle w:val="2"/>
        <w:spacing w:line="306" w:lineRule="auto"/>
        <w:outlineLvl w:val="9"/>
      </w:pPr>
    </w:p>
    <w:p w14:paraId="0718C690">
      <w:pPr>
        <w:spacing w:before="98" w:line="225" w:lineRule="auto"/>
        <w:ind w:left="83"/>
        <w:outlineLvl w:val="9"/>
        <w:rPr>
          <w:rFonts w:ascii="宋体" w:hAnsi="宋体" w:eastAsia="宋体" w:cs="宋体"/>
          <w:sz w:val="30"/>
          <w:szCs w:val="30"/>
        </w:rPr>
      </w:pPr>
      <w:bookmarkStart w:id="19" w:name="_Toc31519_WPSOffice_Level1"/>
      <w:r>
        <w:rPr>
          <w:rFonts w:ascii="宋体" w:hAnsi="宋体" w:eastAsia="宋体" w:cs="宋体"/>
          <w:b/>
          <w:bCs/>
          <w:spacing w:val="-7"/>
          <w:sz w:val="30"/>
          <w:szCs w:val="30"/>
        </w:rPr>
        <w:t>附件四：</w:t>
      </w:r>
      <w:bookmarkEnd w:id="19"/>
    </w:p>
    <w:p w14:paraId="395E555F">
      <w:pPr>
        <w:spacing w:before="16" w:line="225" w:lineRule="auto"/>
        <w:ind w:left="3660"/>
        <w:outlineLvl w:val="9"/>
        <w:rPr>
          <w:rFonts w:ascii="宋体" w:hAnsi="宋体" w:eastAsia="宋体" w:cs="宋体"/>
          <w:sz w:val="34"/>
          <w:szCs w:val="34"/>
        </w:rPr>
      </w:pPr>
      <w:r>
        <w:rPr>
          <w:rFonts w:ascii="宋体" w:hAnsi="宋体" w:eastAsia="宋体" w:cs="宋体"/>
          <w:spacing w:val="5"/>
          <w:sz w:val="34"/>
          <w:szCs w:val="34"/>
        </w:rPr>
        <w:t>投标函</w:t>
      </w:r>
    </w:p>
    <w:p w14:paraId="74566A0D">
      <w:pPr>
        <w:tabs>
          <w:tab w:val="left" w:pos="2536"/>
        </w:tabs>
        <w:spacing w:before="180" w:line="144" w:lineRule="auto"/>
        <w:ind w:left="136"/>
        <w:outlineLvl w:val="9"/>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z w:val="24"/>
          <w:szCs w:val="24"/>
        </w:rPr>
        <w:t>:</w:t>
      </w:r>
    </w:p>
    <w:p w14:paraId="303ADC20">
      <w:pPr>
        <w:tabs>
          <w:tab w:val="left" w:pos="3016"/>
        </w:tabs>
        <w:spacing w:before="98" w:line="312" w:lineRule="auto"/>
        <w:ind w:left="27" w:right="4" w:firstLine="588"/>
        <w:jc w:val="both"/>
        <w:outlineLvl w:val="9"/>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4"/>
          <w:sz w:val="24"/>
          <w:szCs w:val="24"/>
        </w:rPr>
        <w:t>(投标人名称)授权(投标人</w:t>
      </w:r>
      <w:r>
        <w:rPr>
          <w:rFonts w:ascii="宋体" w:hAnsi="宋体" w:eastAsia="宋体" w:cs="宋体"/>
          <w:spacing w:val="-2"/>
          <w:sz w:val="24"/>
          <w:szCs w:val="24"/>
        </w:rPr>
        <w:t>授权代理人姓名)(职务、职称)为我</w:t>
      </w:r>
      <w:r>
        <w:rPr>
          <w:rFonts w:ascii="宋体" w:hAnsi="宋体" w:eastAsia="宋体" w:cs="宋体"/>
          <w:spacing w:val="-3"/>
          <w:sz w:val="24"/>
          <w:szCs w:val="24"/>
        </w:rPr>
        <w:t>方代表，参加贵方</w:t>
      </w:r>
      <w:r>
        <w:rPr>
          <w:rFonts w:ascii="宋体" w:hAnsi="宋体" w:eastAsia="宋体" w:cs="宋体"/>
          <w:spacing w:val="-9"/>
          <w:sz w:val="24"/>
          <w:szCs w:val="24"/>
        </w:rPr>
        <w:t>组织的(项目名称、项目编号)招标的有关活动，并对</w:t>
      </w:r>
      <w:r>
        <w:rPr>
          <w:rFonts w:ascii="宋体" w:hAnsi="宋体" w:eastAsia="宋体" w:cs="宋体"/>
          <w:spacing w:val="-2"/>
          <w:sz w:val="24"/>
          <w:szCs w:val="24"/>
        </w:rPr>
        <w:t>此项目进行投标。为此：</w:t>
      </w:r>
    </w:p>
    <w:p w14:paraId="5B643519">
      <w:pPr>
        <w:spacing w:line="264" w:lineRule="auto"/>
        <w:ind w:left="28" w:right="16" w:firstLine="516"/>
        <w:outlineLvl w:val="9"/>
        <w:rPr>
          <w:rFonts w:ascii="宋体" w:hAnsi="宋体" w:eastAsia="宋体" w:cs="宋体"/>
          <w:sz w:val="24"/>
          <w:szCs w:val="24"/>
        </w:rPr>
      </w:pPr>
      <w:r>
        <w:rPr>
          <w:rFonts w:ascii="宋体" w:hAnsi="宋体" w:eastAsia="宋体" w:cs="宋体"/>
          <w:spacing w:val="-1"/>
          <w:sz w:val="24"/>
          <w:szCs w:val="24"/>
        </w:rPr>
        <w:t>1、我方同意在本项目招标文件中规定的投标有效期内遵守本投标文件中的</w:t>
      </w:r>
      <w:r>
        <w:rPr>
          <w:rFonts w:ascii="宋体" w:hAnsi="宋体" w:eastAsia="宋体" w:cs="宋体"/>
          <w:spacing w:val="-2"/>
          <w:sz w:val="24"/>
          <w:szCs w:val="24"/>
        </w:rPr>
        <w:t>承诺且在此期限期满之前均具有约束力。</w:t>
      </w:r>
    </w:p>
    <w:p w14:paraId="6E1BE030">
      <w:pPr>
        <w:spacing w:before="110" w:line="264" w:lineRule="auto"/>
        <w:ind w:left="26" w:right="32" w:firstLine="487"/>
        <w:outlineLvl w:val="9"/>
        <w:rPr>
          <w:rFonts w:ascii="宋体" w:hAnsi="宋体" w:eastAsia="宋体" w:cs="宋体"/>
          <w:sz w:val="24"/>
          <w:szCs w:val="24"/>
        </w:rPr>
      </w:pPr>
      <w:r>
        <w:rPr>
          <w:rFonts w:ascii="宋体" w:hAnsi="宋体" w:eastAsia="宋体" w:cs="宋体"/>
          <w:sz w:val="24"/>
          <w:szCs w:val="24"/>
        </w:rPr>
        <w:t>2、我方承诺已经具备《中华人民共和国政</w:t>
      </w:r>
      <w:r>
        <w:rPr>
          <w:rFonts w:ascii="宋体" w:hAnsi="宋体" w:eastAsia="宋体" w:cs="宋体"/>
          <w:spacing w:val="-1"/>
          <w:sz w:val="24"/>
          <w:szCs w:val="24"/>
        </w:rPr>
        <w:t>府采购法》中规定的参加政府采</w:t>
      </w:r>
      <w:r>
        <w:rPr>
          <w:rFonts w:ascii="宋体" w:hAnsi="宋体" w:eastAsia="宋体" w:cs="宋体"/>
          <w:spacing w:val="-2"/>
          <w:sz w:val="24"/>
          <w:szCs w:val="24"/>
        </w:rPr>
        <w:t>购活动的供应商应当具备的条件：</w:t>
      </w:r>
    </w:p>
    <w:p w14:paraId="4B53851C">
      <w:pPr>
        <w:spacing w:before="92" w:line="219" w:lineRule="auto"/>
        <w:ind w:left="545"/>
        <w:outlineLvl w:val="9"/>
        <w:rPr>
          <w:rFonts w:ascii="宋体" w:hAnsi="宋体" w:eastAsia="宋体" w:cs="宋体"/>
          <w:sz w:val="24"/>
          <w:szCs w:val="24"/>
        </w:rPr>
      </w:pPr>
      <w:r>
        <w:rPr>
          <w:rFonts w:ascii="宋体" w:hAnsi="宋体" w:eastAsia="宋体" w:cs="宋体"/>
          <w:spacing w:val="-4"/>
          <w:sz w:val="24"/>
          <w:szCs w:val="24"/>
        </w:rPr>
        <w:t>1）具有独立承担民事责任的能力；</w:t>
      </w:r>
    </w:p>
    <w:p w14:paraId="63960AB9">
      <w:pPr>
        <w:spacing w:before="110" w:line="219" w:lineRule="auto"/>
        <w:ind w:left="513"/>
        <w:outlineLvl w:val="9"/>
        <w:rPr>
          <w:rFonts w:ascii="宋体" w:hAnsi="宋体" w:eastAsia="宋体" w:cs="宋体"/>
          <w:sz w:val="24"/>
          <w:szCs w:val="24"/>
        </w:rPr>
      </w:pPr>
      <w:r>
        <w:rPr>
          <w:rFonts w:ascii="宋体" w:hAnsi="宋体" w:eastAsia="宋体" w:cs="宋体"/>
          <w:spacing w:val="-2"/>
          <w:sz w:val="24"/>
          <w:szCs w:val="24"/>
        </w:rPr>
        <w:t>2）具有良好的商业信誉和健全的财务会计制度；</w:t>
      </w:r>
    </w:p>
    <w:p w14:paraId="7B604417">
      <w:pPr>
        <w:spacing w:before="117" w:line="219" w:lineRule="auto"/>
        <w:ind w:left="517"/>
        <w:outlineLvl w:val="9"/>
        <w:rPr>
          <w:rFonts w:ascii="宋体" w:hAnsi="宋体" w:eastAsia="宋体" w:cs="宋体"/>
          <w:sz w:val="24"/>
          <w:szCs w:val="24"/>
        </w:rPr>
      </w:pPr>
      <w:r>
        <w:rPr>
          <w:rFonts w:ascii="宋体" w:hAnsi="宋体" w:eastAsia="宋体" w:cs="宋体"/>
          <w:spacing w:val="-2"/>
          <w:sz w:val="24"/>
          <w:szCs w:val="24"/>
        </w:rPr>
        <w:t>3）具有履行合同所必需的设备和专业技术能力；</w:t>
      </w:r>
    </w:p>
    <w:p w14:paraId="03E80B22">
      <w:pPr>
        <w:spacing w:before="115" w:line="219" w:lineRule="auto"/>
        <w:ind w:left="507"/>
        <w:outlineLvl w:val="9"/>
        <w:rPr>
          <w:rFonts w:ascii="宋体" w:hAnsi="宋体" w:eastAsia="宋体" w:cs="宋体"/>
          <w:sz w:val="24"/>
          <w:szCs w:val="24"/>
        </w:rPr>
      </w:pPr>
      <w:r>
        <w:rPr>
          <w:rFonts w:ascii="宋体" w:hAnsi="宋体" w:eastAsia="宋体" w:cs="宋体"/>
          <w:spacing w:val="-2"/>
          <w:sz w:val="24"/>
          <w:szCs w:val="24"/>
        </w:rPr>
        <w:t>4）有依法缴纳税收和社会保障资金的良好记录；</w:t>
      </w:r>
    </w:p>
    <w:p w14:paraId="652BBAD5">
      <w:pPr>
        <w:spacing w:before="112" w:line="219" w:lineRule="auto"/>
        <w:ind w:left="517"/>
        <w:outlineLvl w:val="9"/>
        <w:rPr>
          <w:rFonts w:ascii="宋体" w:hAnsi="宋体" w:eastAsia="宋体" w:cs="宋体"/>
          <w:sz w:val="24"/>
          <w:szCs w:val="24"/>
        </w:rPr>
      </w:pPr>
      <w:r>
        <w:rPr>
          <w:rFonts w:ascii="宋体" w:hAnsi="宋体" w:eastAsia="宋体" w:cs="宋体"/>
          <w:spacing w:val="-2"/>
          <w:sz w:val="24"/>
          <w:szCs w:val="24"/>
        </w:rPr>
        <w:t>5）参加此项采购活动前三年内，在经营活动中没有重大违法记录；</w:t>
      </w:r>
    </w:p>
    <w:p w14:paraId="04AEB8E5">
      <w:pPr>
        <w:spacing w:before="119" w:line="219" w:lineRule="auto"/>
        <w:ind w:left="512"/>
        <w:outlineLvl w:val="9"/>
        <w:rPr>
          <w:rFonts w:ascii="宋体" w:hAnsi="宋体" w:eastAsia="宋体" w:cs="宋体"/>
          <w:sz w:val="24"/>
          <w:szCs w:val="24"/>
        </w:rPr>
      </w:pPr>
      <w:r>
        <w:rPr>
          <w:rFonts w:ascii="宋体" w:hAnsi="宋体" w:eastAsia="宋体" w:cs="宋体"/>
          <w:spacing w:val="-2"/>
          <w:sz w:val="24"/>
          <w:szCs w:val="24"/>
        </w:rPr>
        <w:t>6）法律、行政法规规定的其他条件。</w:t>
      </w:r>
    </w:p>
    <w:p w14:paraId="05668DD2">
      <w:pPr>
        <w:spacing w:before="113" w:line="219" w:lineRule="auto"/>
        <w:ind w:left="517"/>
        <w:outlineLvl w:val="9"/>
        <w:rPr>
          <w:rFonts w:ascii="宋体" w:hAnsi="宋体" w:eastAsia="宋体" w:cs="宋体"/>
          <w:sz w:val="24"/>
          <w:szCs w:val="24"/>
        </w:rPr>
      </w:pPr>
      <w:r>
        <w:rPr>
          <w:rFonts w:ascii="宋体" w:hAnsi="宋体" w:eastAsia="宋体" w:cs="宋体"/>
          <w:spacing w:val="-2"/>
          <w:sz w:val="24"/>
          <w:szCs w:val="24"/>
        </w:rPr>
        <w:t>3、提供投标人须知规定的全部投标文件。</w:t>
      </w:r>
    </w:p>
    <w:p w14:paraId="5434F757">
      <w:pPr>
        <w:spacing w:before="133" w:line="267" w:lineRule="auto"/>
        <w:ind w:left="27" w:right="13" w:firstLine="480"/>
        <w:outlineLvl w:val="9"/>
        <w:rPr>
          <w:rFonts w:ascii="宋体" w:hAnsi="宋体" w:eastAsia="宋体" w:cs="宋体"/>
          <w:sz w:val="24"/>
          <w:szCs w:val="24"/>
        </w:rPr>
      </w:pPr>
      <w:r>
        <w:rPr>
          <w:rFonts w:ascii="宋体" w:hAnsi="宋体" w:eastAsia="宋体" w:cs="宋体"/>
          <w:sz w:val="24"/>
          <w:szCs w:val="24"/>
        </w:rPr>
        <w:t>4、按招标文件要求提供和交付的货物及相关服务的投标报价详见开标一览</w:t>
      </w:r>
      <w:r>
        <w:rPr>
          <w:rFonts w:ascii="宋体" w:hAnsi="宋体" w:eastAsia="宋体" w:cs="宋体"/>
          <w:spacing w:val="-5"/>
          <w:sz w:val="24"/>
          <w:szCs w:val="24"/>
        </w:rPr>
        <w:t>表。</w:t>
      </w:r>
    </w:p>
    <w:p w14:paraId="6C5CB118">
      <w:pPr>
        <w:spacing w:before="86" w:line="219" w:lineRule="auto"/>
        <w:ind w:left="517"/>
        <w:outlineLvl w:val="9"/>
        <w:rPr>
          <w:rFonts w:ascii="宋体" w:hAnsi="宋体" w:eastAsia="宋体" w:cs="宋体"/>
          <w:sz w:val="24"/>
          <w:szCs w:val="24"/>
        </w:rPr>
      </w:pPr>
      <w:r>
        <w:rPr>
          <w:rFonts w:ascii="宋体" w:hAnsi="宋体" w:eastAsia="宋体" w:cs="宋体"/>
          <w:spacing w:val="-1"/>
          <w:sz w:val="24"/>
          <w:szCs w:val="24"/>
        </w:rPr>
        <w:t>5、保证忠实地执行双方所签订的合同，并</w:t>
      </w:r>
      <w:r>
        <w:rPr>
          <w:rFonts w:ascii="宋体" w:hAnsi="宋体" w:eastAsia="宋体" w:cs="宋体"/>
          <w:spacing w:val="-2"/>
          <w:sz w:val="24"/>
          <w:szCs w:val="24"/>
        </w:rPr>
        <w:t>承担合同规定的责任和义务。</w:t>
      </w:r>
    </w:p>
    <w:p w14:paraId="3FF9CCB4">
      <w:pPr>
        <w:spacing w:before="133" w:line="266" w:lineRule="auto"/>
        <w:ind w:left="80" w:right="17" w:firstLine="431"/>
        <w:outlineLvl w:val="9"/>
        <w:rPr>
          <w:rFonts w:ascii="宋体" w:hAnsi="宋体" w:eastAsia="宋体" w:cs="宋体"/>
          <w:sz w:val="24"/>
          <w:szCs w:val="24"/>
        </w:rPr>
      </w:pPr>
      <w:r>
        <w:rPr>
          <w:rFonts w:ascii="宋体" w:hAnsi="宋体" w:eastAsia="宋体" w:cs="宋体"/>
          <w:spacing w:val="-7"/>
          <w:sz w:val="24"/>
          <w:szCs w:val="24"/>
        </w:rPr>
        <w:t>6、我方承诺完全满足和响应招标文件中的各项技术和服务要求，若有偏差，</w:t>
      </w:r>
      <w:r>
        <w:rPr>
          <w:rFonts w:ascii="宋体" w:hAnsi="宋体" w:eastAsia="宋体" w:cs="宋体"/>
          <w:spacing w:val="-4"/>
          <w:sz w:val="24"/>
          <w:szCs w:val="24"/>
        </w:rPr>
        <w:t>已在投标文件偏离表中予以明确特别说明。</w:t>
      </w:r>
    </w:p>
    <w:p w14:paraId="5383188C">
      <w:pPr>
        <w:spacing w:before="88" w:line="218" w:lineRule="auto"/>
        <w:ind w:left="521"/>
        <w:outlineLvl w:val="9"/>
        <w:rPr>
          <w:rFonts w:ascii="宋体" w:hAnsi="宋体" w:eastAsia="宋体" w:cs="宋体"/>
          <w:sz w:val="24"/>
          <w:szCs w:val="24"/>
        </w:rPr>
      </w:pPr>
      <w:r>
        <w:rPr>
          <w:rFonts w:ascii="宋体" w:hAnsi="宋体" w:eastAsia="宋体" w:cs="宋体"/>
          <w:spacing w:val="-2"/>
          <w:sz w:val="24"/>
          <w:szCs w:val="24"/>
        </w:rPr>
        <w:t>7、我方承诺：完全理解投标报价若超过项目预算时，投标将被拒绝。</w:t>
      </w:r>
    </w:p>
    <w:p w14:paraId="2B26DFBB">
      <w:pPr>
        <w:spacing w:before="138" w:line="266" w:lineRule="auto"/>
        <w:ind w:left="32" w:right="16" w:firstLine="476"/>
        <w:outlineLvl w:val="9"/>
        <w:rPr>
          <w:rFonts w:ascii="宋体" w:hAnsi="宋体" w:eastAsia="宋体" w:cs="宋体"/>
          <w:sz w:val="24"/>
          <w:szCs w:val="24"/>
        </w:rPr>
      </w:pPr>
      <w:r>
        <w:rPr>
          <w:rFonts w:ascii="宋体" w:hAnsi="宋体" w:eastAsia="宋体" w:cs="宋体"/>
          <w:sz w:val="24"/>
          <w:szCs w:val="24"/>
        </w:rPr>
        <w:t>8、我方承诺：与在本项目中设计编制技术规格的机构及其附属机构无任何</w:t>
      </w:r>
      <w:r>
        <w:rPr>
          <w:rFonts w:ascii="宋体" w:hAnsi="宋体" w:eastAsia="宋体" w:cs="宋体"/>
          <w:spacing w:val="-2"/>
          <w:sz w:val="24"/>
          <w:szCs w:val="24"/>
        </w:rPr>
        <w:t>直接隶属关系和利益关联。</w:t>
      </w:r>
    </w:p>
    <w:p w14:paraId="3616CD57">
      <w:pPr>
        <w:spacing w:before="107" w:line="264" w:lineRule="auto"/>
        <w:ind w:left="75" w:right="13" w:firstLine="433"/>
        <w:outlineLvl w:val="9"/>
        <w:rPr>
          <w:rFonts w:ascii="宋体" w:hAnsi="宋体" w:eastAsia="宋体" w:cs="宋体"/>
          <w:sz w:val="24"/>
          <w:szCs w:val="24"/>
        </w:rPr>
      </w:pPr>
      <w:r>
        <w:rPr>
          <w:rFonts w:ascii="宋体" w:hAnsi="宋体" w:eastAsia="宋体" w:cs="宋体"/>
          <w:spacing w:val="-3"/>
          <w:sz w:val="24"/>
          <w:szCs w:val="24"/>
        </w:rPr>
        <w:t>9、本项目投标有限期为日历天，如果在开标后规定的投标有效期</w:t>
      </w:r>
      <w:r>
        <w:rPr>
          <w:rFonts w:ascii="宋体" w:hAnsi="宋体" w:eastAsia="宋体" w:cs="宋体"/>
          <w:spacing w:val="-4"/>
          <w:sz w:val="24"/>
          <w:szCs w:val="24"/>
        </w:rPr>
        <w:t>内撤回投标，我方的投标保证金可被贵方没收。</w:t>
      </w:r>
    </w:p>
    <w:p w14:paraId="3291AE37">
      <w:pPr>
        <w:spacing w:before="88" w:line="218" w:lineRule="auto"/>
        <w:ind w:left="545"/>
        <w:outlineLvl w:val="9"/>
        <w:rPr>
          <w:rFonts w:ascii="宋体" w:hAnsi="宋体" w:eastAsia="宋体" w:cs="宋体"/>
          <w:sz w:val="24"/>
          <w:szCs w:val="24"/>
        </w:rPr>
      </w:pPr>
      <w:r>
        <w:rPr>
          <w:rFonts w:ascii="宋体" w:hAnsi="宋体" w:eastAsia="宋体" w:cs="宋体"/>
          <w:spacing w:val="-2"/>
          <w:sz w:val="24"/>
          <w:szCs w:val="24"/>
        </w:rPr>
        <w:t>10、我方完全理解贵方不一定接受最低价的投标或收到的任何投标。</w:t>
      </w:r>
    </w:p>
    <w:p w14:paraId="752A293A">
      <w:pPr>
        <w:spacing w:before="143" w:line="285" w:lineRule="auto"/>
        <w:ind w:left="28" w:right="9" w:firstLine="516"/>
        <w:outlineLvl w:val="9"/>
        <w:rPr>
          <w:rFonts w:ascii="宋体" w:hAnsi="宋体" w:eastAsia="宋体" w:cs="宋体"/>
          <w:sz w:val="24"/>
          <w:szCs w:val="24"/>
        </w:rPr>
      </w:pPr>
      <w:r>
        <w:rPr>
          <w:rFonts w:ascii="宋体" w:hAnsi="宋体" w:eastAsia="宋体" w:cs="宋体"/>
          <w:spacing w:val="-4"/>
          <w:sz w:val="24"/>
          <w:szCs w:val="24"/>
        </w:rPr>
        <w:t>11、我方承诺：投标文件所提供的一切资料真实、及时、有效</w:t>
      </w:r>
      <w:r>
        <w:rPr>
          <w:rFonts w:ascii="宋体" w:hAnsi="宋体" w:eastAsia="宋体" w:cs="宋体"/>
          <w:spacing w:val="-5"/>
          <w:sz w:val="24"/>
          <w:szCs w:val="24"/>
        </w:rPr>
        <w:t>。由于我方提</w:t>
      </w:r>
      <w:r>
        <w:rPr>
          <w:rFonts w:ascii="宋体" w:hAnsi="宋体" w:eastAsia="宋体" w:cs="宋体"/>
          <w:spacing w:val="-3"/>
          <w:sz w:val="24"/>
          <w:szCs w:val="24"/>
        </w:rPr>
        <w:t>供资料不实而造成的责任和后果由我方承担。我方同意按照</w:t>
      </w:r>
      <w:r>
        <w:rPr>
          <w:rFonts w:ascii="宋体" w:hAnsi="宋体" w:eastAsia="宋体" w:cs="宋体"/>
          <w:spacing w:val="-4"/>
          <w:sz w:val="24"/>
          <w:szCs w:val="24"/>
        </w:rPr>
        <w:t>贵方提出的要求，向</w:t>
      </w:r>
      <w:r>
        <w:rPr>
          <w:rFonts w:ascii="宋体" w:hAnsi="宋体" w:eastAsia="宋体" w:cs="宋体"/>
          <w:spacing w:val="-3"/>
          <w:sz w:val="24"/>
          <w:szCs w:val="24"/>
        </w:rPr>
        <w:t>贵方提供任何与本项投标有关的数据、情况和技术资料。若</w:t>
      </w:r>
      <w:r>
        <w:rPr>
          <w:rFonts w:ascii="宋体" w:hAnsi="宋体" w:eastAsia="宋体" w:cs="宋体"/>
          <w:spacing w:val="-4"/>
          <w:sz w:val="24"/>
          <w:szCs w:val="24"/>
        </w:rPr>
        <w:t>贵方需要，我方愿意</w:t>
      </w:r>
      <w:r>
        <w:rPr>
          <w:rFonts w:ascii="宋体" w:hAnsi="宋体" w:eastAsia="宋体" w:cs="宋体"/>
          <w:spacing w:val="-2"/>
          <w:sz w:val="24"/>
          <w:szCs w:val="24"/>
        </w:rPr>
        <w:t>提供我方作出的一切承诺的证明材料。</w:t>
      </w:r>
    </w:p>
    <w:p w14:paraId="33644DEF">
      <w:pPr>
        <w:spacing w:line="285" w:lineRule="auto"/>
        <w:outlineLvl w:val="9"/>
        <w:rPr>
          <w:rFonts w:ascii="宋体" w:hAnsi="宋体" w:eastAsia="宋体" w:cs="宋体"/>
          <w:sz w:val="24"/>
          <w:szCs w:val="24"/>
        </w:rPr>
        <w:sectPr>
          <w:footerReference r:id="rId86" w:type="default"/>
          <w:pgSz w:w="11906" w:h="16840"/>
          <w:pgMar w:top="1091" w:right="1785" w:bottom="1100" w:left="1785" w:header="1077" w:footer="931" w:gutter="0"/>
          <w:pgNumType w:fmt="decimal"/>
          <w:cols w:space="720" w:num="1"/>
        </w:sectPr>
      </w:pPr>
    </w:p>
    <w:p w14:paraId="1637155D">
      <w:pPr>
        <w:pStyle w:val="2"/>
        <w:spacing w:line="417" w:lineRule="auto"/>
        <w:outlineLvl w:val="9"/>
      </w:pPr>
    </w:p>
    <w:p w14:paraId="3C660A50">
      <w:pPr>
        <w:spacing w:before="78" w:line="264" w:lineRule="auto"/>
        <w:ind w:left="28" w:right="59" w:firstLine="516"/>
        <w:outlineLvl w:val="9"/>
        <w:rPr>
          <w:rFonts w:ascii="宋体" w:hAnsi="宋体" w:eastAsia="宋体" w:cs="宋体"/>
          <w:sz w:val="24"/>
          <w:szCs w:val="24"/>
        </w:rPr>
      </w:pPr>
      <w:r>
        <w:rPr>
          <w:rFonts w:ascii="宋体" w:hAnsi="宋体" w:eastAsia="宋体" w:cs="宋体"/>
          <w:spacing w:val="-4"/>
          <w:sz w:val="24"/>
          <w:szCs w:val="24"/>
        </w:rPr>
        <w:t>12、我方已详细审核全部投标文件，包括投标文件修改书（如</w:t>
      </w:r>
      <w:r>
        <w:rPr>
          <w:rFonts w:ascii="宋体" w:hAnsi="宋体" w:eastAsia="宋体" w:cs="宋体"/>
          <w:spacing w:val="-5"/>
          <w:sz w:val="24"/>
          <w:szCs w:val="24"/>
        </w:rPr>
        <w:t>有的话）、参</w:t>
      </w:r>
      <w:r>
        <w:rPr>
          <w:rFonts w:ascii="宋体" w:hAnsi="宋体" w:eastAsia="宋体" w:cs="宋体"/>
          <w:spacing w:val="-2"/>
          <w:sz w:val="24"/>
          <w:szCs w:val="24"/>
        </w:rPr>
        <w:t>考资料及有关附件，确认无误。</w:t>
      </w:r>
    </w:p>
    <w:p w14:paraId="1DDFC327">
      <w:pPr>
        <w:spacing w:before="110" w:line="264" w:lineRule="auto"/>
        <w:ind w:left="27" w:right="53" w:firstLine="517"/>
        <w:outlineLvl w:val="9"/>
        <w:rPr>
          <w:rFonts w:ascii="宋体" w:hAnsi="宋体" w:eastAsia="宋体" w:cs="宋体"/>
          <w:sz w:val="24"/>
          <w:szCs w:val="24"/>
        </w:rPr>
      </w:pPr>
      <w:r>
        <w:rPr>
          <w:rFonts w:ascii="宋体" w:hAnsi="宋体" w:eastAsia="宋体" w:cs="宋体"/>
          <w:spacing w:val="-11"/>
          <w:sz w:val="24"/>
          <w:szCs w:val="24"/>
        </w:rPr>
        <w:t>13、我方承诺：采购人若需追加采购本项目招标文件所列货物及相关服务的，</w:t>
      </w:r>
      <w:r>
        <w:rPr>
          <w:rFonts w:ascii="宋体" w:hAnsi="宋体" w:eastAsia="宋体" w:cs="宋体"/>
          <w:spacing w:val="-1"/>
          <w:sz w:val="24"/>
          <w:szCs w:val="24"/>
        </w:rPr>
        <w:t>在不改变合同其他实质性条款的前提下，按相同或更优惠的折扣率保证供货。</w:t>
      </w:r>
    </w:p>
    <w:p w14:paraId="1533C91F">
      <w:pPr>
        <w:spacing w:before="110" w:line="266" w:lineRule="auto"/>
        <w:ind w:left="33" w:right="62" w:firstLine="509"/>
        <w:outlineLvl w:val="9"/>
        <w:rPr>
          <w:rFonts w:ascii="宋体" w:hAnsi="宋体" w:eastAsia="宋体" w:cs="宋体"/>
          <w:sz w:val="24"/>
          <w:szCs w:val="24"/>
        </w:rPr>
      </w:pPr>
      <w:r>
        <w:rPr>
          <w:rFonts w:ascii="宋体" w:hAnsi="宋体" w:eastAsia="宋体" w:cs="宋体"/>
          <w:spacing w:val="-4"/>
          <w:sz w:val="24"/>
          <w:szCs w:val="24"/>
        </w:rPr>
        <w:t>14、我方承诺：如所报货物属国家强制认证产品的，均已通过</w:t>
      </w:r>
      <w:r>
        <w:rPr>
          <w:rFonts w:ascii="宋体" w:hAnsi="宋体" w:eastAsia="宋体" w:cs="宋体"/>
          <w:spacing w:val="-5"/>
          <w:sz w:val="24"/>
          <w:szCs w:val="24"/>
        </w:rPr>
        <w:t>认证且在有效</w:t>
      </w:r>
      <w:r>
        <w:rPr>
          <w:rFonts w:ascii="宋体" w:hAnsi="宋体" w:eastAsia="宋体" w:cs="宋体"/>
          <w:spacing w:val="-2"/>
          <w:sz w:val="24"/>
          <w:szCs w:val="24"/>
        </w:rPr>
        <w:t>期内，否则，由此产生的一切法律责任由我方承担。</w:t>
      </w:r>
    </w:p>
    <w:p w14:paraId="0C0BB588">
      <w:pPr>
        <w:spacing w:before="107" w:line="264" w:lineRule="auto"/>
        <w:ind w:left="27" w:right="59" w:firstLine="517"/>
        <w:outlineLvl w:val="9"/>
        <w:rPr>
          <w:rFonts w:ascii="宋体" w:hAnsi="宋体" w:eastAsia="宋体" w:cs="宋体"/>
          <w:sz w:val="24"/>
          <w:szCs w:val="24"/>
        </w:rPr>
      </w:pPr>
      <w:r>
        <w:rPr>
          <w:rFonts w:ascii="宋体" w:hAnsi="宋体" w:eastAsia="宋体" w:cs="宋体"/>
          <w:spacing w:val="-4"/>
          <w:sz w:val="24"/>
          <w:szCs w:val="24"/>
        </w:rPr>
        <w:t>15、我方承诺：接受招标文件中的全部条款且无任何异议，保</w:t>
      </w:r>
      <w:r>
        <w:rPr>
          <w:rFonts w:ascii="宋体" w:hAnsi="宋体" w:eastAsia="宋体" w:cs="宋体"/>
          <w:spacing w:val="-5"/>
          <w:sz w:val="24"/>
          <w:szCs w:val="24"/>
        </w:rPr>
        <w:t>证遵守招标文</w:t>
      </w:r>
      <w:r>
        <w:rPr>
          <w:rFonts w:ascii="宋体" w:hAnsi="宋体" w:eastAsia="宋体" w:cs="宋体"/>
          <w:spacing w:val="-4"/>
          <w:sz w:val="24"/>
          <w:szCs w:val="24"/>
        </w:rPr>
        <w:t>件的规定。</w:t>
      </w:r>
    </w:p>
    <w:p w14:paraId="593446E5">
      <w:pPr>
        <w:spacing w:before="110" w:line="290" w:lineRule="auto"/>
        <w:ind w:left="31" w:right="59" w:firstLine="513"/>
        <w:outlineLvl w:val="9"/>
        <w:rPr>
          <w:rFonts w:ascii="宋体" w:hAnsi="宋体" w:eastAsia="宋体" w:cs="宋体"/>
          <w:sz w:val="24"/>
          <w:szCs w:val="24"/>
        </w:rPr>
      </w:pPr>
      <w:r>
        <w:rPr>
          <w:rFonts w:ascii="宋体" w:hAnsi="宋体" w:eastAsia="宋体" w:cs="宋体"/>
          <w:spacing w:val="-4"/>
          <w:sz w:val="24"/>
          <w:szCs w:val="24"/>
        </w:rPr>
        <w:t>16、我方将严格遵守《中华人民共和国政府采购法》的有关规</w:t>
      </w:r>
      <w:r>
        <w:rPr>
          <w:rFonts w:ascii="宋体" w:hAnsi="宋体" w:eastAsia="宋体" w:cs="宋体"/>
          <w:spacing w:val="-5"/>
          <w:sz w:val="24"/>
          <w:szCs w:val="24"/>
        </w:rPr>
        <w:t>定，若有下列</w:t>
      </w:r>
      <w:r>
        <w:rPr>
          <w:rFonts w:ascii="宋体" w:hAnsi="宋体" w:eastAsia="宋体" w:cs="宋体"/>
          <w:spacing w:val="-3"/>
          <w:sz w:val="24"/>
          <w:szCs w:val="24"/>
        </w:rPr>
        <w:t>情形之一的，将被处以采购金额千分之五以上千分之十以</w:t>
      </w:r>
      <w:r>
        <w:rPr>
          <w:rFonts w:ascii="宋体" w:hAnsi="宋体" w:eastAsia="宋体" w:cs="宋体"/>
          <w:spacing w:val="-4"/>
          <w:sz w:val="24"/>
          <w:szCs w:val="24"/>
        </w:rPr>
        <w:t>下的罚款，列入不良行</w:t>
      </w:r>
      <w:r>
        <w:rPr>
          <w:rFonts w:ascii="宋体" w:hAnsi="宋体" w:eastAsia="宋体" w:cs="宋体"/>
          <w:spacing w:val="-3"/>
          <w:sz w:val="24"/>
          <w:szCs w:val="24"/>
        </w:rPr>
        <w:t>为记录名单，在一至三年内禁止参加政府采购活动；有违</w:t>
      </w:r>
      <w:r>
        <w:rPr>
          <w:rFonts w:ascii="宋体" w:hAnsi="宋体" w:eastAsia="宋体" w:cs="宋体"/>
          <w:spacing w:val="-4"/>
          <w:sz w:val="24"/>
          <w:szCs w:val="24"/>
        </w:rPr>
        <w:t>法所得的，并处没收违</w:t>
      </w:r>
      <w:r>
        <w:rPr>
          <w:rFonts w:ascii="宋体" w:hAnsi="宋体" w:eastAsia="宋体" w:cs="宋体"/>
          <w:spacing w:val="-3"/>
          <w:sz w:val="24"/>
          <w:szCs w:val="24"/>
        </w:rPr>
        <w:t>法所得；情节严重的，由工商行政管理机关吊销营业执照</w:t>
      </w:r>
      <w:r>
        <w:rPr>
          <w:rFonts w:ascii="宋体" w:hAnsi="宋体" w:eastAsia="宋体" w:cs="宋体"/>
          <w:spacing w:val="-4"/>
          <w:sz w:val="24"/>
          <w:szCs w:val="24"/>
        </w:rPr>
        <w:t>；构成犯罪的，依法追</w:t>
      </w:r>
      <w:r>
        <w:rPr>
          <w:rFonts w:ascii="宋体" w:hAnsi="宋体" w:eastAsia="宋体" w:cs="宋体"/>
          <w:spacing w:val="-3"/>
          <w:sz w:val="24"/>
          <w:szCs w:val="24"/>
        </w:rPr>
        <w:t>究刑事责任：</w:t>
      </w:r>
    </w:p>
    <w:p w14:paraId="7D52EC41">
      <w:pPr>
        <w:spacing w:before="89" w:line="219" w:lineRule="auto"/>
        <w:ind w:left="545"/>
        <w:outlineLvl w:val="9"/>
        <w:rPr>
          <w:rFonts w:ascii="宋体" w:hAnsi="宋体" w:eastAsia="宋体" w:cs="宋体"/>
          <w:sz w:val="24"/>
          <w:szCs w:val="24"/>
        </w:rPr>
      </w:pPr>
      <w:r>
        <w:rPr>
          <w:rFonts w:ascii="宋体" w:hAnsi="宋体" w:eastAsia="宋体" w:cs="宋体"/>
          <w:spacing w:val="-4"/>
          <w:sz w:val="24"/>
          <w:szCs w:val="24"/>
        </w:rPr>
        <w:t>1）提供虚假材料谋取中标、成交的；</w:t>
      </w:r>
    </w:p>
    <w:p w14:paraId="7AE28B65">
      <w:pPr>
        <w:spacing w:before="117" w:line="219" w:lineRule="auto"/>
        <w:ind w:left="513"/>
        <w:outlineLvl w:val="9"/>
        <w:rPr>
          <w:rFonts w:ascii="宋体" w:hAnsi="宋体" w:eastAsia="宋体" w:cs="宋体"/>
          <w:sz w:val="24"/>
          <w:szCs w:val="24"/>
        </w:rPr>
      </w:pPr>
      <w:r>
        <w:rPr>
          <w:rFonts w:ascii="宋体" w:hAnsi="宋体" w:eastAsia="宋体" w:cs="宋体"/>
          <w:spacing w:val="-2"/>
          <w:sz w:val="24"/>
          <w:szCs w:val="24"/>
        </w:rPr>
        <w:t>2）采取不正当手段诋毁、排挤其他供应商的；</w:t>
      </w:r>
    </w:p>
    <w:p w14:paraId="20DCE6C0">
      <w:pPr>
        <w:spacing w:before="111" w:line="219" w:lineRule="auto"/>
        <w:ind w:left="517"/>
        <w:outlineLvl w:val="9"/>
        <w:rPr>
          <w:rFonts w:ascii="宋体" w:hAnsi="宋体" w:eastAsia="宋体" w:cs="宋体"/>
          <w:sz w:val="24"/>
          <w:szCs w:val="24"/>
        </w:rPr>
      </w:pPr>
      <w:r>
        <w:rPr>
          <w:rFonts w:ascii="宋体" w:hAnsi="宋体" w:eastAsia="宋体" w:cs="宋体"/>
          <w:spacing w:val="-2"/>
          <w:sz w:val="24"/>
          <w:szCs w:val="24"/>
        </w:rPr>
        <w:t>3）与采购人、其他供应商或者采购代理机构工作人员恶意串通的；</w:t>
      </w:r>
    </w:p>
    <w:p w14:paraId="61F8F399">
      <w:pPr>
        <w:spacing w:before="116" w:line="219" w:lineRule="auto"/>
        <w:ind w:left="507"/>
        <w:outlineLvl w:val="9"/>
        <w:rPr>
          <w:rFonts w:ascii="宋体" w:hAnsi="宋体" w:eastAsia="宋体" w:cs="宋体"/>
          <w:sz w:val="24"/>
          <w:szCs w:val="24"/>
        </w:rPr>
      </w:pPr>
      <w:r>
        <w:rPr>
          <w:rFonts w:ascii="宋体" w:hAnsi="宋体" w:eastAsia="宋体" w:cs="宋体"/>
          <w:spacing w:val="-1"/>
          <w:sz w:val="24"/>
          <w:szCs w:val="24"/>
        </w:rPr>
        <w:t>4）向采购人、采购代理机构工作人员行贿或者提供其他不正当利益的；</w:t>
      </w:r>
    </w:p>
    <w:p w14:paraId="751AF5AE">
      <w:pPr>
        <w:spacing w:before="116" w:line="219" w:lineRule="auto"/>
        <w:ind w:left="517"/>
        <w:outlineLvl w:val="9"/>
        <w:rPr>
          <w:rFonts w:ascii="宋体" w:hAnsi="宋体" w:eastAsia="宋体" w:cs="宋体"/>
          <w:sz w:val="24"/>
          <w:szCs w:val="24"/>
        </w:rPr>
      </w:pPr>
      <w:r>
        <w:rPr>
          <w:rFonts w:ascii="宋体" w:hAnsi="宋体" w:eastAsia="宋体" w:cs="宋体"/>
          <w:spacing w:val="-2"/>
          <w:sz w:val="24"/>
          <w:szCs w:val="24"/>
        </w:rPr>
        <w:t>5）在采购过程中与采购人进行协商谈判的；</w:t>
      </w:r>
    </w:p>
    <w:p w14:paraId="0B521DA6">
      <w:pPr>
        <w:spacing w:before="111" w:line="219" w:lineRule="auto"/>
        <w:ind w:left="512"/>
        <w:outlineLvl w:val="9"/>
        <w:rPr>
          <w:rFonts w:ascii="宋体" w:hAnsi="宋体" w:eastAsia="宋体" w:cs="宋体"/>
          <w:sz w:val="24"/>
          <w:szCs w:val="24"/>
        </w:rPr>
      </w:pPr>
      <w:r>
        <w:rPr>
          <w:rFonts w:ascii="宋体" w:hAnsi="宋体" w:eastAsia="宋体" w:cs="宋体"/>
          <w:spacing w:val="-2"/>
          <w:sz w:val="24"/>
          <w:szCs w:val="24"/>
        </w:rPr>
        <w:t>6）拒绝有关部门监督检查或提供虚假情况的。</w:t>
      </w:r>
    </w:p>
    <w:p w14:paraId="6D51FE33">
      <w:pPr>
        <w:spacing w:before="116" w:line="219" w:lineRule="auto"/>
        <w:ind w:left="545"/>
        <w:outlineLvl w:val="9"/>
        <w:rPr>
          <w:rFonts w:ascii="宋体" w:hAnsi="宋体" w:eastAsia="宋体" w:cs="宋体"/>
          <w:sz w:val="24"/>
          <w:szCs w:val="24"/>
        </w:rPr>
      </w:pPr>
      <w:r>
        <w:rPr>
          <w:rFonts w:ascii="宋体" w:hAnsi="宋体" w:eastAsia="宋体" w:cs="宋体"/>
          <w:spacing w:val="-4"/>
          <w:sz w:val="24"/>
          <w:szCs w:val="24"/>
        </w:rPr>
        <w:t>17、与本投标有关的一切往来通讯请寄：</w:t>
      </w:r>
    </w:p>
    <w:p w14:paraId="2D08F42B">
      <w:pPr>
        <w:spacing w:before="109" w:line="229" w:lineRule="auto"/>
        <w:ind w:left="508"/>
        <w:outlineLvl w:val="9"/>
        <w:rPr>
          <w:rFonts w:hint="eastAsia" w:ascii="宋体" w:hAnsi="宋体" w:eastAsia="宋体" w:cs="宋体"/>
          <w:sz w:val="24"/>
          <w:szCs w:val="24"/>
          <w:lang w:eastAsia="zh-CN"/>
        </w:rPr>
      </w:pPr>
      <w:r>
        <w:rPr>
          <w:rFonts w:ascii="宋体" w:hAnsi="宋体" w:eastAsia="宋体" w:cs="宋体"/>
          <w:spacing w:val="-2"/>
          <w:sz w:val="24"/>
          <w:szCs w:val="24"/>
        </w:rPr>
        <w:t>地址：</w:t>
      </w:r>
    </w:p>
    <w:p w14:paraId="70C5B994">
      <w:pPr>
        <w:spacing w:before="100" w:line="219" w:lineRule="auto"/>
        <w:ind w:left="545"/>
        <w:outlineLvl w:val="9"/>
        <w:rPr>
          <w:rFonts w:hint="eastAsia" w:ascii="宋体" w:hAnsi="宋体" w:eastAsia="宋体" w:cs="宋体"/>
          <w:sz w:val="24"/>
          <w:szCs w:val="24"/>
          <w:lang w:eastAsia="zh-CN"/>
        </w:rPr>
      </w:pPr>
      <w:r>
        <w:rPr>
          <w:rFonts w:ascii="宋体" w:hAnsi="宋体" w:eastAsia="宋体" w:cs="宋体"/>
          <w:spacing w:val="-12"/>
          <w:sz w:val="24"/>
          <w:szCs w:val="24"/>
        </w:rPr>
        <w:t>邮编：</w:t>
      </w:r>
    </w:p>
    <w:p w14:paraId="4E6FF4DA">
      <w:pPr>
        <w:spacing w:before="118" w:line="221" w:lineRule="auto"/>
        <w:ind w:left="565"/>
        <w:outlineLvl w:val="9"/>
        <w:rPr>
          <w:rFonts w:hint="eastAsia" w:ascii="宋体" w:hAnsi="宋体" w:eastAsia="宋体" w:cs="宋体"/>
          <w:sz w:val="24"/>
          <w:szCs w:val="24"/>
          <w:lang w:eastAsia="zh-CN"/>
        </w:rPr>
      </w:pPr>
      <w:r>
        <w:rPr>
          <w:rFonts w:ascii="宋体" w:hAnsi="宋体" w:eastAsia="宋体" w:cs="宋体"/>
          <w:spacing w:val="-16"/>
          <w:sz w:val="24"/>
          <w:szCs w:val="24"/>
        </w:rPr>
        <w:t>电话：</w:t>
      </w:r>
    </w:p>
    <w:p w14:paraId="55718557">
      <w:pPr>
        <w:spacing w:before="121" w:line="219" w:lineRule="auto"/>
        <w:ind w:left="513"/>
        <w:outlineLvl w:val="9"/>
        <w:rPr>
          <w:rFonts w:hint="eastAsia" w:ascii="宋体" w:hAnsi="宋体" w:eastAsia="宋体" w:cs="宋体"/>
          <w:sz w:val="24"/>
          <w:szCs w:val="24"/>
          <w:lang w:eastAsia="zh-CN"/>
        </w:rPr>
      </w:pPr>
      <w:r>
        <w:rPr>
          <w:rFonts w:ascii="宋体" w:hAnsi="宋体" w:eastAsia="宋体" w:cs="宋体"/>
          <w:spacing w:val="-2"/>
          <w:sz w:val="24"/>
          <w:szCs w:val="24"/>
        </w:rPr>
        <w:t>投标人法定代表人或授权代理人联系电话，e-mail：</w:t>
      </w:r>
    </w:p>
    <w:p w14:paraId="7BF6DAFC">
      <w:pPr>
        <w:pStyle w:val="2"/>
        <w:spacing w:line="430" w:lineRule="auto"/>
        <w:outlineLvl w:val="9"/>
      </w:pPr>
    </w:p>
    <w:p w14:paraId="751BD2EC">
      <w:pPr>
        <w:spacing w:before="78" w:line="219" w:lineRule="auto"/>
        <w:ind w:left="513"/>
        <w:outlineLvl w:val="9"/>
        <w:rPr>
          <w:rFonts w:ascii="宋体" w:hAnsi="宋体" w:eastAsia="宋体" w:cs="宋体"/>
          <w:sz w:val="24"/>
          <w:szCs w:val="24"/>
        </w:rPr>
      </w:pPr>
      <w:r>
        <w:rPr>
          <w:rFonts w:ascii="宋体" w:hAnsi="宋体" w:eastAsia="宋体" w:cs="宋体"/>
          <w:b/>
          <w:bCs/>
          <w:spacing w:val="-8"/>
          <w:sz w:val="24"/>
          <w:szCs w:val="24"/>
        </w:rPr>
        <w:t>投标人（公章</w:t>
      </w:r>
      <w:r>
        <w:rPr>
          <w:rFonts w:ascii="宋体" w:hAnsi="宋体" w:eastAsia="宋体" w:cs="宋体"/>
          <w:b/>
          <w:bCs/>
          <w:spacing w:val="-5"/>
          <w:sz w:val="24"/>
          <w:szCs w:val="24"/>
        </w:rPr>
        <w:t>）：</w:t>
      </w:r>
    </w:p>
    <w:p w14:paraId="5633FFA2">
      <w:pPr>
        <w:spacing w:before="116" w:line="219" w:lineRule="auto"/>
        <w:ind w:left="492"/>
        <w:outlineLvl w:val="9"/>
        <w:rPr>
          <w:rFonts w:ascii="宋体" w:hAnsi="宋体" w:eastAsia="宋体" w:cs="宋体"/>
          <w:sz w:val="24"/>
          <w:szCs w:val="24"/>
        </w:rPr>
      </w:pPr>
      <w:r>
        <w:rPr>
          <w:rFonts w:ascii="宋体" w:hAnsi="宋体" w:eastAsia="宋体" w:cs="宋体"/>
          <w:b/>
          <w:bCs/>
          <w:spacing w:val="-4"/>
          <w:sz w:val="24"/>
          <w:szCs w:val="24"/>
        </w:rPr>
        <w:t>法定代表人（单位负责人）或其授权委托人（签</w:t>
      </w:r>
      <w:r>
        <w:rPr>
          <w:rFonts w:ascii="宋体" w:hAnsi="宋体" w:eastAsia="宋体" w:cs="宋体"/>
          <w:b/>
          <w:bCs/>
          <w:spacing w:val="-5"/>
          <w:sz w:val="24"/>
          <w:szCs w:val="24"/>
        </w:rPr>
        <w:t>字或盖章</w:t>
      </w:r>
      <w:r>
        <w:rPr>
          <w:rFonts w:ascii="宋体" w:hAnsi="宋体" w:eastAsia="宋体" w:cs="宋体"/>
          <w:b/>
          <w:bCs/>
          <w:spacing w:val="-4"/>
          <w:sz w:val="24"/>
          <w:szCs w:val="24"/>
        </w:rPr>
        <w:t>）：</w:t>
      </w:r>
    </w:p>
    <w:p w14:paraId="3428E41E">
      <w:pPr>
        <w:spacing w:before="115" w:line="219" w:lineRule="auto"/>
        <w:ind w:left="652"/>
        <w:outlineLvl w:val="9"/>
        <w:rPr>
          <w:rFonts w:ascii="宋体" w:hAnsi="宋体" w:eastAsia="宋体" w:cs="宋体"/>
          <w:sz w:val="24"/>
          <w:szCs w:val="24"/>
        </w:rPr>
      </w:pPr>
      <w:r>
        <w:rPr>
          <w:rFonts w:ascii="宋体" w:hAnsi="宋体" w:eastAsia="宋体" w:cs="宋体"/>
          <w:b/>
          <w:bCs/>
          <w:spacing w:val="-14"/>
          <w:sz w:val="24"/>
          <w:szCs w:val="24"/>
        </w:rPr>
        <w:t>日期：年月日</w:t>
      </w:r>
    </w:p>
    <w:p w14:paraId="096436D3">
      <w:pPr>
        <w:pStyle w:val="2"/>
        <w:spacing w:line="453" w:lineRule="auto"/>
        <w:outlineLvl w:val="9"/>
      </w:pPr>
    </w:p>
    <w:p w14:paraId="3B4F0FE7">
      <w:pPr>
        <w:spacing w:before="79" w:line="310" w:lineRule="auto"/>
        <w:ind w:left="31" w:right="117" w:firstLine="1"/>
        <w:outlineLvl w:val="9"/>
        <w:rPr>
          <w:rFonts w:ascii="宋体" w:hAnsi="宋体" w:eastAsia="宋体" w:cs="宋体"/>
          <w:sz w:val="24"/>
          <w:szCs w:val="24"/>
        </w:rPr>
      </w:pPr>
      <w:r>
        <w:rPr>
          <w:rFonts w:ascii="宋体" w:hAnsi="宋体" w:eastAsia="宋体" w:cs="宋体"/>
          <w:b/>
          <w:bCs/>
          <w:spacing w:val="-7"/>
          <w:sz w:val="24"/>
          <w:szCs w:val="24"/>
        </w:rPr>
        <w:t>说明：除可填报项目外，对本投标函的任何修改将被视</w:t>
      </w:r>
      <w:r>
        <w:rPr>
          <w:rFonts w:ascii="宋体" w:hAnsi="宋体" w:eastAsia="宋体" w:cs="宋体"/>
          <w:b/>
          <w:bCs/>
          <w:spacing w:val="-8"/>
          <w:sz w:val="24"/>
          <w:szCs w:val="24"/>
        </w:rPr>
        <w:t>为非实质性响应投标，从</w:t>
      </w:r>
      <w:r>
        <w:rPr>
          <w:rFonts w:ascii="宋体" w:hAnsi="宋体" w:eastAsia="宋体" w:cs="宋体"/>
          <w:b/>
          <w:bCs/>
          <w:spacing w:val="-6"/>
          <w:sz w:val="24"/>
          <w:szCs w:val="24"/>
        </w:rPr>
        <w:t>而导致该投标被拒绝。</w:t>
      </w:r>
    </w:p>
    <w:p w14:paraId="176621B2">
      <w:pPr>
        <w:spacing w:line="310" w:lineRule="auto"/>
        <w:outlineLvl w:val="9"/>
        <w:rPr>
          <w:rFonts w:ascii="宋体" w:hAnsi="宋体" w:eastAsia="宋体" w:cs="宋体"/>
          <w:sz w:val="24"/>
          <w:szCs w:val="24"/>
        </w:rPr>
        <w:sectPr>
          <w:headerReference r:id="rId87" w:type="default"/>
          <w:footerReference r:id="rId88" w:type="default"/>
          <w:pgSz w:w="11906" w:h="16840"/>
          <w:pgMar w:top="1091" w:right="1735" w:bottom="1100" w:left="1785" w:header="1077" w:footer="931" w:gutter="0"/>
          <w:pgNumType w:fmt="decimal"/>
          <w:cols w:space="720" w:num="1"/>
        </w:sectPr>
      </w:pPr>
    </w:p>
    <w:p w14:paraId="7CC45E3C">
      <w:pPr>
        <w:pStyle w:val="2"/>
        <w:spacing w:line="397" w:lineRule="auto"/>
        <w:outlineLvl w:val="9"/>
      </w:pPr>
    </w:p>
    <w:p w14:paraId="0FC73F5A">
      <w:pPr>
        <w:spacing w:before="98" w:line="225" w:lineRule="auto"/>
        <w:ind w:left="197"/>
        <w:outlineLvl w:val="9"/>
        <w:rPr>
          <w:rFonts w:ascii="宋体" w:hAnsi="宋体" w:eastAsia="宋体" w:cs="宋体"/>
          <w:sz w:val="30"/>
          <w:szCs w:val="30"/>
        </w:rPr>
      </w:pPr>
      <w:bookmarkStart w:id="20" w:name="_Toc15742_WPSOffice_Level1"/>
      <w:r>
        <w:rPr>
          <w:rFonts w:ascii="宋体" w:hAnsi="宋体" w:eastAsia="宋体" w:cs="宋体"/>
          <w:b/>
          <w:bCs/>
          <w:spacing w:val="-7"/>
          <w:sz w:val="30"/>
          <w:szCs w:val="30"/>
        </w:rPr>
        <w:t>附件五：</w:t>
      </w:r>
      <w:bookmarkEnd w:id="20"/>
    </w:p>
    <w:p w14:paraId="2709DA38">
      <w:pPr>
        <w:spacing w:before="160" w:line="221" w:lineRule="auto"/>
        <w:ind w:left="3600"/>
        <w:outlineLvl w:val="9"/>
        <w:rPr>
          <w:rFonts w:ascii="宋体" w:hAnsi="宋体" w:eastAsia="宋体" w:cs="宋体"/>
          <w:sz w:val="28"/>
          <w:szCs w:val="28"/>
        </w:rPr>
      </w:pPr>
      <w:r>
        <w:rPr>
          <w:rFonts w:ascii="宋体" w:hAnsi="宋体" w:eastAsia="宋体" w:cs="宋体"/>
          <w:b/>
          <w:bCs/>
          <w:spacing w:val="-8"/>
          <w:sz w:val="28"/>
          <w:szCs w:val="28"/>
        </w:rPr>
        <w:t>开标一览表</w:t>
      </w:r>
    </w:p>
    <w:p w14:paraId="15899586">
      <w:pPr>
        <w:spacing w:before="212"/>
        <w:outlineLvl w:val="9"/>
      </w:pPr>
    </w:p>
    <w:tbl>
      <w:tblPr>
        <w:tblStyle w:val="10"/>
        <w:tblW w:w="9266"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67"/>
        <w:gridCol w:w="7099"/>
      </w:tblGrid>
      <w:tr w14:paraId="7F6F7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2167" w:type="dxa"/>
            <w:tcBorders>
              <w:top w:val="single" w:color="000000" w:sz="8" w:space="0"/>
              <w:left w:val="single" w:color="000000" w:sz="8" w:space="0"/>
            </w:tcBorders>
            <w:vAlign w:val="top"/>
          </w:tcPr>
          <w:p w14:paraId="1F819509">
            <w:pPr>
              <w:pStyle w:val="11"/>
              <w:spacing w:before="234" w:line="221" w:lineRule="auto"/>
              <w:ind w:left="541"/>
              <w:outlineLvl w:val="9"/>
              <w:rPr>
                <w:sz w:val="28"/>
                <w:szCs w:val="28"/>
              </w:rPr>
            </w:pPr>
            <w:r>
              <w:rPr>
                <w:spacing w:val="-6"/>
                <w:sz w:val="28"/>
                <w:szCs w:val="28"/>
              </w:rPr>
              <w:t>项目名称</w:t>
            </w:r>
          </w:p>
        </w:tc>
        <w:tc>
          <w:tcPr>
            <w:tcW w:w="7099" w:type="dxa"/>
            <w:tcBorders>
              <w:top w:val="single" w:color="000000" w:sz="8" w:space="0"/>
              <w:right w:val="single" w:color="000000" w:sz="8" w:space="0"/>
            </w:tcBorders>
            <w:vAlign w:val="top"/>
          </w:tcPr>
          <w:p w14:paraId="1B445D75">
            <w:pPr>
              <w:outlineLvl w:val="9"/>
              <w:rPr>
                <w:rFonts w:ascii="Arial"/>
                <w:sz w:val="21"/>
              </w:rPr>
            </w:pPr>
          </w:p>
        </w:tc>
      </w:tr>
      <w:tr w14:paraId="197E8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2167" w:type="dxa"/>
            <w:tcBorders>
              <w:left w:val="single" w:color="000000" w:sz="8" w:space="0"/>
            </w:tcBorders>
            <w:vAlign w:val="top"/>
          </w:tcPr>
          <w:p w14:paraId="6AC5791C">
            <w:pPr>
              <w:pStyle w:val="11"/>
              <w:spacing w:before="212" w:line="221" w:lineRule="auto"/>
              <w:ind w:left="676"/>
              <w:outlineLvl w:val="9"/>
              <w:rPr>
                <w:sz w:val="28"/>
                <w:szCs w:val="28"/>
              </w:rPr>
            </w:pPr>
            <w:r>
              <w:rPr>
                <w:spacing w:val="-6"/>
                <w:sz w:val="28"/>
                <w:szCs w:val="28"/>
              </w:rPr>
              <w:t>投标人</w:t>
            </w:r>
          </w:p>
        </w:tc>
        <w:tc>
          <w:tcPr>
            <w:tcW w:w="7099" w:type="dxa"/>
            <w:tcBorders>
              <w:right w:val="single" w:color="000000" w:sz="8" w:space="0"/>
            </w:tcBorders>
            <w:vAlign w:val="top"/>
          </w:tcPr>
          <w:p w14:paraId="262DA64E">
            <w:pPr>
              <w:outlineLvl w:val="9"/>
              <w:rPr>
                <w:rFonts w:ascii="Arial"/>
                <w:sz w:val="21"/>
              </w:rPr>
            </w:pPr>
          </w:p>
        </w:tc>
      </w:tr>
      <w:tr w14:paraId="04E6B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4" w:hRule="atLeast"/>
        </w:trPr>
        <w:tc>
          <w:tcPr>
            <w:tcW w:w="2167" w:type="dxa"/>
            <w:tcBorders>
              <w:left w:val="single" w:color="000000" w:sz="8" w:space="0"/>
            </w:tcBorders>
            <w:vAlign w:val="top"/>
          </w:tcPr>
          <w:p w14:paraId="5D276270">
            <w:pPr>
              <w:pStyle w:val="11"/>
              <w:spacing w:before="220" w:line="415" w:lineRule="auto"/>
              <w:ind w:left="685" w:right="522" w:hanging="148"/>
              <w:outlineLvl w:val="9"/>
              <w:rPr>
                <w:sz w:val="28"/>
                <w:szCs w:val="28"/>
              </w:rPr>
            </w:pPr>
            <w:r>
              <w:rPr>
                <w:spacing w:val="-7"/>
                <w:sz w:val="28"/>
                <w:szCs w:val="28"/>
              </w:rPr>
              <w:t>投标报价</w:t>
            </w:r>
            <w:r>
              <w:rPr>
                <w:spacing w:val="-9"/>
                <w:sz w:val="28"/>
                <w:szCs w:val="28"/>
              </w:rPr>
              <w:t>（元）</w:t>
            </w:r>
          </w:p>
        </w:tc>
        <w:tc>
          <w:tcPr>
            <w:tcW w:w="7099" w:type="dxa"/>
            <w:tcBorders>
              <w:right w:val="single" w:color="000000" w:sz="8" w:space="0"/>
            </w:tcBorders>
            <w:vAlign w:val="top"/>
          </w:tcPr>
          <w:p w14:paraId="2604B64A">
            <w:pPr>
              <w:pStyle w:val="11"/>
              <w:spacing w:before="197" w:line="221" w:lineRule="auto"/>
              <w:ind w:left="129"/>
              <w:outlineLvl w:val="9"/>
              <w:rPr>
                <w:sz w:val="28"/>
                <w:szCs w:val="28"/>
              </w:rPr>
            </w:pPr>
            <w:r>
              <w:rPr>
                <w:spacing w:val="-12"/>
                <w:sz w:val="28"/>
                <w:szCs w:val="28"/>
              </w:rPr>
              <w:t>（大写</w:t>
            </w:r>
            <w:r>
              <w:rPr>
                <w:spacing w:val="-3"/>
                <w:sz w:val="28"/>
                <w:szCs w:val="28"/>
              </w:rPr>
              <w:t>）：</w:t>
            </w:r>
          </w:p>
          <w:p w14:paraId="6D872723">
            <w:pPr>
              <w:spacing w:line="272" w:lineRule="auto"/>
              <w:outlineLvl w:val="9"/>
              <w:rPr>
                <w:rFonts w:ascii="Arial"/>
                <w:sz w:val="21"/>
              </w:rPr>
            </w:pPr>
          </w:p>
          <w:p w14:paraId="5914BDD2">
            <w:pPr>
              <w:spacing w:line="272" w:lineRule="auto"/>
              <w:outlineLvl w:val="9"/>
              <w:rPr>
                <w:rFonts w:ascii="Arial"/>
                <w:sz w:val="21"/>
              </w:rPr>
            </w:pPr>
          </w:p>
          <w:p w14:paraId="43A5280B">
            <w:pPr>
              <w:spacing w:line="273" w:lineRule="auto"/>
              <w:outlineLvl w:val="9"/>
              <w:rPr>
                <w:rFonts w:ascii="Arial"/>
                <w:sz w:val="21"/>
              </w:rPr>
            </w:pPr>
          </w:p>
          <w:p w14:paraId="6682C71F">
            <w:pPr>
              <w:pStyle w:val="11"/>
              <w:spacing w:before="91" w:line="222" w:lineRule="auto"/>
              <w:ind w:left="129"/>
              <w:outlineLvl w:val="9"/>
              <w:rPr>
                <w:sz w:val="28"/>
                <w:szCs w:val="28"/>
              </w:rPr>
            </w:pPr>
            <w:r>
              <w:rPr>
                <w:spacing w:val="-12"/>
                <w:sz w:val="28"/>
                <w:szCs w:val="28"/>
              </w:rPr>
              <w:t>（小写</w:t>
            </w:r>
            <w:r>
              <w:rPr>
                <w:spacing w:val="-3"/>
                <w:sz w:val="28"/>
                <w:szCs w:val="28"/>
              </w:rPr>
              <w:t>）：</w:t>
            </w:r>
          </w:p>
        </w:tc>
      </w:tr>
      <w:tr w14:paraId="018A3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2167" w:type="dxa"/>
            <w:tcBorders>
              <w:left w:val="single" w:color="000000" w:sz="8" w:space="0"/>
            </w:tcBorders>
            <w:vAlign w:val="top"/>
          </w:tcPr>
          <w:p w14:paraId="3A82611E">
            <w:pPr>
              <w:pStyle w:val="11"/>
              <w:spacing w:before="229" w:line="221" w:lineRule="auto"/>
              <w:ind w:left="252"/>
              <w:outlineLvl w:val="9"/>
              <w:rPr>
                <w:sz w:val="28"/>
                <w:szCs w:val="28"/>
              </w:rPr>
            </w:pPr>
            <w:r>
              <w:rPr>
                <w:spacing w:val="-4"/>
                <w:sz w:val="28"/>
                <w:szCs w:val="28"/>
              </w:rPr>
              <w:t>合同履行期限</w:t>
            </w:r>
          </w:p>
        </w:tc>
        <w:tc>
          <w:tcPr>
            <w:tcW w:w="7099" w:type="dxa"/>
            <w:tcBorders>
              <w:right w:val="single" w:color="000000" w:sz="8" w:space="0"/>
            </w:tcBorders>
            <w:vAlign w:val="top"/>
          </w:tcPr>
          <w:p w14:paraId="20291260">
            <w:pPr>
              <w:outlineLvl w:val="9"/>
              <w:rPr>
                <w:rFonts w:ascii="Arial"/>
                <w:sz w:val="21"/>
              </w:rPr>
            </w:pPr>
          </w:p>
        </w:tc>
      </w:tr>
      <w:tr w14:paraId="073AA9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2167" w:type="dxa"/>
            <w:tcBorders>
              <w:left w:val="single" w:color="000000" w:sz="8" w:space="0"/>
            </w:tcBorders>
            <w:vAlign w:val="top"/>
          </w:tcPr>
          <w:p w14:paraId="22493D05">
            <w:pPr>
              <w:pStyle w:val="11"/>
              <w:spacing w:before="232" w:line="221" w:lineRule="auto"/>
              <w:ind w:left="532"/>
              <w:outlineLvl w:val="9"/>
              <w:rPr>
                <w:sz w:val="28"/>
                <w:szCs w:val="28"/>
              </w:rPr>
            </w:pPr>
            <w:r>
              <w:rPr>
                <w:spacing w:val="-5"/>
                <w:sz w:val="28"/>
                <w:szCs w:val="28"/>
              </w:rPr>
              <w:t>质量要求</w:t>
            </w:r>
          </w:p>
        </w:tc>
        <w:tc>
          <w:tcPr>
            <w:tcW w:w="7099" w:type="dxa"/>
            <w:tcBorders>
              <w:right w:val="single" w:color="000000" w:sz="8" w:space="0"/>
            </w:tcBorders>
            <w:vAlign w:val="top"/>
          </w:tcPr>
          <w:p w14:paraId="2AC2E967">
            <w:pPr>
              <w:outlineLvl w:val="9"/>
              <w:rPr>
                <w:rFonts w:ascii="Arial"/>
                <w:sz w:val="21"/>
              </w:rPr>
            </w:pPr>
          </w:p>
        </w:tc>
      </w:tr>
      <w:tr w14:paraId="601F8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2167" w:type="dxa"/>
            <w:tcBorders>
              <w:left w:val="single" w:color="000000" w:sz="8" w:space="0"/>
            </w:tcBorders>
            <w:vAlign w:val="top"/>
          </w:tcPr>
          <w:p w14:paraId="7E3FFF3A">
            <w:pPr>
              <w:pStyle w:val="11"/>
              <w:spacing w:before="239" w:line="221" w:lineRule="auto"/>
              <w:ind w:left="395"/>
              <w:outlineLvl w:val="9"/>
              <w:rPr>
                <w:sz w:val="28"/>
                <w:szCs w:val="28"/>
              </w:rPr>
            </w:pPr>
            <w:r>
              <w:rPr>
                <w:spacing w:val="-5"/>
                <w:sz w:val="28"/>
                <w:szCs w:val="28"/>
              </w:rPr>
              <w:t>投标有效期</w:t>
            </w:r>
          </w:p>
        </w:tc>
        <w:tc>
          <w:tcPr>
            <w:tcW w:w="7099" w:type="dxa"/>
            <w:tcBorders>
              <w:right w:val="single" w:color="000000" w:sz="8" w:space="0"/>
            </w:tcBorders>
            <w:vAlign w:val="top"/>
          </w:tcPr>
          <w:p w14:paraId="54F6E4DE">
            <w:pPr>
              <w:outlineLvl w:val="9"/>
              <w:rPr>
                <w:rFonts w:ascii="Arial"/>
                <w:sz w:val="21"/>
              </w:rPr>
            </w:pPr>
          </w:p>
        </w:tc>
      </w:tr>
      <w:tr w14:paraId="710EE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4" w:hRule="atLeast"/>
        </w:trPr>
        <w:tc>
          <w:tcPr>
            <w:tcW w:w="2167" w:type="dxa"/>
            <w:tcBorders>
              <w:left w:val="single" w:color="000000" w:sz="8" w:space="0"/>
              <w:bottom w:val="single" w:color="000000" w:sz="8" w:space="0"/>
            </w:tcBorders>
            <w:vAlign w:val="top"/>
          </w:tcPr>
          <w:p w14:paraId="73E2B3EA">
            <w:pPr>
              <w:spacing w:line="405" w:lineRule="auto"/>
              <w:outlineLvl w:val="9"/>
              <w:rPr>
                <w:rFonts w:ascii="Arial"/>
                <w:sz w:val="21"/>
              </w:rPr>
            </w:pPr>
          </w:p>
          <w:p w14:paraId="7A6C8CE5">
            <w:pPr>
              <w:pStyle w:val="11"/>
              <w:spacing w:before="91" w:line="221" w:lineRule="auto"/>
              <w:ind w:left="815"/>
              <w:outlineLvl w:val="9"/>
              <w:rPr>
                <w:sz w:val="28"/>
                <w:szCs w:val="28"/>
              </w:rPr>
            </w:pPr>
            <w:r>
              <w:rPr>
                <w:spacing w:val="-7"/>
                <w:sz w:val="28"/>
                <w:szCs w:val="28"/>
              </w:rPr>
              <w:t>备注</w:t>
            </w:r>
          </w:p>
        </w:tc>
        <w:tc>
          <w:tcPr>
            <w:tcW w:w="7099" w:type="dxa"/>
            <w:tcBorders>
              <w:bottom w:val="single" w:color="000000" w:sz="8" w:space="0"/>
              <w:right w:val="single" w:color="000000" w:sz="8" w:space="0"/>
            </w:tcBorders>
            <w:vAlign w:val="top"/>
          </w:tcPr>
          <w:p w14:paraId="73B87E58">
            <w:pPr>
              <w:outlineLvl w:val="9"/>
              <w:rPr>
                <w:rFonts w:ascii="Arial"/>
                <w:sz w:val="21"/>
              </w:rPr>
            </w:pPr>
          </w:p>
        </w:tc>
      </w:tr>
    </w:tbl>
    <w:p w14:paraId="66520B81">
      <w:pPr>
        <w:spacing w:before="150" w:line="351" w:lineRule="auto"/>
        <w:ind w:left="140" w:right="856" w:firstLine="7"/>
        <w:outlineLvl w:val="9"/>
        <w:rPr>
          <w:rFonts w:ascii="宋体" w:hAnsi="宋体" w:eastAsia="宋体" w:cs="宋体"/>
          <w:sz w:val="24"/>
          <w:szCs w:val="24"/>
        </w:rPr>
      </w:pPr>
      <w:r>
        <w:rPr>
          <w:rFonts w:ascii="宋体" w:hAnsi="宋体" w:eastAsia="宋体" w:cs="宋体"/>
          <w:spacing w:val="-3"/>
          <w:sz w:val="24"/>
          <w:szCs w:val="24"/>
        </w:rPr>
        <w:t>说明：1.投标人严格按照规定的格式填写。任何有选</w:t>
      </w:r>
      <w:r>
        <w:rPr>
          <w:rFonts w:ascii="宋体" w:hAnsi="宋体" w:eastAsia="宋体" w:cs="宋体"/>
          <w:spacing w:val="-4"/>
          <w:sz w:val="24"/>
          <w:szCs w:val="24"/>
        </w:rPr>
        <w:t>择或有条件的投标总价，均</w:t>
      </w:r>
      <w:r>
        <w:rPr>
          <w:rFonts w:ascii="宋体" w:hAnsi="宋体" w:eastAsia="宋体" w:cs="宋体"/>
          <w:spacing w:val="-2"/>
          <w:sz w:val="24"/>
          <w:szCs w:val="24"/>
        </w:rPr>
        <w:t>将导致投标被拒绝；</w:t>
      </w:r>
    </w:p>
    <w:p w14:paraId="2BA4CA50">
      <w:pPr>
        <w:spacing w:before="1" w:line="217" w:lineRule="auto"/>
        <w:ind w:left="179"/>
        <w:outlineLvl w:val="9"/>
        <w:rPr>
          <w:rFonts w:ascii="宋体" w:hAnsi="宋体" w:eastAsia="宋体" w:cs="宋体"/>
          <w:sz w:val="24"/>
          <w:szCs w:val="24"/>
        </w:rPr>
      </w:pPr>
      <w:r>
        <w:rPr>
          <w:rFonts w:ascii="宋体" w:hAnsi="宋体" w:eastAsia="宋体" w:cs="宋体"/>
          <w:spacing w:val="-4"/>
          <w:sz w:val="24"/>
          <w:szCs w:val="24"/>
        </w:rPr>
        <w:t>1.投标报价应包括招标文件所规定的招标范围的全部内容；</w:t>
      </w:r>
    </w:p>
    <w:p w14:paraId="6E689984">
      <w:pPr>
        <w:spacing w:before="182" w:line="218" w:lineRule="auto"/>
        <w:ind w:left="149"/>
        <w:outlineLvl w:val="9"/>
        <w:rPr>
          <w:rFonts w:ascii="宋体" w:hAnsi="宋体" w:eastAsia="宋体" w:cs="宋体"/>
          <w:sz w:val="24"/>
          <w:szCs w:val="24"/>
        </w:rPr>
      </w:pPr>
      <w:r>
        <w:rPr>
          <w:rFonts w:ascii="宋体" w:hAnsi="宋体" w:eastAsia="宋体" w:cs="宋体"/>
          <w:spacing w:val="-2"/>
          <w:sz w:val="24"/>
          <w:szCs w:val="24"/>
        </w:rPr>
        <w:t>2.报价总计包含运费、税费、装卸费、安装调试费等一切相关费。</w:t>
      </w:r>
    </w:p>
    <w:p w14:paraId="182B60BD">
      <w:pPr>
        <w:pStyle w:val="2"/>
        <w:spacing w:line="325" w:lineRule="auto"/>
        <w:outlineLvl w:val="9"/>
      </w:pPr>
    </w:p>
    <w:p w14:paraId="60374768">
      <w:pPr>
        <w:pStyle w:val="2"/>
        <w:spacing w:line="326" w:lineRule="auto"/>
        <w:outlineLvl w:val="9"/>
      </w:pPr>
    </w:p>
    <w:p w14:paraId="19064E1E">
      <w:pPr>
        <w:spacing w:before="78" w:line="219" w:lineRule="auto"/>
        <w:ind w:left="149"/>
        <w:outlineLvl w:val="9"/>
        <w:rPr>
          <w:rFonts w:hint="eastAsia" w:ascii="宋体" w:hAnsi="宋体" w:eastAsia="宋体" w:cs="宋体"/>
          <w:sz w:val="24"/>
          <w:szCs w:val="24"/>
          <w:lang w:eastAsia="zh-CN"/>
        </w:rPr>
      </w:pPr>
      <w:r>
        <w:rPr>
          <w:rFonts w:ascii="宋体" w:hAnsi="宋体" w:eastAsia="宋体" w:cs="宋体"/>
          <w:spacing w:val="-4"/>
          <w:sz w:val="24"/>
          <w:szCs w:val="24"/>
        </w:rPr>
        <w:t>投标人名称（公章</w:t>
      </w:r>
      <w:r>
        <w:rPr>
          <w:rFonts w:ascii="宋体" w:hAnsi="宋体" w:eastAsia="宋体" w:cs="宋体"/>
          <w:spacing w:val="2"/>
          <w:sz w:val="24"/>
          <w:szCs w:val="24"/>
        </w:rPr>
        <w:t>）：</w:t>
      </w:r>
    </w:p>
    <w:p w14:paraId="6BD28201">
      <w:pPr>
        <w:spacing w:before="215" w:line="219" w:lineRule="auto"/>
        <w:ind w:left="149"/>
        <w:outlineLvl w:val="9"/>
        <w:rPr>
          <w:rFonts w:hint="eastAsia" w:ascii="宋体" w:hAnsi="宋体" w:eastAsia="宋体" w:cs="宋体"/>
          <w:sz w:val="24"/>
          <w:szCs w:val="24"/>
          <w:lang w:eastAsia="zh-CN"/>
        </w:rPr>
      </w:pPr>
      <w:r>
        <w:rPr>
          <w:rFonts w:ascii="宋体" w:hAnsi="宋体" w:eastAsia="宋体" w:cs="宋体"/>
          <w:spacing w:val="-2"/>
          <w:sz w:val="24"/>
          <w:szCs w:val="24"/>
        </w:rPr>
        <w:t>投标人法定代表人或其委托代理人（签字或盖章</w:t>
      </w:r>
      <w:r>
        <w:rPr>
          <w:rFonts w:ascii="宋体" w:hAnsi="宋体" w:eastAsia="宋体" w:cs="宋体"/>
          <w:spacing w:val="5"/>
          <w:sz w:val="24"/>
          <w:szCs w:val="24"/>
        </w:rPr>
        <w:t>）：</w:t>
      </w:r>
    </w:p>
    <w:p w14:paraId="3C7231C3">
      <w:pPr>
        <w:spacing w:before="215" w:line="219" w:lineRule="auto"/>
        <w:ind w:left="226"/>
        <w:outlineLvl w:val="9"/>
        <w:rPr>
          <w:rFonts w:ascii="宋体" w:hAnsi="宋体" w:eastAsia="宋体" w:cs="宋体"/>
          <w:sz w:val="24"/>
          <w:szCs w:val="24"/>
        </w:rPr>
      </w:pPr>
      <w:r>
        <w:rPr>
          <w:rFonts w:ascii="宋体" w:hAnsi="宋体" w:eastAsia="宋体" w:cs="宋体"/>
          <w:spacing w:val="-17"/>
          <w:sz w:val="24"/>
          <w:szCs w:val="24"/>
        </w:rPr>
        <w:t>日期：年月日</w:t>
      </w:r>
    </w:p>
    <w:p w14:paraId="502792F2">
      <w:pPr>
        <w:spacing w:line="219" w:lineRule="auto"/>
        <w:outlineLvl w:val="9"/>
        <w:rPr>
          <w:rFonts w:ascii="宋体" w:hAnsi="宋体" w:eastAsia="宋体" w:cs="宋体"/>
          <w:sz w:val="24"/>
          <w:szCs w:val="24"/>
        </w:rPr>
        <w:sectPr>
          <w:headerReference r:id="rId89" w:type="default"/>
          <w:footerReference r:id="rId90" w:type="default"/>
          <w:pgSz w:w="11906" w:h="16840"/>
          <w:pgMar w:top="1091" w:right="947" w:bottom="1156" w:left="1671" w:header="1077" w:footer="910" w:gutter="0"/>
          <w:pgNumType w:fmt="decimal"/>
          <w:cols w:space="720" w:num="1"/>
        </w:sectPr>
      </w:pPr>
    </w:p>
    <w:p w14:paraId="28CF0B0E">
      <w:pPr>
        <w:pStyle w:val="2"/>
        <w:spacing w:line="423" w:lineRule="auto"/>
        <w:outlineLvl w:val="9"/>
      </w:pPr>
    </w:p>
    <w:p w14:paraId="4546EE31">
      <w:pPr>
        <w:spacing w:before="98" w:line="225" w:lineRule="auto"/>
        <w:ind w:left="187"/>
        <w:outlineLvl w:val="9"/>
        <w:rPr>
          <w:rFonts w:ascii="宋体" w:hAnsi="宋体" w:eastAsia="宋体" w:cs="宋体"/>
          <w:sz w:val="30"/>
          <w:szCs w:val="30"/>
        </w:rPr>
      </w:pPr>
      <w:bookmarkStart w:id="21" w:name="_Toc25530_WPSOffice_Level1"/>
      <w:r>
        <w:rPr>
          <w:rFonts w:ascii="宋体" w:hAnsi="宋体" w:eastAsia="宋体" w:cs="宋体"/>
          <w:b/>
          <w:bCs/>
          <w:spacing w:val="-7"/>
          <w:sz w:val="30"/>
          <w:szCs w:val="30"/>
        </w:rPr>
        <w:t>附件六：</w:t>
      </w:r>
      <w:bookmarkEnd w:id="21"/>
    </w:p>
    <w:p w14:paraId="4DABA753">
      <w:pPr>
        <w:spacing w:before="205" w:line="268" w:lineRule="auto"/>
        <w:ind w:left="140" w:right="3664" w:firstLine="3543"/>
        <w:outlineLvl w:val="9"/>
        <w:rPr>
          <w:rFonts w:hint="eastAsia" w:ascii="宋体" w:hAnsi="宋体" w:eastAsia="宋体" w:cs="宋体"/>
          <w:sz w:val="24"/>
          <w:szCs w:val="24"/>
          <w:lang w:eastAsia="zh-CN"/>
        </w:rPr>
      </w:pPr>
      <w:r>
        <w:rPr>
          <w:rFonts w:ascii="宋体" w:hAnsi="宋体" w:eastAsia="宋体" w:cs="宋体"/>
          <w:spacing w:val="-3"/>
          <w:sz w:val="24"/>
          <w:szCs w:val="24"/>
        </w:rPr>
        <w:t>报价明细表</w:t>
      </w:r>
      <w:r>
        <w:rPr>
          <w:rFonts w:ascii="宋体" w:hAnsi="宋体" w:eastAsia="宋体" w:cs="宋体"/>
          <w:spacing w:val="-6"/>
          <w:sz w:val="24"/>
          <w:szCs w:val="24"/>
        </w:rPr>
        <w:t>项目名称：</w:t>
      </w:r>
    </w:p>
    <w:p w14:paraId="32473A35">
      <w:pPr>
        <w:spacing w:line="205" w:lineRule="auto"/>
        <w:ind w:left="140"/>
        <w:outlineLvl w:val="9"/>
        <w:rPr>
          <w:rFonts w:ascii="宋体" w:hAnsi="宋体" w:eastAsia="宋体" w:cs="宋体"/>
          <w:sz w:val="24"/>
          <w:szCs w:val="24"/>
        </w:rPr>
      </w:pPr>
      <w:r>
        <w:rPr>
          <w:rFonts w:ascii="宋体" w:hAnsi="宋体" w:eastAsia="宋体" w:cs="宋体"/>
          <w:sz w:val="24"/>
          <w:szCs w:val="24"/>
        </w:rPr>
        <w:t>项目编号：</w:t>
      </w:r>
      <w:r>
        <w:rPr>
          <w:rFonts w:ascii="宋体" w:hAnsi="宋体" w:eastAsia="宋体" w:cs="宋体"/>
          <w:spacing w:val="-1"/>
          <w:sz w:val="24"/>
          <w:szCs w:val="24"/>
        </w:rPr>
        <w:t>价格单位：元</w:t>
      </w:r>
    </w:p>
    <w:tbl>
      <w:tblPr>
        <w:tblStyle w:val="10"/>
        <w:tblW w:w="85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0"/>
        <w:gridCol w:w="1660"/>
        <w:gridCol w:w="2325"/>
        <w:gridCol w:w="2079"/>
        <w:gridCol w:w="648"/>
        <w:gridCol w:w="649"/>
        <w:gridCol w:w="787"/>
      </w:tblGrid>
      <w:tr w14:paraId="4C7F9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380" w:type="dxa"/>
            <w:vAlign w:val="top"/>
          </w:tcPr>
          <w:p w14:paraId="38DB7489">
            <w:pPr>
              <w:pStyle w:val="11"/>
              <w:spacing w:before="133" w:line="220" w:lineRule="auto"/>
              <w:ind w:left="92"/>
              <w:outlineLvl w:val="9"/>
            </w:pPr>
            <w:r>
              <w:t>项</w:t>
            </w:r>
          </w:p>
        </w:tc>
        <w:tc>
          <w:tcPr>
            <w:tcW w:w="1660" w:type="dxa"/>
            <w:vAlign w:val="top"/>
          </w:tcPr>
          <w:p w14:paraId="43BE8383">
            <w:pPr>
              <w:pStyle w:val="11"/>
              <w:spacing w:before="154" w:line="241" w:lineRule="auto"/>
              <w:ind w:left="817"/>
              <w:outlineLvl w:val="9"/>
            </w:pPr>
            <w:r>
              <w:t>1</w:t>
            </w:r>
          </w:p>
        </w:tc>
        <w:tc>
          <w:tcPr>
            <w:tcW w:w="2325" w:type="dxa"/>
            <w:vAlign w:val="top"/>
          </w:tcPr>
          <w:p w14:paraId="5B65174D">
            <w:pPr>
              <w:pStyle w:val="11"/>
              <w:spacing w:before="154" w:line="241" w:lineRule="auto"/>
              <w:ind w:left="1144"/>
              <w:outlineLvl w:val="9"/>
            </w:pPr>
            <w:r>
              <w:t>2</w:t>
            </w:r>
          </w:p>
        </w:tc>
        <w:tc>
          <w:tcPr>
            <w:tcW w:w="2079" w:type="dxa"/>
            <w:vAlign w:val="top"/>
          </w:tcPr>
          <w:p w14:paraId="76A85F92">
            <w:pPr>
              <w:pStyle w:val="11"/>
              <w:spacing w:before="154"/>
              <w:ind w:left="1024"/>
              <w:outlineLvl w:val="9"/>
            </w:pPr>
            <w:r>
              <w:t>3</w:t>
            </w:r>
          </w:p>
        </w:tc>
        <w:tc>
          <w:tcPr>
            <w:tcW w:w="2084" w:type="dxa"/>
            <w:gridSpan w:val="3"/>
            <w:vAlign w:val="top"/>
          </w:tcPr>
          <w:p w14:paraId="64EE58C0">
            <w:pPr>
              <w:pStyle w:val="11"/>
              <w:spacing w:before="154" w:line="241" w:lineRule="auto"/>
              <w:ind w:left="994"/>
              <w:outlineLvl w:val="9"/>
            </w:pPr>
            <w:r>
              <w:t>4</w:t>
            </w:r>
          </w:p>
        </w:tc>
      </w:tr>
      <w:tr w14:paraId="3E5FD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380" w:type="dxa"/>
            <w:vMerge w:val="restart"/>
            <w:tcBorders>
              <w:bottom w:val="nil"/>
            </w:tcBorders>
            <w:textDirection w:val="tbRlV"/>
            <w:vAlign w:val="top"/>
          </w:tcPr>
          <w:p w14:paraId="41BF4CAD">
            <w:pPr>
              <w:pStyle w:val="11"/>
              <w:spacing w:before="84" w:line="199" w:lineRule="auto"/>
              <w:ind w:left="352"/>
              <w:outlineLvl w:val="9"/>
            </w:pPr>
            <w:r>
              <w:t>序号</w:t>
            </w:r>
          </w:p>
        </w:tc>
        <w:tc>
          <w:tcPr>
            <w:tcW w:w="1660" w:type="dxa"/>
            <w:vMerge w:val="restart"/>
            <w:tcBorders>
              <w:bottom w:val="nil"/>
            </w:tcBorders>
            <w:vAlign w:val="top"/>
          </w:tcPr>
          <w:p w14:paraId="1630E00D">
            <w:pPr>
              <w:spacing w:line="260" w:lineRule="auto"/>
              <w:outlineLvl w:val="9"/>
              <w:rPr>
                <w:rFonts w:ascii="Arial"/>
                <w:sz w:val="21"/>
              </w:rPr>
            </w:pPr>
          </w:p>
          <w:p w14:paraId="481C1DBB">
            <w:pPr>
              <w:spacing w:line="261" w:lineRule="auto"/>
              <w:outlineLvl w:val="9"/>
              <w:rPr>
                <w:rFonts w:ascii="Arial"/>
                <w:sz w:val="21"/>
              </w:rPr>
            </w:pPr>
          </w:p>
          <w:p w14:paraId="2A9A6C78">
            <w:pPr>
              <w:pStyle w:val="11"/>
              <w:spacing w:before="78" w:line="219" w:lineRule="auto"/>
              <w:ind w:left="360"/>
              <w:outlineLvl w:val="9"/>
            </w:pPr>
            <w:r>
              <w:rPr>
                <w:spacing w:val="-5"/>
              </w:rPr>
              <w:t>产品名称</w:t>
            </w:r>
          </w:p>
        </w:tc>
        <w:tc>
          <w:tcPr>
            <w:tcW w:w="2325" w:type="dxa"/>
            <w:vMerge w:val="restart"/>
            <w:tcBorders>
              <w:bottom w:val="nil"/>
            </w:tcBorders>
            <w:vAlign w:val="top"/>
          </w:tcPr>
          <w:p w14:paraId="0D094C56">
            <w:pPr>
              <w:spacing w:line="260" w:lineRule="auto"/>
              <w:outlineLvl w:val="9"/>
              <w:rPr>
                <w:rFonts w:ascii="Arial"/>
                <w:sz w:val="21"/>
              </w:rPr>
            </w:pPr>
          </w:p>
          <w:p w14:paraId="7B007F5B">
            <w:pPr>
              <w:spacing w:line="261" w:lineRule="auto"/>
              <w:outlineLvl w:val="9"/>
              <w:rPr>
                <w:rFonts w:ascii="Arial"/>
                <w:sz w:val="21"/>
              </w:rPr>
            </w:pPr>
          </w:p>
          <w:p w14:paraId="49C65DC4">
            <w:pPr>
              <w:pStyle w:val="11"/>
              <w:spacing w:before="78" w:line="219" w:lineRule="auto"/>
              <w:ind w:left="458"/>
              <w:outlineLvl w:val="9"/>
            </w:pPr>
            <w:r>
              <w:rPr>
                <w:spacing w:val="-3"/>
              </w:rPr>
              <w:t>规格、型号等</w:t>
            </w:r>
          </w:p>
        </w:tc>
        <w:tc>
          <w:tcPr>
            <w:tcW w:w="2079" w:type="dxa"/>
            <w:vMerge w:val="restart"/>
            <w:tcBorders>
              <w:bottom w:val="nil"/>
            </w:tcBorders>
            <w:vAlign w:val="top"/>
          </w:tcPr>
          <w:p w14:paraId="3C545F42">
            <w:pPr>
              <w:spacing w:line="260" w:lineRule="auto"/>
              <w:outlineLvl w:val="9"/>
              <w:rPr>
                <w:rFonts w:ascii="Arial"/>
                <w:sz w:val="21"/>
              </w:rPr>
            </w:pPr>
          </w:p>
          <w:p w14:paraId="6960C591">
            <w:pPr>
              <w:spacing w:line="261" w:lineRule="auto"/>
              <w:outlineLvl w:val="9"/>
              <w:rPr>
                <w:rFonts w:ascii="Arial"/>
                <w:sz w:val="21"/>
              </w:rPr>
            </w:pPr>
          </w:p>
          <w:p w14:paraId="083DAAFC">
            <w:pPr>
              <w:pStyle w:val="11"/>
              <w:spacing w:before="78" w:line="219" w:lineRule="auto"/>
              <w:ind w:left="852"/>
              <w:outlineLvl w:val="9"/>
            </w:pPr>
            <w:r>
              <w:rPr>
                <w:spacing w:val="-15"/>
              </w:rPr>
              <w:t>品牌</w:t>
            </w:r>
          </w:p>
        </w:tc>
        <w:tc>
          <w:tcPr>
            <w:tcW w:w="2084" w:type="dxa"/>
            <w:gridSpan w:val="3"/>
            <w:vAlign w:val="top"/>
          </w:tcPr>
          <w:p w14:paraId="1382CA05">
            <w:pPr>
              <w:pStyle w:val="11"/>
              <w:spacing w:before="126" w:line="218" w:lineRule="auto"/>
              <w:ind w:left="818"/>
              <w:outlineLvl w:val="9"/>
            </w:pPr>
            <w:r>
              <w:rPr>
                <w:spacing w:val="-6"/>
              </w:rPr>
              <w:t>价格</w:t>
            </w:r>
          </w:p>
        </w:tc>
      </w:tr>
      <w:tr w14:paraId="64A4D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380" w:type="dxa"/>
            <w:vMerge w:val="continue"/>
            <w:tcBorders>
              <w:top w:val="nil"/>
            </w:tcBorders>
            <w:textDirection w:val="tbRlV"/>
            <w:vAlign w:val="top"/>
          </w:tcPr>
          <w:p w14:paraId="7FDA9AF3">
            <w:pPr>
              <w:outlineLvl w:val="9"/>
              <w:rPr>
                <w:rFonts w:ascii="Arial"/>
                <w:sz w:val="21"/>
              </w:rPr>
            </w:pPr>
          </w:p>
        </w:tc>
        <w:tc>
          <w:tcPr>
            <w:tcW w:w="1660" w:type="dxa"/>
            <w:vMerge w:val="continue"/>
            <w:tcBorders>
              <w:top w:val="nil"/>
            </w:tcBorders>
            <w:vAlign w:val="top"/>
          </w:tcPr>
          <w:p w14:paraId="012F1801">
            <w:pPr>
              <w:outlineLvl w:val="9"/>
              <w:rPr>
                <w:rFonts w:ascii="Arial"/>
                <w:sz w:val="21"/>
              </w:rPr>
            </w:pPr>
          </w:p>
        </w:tc>
        <w:tc>
          <w:tcPr>
            <w:tcW w:w="2325" w:type="dxa"/>
            <w:vMerge w:val="continue"/>
            <w:tcBorders>
              <w:top w:val="nil"/>
            </w:tcBorders>
            <w:vAlign w:val="top"/>
          </w:tcPr>
          <w:p w14:paraId="47F2AE01">
            <w:pPr>
              <w:outlineLvl w:val="9"/>
              <w:rPr>
                <w:rFonts w:ascii="Arial"/>
                <w:sz w:val="21"/>
              </w:rPr>
            </w:pPr>
          </w:p>
        </w:tc>
        <w:tc>
          <w:tcPr>
            <w:tcW w:w="2079" w:type="dxa"/>
            <w:vMerge w:val="continue"/>
            <w:tcBorders>
              <w:top w:val="nil"/>
            </w:tcBorders>
            <w:vAlign w:val="top"/>
          </w:tcPr>
          <w:p w14:paraId="7D9D41C6">
            <w:pPr>
              <w:outlineLvl w:val="9"/>
              <w:rPr>
                <w:rFonts w:ascii="Arial"/>
                <w:sz w:val="21"/>
              </w:rPr>
            </w:pPr>
          </w:p>
        </w:tc>
        <w:tc>
          <w:tcPr>
            <w:tcW w:w="648" w:type="dxa"/>
            <w:textDirection w:val="tbRlV"/>
            <w:vAlign w:val="top"/>
          </w:tcPr>
          <w:p w14:paraId="2EFB6CC4">
            <w:pPr>
              <w:pStyle w:val="11"/>
              <w:spacing w:before="205" w:line="198" w:lineRule="auto"/>
              <w:ind w:left="115"/>
              <w:outlineLvl w:val="9"/>
            </w:pPr>
            <w:r>
              <w:t>单价</w:t>
            </w:r>
          </w:p>
        </w:tc>
        <w:tc>
          <w:tcPr>
            <w:tcW w:w="649" w:type="dxa"/>
            <w:textDirection w:val="tbRlV"/>
            <w:vAlign w:val="top"/>
          </w:tcPr>
          <w:p w14:paraId="1002ECF4">
            <w:pPr>
              <w:pStyle w:val="11"/>
              <w:spacing w:before="207" w:line="201" w:lineRule="auto"/>
              <w:ind w:left="114"/>
              <w:outlineLvl w:val="9"/>
            </w:pPr>
            <w:r>
              <w:t>数量</w:t>
            </w:r>
          </w:p>
        </w:tc>
        <w:tc>
          <w:tcPr>
            <w:tcW w:w="787" w:type="dxa"/>
            <w:vAlign w:val="top"/>
          </w:tcPr>
          <w:p w14:paraId="6A1105C6">
            <w:pPr>
              <w:spacing w:line="281" w:lineRule="auto"/>
              <w:outlineLvl w:val="9"/>
              <w:rPr>
                <w:rFonts w:ascii="Arial"/>
                <w:sz w:val="21"/>
              </w:rPr>
            </w:pPr>
          </w:p>
          <w:p w14:paraId="40C0BCE9">
            <w:pPr>
              <w:pStyle w:val="11"/>
              <w:spacing w:before="78" w:line="221" w:lineRule="auto"/>
              <w:ind w:left="182"/>
              <w:outlineLvl w:val="9"/>
            </w:pPr>
            <w:r>
              <w:rPr>
                <w:spacing w:val="-8"/>
              </w:rPr>
              <w:t>小计</w:t>
            </w:r>
          </w:p>
        </w:tc>
      </w:tr>
      <w:tr w14:paraId="358A1B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0" w:type="dxa"/>
            <w:vAlign w:val="top"/>
          </w:tcPr>
          <w:p w14:paraId="3845B715">
            <w:pPr>
              <w:pStyle w:val="11"/>
              <w:spacing w:before="197" w:line="241" w:lineRule="auto"/>
              <w:ind w:left="180"/>
              <w:outlineLvl w:val="9"/>
            </w:pPr>
            <w:r>
              <w:t>1</w:t>
            </w:r>
          </w:p>
        </w:tc>
        <w:tc>
          <w:tcPr>
            <w:tcW w:w="1660" w:type="dxa"/>
            <w:vAlign w:val="top"/>
          </w:tcPr>
          <w:p w14:paraId="5E96EF0B">
            <w:pPr>
              <w:pStyle w:val="11"/>
              <w:spacing w:before="228" w:line="332" w:lineRule="exact"/>
              <w:ind w:left="752"/>
              <w:outlineLvl w:val="9"/>
            </w:pPr>
            <w:r>
              <w:rPr>
                <w:position w:val="1"/>
              </w:rPr>
              <w:t>…</w:t>
            </w:r>
          </w:p>
        </w:tc>
        <w:tc>
          <w:tcPr>
            <w:tcW w:w="2325" w:type="dxa"/>
            <w:vAlign w:val="top"/>
          </w:tcPr>
          <w:p w14:paraId="7A6CAB11">
            <w:pPr>
              <w:outlineLvl w:val="9"/>
              <w:rPr>
                <w:rFonts w:ascii="Arial"/>
                <w:sz w:val="21"/>
              </w:rPr>
            </w:pPr>
          </w:p>
        </w:tc>
        <w:tc>
          <w:tcPr>
            <w:tcW w:w="2079" w:type="dxa"/>
            <w:vAlign w:val="top"/>
          </w:tcPr>
          <w:p w14:paraId="47890077">
            <w:pPr>
              <w:outlineLvl w:val="9"/>
              <w:rPr>
                <w:rFonts w:ascii="Arial"/>
                <w:sz w:val="21"/>
              </w:rPr>
            </w:pPr>
          </w:p>
        </w:tc>
        <w:tc>
          <w:tcPr>
            <w:tcW w:w="648" w:type="dxa"/>
            <w:vAlign w:val="top"/>
          </w:tcPr>
          <w:p w14:paraId="033BEF96">
            <w:pPr>
              <w:outlineLvl w:val="9"/>
              <w:rPr>
                <w:rFonts w:ascii="Arial"/>
                <w:sz w:val="21"/>
              </w:rPr>
            </w:pPr>
          </w:p>
        </w:tc>
        <w:tc>
          <w:tcPr>
            <w:tcW w:w="649" w:type="dxa"/>
            <w:vAlign w:val="top"/>
          </w:tcPr>
          <w:p w14:paraId="14035024">
            <w:pPr>
              <w:outlineLvl w:val="9"/>
              <w:rPr>
                <w:rFonts w:ascii="Arial"/>
                <w:sz w:val="21"/>
              </w:rPr>
            </w:pPr>
          </w:p>
        </w:tc>
        <w:tc>
          <w:tcPr>
            <w:tcW w:w="787" w:type="dxa"/>
            <w:vAlign w:val="top"/>
          </w:tcPr>
          <w:p w14:paraId="6E7B43C9">
            <w:pPr>
              <w:outlineLvl w:val="9"/>
              <w:rPr>
                <w:rFonts w:ascii="Arial"/>
                <w:sz w:val="21"/>
              </w:rPr>
            </w:pPr>
          </w:p>
        </w:tc>
      </w:tr>
      <w:tr w14:paraId="7FA02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0" w:type="dxa"/>
            <w:vAlign w:val="top"/>
          </w:tcPr>
          <w:p w14:paraId="45A481B7">
            <w:pPr>
              <w:pStyle w:val="11"/>
              <w:spacing w:before="202" w:line="241" w:lineRule="auto"/>
              <w:ind w:left="148"/>
              <w:outlineLvl w:val="9"/>
            </w:pPr>
            <w:r>
              <w:t>2</w:t>
            </w:r>
          </w:p>
        </w:tc>
        <w:tc>
          <w:tcPr>
            <w:tcW w:w="1660" w:type="dxa"/>
            <w:vAlign w:val="top"/>
          </w:tcPr>
          <w:p w14:paraId="4D52959F">
            <w:pPr>
              <w:pStyle w:val="11"/>
              <w:spacing w:before="233" w:line="327" w:lineRule="exact"/>
              <w:ind w:left="752"/>
              <w:outlineLvl w:val="9"/>
            </w:pPr>
            <w:r>
              <w:rPr>
                <w:position w:val="1"/>
              </w:rPr>
              <w:t>…</w:t>
            </w:r>
          </w:p>
        </w:tc>
        <w:tc>
          <w:tcPr>
            <w:tcW w:w="2325" w:type="dxa"/>
            <w:vAlign w:val="top"/>
          </w:tcPr>
          <w:p w14:paraId="051ABA04">
            <w:pPr>
              <w:outlineLvl w:val="9"/>
              <w:rPr>
                <w:rFonts w:ascii="Arial"/>
                <w:sz w:val="21"/>
              </w:rPr>
            </w:pPr>
          </w:p>
        </w:tc>
        <w:tc>
          <w:tcPr>
            <w:tcW w:w="2079" w:type="dxa"/>
            <w:vAlign w:val="top"/>
          </w:tcPr>
          <w:p w14:paraId="3FDEDCF2">
            <w:pPr>
              <w:outlineLvl w:val="9"/>
              <w:rPr>
                <w:rFonts w:ascii="Arial"/>
                <w:sz w:val="21"/>
              </w:rPr>
            </w:pPr>
          </w:p>
        </w:tc>
        <w:tc>
          <w:tcPr>
            <w:tcW w:w="648" w:type="dxa"/>
            <w:vAlign w:val="top"/>
          </w:tcPr>
          <w:p w14:paraId="00DB77FB">
            <w:pPr>
              <w:outlineLvl w:val="9"/>
              <w:rPr>
                <w:rFonts w:ascii="Arial"/>
                <w:sz w:val="21"/>
              </w:rPr>
            </w:pPr>
          </w:p>
        </w:tc>
        <w:tc>
          <w:tcPr>
            <w:tcW w:w="649" w:type="dxa"/>
            <w:vAlign w:val="top"/>
          </w:tcPr>
          <w:p w14:paraId="6243AED5">
            <w:pPr>
              <w:outlineLvl w:val="9"/>
              <w:rPr>
                <w:rFonts w:ascii="Arial"/>
                <w:sz w:val="21"/>
              </w:rPr>
            </w:pPr>
          </w:p>
        </w:tc>
        <w:tc>
          <w:tcPr>
            <w:tcW w:w="787" w:type="dxa"/>
            <w:vAlign w:val="top"/>
          </w:tcPr>
          <w:p w14:paraId="595AA102">
            <w:pPr>
              <w:outlineLvl w:val="9"/>
              <w:rPr>
                <w:rFonts w:ascii="Arial"/>
                <w:sz w:val="21"/>
              </w:rPr>
            </w:pPr>
          </w:p>
        </w:tc>
      </w:tr>
      <w:tr w14:paraId="4D843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0" w:type="dxa"/>
            <w:vAlign w:val="top"/>
          </w:tcPr>
          <w:p w14:paraId="4902D5F1">
            <w:pPr>
              <w:pStyle w:val="11"/>
              <w:spacing w:before="199"/>
              <w:ind w:left="152"/>
              <w:outlineLvl w:val="9"/>
            </w:pPr>
            <w:r>
              <w:t>3</w:t>
            </w:r>
          </w:p>
        </w:tc>
        <w:tc>
          <w:tcPr>
            <w:tcW w:w="1660" w:type="dxa"/>
            <w:vAlign w:val="top"/>
          </w:tcPr>
          <w:p w14:paraId="75F2C518">
            <w:pPr>
              <w:pStyle w:val="11"/>
              <w:spacing w:before="233" w:line="327" w:lineRule="exact"/>
              <w:ind w:left="752"/>
              <w:outlineLvl w:val="9"/>
            </w:pPr>
            <w:r>
              <w:rPr>
                <w:position w:val="1"/>
              </w:rPr>
              <w:t>…</w:t>
            </w:r>
          </w:p>
        </w:tc>
        <w:tc>
          <w:tcPr>
            <w:tcW w:w="2325" w:type="dxa"/>
            <w:vAlign w:val="top"/>
          </w:tcPr>
          <w:p w14:paraId="032B023F">
            <w:pPr>
              <w:outlineLvl w:val="9"/>
              <w:rPr>
                <w:rFonts w:ascii="Arial"/>
                <w:sz w:val="21"/>
              </w:rPr>
            </w:pPr>
          </w:p>
        </w:tc>
        <w:tc>
          <w:tcPr>
            <w:tcW w:w="2079" w:type="dxa"/>
            <w:vAlign w:val="top"/>
          </w:tcPr>
          <w:p w14:paraId="65AEB15B">
            <w:pPr>
              <w:outlineLvl w:val="9"/>
              <w:rPr>
                <w:rFonts w:ascii="Arial"/>
                <w:sz w:val="21"/>
              </w:rPr>
            </w:pPr>
          </w:p>
        </w:tc>
        <w:tc>
          <w:tcPr>
            <w:tcW w:w="648" w:type="dxa"/>
            <w:vAlign w:val="top"/>
          </w:tcPr>
          <w:p w14:paraId="64B80C12">
            <w:pPr>
              <w:outlineLvl w:val="9"/>
              <w:rPr>
                <w:rFonts w:ascii="Arial"/>
                <w:sz w:val="21"/>
              </w:rPr>
            </w:pPr>
          </w:p>
        </w:tc>
        <w:tc>
          <w:tcPr>
            <w:tcW w:w="649" w:type="dxa"/>
            <w:vAlign w:val="top"/>
          </w:tcPr>
          <w:p w14:paraId="4BEA6E1A">
            <w:pPr>
              <w:outlineLvl w:val="9"/>
              <w:rPr>
                <w:rFonts w:ascii="Arial"/>
                <w:sz w:val="21"/>
              </w:rPr>
            </w:pPr>
          </w:p>
        </w:tc>
        <w:tc>
          <w:tcPr>
            <w:tcW w:w="787" w:type="dxa"/>
            <w:vAlign w:val="top"/>
          </w:tcPr>
          <w:p w14:paraId="2AAC8DFF">
            <w:pPr>
              <w:outlineLvl w:val="9"/>
              <w:rPr>
                <w:rFonts w:ascii="Arial"/>
                <w:sz w:val="21"/>
              </w:rPr>
            </w:pPr>
          </w:p>
        </w:tc>
      </w:tr>
      <w:tr w14:paraId="3FB31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380" w:type="dxa"/>
            <w:vAlign w:val="top"/>
          </w:tcPr>
          <w:p w14:paraId="1D3314B9">
            <w:pPr>
              <w:pStyle w:val="11"/>
              <w:spacing w:before="204" w:line="241" w:lineRule="auto"/>
              <w:ind w:left="142"/>
              <w:outlineLvl w:val="9"/>
            </w:pPr>
            <w:r>
              <w:t>4</w:t>
            </w:r>
          </w:p>
        </w:tc>
        <w:tc>
          <w:tcPr>
            <w:tcW w:w="1660" w:type="dxa"/>
            <w:vAlign w:val="top"/>
          </w:tcPr>
          <w:p w14:paraId="46044D4F">
            <w:pPr>
              <w:pStyle w:val="11"/>
              <w:spacing w:before="233" w:line="329" w:lineRule="exact"/>
              <w:ind w:left="752"/>
              <w:outlineLvl w:val="9"/>
            </w:pPr>
            <w:r>
              <w:rPr>
                <w:position w:val="1"/>
              </w:rPr>
              <w:t>…</w:t>
            </w:r>
          </w:p>
        </w:tc>
        <w:tc>
          <w:tcPr>
            <w:tcW w:w="2325" w:type="dxa"/>
            <w:vAlign w:val="top"/>
          </w:tcPr>
          <w:p w14:paraId="37ACC6D7">
            <w:pPr>
              <w:outlineLvl w:val="9"/>
              <w:rPr>
                <w:rFonts w:ascii="Arial"/>
                <w:sz w:val="21"/>
              </w:rPr>
            </w:pPr>
          </w:p>
        </w:tc>
        <w:tc>
          <w:tcPr>
            <w:tcW w:w="2079" w:type="dxa"/>
            <w:vAlign w:val="top"/>
          </w:tcPr>
          <w:p w14:paraId="36B7E185">
            <w:pPr>
              <w:outlineLvl w:val="9"/>
              <w:rPr>
                <w:rFonts w:ascii="Arial"/>
                <w:sz w:val="21"/>
              </w:rPr>
            </w:pPr>
          </w:p>
        </w:tc>
        <w:tc>
          <w:tcPr>
            <w:tcW w:w="648" w:type="dxa"/>
            <w:vAlign w:val="top"/>
          </w:tcPr>
          <w:p w14:paraId="418DC89B">
            <w:pPr>
              <w:outlineLvl w:val="9"/>
              <w:rPr>
                <w:rFonts w:ascii="Arial"/>
                <w:sz w:val="21"/>
              </w:rPr>
            </w:pPr>
          </w:p>
        </w:tc>
        <w:tc>
          <w:tcPr>
            <w:tcW w:w="649" w:type="dxa"/>
            <w:vAlign w:val="top"/>
          </w:tcPr>
          <w:p w14:paraId="23DCB899">
            <w:pPr>
              <w:outlineLvl w:val="9"/>
              <w:rPr>
                <w:rFonts w:ascii="Arial"/>
                <w:sz w:val="21"/>
              </w:rPr>
            </w:pPr>
          </w:p>
        </w:tc>
        <w:tc>
          <w:tcPr>
            <w:tcW w:w="787" w:type="dxa"/>
            <w:vAlign w:val="top"/>
          </w:tcPr>
          <w:p w14:paraId="2E482E21">
            <w:pPr>
              <w:outlineLvl w:val="9"/>
              <w:rPr>
                <w:rFonts w:ascii="Arial"/>
                <w:sz w:val="21"/>
              </w:rPr>
            </w:pPr>
          </w:p>
        </w:tc>
      </w:tr>
      <w:tr w14:paraId="08B00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0" w:type="dxa"/>
            <w:vAlign w:val="top"/>
          </w:tcPr>
          <w:p w14:paraId="0797E3DE">
            <w:pPr>
              <w:pStyle w:val="11"/>
              <w:spacing w:before="203"/>
              <w:ind w:left="152"/>
              <w:outlineLvl w:val="9"/>
            </w:pPr>
            <w:r>
              <w:t>5</w:t>
            </w:r>
          </w:p>
        </w:tc>
        <w:tc>
          <w:tcPr>
            <w:tcW w:w="1660" w:type="dxa"/>
            <w:vAlign w:val="top"/>
          </w:tcPr>
          <w:p w14:paraId="509141C9">
            <w:pPr>
              <w:pStyle w:val="11"/>
              <w:spacing w:before="232" w:line="328" w:lineRule="exact"/>
              <w:ind w:left="752"/>
              <w:outlineLvl w:val="9"/>
            </w:pPr>
            <w:r>
              <w:rPr>
                <w:position w:val="1"/>
              </w:rPr>
              <w:t>…</w:t>
            </w:r>
          </w:p>
        </w:tc>
        <w:tc>
          <w:tcPr>
            <w:tcW w:w="2325" w:type="dxa"/>
            <w:vAlign w:val="top"/>
          </w:tcPr>
          <w:p w14:paraId="1813567E">
            <w:pPr>
              <w:outlineLvl w:val="9"/>
              <w:rPr>
                <w:rFonts w:ascii="Arial"/>
                <w:sz w:val="21"/>
              </w:rPr>
            </w:pPr>
          </w:p>
        </w:tc>
        <w:tc>
          <w:tcPr>
            <w:tcW w:w="2079" w:type="dxa"/>
            <w:vAlign w:val="top"/>
          </w:tcPr>
          <w:p w14:paraId="58152F5D">
            <w:pPr>
              <w:outlineLvl w:val="9"/>
              <w:rPr>
                <w:rFonts w:ascii="Arial"/>
                <w:sz w:val="21"/>
              </w:rPr>
            </w:pPr>
          </w:p>
        </w:tc>
        <w:tc>
          <w:tcPr>
            <w:tcW w:w="648" w:type="dxa"/>
            <w:vAlign w:val="top"/>
          </w:tcPr>
          <w:p w14:paraId="759BBFF2">
            <w:pPr>
              <w:outlineLvl w:val="9"/>
              <w:rPr>
                <w:rFonts w:ascii="Arial"/>
                <w:sz w:val="21"/>
              </w:rPr>
            </w:pPr>
          </w:p>
        </w:tc>
        <w:tc>
          <w:tcPr>
            <w:tcW w:w="649" w:type="dxa"/>
            <w:vAlign w:val="top"/>
          </w:tcPr>
          <w:p w14:paraId="404ED5AD">
            <w:pPr>
              <w:outlineLvl w:val="9"/>
              <w:rPr>
                <w:rFonts w:ascii="Arial"/>
                <w:sz w:val="21"/>
              </w:rPr>
            </w:pPr>
          </w:p>
        </w:tc>
        <w:tc>
          <w:tcPr>
            <w:tcW w:w="787" w:type="dxa"/>
            <w:vAlign w:val="top"/>
          </w:tcPr>
          <w:p w14:paraId="225B01BE">
            <w:pPr>
              <w:outlineLvl w:val="9"/>
              <w:rPr>
                <w:rFonts w:ascii="Arial"/>
                <w:sz w:val="21"/>
              </w:rPr>
            </w:pPr>
          </w:p>
        </w:tc>
      </w:tr>
      <w:tr w14:paraId="42F1E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380" w:type="dxa"/>
            <w:vAlign w:val="top"/>
          </w:tcPr>
          <w:p w14:paraId="0185120F">
            <w:pPr>
              <w:outlineLvl w:val="9"/>
              <w:rPr>
                <w:rFonts w:ascii="Arial"/>
                <w:sz w:val="21"/>
              </w:rPr>
            </w:pPr>
          </w:p>
        </w:tc>
        <w:tc>
          <w:tcPr>
            <w:tcW w:w="1660" w:type="dxa"/>
            <w:vAlign w:val="top"/>
          </w:tcPr>
          <w:p w14:paraId="79CD3F14">
            <w:pPr>
              <w:outlineLvl w:val="9"/>
              <w:rPr>
                <w:rFonts w:ascii="Arial"/>
                <w:sz w:val="21"/>
              </w:rPr>
            </w:pPr>
          </w:p>
        </w:tc>
        <w:tc>
          <w:tcPr>
            <w:tcW w:w="2325" w:type="dxa"/>
            <w:vAlign w:val="top"/>
          </w:tcPr>
          <w:p w14:paraId="402AD60F">
            <w:pPr>
              <w:outlineLvl w:val="9"/>
              <w:rPr>
                <w:rFonts w:ascii="Arial"/>
                <w:sz w:val="21"/>
              </w:rPr>
            </w:pPr>
          </w:p>
        </w:tc>
        <w:tc>
          <w:tcPr>
            <w:tcW w:w="2079" w:type="dxa"/>
            <w:vAlign w:val="top"/>
          </w:tcPr>
          <w:p w14:paraId="25E0B001">
            <w:pPr>
              <w:outlineLvl w:val="9"/>
              <w:rPr>
                <w:rFonts w:ascii="Arial"/>
                <w:sz w:val="21"/>
              </w:rPr>
            </w:pPr>
          </w:p>
        </w:tc>
        <w:tc>
          <w:tcPr>
            <w:tcW w:w="648" w:type="dxa"/>
            <w:vAlign w:val="top"/>
          </w:tcPr>
          <w:p w14:paraId="2F793F44">
            <w:pPr>
              <w:outlineLvl w:val="9"/>
              <w:rPr>
                <w:rFonts w:ascii="Arial"/>
                <w:sz w:val="21"/>
              </w:rPr>
            </w:pPr>
          </w:p>
        </w:tc>
        <w:tc>
          <w:tcPr>
            <w:tcW w:w="649" w:type="dxa"/>
            <w:vAlign w:val="top"/>
          </w:tcPr>
          <w:p w14:paraId="165FD6C9">
            <w:pPr>
              <w:outlineLvl w:val="9"/>
              <w:rPr>
                <w:rFonts w:ascii="Arial"/>
                <w:sz w:val="21"/>
              </w:rPr>
            </w:pPr>
          </w:p>
        </w:tc>
        <w:tc>
          <w:tcPr>
            <w:tcW w:w="787" w:type="dxa"/>
            <w:vAlign w:val="top"/>
          </w:tcPr>
          <w:p w14:paraId="65BDA889">
            <w:pPr>
              <w:outlineLvl w:val="9"/>
              <w:rPr>
                <w:rFonts w:ascii="Arial"/>
                <w:sz w:val="21"/>
              </w:rPr>
            </w:pPr>
          </w:p>
        </w:tc>
      </w:tr>
      <w:tr w14:paraId="12F2E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0" w:type="dxa"/>
            <w:vAlign w:val="top"/>
          </w:tcPr>
          <w:p w14:paraId="3DAC94AD">
            <w:pPr>
              <w:outlineLvl w:val="9"/>
              <w:rPr>
                <w:rFonts w:ascii="Arial"/>
                <w:sz w:val="21"/>
              </w:rPr>
            </w:pPr>
          </w:p>
        </w:tc>
        <w:tc>
          <w:tcPr>
            <w:tcW w:w="1660" w:type="dxa"/>
            <w:vAlign w:val="top"/>
          </w:tcPr>
          <w:p w14:paraId="58F33471">
            <w:pPr>
              <w:outlineLvl w:val="9"/>
              <w:rPr>
                <w:rFonts w:ascii="Arial"/>
                <w:sz w:val="21"/>
              </w:rPr>
            </w:pPr>
          </w:p>
        </w:tc>
        <w:tc>
          <w:tcPr>
            <w:tcW w:w="2325" w:type="dxa"/>
            <w:vAlign w:val="top"/>
          </w:tcPr>
          <w:p w14:paraId="044638FF">
            <w:pPr>
              <w:outlineLvl w:val="9"/>
              <w:rPr>
                <w:rFonts w:ascii="Arial"/>
                <w:sz w:val="21"/>
              </w:rPr>
            </w:pPr>
          </w:p>
        </w:tc>
        <w:tc>
          <w:tcPr>
            <w:tcW w:w="2079" w:type="dxa"/>
            <w:vAlign w:val="top"/>
          </w:tcPr>
          <w:p w14:paraId="65D2D8D1">
            <w:pPr>
              <w:outlineLvl w:val="9"/>
              <w:rPr>
                <w:rFonts w:ascii="Arial"/>
                <w:sz w:val="21"/>
              </w:rPr>
            </w:pPr>
          </w:p>
        </w:tc>
        <w:tc>
          <w:tcPr>
            <w:tcW w:w="648" w:type="dxa"/>
            <w:vAlign w:val="top"/>
          </w:tcPr>
          <w:p w14:paraId="7AD8286D">
            <w:pPr>
              <w:outlineLvl w:val="9"/>
              <w:rPr>
                <w:rFonts w:ascii="Arial"/>
                <w:sz w:val="21"/>
              </w:rPr>
            </w:pPr>
          </w:p>
        </w:tc>
        <w:tc>
          <w:tcPr>
            <w:tcW w:w="649" w:type="dxa"/>
            <w:vAlign w:val="top"/>
          </w:tcPr>
          <w:p w14:paraId="7BDD2928">
            <w:pPr>
              <w:outlineLvl w:val="9"/>
              <w:rPr>
                <w:rFonts w:ascii="Arial"/>
                <w:sz w:val="21"/>
              </w:rPr>
            </w:pPr>
          </w:p>
        </w:tc>
        <w:tc>
          <w:tcPr>
            <w:tcW w:w="787" w:type="dxa"/>
            <w:vAlign w:val="top"/>
          </w:tcPr>
          <w:p w14:paraId="58282B73">
            <w:pPr>
              <w:outlineLvl w:val="9"/>
              <w:rPr>
                <w:rFonts w:ascii="Arial"/>
                <w:sz w:val="21"/>
              </w:rPr>
            </w:pPr>
          </w:p>
        </w:tc>
      </w:tr>
      <w:tr w14:paraId="60C8E4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380" w:type="dxa"/>
            <w:vAlign w:val="top"/>
          </w:tcPr>
          <w:p w14:paraId="0A6ACA4F">
            <w:pPr>
              <w:outlineLvl w:val="9"/>
              <w:rPr>
                <w:rFonts w:ascii="Arial"/>
                <w:sz w:val="21"/>
              </w:rPr>
            </w:pPr>
          </w:p>
        </w:tc>
        <w:tc>
          <w:tcPr>
            <w:tcW w:w="1660" w:type="dxa"/>
            <w:vAlign w:val="top"/>
          </w:tcPr>
          <w:p w14:paraId="7A455217">
            <w:pPr>
              <w:outlineLvl w:val="9"/>
              <w:rPr>
                <w:rFonts w:ascii="Arial"/>
                <w:sz w:val="21"/>
              </w:rPr>
            </w:pPr>
          </w:p>
        </w:tc>
        <w:tc>
          <w:tcPr>
            <w:tcW w:w="2325" w:type="dxa"/>
            <w:vAlign w:val="top"/>
          </w:tcPr>
          <w:p w14:paraId="71CC39E9">
            <w:pPr>
              <w:outlineLvl w:val="9"/>
              <w:rPr>
                <w:rFonts w:ascii="Arial"/>
                <w:sz w:val="21"/>
              </w:rPr>
            </w:pPr>
          </w:p>
        </w:tc>
        <w:tc>
          <w:tcPr>
            <w:tcW w:w="2079" w:type="dxa"/>
            <w:vAlign w:val="top"/>
          </w:tcPr>
          <w:p w14:paraId="77A5C923">
            <w:pPr>
              <w:outlineLvl w:val="9"/>
              <w:rPr>
                <w:rFonts w:ascii="Arial"/>
                <w:sz w:val="21"/>
              </w:rPr>
            </w:pPr>
          </w:p>
        </w:tc>
        <w:tc>
          <w:tcPr>
            <w:tcW w:w="648" w:type="dxa"/>
            <w:vAlign w:val="top"/>
          </w:tcPr>
          <w:p w14:paraId="275393F9">
            <w:pPr>
              <w:outlineLvl w:val="9"/>
              <w:rPr>
                <w:rFonts w:ascii="Arial"/>
                <w:sz w:val="21"/>
              </w:rPr>
            </w:pPr>
          </w:p>
        </w:tc>
        <w:tc>
          <w:tcPr>
            <w:tcW w:w="649" w:type="dxa"/>
            <w:vAlign w:val="top"/>
          </w:tcPr>
          <w:p w14:paraId="45D7DC93">
            <w:pPr>
              <w:outlineLvl w:val="9"/>
              <w:rPr>
                <w:rFonts w:ascii="Arial"/>
                <w:sz w:val="21"/>
              </w:rPr>
            </w:pPr>
          </w:p>
        </w:tc>
        <w:tc>
          <w:tcPr>
            <w:tcW w:w="787" w:type="dxa"/>
            <w:vAlign w:val="top"/>
          </w:tcPr>
          <w:p w14:paraId="4F2D8169">
            <w:pPr>
              <w:outlineLvl w:val="9"/>
              <w:rPr>
                <w:rFonts w:ascii="Arial"/>
                <w:sz w:val="21"/>
              </w:rPr>
            </w:pPr>
          </w:p>
        </w:tc>
      </w:tr>
      <w:tr w14:paraId="33C88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380" w:type="dxa"/>
            <w:vAlign w:val="top"/>
          </w:tcPr>
          <w:p w14:paraId="3AEDC8F5">
            <w:pPr>
              <w:outlineLvl w:val="9"/>
              <w:rPr>
                <w:rFonts w:ascii="Arial"/>
                <w:sz w:val="21"/>
              </w:rPr>
            </w:pPr>
          </w:p>
        </w:tc>
        <w:tc>
          <w:tcPr>
            <w:tcW w:w="1660" w:type="dxa"/>
            <w:vAlign w:val="top"/>
          </w:tcPr>
          <w:p w14:paraId="5223CCFD">
            <w:pPr>
              <w:outlineLvl w:val="9"/>
              <w:rPr>
                <w:rFonts w:ascii="Arial"/>
                <w:sz w:val="21"/>
              </w:rPr>
            </w:pPr>
          </w:p>
        </w:tc>
        <w:tc>
          <w:tcPr>
            <w:tcW w:w="2325" w:type="dxa"/>
            <w:vAlign w:val="top"/>
          </w:tcPr>
          <w:p w14:paraId="319F2CC5">
            <w:pPr>
              <w:outlineLvl w:val="9"/>
              <w:rPr>
                <w:rFonts w:ascii="Arial"/>
                <w:sz w:val="21"/>
              </w:rPr>
            </w:pPr>
          </w:p>
        </w:tc>
        <w:tc>
          <w:tcPr>
            <w:tcW w:w="2079" w:type="dxa"/>
            <w:vAlign w:val="top"/>
          </w:tcPr>
          <w:p w14:paraId="35904D7F">
            <w:pPr>
              <w:outlineLvl w:val="9"/>
              <w:rPr>
                <w:rFonts w:ascii="Arial"/>
                <w:sz w:val="21"/>
              </w:rPr>
            </w:pPr>
          </w:p>
        </w:tc>
        <w:tc>
          <w:tcPr>
            <w:tcW w:w="648" w:type="dxa"/>
            <w:vAlign w:val="top"/>
          </w:tcPr>
          <w:p w14:paraId="0CC0AD59">
            <w:pPr>
              <w:outlineLvl w:val="9"/>
              <w:rPr>
                <w:rFonts w:ascii="Arial"/>
                <w:sz w:val="21"/>
              </w:rPr>
            </w:pPr>
          </w:p>
        </w:tc>
        <w:tc>
          <w:tcPr>
            <w:tcW w:w="649" w:type="dxa"/>
            <w:vAlign w:val="top"/>
          </w:tcPr>
          <w:p w14:paraId="59D4BDFE">
            <w:pPr>
              <w:outlineLvl w:val="9"/>
              <w:rPr>
                <w:rFonts w:ascii="Arial"/>
                <w:sz w:val="21"/>
              </w:rPr>
            </w:pPr>
          </w:p>
        </w:tc>
        <w:tc>
          <w:tcPr>
            <w:tcW w:w="787" w:type="dxa"/>
            <w:vAlign w:val="top"/>
          </w:tcPr>
          <w:p w14:paraId="31E9560D">
            <w:pPr>
              <w:outlineLvl w:val="9"/>
              <w:rPr>
                <w:rFonts w:ascii="Arial"/>
                <w:sz w:val="21"/>
              </w:rPr>
            </w:pPr>
          </w:p>
        </w:tc>
      </w:tr>
      <w:tr w14:paraId="6C23F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0" w:type="dxa"/>
            <w:vAlign w:val="top"/>
          </w:tcPr>
          <w:p w14:paraId="2318DB1D">
            <w:pPr>
              <w:outlineLvl w:val="9"/>
              <w:rPr>
                <w:rFonts w:ascii="Arial"/>
                <w:sz w:val="21"/>
              </w:rPr>
            </w:pPr>
          </w:p>
        </w:tc>
        <w:tc>
          <w:tcPr>
            <w:tcW w:w="1660" w:type="dxa"/>
            <w:vAlign w:val="top"/>
          </w:tcPr>
          <w:p w14:paraId="1D895BA4">
            <w:pPr>
              <w:outlineLvl w:val="9"/>
              <w:rPr>
                <w:rFonts w:ascii="Arial"/>
                <w:sz w:val="21"/>
              </w:rPr>
            </w:pPr>
          </w:p>
        </w:tc>
        <w:tc>
          <w:tcPr>
            <w:tcW w:w="2325" w:type="dxa"/>
            <w:vAlign w:val="top"/>
          </w:tcPr>
          <w:p w14:paraId="1B1EA897">
            <w:pPr>
              <w:outlineLvl w:val="9"/>
              <w:rPr>
                <w:rFonts w:ascii="Arial"/>
                <w:sz w:val="21"/>
              </w:rPr>
            </w:pPr>
          </w:p>
        </w:tc>
        <w:tc>
          <w:tcPr>
            <w:tcW w:w="2079" w:type="dxa"/>
            <w:vAlign w:val="top"/>
          </w:tcPr>
          <w:p w14:paraId="359C34CE">
            <w:pPr>
              <w:outlineLvl w:val="9"/>
              <w:rPr>
                <w:rFonts w:ascii="Arial"/>
                <w:sz w:val="21"/>
              </w:rPr>
            </w:pPr>
          </w:p>
        </w:tc>
        <w:tc>
          <w:tcPr>
            <w:tcW w:w="648" w:type="dxa"/>
            <w:vAlign w:val="top"/>
          </w:tcPr>
          <w:p w14:paraId="5F879ECC">
            <w:pPr>
              <w:outlineLvl w:val="9"/>
              <w:rPr>
                <w:rFonts w:ascii="Arial"/>
                <w:sz w:val="21"/>
              </w:rPr>
            </w:pPr>
          </w:p>
        </w:tc>
        <w:tc>
          <w:tcPr>
            <w:tcW w:w="649" w:type="dxa"/>
            <w:vAlign w:val="top"/>
          </w:tcPr>
          <w:p w14:paraId="5C13D505">
            <w:pPr>
              <w:outlineLvl w:val="9"/>
              <w:rPr>
                <w:rFonts w:ascii="Arial"/>
                <w:sz w:val="21"/>
              </w:rPr>
            </w:pPr>
          </w:p>
        </w:tc>
        <w:tc>
          <w:tcPr>
            <w:tcW w:w="787" w:type="dxa"/>
            <w:vAlign w:val="top"/>
          </w:tcPr>
          <w:p w14:paraId="38C8E98D">
            <w:pPr>
              <w:outlineLvl w:val="9"/>
              <w:rPr>
                <w:rFonts w:ascii="Arial"/>
                <w:sz w:val="21"/>
              </w:rPr>
            </w:pPr>
          </w:p>
        </w:tc>
      </w:tr>
      <w:tr w14:paraId="36DBA0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380" w:type="dxa"/>
            <w:vAlign w:val="top"/>
          </w:tcPr>
          <w:p w14:paraId="7B51D2F3">
            <w:pPr>
              <w:outlineLvl w:val="9"/>
              <w:rPr>
                <w:rFonts w:ascii="Arial"/>
                <w:sz w:val="21"/>
              </w:rPr>
            </w:pPr>
          </w:p>
        </w:tc>
        <w:tc>
          <w:tcPr>
            <w:tcW w:w="1660" w:type="dxa"/>
            <w:vAlign w:val="top"/>
          </w:tcPr>
          <w:p w14:paraId="59E7E7A0">
            <w:pPr>
              <w:outlineLvl w:val="9"/>
              <w:rPr>
                <w:rFonts w:ascii="Arial"/>
                <w:sz w:val="21"/>
              </w:rPr>
            </w:pPr>
          </w:p>
        </w:tc>
        <w:tc>
          <w:tcPr>
            <w:tcW w:w="2325" w:type="dxa"/>
            <w:vAlign w:val="top"/>
          </w:tcPr>
          <w:p w14:paraId="4FC32409">
            <w:pPr>
              <w:outlineLvl w:val="9"/>
              <w:rPr>
                <w:rFonts w:ascii="Arial"/>
                <w:sz w:val="21"/>
              </w:rPr>
            </w:pPr>
          </w:p>
        </w:tc>
        <w:tc>
          <w:tcPr>
            <w:tcW w:w="2079" w:type="dxa"/>
            <w:vAlign w:val="top"/>
          </w:tcPr>
          <w:p w14:paraId="470D61E0">
            <w:pPr>
              <w:outlineLvl w:val="9"/>
              <w:rPr>
                <w:rFonts w:ascii="Arial"/>
                <w:sz w:val="21"/>
              </w:rPr>
            </w:pPr>
          </w:p>
        </w:tc>
        <w:tc>
          <w:tcPr>
            <w:tcW w:w="648" w:type="dxa"/>
            <w:vAlign w:val="top"/>
          </w:tcPr>
          <w:p w14:paraId="3B266C9F">
            <w:pPr>
              <w:outlineLvl w:val="9"/>
              <w:rPr>
                <w:rFonts w:ascii="Arial"/>
                <w:sz w:val="21"/>
              </w:rPr>
            </w:pPr>
          </w:p>
        </w:tc>
        <w:tc>
          <w:tcPr>
            <w:tcW w:w="649" w:type="dxa"/>
            <w:vAlign w:val="top"/>
          </w:tcPr>
          <w:p w14:paraId="2CB94D9F">
            <w:pPr>
              <w:outlineLvl w:val="9"/>
              <w:rPr>
                <w:rFonts w:ascii="Arial"/>
                <w:sz w:val="21"/>
              </w:rPr>
            </w:pPr>
          </w:p>
        </w:tc>
        <w:tc>
          <w:tcPr>
            <w:tcW w:w="787" w:type="dxa"/>
            <w:vAlign w:val="top"/>
          </w:tcPr>
          <w:p w14:paraId="6FAA3814">
            <w:pPr>
              <w:outlineLvl w:val="9"/>
              <w:rPr>
                <w:rFonts w:ascii="Arial"/>
                <w:sz w:val="21"/>
              </w:rPr>
            </w:pPr>
          </w:p>
        </w:tc>
      </w:tr>
      <w:tr w14:paraId="0F30B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80" w:type="dxa"/>
            <w:vAlign w:val="top"/>
          </w:tcPr>
          <w:p w14:paraId="7EB1978C">
            <w:pPr>
              <w:outlineLvl w:val="9"/>
              <w:rPr>
                <w:rFonts w:ascii="Arial"/>
                <w:sz w:val="21"/>
              </w:rPr>
            </w:pPr>
          </w:p>
        </w:tc>
        <w:tc>
          <w:tcPr>
            <w:tcW w:w="1660" w:type="dxa"/>
            <w:vAlign w:val="top"/>
          </w:tcPr>
          <w:p w14:paraId="53E0D909">
            <w:pPr>
              <w:outlineLvl w:val="9"/>
              <w:rPr>
                <w:rFonts w:ascii="Arial"/>
                <w:sz w:val="21"/>
              </w:rPr>
            </w:pPr>
          </w:p>
        </w:tc>
        <w:tc>
          <w:tcPr>
            <w:tcW w:w="2325" w:type="dxa"/>
            <w:vAlign w:val="top"/>
          </w:tcPr>
          <w:p w14:paraId="1851D803">
            <w:pPr>
              <w:outlineLvl w:val="9"/>
              <w:rPr>
                <w:rFonts w:ascii="Arial"/>
                <w:sz w:val="21"/>
              </w:rPr>
            </w:pPr>
          </w:p>
        </w:tc>
        <w:tc>
          <w:tcPr>
            <w:tcW w:w="2079" w:type="dxa"/>
            <w:vAlign w:val="top"/>
          </w:tcPr>
          <w:p w14:paraId="315E74CC">
            <w:pPr>
              <w:outlineLvl w:val="9"/>
              <w:rPr>
                <w:rFonts w:ascii="Arial"/>
                <w:sz w:val="21"/>
              </w:rPr>
            </w:pPr>
          </w:p>
        </w:tc>
        <w:tc>
          <w:tcPr>
            <w:tcW w:w="648" w:type="dxa"/>
            <w:vAlign w:val="top"/>
          </w:tcPr>
          <w:p w14:paraId="25B8F215">
            <w:pPr>
              <w:outlineLvl w:val="9"/>
              <w:rPr>
                <w:rFonts w:ascii="Arial"/>
                <w:sz w:val="21"/>
              </w:rPr>
            </w:pPr>
          </w:p>
        </w:tc>
        <w:tc>
          <w:tcPr>
            <w:tcW w:w="649" w:type="dxa"/>
            <w:vAlign w:val="top"/>
          </w:tcPr>
          <w:p w14:paraId="617DFFA1">
            <w:pPr>
              <w:outlineLvl w:val="9"/>
              <w:rPr>
                <w:rFonts w:ascii="Arial"/>
                <w:sz w:val="21"/>
              </w:rPr>
            </w:pPr>
          </w:p>
        </w:tc>
        <w:tc>
          <w:tcPr>
            <w:tcW w:w="787" w:type="dxa"/>
            <w:vAlign w:val="top"/>
          </w:tcPr>
          <w:p w14:paraId="7ED7C7D9">
            <w:pPr>
              <w:outlineLvl w:val="9"/>
              <w:rPr>
                <w:rFonts w:ascii="Arial"/>
                <w:sz w:val="21"/>
              </w:rPr>
            </w:pPr>
          </w:p>
        </w:tc>
      </w:tr>
      <w:tr w14:paraId="182CAD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380" w:type="dxa"/>
            <w:vAlign w:val="top"/>
          </w:tcPr>
          <w:p w14:paraId="4D97954A">
            <w:pPr>
              <w:outlineLvl w:val="9"/>
              <w:rPr>
                <w:rFonts w:ascii="Arial"/>
                <w:sz w:val="21"/>
              </w:rPr>
            </w:pPr>
          </w:p>
        </w:tc>
        <w:tc>
          <w:tcPr>
            <w:tcW w:w="1660" w:type="dxa"/>
            <w:vAlign w:val="top"/>
          </w:tcPr>
          <w:p w14:paraId="6505226B">
            <w:pPr>
              <w:pStyle w:val="11"/>
              <w:spacing w:before="187" w:line="221" w:lineRule="auto"/>
              <w:ind w:left="604"/>
              <w:outlineLvl w:val="9"/>
            </w:pPr>
            <w:r>
              <w:rPr>
                <w:spacing w:val="-6"/>
              </w:rPr>
              <w:t>合计</w:t>
            </w:r>
          </w:p>
        </w:tc>
        <w:tc>
          <w:tcPr>
            <w:tcW w:w="2325" w:type="dxa"/>
            <w:vAlign w:val="top"/>
          </w:tcPr>
          <w:p w14:paraId="095916CA">
            <w:pPr>
              <w:outlineLvl w:val="9"/>
              <w:rPr>
                <w:rFonts w:ascii="Arial"/>
                <w:sz w:val="21"/>
              </w:rPr>
            </w:pPr>
          </w:p>
        </w:tc>
        <w:tc>
          <w:tcPr>
            <w:tcW w:w="2079" w:type="dxa"/>
            <w:vAlign w:val="top"/>
          </w:tcPr>
          <w:p w14:paraId="164BBF28">
            <w:pPr>
              <w:outlineLvl w:val="9"/>
              <w:rPr>
                <w:rFonts w:ascii="Arial"/>
                <w:sz w:val="21"/>
              </w:rPr>
            </w:pPr>
          </w:p>
        </w:tc>
        <w:tc>
          <w:tcPr>
            <w:tcW w:w="648" w:type="dxa"/>
            <w:vAlign w:val="top"/>
          </w:tcPr>
          <w:p w14:paraId="2EF49448">
            <w:pPr>
              <w:outlineLvl w:val="9"/>
              <w:rPr>
                <w:rFonts w:ascii="Arial"/>
                <w:sz w:val="21"/>
              </w:rPr>
            </w:pPr>
          </w:p>
        </w:tc>
        <w:tc>
          <w:tcPr>
            <w:tcW w:w="649" w:type="dxa"/>
            <w:vAlign w:val="top"/>
          </w:tcPr>
          <w:p w14:paraId="7732CF3B">
            <w:pPr>
              <w:outlineLvl w:val="9"/>
              <w:rPr>
                <w:rFonts w:ascii="Arial"/>
                <w:sz w:val="21"/>
              </w:rPr>
            </w:pPr>
          </w:p>
        </w:tc>
        <w:tc>
          <w:tcPr>
            <w:tcW w:w="787" w:type="dxa"/>
            <w:vAlign w:val="top"/>
          </w:tcPr>
          <w:p w14:paraId="614665A3">
            <w:pPr>
              <w:outlineLvl w:val="9"/>
              <w:rPr>
                <w:rFonts w:ascii="Arial"/>
                <w:sz w:val="21"/>
              </w:rPr>
            </w:pPr>
          </w:p>
        </w:tc>
      </w:tr>
    </w:tbl>
    <w:p w14:paraId="3EFAA91B">
      <w:pPr>
        <w:pStyle w:val="2"/>
        <w:spacing w:line="331" w:lineRule="auto"/>
        <w:outlineLvl w:val="9"/>
      </w:pPr>
    </w:p>
    <w:p w14:paraId="56C1B01F">
      <w:pPr>
        <w:spacing w:before="62" w:line="304" w:lineRule="auto"/>
        <w:ind w:left="138" w:right="115" w:hanging="4"/>
        <w:jc w:val="both"/>
        <w:outlineLvl w:val="9"/>
        <w:rPr>
          <w:rFonts w:ascii="宋体" w:hAnsi="宋体" w:eastAsia="宋体" w:cs="宋体"/>
          <w:sz w:val="19"/>
          <w:szCs w:val="19"/>
        </w:rPr>
      </w:pPr>
      <w:r>
        <w:rPr>
          <w:rFonts w:ascii="宋体" w:hAnsi="宋体" w:eastAsia="宋体" w:cs="宋体"/>
          <w:spacing w:val="17"/>
          <w:sz w:val="19"/>
          <w:szCs w:val="19"/>
        </w:rPr>
        <w:t>说明：参照采购需求清单或者由各投标人自行编制填写，须包括详细的产品清单、价格、供货范围、名称、规格、技术参数、主要配件的品牌及供货厂家等。投标人必须填写，否</w:t>
      </w:r>
      <w:r>
        <w:rPr>
          <w:rFonts w:ascii="宋体" w:hAnsi="宋体" w:eastAsia="宋体" w:cs="宋体"/>
          <w:spacing w:val="16"/>
          <w:sz w:val="19"/>
          <w:szCs w:val="19"/>
        </w:rPr>
        <w:t>则将</w:t>
      </w:r>
      <w:r>
        <w:rPr>
          <w:rFonts w:ascii="宋体" w:hAnsi="宋体" w:eastAsia="宋体" w:cs="宋体"/>
          <w:spacing w:val="11"/>
          <w:sz w:val="19"/>
          <w:szCs w:val="19"/>
        </w:rPr>
        <w:t>导致投标被拒绝。</w:t>
      </w:r>
    </w:p>
    <w:p w14:paraId="2FBF06A3">
      <w:pPr>
        <w:spacing w:before="120" w:line="384" w:lineRule="auto"/>
        <w:ind w:left="1349" w:right="7" w:firstLine="1744"/>
        <w:outlineLvl w:val="9"/>
        <w:rPr>
          <w:rFonts w:hint="eastAsia" w:ascii="宋体" w:hAnsi="宋体" w:eastAsia="宋体" w:cs="宋体"/>
          <w:sz w:val="24"/>
          <w:szCs w:val="24"/>
          <w:lang w:eastAsia="zh-CN"/>
        </w:rPr>
      </w:pPr>
      <w:r>
        <w:rPr>
          <w:rFonts w:ascii="宋体" w:hAnsi="宋体" w:eastAsia="宋体" w:cs="宋体"/>
          <w:spacing w:val="-4"/>
          <w:sz w:val="24"/>
          <w:szCs w:val="24"/>
        </w:rPr>
        <w:t>投标人名称（公章</w:t>
      </w:r>
      <w:r>
        <w:rPr>
          <w:rFonts w:ascii="宋体" w:hAnsi="宋体" w:eastAsia="宋体" w:cs="宋体"/>
          <w:spacing w:val="1"/>
          <w:sz w:val="24"/>
          <w:szCs w:val="24"/>
        </w:rPr>
        <w:t>）：</w:t>
      </w:r>
      <w:r>
        <w:rPr>
          <w:rFonts w:ascii="宋体" w:hAnsi="宋体" w:eastAsia="宋体" w:cs="宋体"/>
          <w:spacing w:val="-2"/>
          <w:sz w:val="24"/>
          <w:szCs w:val="24"/>
        </w:rPr>
        <w:t>法定代表人（单位负责人）或其授权委托人（签字或盖章</w:t>
      </w:r>
      <w:r>
        <w:rPr>
          <w:rFonts w:ascii="宋体" w:hAnsi="宋体" w:eastAsia="宋体" w:cs="宋体"/>
          <w:spacing w:val="2"/>
          <w:sz w:val="24"/>
          <w:szCs w:val="24"/>
        </w:rPr>
        <w:t>）：</w:t>
      </w:r>
    </w:p>
    <w:p w14:paraId="381E5FAC">
      <w:pPr>
        <w:spacing w:line="219" w:lineRule="auto"/>
        <w:jc w:val="right"/>
        <w:outlineLvl w:val="9"/>
        <w:rPr>
          <w:rFonts w:ascii="宋体" w:hAnsi="宋体" w:eastAsia="宋体" w:cs="宋体"/>
          <w:sz w:val="24"/>
          <w:szCs w:val="24"/>
        </w:rPr>
      </w:pPr>
      <w:r>
        <w:rPr>
          <w:rFonts w:ascii="宋体" w:hAnsi="宋体" w:eastAsia="宋体" w:cs="宋体"/>
          <w:spacing w:val="-26"/>
          <w:sz w:val="24"/>
          <w:szCs w:val="24"/>
        </w:rPr>
        <w:t>日期：年月日</w:t>
      </w:r>
    </w:p>
    <w:p w14:paraId="4BF24E92">
      <w:pPr>
        <w:spacing w:line="219" w:lineRule="auto"/>
        <w:outlineLvl w:val="9"/>
        <w:rPr>
          <w:rFonts w:ascii="宋体" w:hAnsi="宋体" w:eastAsia="宋体" w:cs="宋体"/>
          <w:sz w:val="24"/>
          <w:szCs w:val="24"/>
        </w:rPr>
        <w:sectPr>
          <w:headerReference r:id="rId91" w:type="default"/>
          <w:footerReference r:id="rId92" w:type="default"/>
          <w:pgSz w:w="11906" w:h="16840"/>
          <w:pgMar w:top="1091" w:right="1689" w:bottom="1100" w:left="1682" w:header="1077" w:footer="931" w:gutter="0"/>
          <w:pgNumType w:fmt="decimal"/>
          <w:cols w:space="720" w:num="1"/>
        </w:sectPr>
      </w:pPr>
    </w:p>
    <w:p w14:paraId="5E277BC1">
      <w:pPr>
        <w:pStyle w:val="2"/>
        <w:spacing w:line="306" w:lineRule="auto"/>
        <w:outlineLvl w:val="9"/>
      </w:pPr>
    </w:p>
    <w:p w14:paraId="4B7E710D">
      <w:pPr>
        <w:pStyle w:val="2"/>
        <w:spacing w:line="306" w:lineRule="auto"/>
        <w:outlineLvl w:val="9"/>
      </w:pPr>
    </w:p>
    <w:p w14:paraId="04C19B55">
      <w:pPr>
        <w:pStyle w:val="2"/>
        <w:spacing w:line="307" w:lineRule="auto"/>
        <w:outlineLvl w:val="9"/>
      </w:pPr>
    </w:p>
    <w:p w14:paraId="53B9AE5F">
      <w:pPr>
        <w:spacing w:before="98" w:line="225" w:lineRule="auto"/>
        <w:ind w:left="187"/>
        <w:outlineLvl w:val="9"/>
        <w:rPr>
          <w:rFonts w:ascii="宋体" w:hAnsi="宋体" w:eastAsia="宋体" w:cs="宋体"/>
          <w:sz w:val="30"/>
          <w:szCs w:val="30"/>
        </w:rPr>
      </w:pPr>
      <w:bookmarkStart w:id="22" w:name="_Toc27697_WPSOffice_Level1"/>
      <w:r>
        <w:rPr>
          <w:rFonts w:ascii="宋体" w:hAnsi="宋体" w:eastAsia="宋体" w:cs="宋体"/>
          <w:b/>
          <w:bCs/>
          <w:spacing w:val="-7"/>
          <w:sz w:val="30"/>
          <w:szCs w:val="30"/>
        </w:rPr>
        <w:t>附件七：</w:t>
      </w:r>
      <w:bookmarkEnd w:id="22"/>
    </w:p>
    <w:p w14:paraId="65CC0D8D">
      <w:pPr>
        <w:spacing w:before="259" w:line="225" w:lineRule="auto"/>
        <w:ind w:left="2708"/>
        <w:outlineLvl w:val="9"/>
        <w:rPr>
          <w:rFonts w:ascii="宋体" w:hAnsi="宋体" w:eastAsia="宋体" w:cs="宋体"/>
          <w:sz w:val="30"/>
          <w:szCs w:val="30"/>
        </w:rPr>
      </w:pPr>
      <w:r>
        <w:rPr>
          <w:rFonts w:ascii="宋体" w:hAnsi="宋体" w:eastAsia="宋体" w:cs="宋体"/>
          <w:spacing w:val="15"/>
          <w:sz w:val="30"/>
          <w:szCs w:val="30"/>
        </w:rPr>
        <w:t>商务、技术条款偏差表</w:t>
      </w:r>
    </w:p>
    <w:p w14:paraId="42639A09">
      <w:pPr>
        <w:spacing w:line="79" w:lineRule="exact"/>
        <w:outlineLvl w:val="9"/>
      </w:pPr>
    </w:p>
    <w:tbl>
      <w:tblPr>
        <w:tblStyle w:val="10"/>
        <w:tblW w:w="85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6"/>
        <w:gridCol w:w="2330"/>
        <w:gridCol w:w="2577"/>
        <w:gridCol w:w="1600"/>
        <w:gridCol w:w="1215"/>
      </w:tblGrid>
      <w:tr w14:paraId="73C75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806" w:type="dxa"/>
            <w:vAlign w:val="top"/>
          </w:tcPr>
          <w:p w14:paraId="257AE03C">
            <w:pPr>
              <w:pStyle w:val="11"/>
              <w:spacing w:before="265" w:line="230" w:lineRule="auto"/>
              <w:ind w:left="203"/>
              <w:outlineLvl w:val="9"/>
              <w:rPr>
                <w:sz w:val="19"/>
                <w:szCs w:val="19"/>
              </w:rPr>
            </w:pPr>
            <w:r>
              <w:rPr>
                <w:spacing w:val="8"/>
                <w:sz w:val="19"/>
                <w:szCs w:val="19"/>
              </w:rPr>
              <w:t>序号</w:t>
            </w:r>
          </w:p>
        </w:tc>
        <w:tc>
          <w:tcPr>
            <w:tcW w:w="2330" w:type="dxa"/>
            <w:vAlign w:val="top"/>
          </w:tcPr>
          <w:p w14:paraId="4EDD5F97">
            <w:pPr>
              <w:pStyle w:val="11"/>
              <w:spacing w:before="264" w:line="227" w:lineRule="auto"/>
              <w:ind w:left="126"/>
              <w:outlineLvl w:val="9"/>
              <w:rPr>
                <w:sz w:val="19"/>
                <w:szCs w:val="19"/>
              </w:rPr>
            </w:pPr>
            <w:r>
              <w:rPr>
                <w:spacing w:val="16"/>
                <w:sz w:val="19"/>
                <w:szCs w:val="19"/>
              </w:rPr>
              <w:t>招标文件章节及条款号</w:t>
            </w:r>
          </w:p>
        </w:tc>
        <w:tc>
          <w:tcPr>
            <w:tcW w:w="2577" w:type="dxa"/>
            <w:vAlign w:val="top"/>
          </w:tcPr>
          <w:p w14:paraId="42BFFEA7">
            <w:pPr>
              <w:pStyle w:val="11"/>
              <w:spacing w:before="264" w:line="227" w:lineRule="auto"/>
              <w:ind w:left="257"/>
              <w:outlineLvl w:val="9"/>
              <w:rPr>
                <w:sz w:val="19"/>
                <w:szCs w:val="19"/>
              </w:rPr>
            </w:pPr>
            <w:r>
              <w:rPr>
                <w:spacing w:val="16"/>
                <w:sz w:val="19"/>
                <w:szCs w:val="19"/>
              </w:rPr>
              <w:t>投标文件章节及条款号</w:t>
            </w:r>
          </w:p>
        </w:tc>
        <w:tc>
          <w:tcPr>
            <w:tcW w:w="1600" w:type="dxa"/>
            <w:vAlign w:val="top"/>
          </w:tcPr>
          <w:p w14:paraId="4AD57326">
            <w:pPr>
              <w:pStyle w:val="11"/>
              <w:spacing w:before="140" w:line="265" w:lineRule="auto"/>
              <w:ind w:left="329" w:right="180" w:hanging="138"/>
              <w:outlineLvl w:val="9"/>
              <w:rPr>
                <w:sz w:val="19"/>
                <w:szCs w:val="19"/>
              </w:rPr>
            </w:pPr>
            <w:r>
              <w:rPr>
                <w:spacing w:val="13"/>
                <w:sz w:val="19"/>
                <w:szCs w:val="19"/>
              </w:rPr>
              <w:t>投标文件中证</w:t>
            </w:r>
            <w:r>
              <w:rPr>
                <w:spacing w:val="7"/>
                <w:sz w:val="19"/>
                <w:szCs w:val="19"/>
              </w:rPr>
              <w:t>明材料页码</w:t>
            </w:r>
          </w:p>
        </w:tc>
        <w:tc>
          <w:tcPr>
            <w:tcW w:w="1215" w:type="dxa"/>
            <w:vAlign w:val="top"/>
          </w:tcPr>
          <w:p w14:paraId="773E836B">
            <w:pPr>
              <w:pStyle w:val="11"/>
              <w:spacing w:before="264" w:line="228" w:lineRule="auto"/>
              <w:ind w:left="201"/>
              <w:outlineLvl w:val="9"/>
              <w:rPr>
                <w:sz w:val="19"/>
                <w:szCs w:val="19"/>
              </w:rPr>
            </w:pPr>
            <w:r>
              <w:rPr>
                <w:spacing w:val="13"/>
                <w:sz w:val="19"/>
                <w:szCs w:val="19"/>
              </w:rPr>
              <w:t>偏差说明</w:t>
            </w:r>
          </w:p>
        </w:tc>
      </w:tr>
      <w:tr w14:paraId="5A450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06" w:type="dxa"/>
            <w:vAlign w:val="top"/>
          </w:tcPr>
          <w:p w14:paraId="763AD6D7">
            <w:pPr>
              <w:pStyle w:val="11"/>
              <w:spacing w:before="211" w:line="220" w:lineRule="auto"/>
              <w:ind w:left="391"/>
              <w:outlineLvl w:val="9"/>
              <w:rPr>
                <w:sz w:val="19"/>
                <w:szCs w:val="19"/>
              </w:rPr>
            </w:pPr>
            <w:r>
              <w:rPr>
                <w:sz w:val="19"/>
                <w:szCs w:val="19"/>
              </w:rPr>
              <w:t>1</w:t>
            </w:r>
          </w:p>
        </w:tc>
        <w:tc>
          <w:tcPr>
            <w:tcW w:w="2330" w:type="dxa"/>
            <w:vAlign w:val="top"/>
          </w:tcPr>
          <w:p w14:paraId="24E8CCEF">
            <w:pPr>
              <w:outlineLvl w:val="9"/>
              <w:rPr>
                <w:rFonts w:ascii="Arial"/>
                <w:sz w:val="21"/>
              </w:rPr>
            </w:pPr>
          </w:p>
        </w:tc>
        <w:tc>
          <w:tcPr>
            <w:tcW w:w="2577" w:type="dxa"/>
            <w:vAlign w:val="top"/>
          </w:tcPr>
          <w:p w14:paraId="251BAAAF">
            <w:pPr>
              <w:outlineLvl w:val="9"/>
              <w:rPr>
                <w:rFonts w:ascii="Arial"/>
                <w:sz w:val="21"/>
              </w:rPr>
            </w:pPr>
          </w:p>
        </w:tc>
        <w:tc>
          <w:tcPr>
            <w:tcW w:w="1600" w:type="dxa"/>
            <w:vAlign w:val="top"/>
          </w:tcPr>
          <w:p w14:paraId="23DB786E">
            <w:pPr>
              <w:outlineLvl w:val="9"/>
              <w:rPr>
                <w:rFonts w:ascii="Arial"/>
                <w:sz w:val="21"/>
              </w:rPr>
            </w:pPr>
          </w:p>
        </w:tc>
        <w:tc>
          <w:tcPr>
            <w:tcW w:w="1215" w:type="dxa"/>
            <w:vAlign w:val="top"/>
          </w:tcPr>
          <w:p w14:paraId="5A1BA576">
            <w:pPr>
              <w:outlineLvl w:val="9"/>
              <w:rPr>
                <w:rFonts w:ascii="Arial"/>
                <w:sz w:val="21"/>
              </w:rPr>
            </w:pPr>
          </w:p>
        </w:tc>
      </w:tr>
      <w:tr w14:paraId="60D4B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806" w:type="dxa"/>
            <w:vAlign w:val="top"/>
          </w:tcPr>
          <w:p w14:paraId="4DF0384E">
            <w:pPr>
              <w:pStyle w:val="11"/>
              <w:spacing w:before="212" w:line="218" w:lineRule="auto"/>
              <w:ind w:left="367"/>
              <w:outlineLvl w:val="9"/>
              <w:rPr>
                <w:sz w:val="19"/>
                <w:szCs w:val="19"/>
              </w:rPr>
            </w:pPr>
            <w:r>
              <w:rPr>
                <w:sz w:val="19"/>
                <w:szCs w:val="19"/>
              </w:rPr>
              <w:t>2</w:t>
            </w:r>
          </w:p>
        </w:tc>
        <w:tc>
          <w:tcPr>
            <w:tcW w:w="2330" w:type="dxa"/>
            <w:vAlign w:val="top"/>
          </w:tcPr>
          <w:p w14:paraId="3AF47269">
            <w:pPr>
              <w:outlineLvl w:val="9"/>
              <w:rPr>
                <w:rFonts w:ascii="Arial"/>
                <w:sz w:val="21"/>
              </w:rPr>
            </w:pPr>
          </w:p>
        </w:tc>
        <w:tc>
          <w:tcPr>
            <w:tcW w:w="2577" w:type="dxa"/>
            <w:vAlign w:val="top"/>
          </w:tcPr>
          <w:p w14:paraId="0E311646">
            <w:pPr>
              <w:outlineLvl w:val="9"/>
              <w:rPr>
                <w:rFonts w:ascii="Arial"/>
                <w:sz w:val="21"/>
              </w:rPr>
            </w:pPr>
          </w:p>
        </w:tc>
        <w:tc>
          <w:tcPr>
            <w:tcW w:w="1600" w:type="dxa"/>
            <w:vAlign w:val="top"/>
          </w:tcPr>
          <w:p w14:paraId="0A3E79C7">
            <w:pPr>
              <w:outlineLvl w:val="9"/>
              <w:rPr>
                <w:rFonts w:ascii="Arial"/>
                <w:sz w:val="21"/>
              </w:rPr>
            </w:pPr>
          </w:p>
        </w:tc>
        <w:tc>
          <w:tcPr>
            <w:tcW w:w="1215" w:type="dxa"/>
            <w:vAlign w:val="top"/>
          </w:tcPr>
          <w:p w14:paraId="684DAA9F">
            <w:pPr>
              <w:outlineLvl w:val="9"/>
              <w:rPr>
                <w:rFonts w:ascii="Arial"/>
                <w:sz w:val="21"/>
              </w:rPr>
            </w:pPr>
          </w:p>
        </w:tc>
      </w:tr>
      <w:tr w14:paraId="02779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806" w:type="dxa"/>
            <w:vAlign w:val="top"/>
          </w:tcPr>
          <w:p w14:paraId="73E095CB">
            <w:pPr>
              <w:pStyle w:val="11"/>
              <w:spacing w:before="213" w:line="217" w:lineRule="auto"/>
              <w:ind w:left="368"/>
              <w:outlineLvl w:val="9"/>
              <w:rPr>
                <w:sz w:val="19"/>
                <w:szCs w:val="19"/>
              </w:rPr>
            </w:pPr>
            <w:r>
              <w:rPr>
                <w:sz w:val="19"/>
                <w:szCs w:val="19"/>
              </w:rPr>
              <w:t>3</w:t>
            </w:r>
          </w:p>
        </w:tc>
        <w:tc>
          <w:tcPr>
            <w:tcW w:w="2330" w:type="dxa"/>
            <w:vAlign w:val="top"/>
          </w:tcPr>
          <w:p w14:paraId="21513C01">
            <w:pPr>
              <w:outlineLvl w:val="9"/>
              <w:rPr>
                <w:rFonts w:ascii="Arial"/>
                <w:sz w:val="21"/>
              </w:rPr>
            </w:pPr>
          </w:p>
        </w:tc>
        <w:tc>
          <w:tcPr>
            <w:tcW w:w="2577" w:type="dxa"/>
            <w:vAlign w:val="top"/>
          </w:tcPr>
          <w:p w14:paraId="298FA019">
            <w:pPr>
              <w:outlineLvl w:val="9"/>
              <w:rPr>
                <w:rFonts w:ascii="Arial"/>
                <w:sz w:val="21"/>
              </w:rPr>
            </w:pPr>
          </w:p>
        </w:tc>
        <w:tc>
          <w:tcPr>
            <w:tcW w:w="1600" w:type="dxa"/>
            <w:vAlign w:val="top"/>
          </w:tcPr>
          <w:p w14:paraId="7D26F6D0">
            <w:pPr>
              <w:outlineLvl w:val="9"/>
              <w:rPr>
                <w:rFonts w:ascii="Arial"/>
                <w:sz w:val="21"/>
              </w:rPr>
            </w:pPr>
          </w:p>
        </w:tc>
        <w:tc>
          <w:tcPr>
            <w:tcW w:w="1215" w:type="dxa"/>
            <w:vAlign w:val="top"/>
          </w:tcPr>
          <w:p w14:paraId="649D7BE7">
            <w:pPr>
              <w:outlineLvl w:val="9"/>
              <w:rPr>
                <w:rFonts w:ascii="Arial"/>
                <w:sz w:val="21"/>
              </w:rPr>
            </w:pPr>
          </w:p>
        </w:tc>
      </w:tr>
      <w:tr w14:paraId="1F6B0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806" w:type="dxa"/>
            <w:vAlign w:val="top"/>
          </w:tcPr>
          <w:p w14:paraId="2449006D">
            <w:pPr>
              <w:pStyle w:val="11"/>
              <w:spacing w:before="212" w:line="218" w:lineRule="auto"/>
              <w:ind w:left="359"/>
              <w:outlineLvl w:val="9"/>
              <w:rPr>
                <w:sz w:val="19"/>
                <w:szCs w:val="19"/>
              </w:rPr>
            </w:pPr>
            <w:r>
              <w:rPr>
                <w:sz w:val="19"/>
                <w:szCs w:val="19"/>
              </w:rPr>
              <w:t>4</w:t>
            </w:r>
          </w:p>
        </w:tc>
        <w:tc>
          <w:tcPr>
            <w:tcW w:w="2330" w:type="dxa"/>
            <w:vAlign w:val="top"/>
          </w:tcPr>
          <w:p w14:paraId="69363DCB">
            <w:pPr>
              <w:outlineLvl w:val="9"/>
              <w:rPr>
                <w:rFonts w:ascii="Arial"/>
                <w:sz w:val="21"/>
              </w:rPr>
            </w:pPr>
          </w:p>
        </w:tc>
        <w:tc>
          <w:tcPr>
            <w:tcW w:w="2577" w:type="dxa"/>
            <w:vAlign w:val="top"/>
          </w:tcPr>
          <w:p w14:paraId="504BE139">
            <w:pPr>
              <w:outlineLvl w:val="9"/>
              <w:rPr>
                <w:rFonts w:ascii="Arial"/>
                <w:sz w:val="21"/>
              </w:rPr>
            </w:pPr>
          </w:p>
        </w:tc>
        <w:tc>
          <w:tcPr>
            <w:tcW w:w="1600" w:type="dxa"/>
            <w:vAlign w:val="top"/>
          </w:tcPr>
          <w:p w14:paraId="692417D9">
            <w:pPr>
              <w:outlineLvl w:val="9"/>
              <w:rPr>
                <w:rFonts w:ascii="Arial"/>
                <w:sz w:val="21"/>
              </w:rPr>
            </w:pPr>
          </w:p>
        </w:tc>
        <w:tc>
          <w:tcPr>
            <w:tcW w:w="1215" w:type="dxa"/>
            <w:vAlign w:val="top"/>
          </w:tcPr>
          <w:p w14:paraId="22A60235">
            <w:pPr>
              <w:outlineLvl w:val="9"/>
              <w:rPr>
                <w:rFonts w:ascii="Arial"/>
                <w:sz w:val="21"/>
              </w:rPr>
            </w:pPr>
          </w:p>
        </w:tc>
      </w:tr>
      <w:tr w14:paraId="2AC15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806" w:type="dxa"/>
            <w:vAlign w:val="top"/>
          </w:tcPr>
          <w:p w14:paraId="33E85B4D">
            <w:pPr>
              <w:pStyle w:val="11"/>
              <w:spacing w:before="216" w:line="214" w:lineRule="auto"/>
              <w:ind w:left="368"/>
              <w:outlineLvl w:val="9"/>
              <w:rPr>
                <w:sz w:val="19"/>
                <w:szCs w:val="19"/>
              </w:rPr>
            </w:pPr>
            <w:r>
              <w:rPr>
                <w:sz w:val="19"/>
                <w:szCs w:val="19"/>
              </w:rPr>
              <w:t>5</w:t>
            </w:r>
          </w:p>
        </w:tc>
        <w:tc>
          <w:tcPr>
            <w:tcW w:w="2330" w:type="dxa"/>
            <w:vAlign w:val="top"/>
          </w:tcPr>
          <w:p w14:paraId="666ED1B6">
            <w:pPr>
              <w:outlineLvl w:val="9"/>
              <w:rPr>
                <w:rFonts w:ascii="Arial"/>
                <w:sz w:val="21"/>
              </w:rPr>
            </w:pPr>
          </w:p>
        </w:tc>
        <w:tc>
          <w:tcPr>
            <w:tcW w:w="2577" w:type="dxa"/>
            <w:vAlign w:val="top"/>
          </w:tcPr>
          <w:p w14:paraId="0EEE748B">
            <w:pPr>
              <w:outlineLvl w:val="9"/>
              <w:rPr>
                <w:rFonts w:ascii="Arial"/>
                <w:sz w:val="21"/>
              </w:rPr>
            </w:pPr>
          </w:p>
        </w:tc>
        <w:tc>
          <w:tcPr>
            <w:tcW w:w="1600" w:type="dxa"/>
            <w:vAlign w:val="top"/>
          </w:tcPr>
          <w:p w14:paraId="2DD8CEA8">
            <w:pPr>
              <w:outlineLvl w:val="9"/>
              <w:rPr>
                <w:rFonts w:ascii="Arial"/>
                <w:sz w:val="21"/>
              </w:rPr>
            </w:pPr>
          </w:p>
        </w:tc>
        <w:tc>
          <w:tcPr>
            <w:tcW w:w="1215" w:type="dxa"/>
            <w:vAlign w:val="top"/>
          </w:tcPr>
          <w:p w14:paraId="47ADA98A">
            <w:pPr>
              <w:outlineLvl w:val="9"/>
              <w:rPr>
                <w:rFonts w:ascii="Arial"/>
                <w:sz w:val="21"/>
              </w:rPr>
            </w:pPr>
          </w:p>
        </w:tc>
      </w:tr>
      <w:tr w14:paraId="213B2F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806" w:type="dxa"/>
            <w:vAlign w:val="top"/>
          </w:tcPr>
          <w:p w14:paraId="569A61A8">
            <w:pPr>
              <w:pStyle w:val="11"/>
              <w:spacing w:before="220" w:line="218" w:lineRule="auto"/>
              <w:ind w:left="228"/>
              <w:outlineLvl w:val="9"/>
              <w:rPr>
                <w:sz w:val="19"/>
                <w:szCs w:val="19"/>
              </w:rPr>
            </w:pPr>
            <w:r>
              <w:rPr>
                <w:spacing w:val="-2"/>
                <w:sz w:val="19"/>
                <w:szCs w:val="19"/>
              </w:rPr>
              <w:t>……</w:t>
            </w:r>
          </w:p>
        </w:tc>
        <w:tc>
          <w:tcPr>
            <w:tcW w:w="2330" w:type="dxa"/>
            <w:vAlign w:val="top"/>
          </w:tcPr>
          <w:p w14:paraId="7C54DEE1">
            <w:pPr>
              <w:outlineLvl w:val="9"/>
              <w:rPr>
                <w:rFonts w:ascii="Arial"/>
                <w:sz w:val="21"/>
              </w:rPr>
            </w:pPr>
          </w:p>
        </w:tc>
        <w:tc>
          <w:tcPr>
            <w:tcW w:w="2577" w:type="dxa"/>
            <w:vAlign w:val="top"/>
          </w:tcPr>
          <w:p w14:paraId="787ABD2A">
            <w:pPr>
              <w:outlineLvl w:val="9"/>
              <w:rPr>
                <w:rFonts w:ascii="Arial"/>
                <w:sz w:val="21"/>
              </w:rPr>
            </w:pPr>
          </w:p>
        </w:tc>
        <w:tc>
          <w:tcPr>
            <w:tcW w:w="1600" w:type="dxa"/>
            <w:vAlign w:val="top"/>
          </w:tcPr>
          <w:p w14:paraId="32C13384">
            <w:pPr>
              <w:outlineLvl w:val="9"/>
              <w:rPr>
                <w:rFonts w:ascii="Arial"/>
                <w:sz w:val="21"/>
              </w:rPr>
            </w:pPr>
          </w:p>
        </w:tc>
        <w:tc>
          <w:tcPr>
            <w:tcW w:w="1215" w:type="dxa"/>
            <w:vAlign w:val="top"/>
          </w:tcPr>
          <w:p w14:paraId="33357B52">
            <w:pPr>
              <w:outlineLvl w:val="9"/>
              <w:rPr>
                <w:rFonts w:ascii="Arial"/>
                <w:sz w:val="21"/>
              </w:rPr>
            </w:pPr>
          </w:p>
        </w:tc>
      </w:tr>
    </w:tbl>
    <w:p w14:paraId="2CB3A14B">
      <w:pPr>
        <w:spacing w:before="192" w:line="228" w:lineRule="auto"/>
        <w:ind w:left="554"/>
        <w:outlineLvl w:val="9"/>
        <w:rPr>
          <w:rFonts w:ascii="宋体" w:hAnsi="宋体" w:eastAsia="宋体" w:cs="宋体"/>
          <w:sz w:val="19"/>
          <w:szCs w:val="19"/>
        </w:rPr>
      </w:pPr>
      <w:r>
        <w:rPr>
          <w:rFonts w:ascii="宋体" w:hAnsi="宋体" w:eastAsia="宋体" w:cs="宋体"/>
          <w:spacing w:val="16"/>
          <w:sz w:val="19"/>
          <w:szCs w:val="19"/>
        </w:rPr>
        <w:t>投标人保证：除上表列出的偏差外，投标人响应招标文件的全部要求。</w:t>
      </w:r>
    </w:p>
    <w:p w14:paraId="010F0C3B">
      <w:pPr>
        <w:pStyle w:val="2"/>
        <w:spacing w:line="320" w:lineRule="auto"/>
        <w:outlineLvl w:val="9"/>
      </w:pPr>
    </w:p>
    <w:p w14:paraId="6368FDA5">
      <w:pPr>
        <w:pStyle w:val="2"/>
        <w:spacing w:line="321" w:lineRule="auto"/>
        <w:outlineLvl w:val="9"/>
      </w:pPr>
    </w:p>
    <w:p w14:paraId="16BF3F0F">
      <w:pPr>
        <w:spacing w:before="78" w:line="219" w:lineRule="auto"/>
        <w:ind w:left="3394"/>
        <w:outlineLvl w:val="9"/>
        <w:rPr>
          <w:rFonts w:ascii="宋体" w:hAnsi="宋体" w:eastAsia="宋体" w:cs="宋体"/>
          <w:sz w:val="24"/>
          <w:szCs w:val="24"/>
        </w:rPr>
      </w:pPr>
      <w:r>
        <w:rPr>
          <w:rFonts w:ascii="宋体" w:hAnsi="宋体" w:eastAsia="宋体" w:cs="宋体"/>
          <w:spacing w:val="-4"/>
          <w:sz w:val="24"/>
          <w:szCs w:val="24"/>
        </w:rPr>
        <w:t>企业名称（公章</w:t>
      </w:r>
      <w:r>
        <w:rPr>
          <w:rFonts w:ascii="宋体" w:hAnsi="宋体" w:eastAsia="宋体" w:cs="宋体"/>
          <w:sz w:val="24"/>
          <w:szCs w:val="24"/>
        </w:rPr>
        <w:t>）：</w:t>
      </w:r>
    </w:p>
    <w:p w14:paraId="24C0AE81">
      <w:pPr>
        <w:spacing w:before="265" w:line="220" w:lineRule="auto"/>
        <w:ind w:left="7176"/>
        <w:outlineLvl w:val="9"/>
        <w:rPr>
          <w:rFonts w:ascii="宋体" w:hAnsi="宋体" w:eastAsia="宋体" w:cs="宋体"/>
          <w:sz w:val="24"/>
          <w:szCs w:val="24"/>
        </w:rPr>
      </w:pPr>
      <w:r>
        <w:rPr>
          <w:rFonts w:ascii="宋体" w:hAnsi="宋体" w:eastAsia="宋体" w:cs="宋体"/>
          <w:spacing w:val="-21"/>
          <w:sz w:val="24"/>
          <w:szCs w:val="24"/>
        </w:rPr>
        <w:t>日期：</w:t>
      </w:r>
    </w:p>
    <w:p w14:paraId="41A4EAA4">
      <w:pPr>
        <w:spacing w:line="220" w:lineRule="auto"/>
        <w:outlineLvl w:val="9"/>
        <w:rPr>
          <w:rFonts w:ascii="宋体" w:hAnsi="宋体" w:eastAsia="宋体" w:cs="宋体"/>
          <w:sz w:val="24"/>
          <w:szCs w:val="24"/>
        </w:rPr>
        <w:sectPr>
          <w:footerReference r:id="rId93" w:type="default"/>
          <w:pgSz w:w="11906" w:h="16840"/>
          <w:pgMar w:top="1091" w:right="1689" w:bottom="1156" w:left="1682" w:header="1077" w:footer="910" w:gutter="0"/>
          <w:pgNumType w:fmt="decimal"/>
          <w:cols w:space="720" w:num="1"/>
        </w:sectPr>
      </w:pPr>
    </w:p>
    <w:p w14:paraId="423D9061">
      <w:pPr>
        <w:pStyle w:val="2"/>
        <w:spacing w:line="296" w:lineRule="auto"/>
        <w:outlineLvl w:val="9"/>
      </w:pPr>
    </w:p>
    <w:p w14:paraId="6A0579E5">
      <w:pPr>
        <w:pStyle w:val="2"/>
        <w:spacing w:line="296" w:lineRule="auto"/>
        <w:outlineLvl w:val="9"/>
      </w:pPr>
    </w:p>
    <w:p w14:paraId="6A571038">
      <w:pPr>
        <w:pStyle w:val="2"/>
        <w:spacing w:line="296" w:lineRule="auto"/>
        <w:outlineLvl w:val="9"/>
      </w:pPr>
    </w:p>
    <w:p w14:paraId="56E02944">
      <w:pPr>
        <w:spacing w:before="98" w:line="225" w:lineRule="auto"/>
        <w:ind w:left="83"/>
        <w:outlineLvl w:val="9"/>
        <w:rPr>
          <w:rFonts w:ascii="宋体" w:hAnsi="宋体" w:eastAsia="宋体" w:cs="宋体"/>
          <w:sz w:val="30"/>
          <w:szCs w:val="30"/>
        </w:rPr>
      </w:pPr>
      <w:bookmarkStart w:id="23" w:name="_Toc22458_WPSOffice_Level1"/>
      <w:r>
        <w:rPr>
          <w:rFonts w:ascii="宋体" w:hAnsi="宋体" w:eastAsia="宋体" w:cs="宋体"/>
          <w:b/>
          <w:bCs/>
          <w:spacing w:val="-7"/>
          <w:sz w:val="30"/>
          <w:szCs w:val="30"/>
        </w:rPr>
        <w:t>附件八：</w:t>
      </w:r>
      <w:bookmarkEnd w:id="23"/>
    </w:p>
    <w:p w14:paraId="40738047">
      <w:pPr>
        <w:spacing w:before="267" w:line="219" w:lineRule="auto"/>
        <w:ind w:left="2979"/>
        <w:outlineLvl w:val="9"/>
        <w:rPr>
          <w:rFonts w:ascii="宋体" w:hAnsi="宋体" w:eastAsia="宋体" w:cs="宋体"/>
          <w:sz w:val="28"/>
          <w:szCs w:val="28"/>
        </w:rPr>
      </w:pPr>
      <w:r>
        <w:rPr>
          <w:rFonts w:ascii="宋体" w:hAnsi="宋体" w:eastAsia="宋体" w:cs="宋体"/>
          <w:spacing w:val="-7"/>
          <w:sz w:val="28"/>
          <w:szCs w:val="28"/>
        </w:rPr>
        <w:t>中小企业声明函（货物）</w:t>
      </w:r>
    </w:p>
    <w:p w14:paraId="116F211C">
      <w:pPr>
        <w:spacing w:before="253" w:line="359" w:lineRule="auto"/>
        <w:ind w:left="27" w:firstLine="481"/>
        <w:jc w:val="both"/>
        <w:outlineLvl w:val="9"/>
        <w:rPr>
          <w:rFonts w:ascii="宋体" w:hAnsi="宋体" w:eastAsia="宋体" w:cs="宋体"/>
          <w:sz w:val="24"/>
          <w:szCs w:val="24"/>
        </w:rPr>
      </w:pPr>
      <w:r>
        <w:rPr>
          <w:rFonts w:ascii="宋体" w:hAnsi="宋体" w:eastAsia="宋体" w:cs="宋体"/>
          <w:spacing w:val="-4"/>
          <w:sz w:val="24"/>
          <w:szCs w:val="24"/>
        </w:rPr>
        <w:t>本公司（联合体）郑重声明，根据《政府采购促进中小企业发展管理办法》</w:t>
      </w:r>
      <w:r>
        <w:rPr>
          <w:rFonts w:ascii="宋体" w:hAnsi="宋体" w:eastAsia="宋体" w:cs="宋体"/>
          <w:spacing w:val="4"/>
          <w:sz w:val="24"/>
          <w:szCs w:val="24"/>
        </w:rPr>
        <w:t>（财库﹝2020﹞46号）的规定，本公司（联合体）</w:t>
      </w:r>
      <w:r>
        <w:rPr>
          <w:rFonts w:ascii="宋体" w:hAnsi="宋体" w:eastAsia="宋体" w:cs="宋体"/>
          <w:spacing w:val="3"/>
          <w:sz w:val="24"/>
          <w:szCs w:val="24"/>
          <w:u w:val="single" w:color="auto"/>
        </w:rPr>
        <w:t>参加</w:t>
      </w:r>
      <w:r>
        <w:rPr>
          <w:rFonts w:hint="eastAsia" w:ascii="宋体" w:hAnsi="宋体" w:eastAsia="宋体" w:cs="宋体"/>
          <w:spacing w:val="3"/>
          <w:sz w:val="24"/>
          <w:szCs w:val="24"/>
          <w:u w:val="single" w:color="auto"/>
          <w:lang w:val="en-US" w:eastAsia="zh-CN"/>
        </w:rPr>
        <w:t>阿瓦提</w:t>
      </w:r>
      <w:r>
        <w:rPr>
          <w:rFonts w:ascii="宋体" w:hAnsi="宋体" w:eastAsia="宋体" w:cs="宋体"/>
          <w:spacing w:val="3"/>
          <w:sz w:val="24"/>
          <w:szCs w:val="24"/>
          <w:u w:val="single" w:color="auto"/>
        </w:rPr>
        <w:t>县民政局</w:t>
      </w:r>
      <w:r>
        <w:rPr>
          <w:rFonts w:hint="eastAsia" w:ascii="宋体" w:hAnsi="宋体" w:eastAsia="宋体" w:cs="宋体"/>
          <w:spacing w:val="3"/>
          <w:sz w:val="24"/>
          <w:szCs w:val="24"/>
          <w:u w:val="single" w:color="auto"/>
          <w:lang w:val="en-US" w:eastAsia="zh-CN"/>
        </w:rPr>
        <w:t>的采购2026年困难群众冬季取暖煤项目</w:t>
      </w:r>
      <w:r>
        <w:rPr>
          <w:rFonts w:ascii="宋体" w:hAnsi="宋体" w:eastAsia="宋体" w:cs="宋体"/>
          <w:spacing w:val="3"/>
          <w:sz w:val="24"/>
          <w:szCs w:val="24"/>
        </w:rPr>
        <w:t>采购活动，提供的货物全部由符合</w:t>
      </w:r>
      <w:r>
        <w:rPr>
          <w:rFonts w:ascii="宋体" w:hAnsi="宋体" w:eastAsia="宋体" w:cs="宋体"/>
          <w:sz w:val="24"/>
          <w:szCs w:val="24"/>
        </w:rPr>
        <w:t>政策要求的中小企业制造。相关企业（含联合体中的中小企业、签订分包意向协</w:t>
      </w:r>
      <w:r>
        <w:rPr>
          <w:rFonts w:ascii="宋体" w:hAnsi="宋体" w:eastAsia="宋体" w:cs="宋体"/>
          <w:spacing w:val="-2"/>
          <w:sz w:val="24"/>
          <w:szCs w:val="24"/>
        </w:rPr>
        <w:t>议的中小企业）的具体情况如下：</w:t>
      </w:r>
    </w:p>
    <w:p w14:paraId="34E48B71">
      <w:pPr>
        <w:spacing w:before="1" w:line="313" w:lineRule="auto"/>
        <w:ind w:left="29" w:right="110" w:firstLine="513"/>
        <w:outlineLvl w:val="9"/>
        <w:rPr>
          <w:rFonts w:ascii="宋体" w:hAnsi="宋体" w:eastAsia="宋体" w:cs="宋体"/>
          <w:sz w:val="24"/>
          <w:szCs w:val="24"/>
        </w:rPr>
      </w:pPr>
      <w:r>
        <w:rPr>
          <w:rFonts w:ascii="宋体" w:hAnsi="宋体" w:eastAsia="宋体" w:cs="宋体"/>
          <w:spacing w:val="-2"/>
          <w:sz w:val="24"/>
          <w:szCs w:val="24"/>
          <w:u w:val="single" w:color="auto"/>
        </w:rPr>
        <w:t>1.（标的物</w:t>
      </w:r>
      <w:r>
        <w:rPr>
          <w:rFonts w:ascii="宋体" w:hAnsi="宋体" w:eastAsia="宋体" w:cs="宋体"/>
          <w:spacing w:val="1"/>
          <w:sz w:val="24"/>
          <w:szCs w:val="24"/>
          <w:u w:val="single" w:color="auto"/>
        </w:rPr>
        <w:t>），</w:t>
      </w:r>
      <w:r>
        <w:rPr>
          <w:rFonts w:ascii="宋体" w:hAnsi="宋体" w:eastAsia="宋体" w:cs="宋体"/>
          <w:spacing w:val="-2"/>
          <w:sz w:val="24"/>
          <w:szCs w:val="24"/>
          <w:u w:val="single" w:color="auto"/>
        </w:rPr>
        <w:t>属于（所属行业）行业；</w:t>
      </w:r>
      <w:r>
        <w:rPr>
          <w:rFonts w:ascii="宋体" w:hAnsi="宋体" w:eastAsia="宋体" w:cs="宋体"/>
          <w:spacing w:val="-2"/>
          <w:sz w:val="24"/>
          <w:szCs w:val="24"/>
        </w:rPr>
        <w:t>制造商为</w:t>
      </w:r>
      <w:r>
        <w:rPr>
          <w:rFonts w:ascii="宋体" w:hAnsi="宋体" w:eastAsia="宋体" w:cs="宋体"/>
          <w:spacing w:val="-2"/>
          <w:sz w:val="24"/>
          <w:szCs w:val="24"/>
          <w:u w:val="single" w:color="auto"/>
        </w:rPr>
        <w:t>（企业名称</w:t>
      </w:r>
      <w:r>
        <w:rPr>
          <w:rFonts w:ascii="宋体" w:hAnsi="宋体" w:eastAsia="宋体" w:cs="宋体"/>
          <w:spacing w:val="1"/>
          <w:sz w:val="24"/>
          <w:szCs w:val="24"/>
          <w:u w:val="single" w:color="auto"/>
        </w:rPr>
        <w:t>）</w:t>
      </w:r>
      <w:r>
        <w:rPr>
          <w:rFonts w:ascii="宋体" w:hAnsi="宋体" w:eastAsia="宋体" w:cs="宋体"/>
          <w:spacing w:val="1"/>
          <w:sz w:val="24"/>
          <w:szCs w:val="24"/>
        </w:rPr>
        <w:t>，</w:t>
      </w:r>
      <w:r>
        <w:rPr>
          <w:rFonts w:ascii="宋体" w:hAnsi="宋体" w:eastAsia="宋体" w:cs="宋体"/>
          <w:spacing w:val="-2"/>
          <w:sz w:val="24"/>
          <w:szCs w:val="24"/>
        </w:rPr>
        <w:t>从</w:t>
      </w:r>
      <w:r>
        <w:rPr>
          <w:rFonts w:ascii="宋体" w:hAnsi="宋体" w:eastAsia="宋体" w:cs="宋体"/>
          <w:spacing w:val="-4"/>
          <w:sz w:val="24"/>
          <w:szCs w:val="24"/>
        </w:rPr>
        <w:t>业人员人，营业收入为万元，资产总额为万元，属于（</w:t>
      </w:r>
      <w:r>
        <w:rPr>
          <w:rFonts w:ascii="宋体" w:hAnsi="宋体" w:eastAsia="宋体" w:cs="宋体"/>
          <w:spacing w:val="-4"/>
          <w:sz w:val="24"/>
          <w:szCs w:val="24"/>
          <w:u w:val="single" w:color="auto"/>
        </w:rPr>
        <w:t>中</w:t>
      </w:r>
      <w:r>
        <w:rPr>
          <w:rFonts w:ascii="宋体" w:hAnsi="宋体" w:eastAsia="宋体" w:cs="宋体"/>
          <w:spacing w:val="-2"/>
          <w:sz w:val="24"/>
          <w:szCs w:val="24"/>
          <w:u w:val="single" w:color="auto"/>
        </w:rPr>
        <w:t>型企业、小型企业、微型企业</w:t>
      </w:r>
      <w:r>
        <w:rPr>
          <w:rFonts w:ascii="宋体" w:hAnsi="宋体" w:eastAsia="宋体" w:cs="宋体"/>
          <w:spacing w:val="1"/>
          <w:sz w:val="24"/>
          <w:szCs w:val="24"/>
        </w:rPr>
        <w:t>）；</w:t>
      </w:r>
    </w:p>
    <w:p w14:paraId="1F0293FF">
      <w:pPr>
        <w:spacing w:before="181" w:line="313" w:lineRule="auto"/>
        <w:ind w:left="32" w:right="105" w:firstLine="480"/>
        <w:outlineLvl w:val="9"/>
        <w:rPr>
          <w:rFonts w:ascii="宋体" w:hAnsi="宋体" w:eastAsia="宋体" w:cs="宋体"/>
          <w:sz w:val="24"/>
          <w:szCs w:val="24"/>
        </w:rPr>
      </w:pPr>
      <w:r>
        <w:rPr>
          <w:rFonts w:ascii="宋体" w:hAnsi="宋体" w:eastAsia="宋体" w:cs="宋体"/>
          <w:spacing w:val="-3"/>
          <w:sz w:val="24"/>
          <w:szCs w:val="24"/>
        </w:rPr>
        <w:t>2.</w:t>
      </w:r>
      <w:r>
        <w:rPr>
          <w:rFonts w:ascii="宋体" w:hAnsi="宋体" w:eastAsia="宋体" w:cs="宋体"/>
          <w:spacing w:val="-3"/>
          <w:sz w:val="24"/>
          <w:szCs w:val="24"/>
          <w:u w:val="single" w:color="auto"/>
        </w:rPr>
        <w:t>（标的物</w:t>
      </w:r>
      <w:r>
        <w:rPr>
          <w:rFonts w:ascii="宋体" w:hAnsi="宋体" w:eastAsia="宋体" w:cs="宋体"/>
          <w:spacing w:val="3"/>
          <w:sz w:val="24"/>
          <w:szCs w:val="24"/>
          <w:u w:val="single" w:color="auto"/>
        </w:rPr>
        <w:t>）</w:t>
      </w:r>
      <w:r>
        <w:rPr>
          <w:rFonts w:ascii="宋体" w:hAnsi="宋体" w:eastAsia="宋体" w:cs="宋体"/>
          <w:spacing w:val="3"/>
          <w:sz w:val="24"/>
          <w:szCs w:val="24"/>
        </w:rPr>
        <w:t>，</w:t>
      </w:r>
      <w:r>
        <w:rPr>
          <w:rFonts w:ascii="宋体" w:hAnsi="宋体" w:eastAsia="宋体" w:cs="宋体"/>
          <w:spacing w:val="-3"/>
          <w:sz w:val="24"/>
          <w:szCs w:val="24"/>
        </w:rPr>
        <w:t>属于</w:t>
      </w:r>
      <w:r>
        <w:rPr>
          <w:rFonts w:ascii="宋体" w:hAnsi="宋体" w:eastAsia="宋体" w:cs="宋体"/>
          <w:spacing w:val="-3"/>
          <w:sz w:val="24"/>
          <w:szCs w:val="24"/>
          <w:u w:val="single" w:color="auto"/>
        </w:rPr>
        <w:t>（所属行业）</w:t>
      </w:r>
      <w:r>
        <w:rPr>
          <w:rFonts w:ascii="宋体" w:hAnsi="宋体" w:eastAsia="宋体" w:cs="宋体"/>
          <w:spacing w:val="-3"/>
          <w:sz w:val="24"/>
          <w:szCs w:val="24"/>
        </w:rPr>
        <w:t>行业；制造商为</w:t>
      </w:r>
      <w:r>
        <w:rPr>
          <w:rFonts w:ascii="宋体" w:hAnsi="宋体" w:eastAsia="宋体" w:cs="宋体"/>
          <w:spacing w:val="-3"/>
          <w:sz w:val="24"/>
          <w:szCs w:val="24"/>
          <w:u w:val="single" w:color="auto"/>
        </w:rPr>
        <w:t>（企业名称</w:t>
      </w:r>
      <w:r>
        <w:rPr>
          <w:rFonts w:ascii="宋体" w:hAnsi="宋体" w:eastAsia="宋体" w:cs="宋体"/>
          <w:spacing w:val="3"/>
          <w:sz w:val="24"/>
          <w:szCs w:val="24"/>
          <w:u w:val="single" w:color="auto"/>
        </w:rPr>
        <w:t>）</w:t>
      </w:r>
      <w:r>
        <w:rPr>
          <w:rFonts w:ascii="宋体" w:hAnsi="宋体" w:eastAsia="宋体" w:cs="宋体"/>
          <w:spacing w:val="3"/>
          <w:sz w:val="24"/>
          <w:szCs w:val="24"/>
        </w:rPr>
        <w:t>，</w:t>
      </w:r>
      <w:r>
        <w:rPr>
          <w:rFonts w:ascii="宋体" w:hAnsi="宋体" w:eastAsia="宋体" w:cs="宋体"/>
          <w:spacing w:val="-3"/>
          <w:sz w:val="24"/>
          <w:szCs w:val="24"/>
        </w:rPr>
        <w:t>从业</w:t>
      </w:r>
      <w:r>
        <w:rPr>
          <w:rFonts w:ascii="宋体" w:hAnsi="宋体" w:eastAsia="宋体" w:cs="宋体"/>
          <w:spacing w:val="-9"/>
          <w:sz w:val="24"/>
          <w:szCs w:val="24"/>
        </w:rPr>
        <w:t>人员人，营业收为万元，资产总额为万元，属于</w:t>
      </w:r>
      <w:r>
        <w:rPr>
          <w:rFonts w:ascii="宋体" w:hAnsi="宋体" w:eastAsia="宋体" w:cs="宋体"/>
          <w:spacing w:val="-9"/>
          <w:sz w:val="24"/>
          <w:szCs w:val="24"/>
          <w:u w:val="single" w:color="auto"/>
        </w:rPr>
        <w:t>（中型企业、小</w:t>
      </w:r>
      <w:r>
        <w:rPr>
          <w:rFonts w:ascii="宋体" w:hAnsi="宋体" w:eastAsia="宋体" w:cs="宋体"/>
          <w:spacing w:val="-4"/>
          <w:sz w:val="24"/>
          <w:szCs w:val="24"/>
          <w:u w:val="single" w:color="auto"/>
        </w:rPr>
        <w:t>型企业、微型企业</w:t>
      </w:r>
      <w:r>
        <w:rPr>
          <w:rFonts w:ascii="宋体" w:hAnsi="宋体" w:eastAsia="宋体" w:cs="宋体"/>
          <w:spacing w:val="1"/>
          <w:sz w:val="24"/>
          <w:szCs w:val="24"/>
          <w:u w:val="single" w:color="auto"/>
        </w:rPr>
        <w:t>）</w:t>
      </w:r>
      <w:r>
        <w:rPr>
          <w:rFonts w:ascii="宋体" w:hAnsi="宋体" w:eastAsia="宋体" w:cs="宋体"/>
          <w:spacing w:val="1"/>
          <w:sz w:val="24"/>
          <w:szCs w:val="24"/>
        </w:rPr>
        <w:t>；</w:t>
      </w:r>
    </w:p>
    <w:p w14:paraId="36EB8C32">
      <w:pPr>
        <w:pStyle w:val="2"/>
        <w:spacing w:line="278" w:lineRule="auto"/>
        <w:outlineLvl w:val="9"/>
      </w:pPr>
    </w:p>
    <w:p w14:paraId="35557193">
      <w:pPr>
        <w:spacing w:before="79" w:line="99" w:lineRule="exact"/>
        <w:ind w:left="521"/>
        <w:outlineLvl w:val="9"/>
        <w:rPr>
          <w:rFonts w:ascii="宋体" w:hAnsi="宋体" w:eastAsia="宋体" w:cs="宋体"/>
          <w:sz w:val="24"/>
          <w:szCs w:val="24"/>
        </w:rPr>
      </w:pPr>
      <w:r>
        <w:rPr>
          <w:rFonts w:ascii="宋体" w:hAnsi="宋体" w:eastAsia="宋体" w:cs="宋体"/>
          <w:position w:val="1"/>
          <w:sz w:val="24"/>
          <w:szCs w:val="24"/>
        </w:rPr>
        <w:t>..........</w:t>
      </w:r>
    </w:p>
    <w:p w14:paraId="47314544">
      <w:pPr>
        <w:pStyle w:val="2"/>
        <w:spacing w:line="286" w:lineRule="auto"/>
        <w:outlineLvl w:val="9"/>
      </w:pPr>
    </w:p>
    <w:p w14:paraId="6D6060C5">
      <w:pPr>
        <w:pStyle w:val="2"/>
        <w:spacing w:line="287" w:lineRule="auto"/>
        <w:outlineLvl w:val="9"/>
      </w:pPr>
    </w:p>
    <w:p w14:paraId="70532D65">
      <w:pPr>
        <w:spacing w:before="78" w:line="351" w:lineRule="auto"/>
        <w:ind w:left="37" w:right="144" w:firstLine="523"/>
        <w:outlineLvl w:val="9"/>
        <w:rPr>
          <w:rFonts w:ascii="宋体" w:hAnsi="宋体" w:eastAsia="宋体" w:cs="宋体"/>
          <w:sz w:val="24"/>
          <w:szCs w:val="24"/>
        </w:rPr>
      </w:pPr>
      <w:r>
        <w:rPr>
          <w:rFonts w:ascii="宋体" w:hAnsi="宋体" w:eastAsia="宋体" w:cs="宋体"/>
          <w:spacing w:val="-6"/>
          <w:sz w:val="24"/>
          <w:szCs w:val="24"/>
        </w:rPr>
        <w:t>以上企业，不属于大企业的分支机构，不存在控股股东为大企业的情形，</w:t>
      </w:r>
      <w:r>
        <w:rPr>
          <w:rFonts w:ascii="宋体" w:hAnsi="宋体" w:eastAsia="宋体" w:cs="宋体"/>
          <w:spacing w:val="-2"/>
          <w:sz w:val="24"/>
          <w:szCs w:val="24"/>
        </w:rPr>
        <w:t>也不存在与大企业的负责人为同一人的情形。</w:t>
      </w:r>
    </w:p>
    <w:p w14:paraId="71B19162">
      <w:pPr>
        <w:spacing w:before="1" w:line="218" w:lineRule="auto"/>
        <w:ind w:right="16"/>
        <w:jc w:val="right"/>
        <w:outlineLvl w:val="9"/>
        <w:rPr>
          <w:rFonts w:ascii="宋体" w:hAnsi="宋体" w:eastAsia="宋体" w:cs="宋体"/>
          <w:sz w:val="24"/>
          <w:szCs w:val="24"/>
        </w:rPr>
      </w:pPr>
      <w:r>
        <w:rPr>
          <w:rFonts w:ascii="宋体" w:hAnsi="宋体" w:eastAsia="宋体" w:cs="宋体"/>
          <w:spacing w:val="-1"/>
          <w:sz w:val="24"/>
          <w:szCs w:val="24"/>
        </w:rPr>
        <w:t>本企业对上述声明内容的真实性负责。如有虚假，将依法承担相应责任。</w:t>
      </w:r>
    </w:p>
    <w:p w14:paraId="757CE922">
      <w:pPr>
        <w:pStyle w:val="2"/>
        <w:spacing w:line="284" w:lineRule="auto"/>
        <w:outlineLvl w:val="9"/>
      </w:pPr>
    </w:p>
    <w:p w14:paraId="4487FC5C">
      <w:pPr>
        <w:pStyle w:val="2"/>
        <w:spacing w:line="285" w:lineRule="auto"/>
        <w:outlineLvl w:val="9"/>
      </w:pPr>
    </w:p>
    <w:p w14:paraId="44E45423">
      <w:pPr>
        <w:spacing w:before="78" w:line="219" w:lineRule="auto"/>
        <w:ind w:left="5228"/>
        <w:outlineLvl w:val="9"/>
        <w:rPr>
          <w:rFonts w:ascii="宋体" w:hAnsi="宋体" w:eastAsia="宋体" w:cs="宋体"/>
          <w:sz w:val="24"/>
          <w:szCs w:val="24"/>
        </w:rPr>
      </w:pPr>
      <w:r>
        <w:rPr>
          <w:rFonts w:ascii="宋体" w:hAnsi="宋体" w:eastAsia="宋体" w:cs="宋体"/>
          <w:spacing w:val="-4"/>
          <w:sz w:val="24"/>
          <w:szCs w:val="24"/>
        </w:rPr>
        <w:t>企业名称（盖章</w:t>
      </w:r>
      <w:r>
        <w:rPr>
          <w:rFonts w:ascii="宋体" w:hAnsi="宋体" w:eastAsia="宋体" w:cs="宋体"/>
          <w:spacing w:val="-1"/>
          <w:sz w:val="24"/>
          <w:szCs w:val="24"/>
        </w:rPr>
        <w:t>）：</w:t>
      </w:r>
    </w:p>
    <w:p w14:paraId="39270D5C">
      <w:pPr>
        <w:spacing w:before="184" w:line="220" w:lineRule="auto"/>
        <w:ind w:left="6021"/>
        <w:outlineLvl w:val="9"/>
        <w:rPr>
          <w:rFonts w:ascii="宋体" w:hAnsi="宋体" w:eastAsia="宋体" w:cs="宋体"/>
          <w:sz w:val="24"/>
          <w:szCs w:val="24"/>
        </w:rPr>
      </w:pPr>
      <w:r>
        <w:rPr>
          <w:rFonts w:ascii="宋体" w:hAnsi="宋体" w:eastAsia="宋体" w:cs="宋体"/>
          <w:spacing w:val="-21"/>
          <w:sz w:val="24"/>
          <w:szCs w:val="24"/>
        </w:rPr>
        <w:t>日期：</w:t>
      </w:r>
    </w:p>
    <w:p w14:paraId="4152E979">
      <w:pPr>
        <w:pStyle w:val="2"/>
        <w:spacing w:line="293" w:lineRule="auto"/>
        <w:outlineLvl w:val="9"/>
      </w:pPr>
    </w:p>
    <w:p w14:paraId="4189251A">
      <w:pPr>
        <w:pStyle w:val="2"/>
        <w:spacing w:line="294" w:lineRule="auto"/>
        <w:outlineLvl w:val="9"/>
      </w:pPr>
    </w:p>
    <w:p w14:paraId="01E5B089">
      <w:pPr>
        <w:spacing w:before="79" w:line="364" w:lineRule="auto"/>
        <w:ind w:left="27" w:right="131" w:firstLine="6"/>
        <w:outlineLvl w:val="9"/>
        <w:rPr>
          <w:rFonts w:ascii="宋体" w:hAnsi="宋体" w:eastAsia="宋体" w:cs="宋体"/>
          <w:sz w:val="24"/>
          <w:szCs w:val="24"/>
        </w:rPr>
      </w:pPr>
      <w:r>
        <w:rPr>
          <w:rFonts w:ascii="宋体" w:hAnsi="宋体" w:eastAsia="宋体" w:cs="宋体"/>
          <w:sz w:val="24"/>
          <w:szCs w:val="24"/>
        </w:rPr>
        <w:t>从业人员、营业收入、资产总额填报上一年度（2</w:t>
      </w:r>
      <w:r>
        <w:rPr>
          <w:rFonts w:ascii="宋体" w:hAnsi="宋体" w:eastAsia="宋体" w:cs="宋体"/>
          <w:spacing w:val="-1"/>
          <w:sz w:val="24"/>
          <w:szCs w:val="24"/>
        </w:rPr>
        <w:t>02</w:t>
      </w:r>
      <w:r>
        <w:rPr>
          <w:rFonts w:hint="eastAsia" w:ascii="宋体" w:hAnsi="宋体" w:eastAsia="宋体" w:cs="宋体"/>
          <w:spacing w:val="-1"/>
          <w:sz w:val="24"/>
          <w:szCs w:val="24"/>
          <w:lang w:val="en-US" w:eastAsia="zh-CN"/>
        </w:rPr>
        <w:t>5</w:t>
      </w:r>
      <w:r>
        <w:rPr>
          <w:rFonts w:ascii="宋体" w:hAnsi="宋体" w:eastAsia="宋体" w:cs="宋体"/>
          <w:spacing w:val="-1"/>
          <w:sz w:val="24"/>
          <w:szCs w:val="24"/>
        </w:rPr>
        <w:t>年度）数据，无上一年</w:t>
      </w:r>
      <w:r>
        <w:rPr>
          <w:rFonts w:ascii="宋体" w:hAnsi="宋体" w:eastAsia="宋体" w:cs="宋体"/>
          <w:spacing w:val="-2"/>
          <w:sz w:val="24"/>
          <w:szCs w:val="24"/>
        </w:rPr>
        <w:t>度数据的新成立企业可不填报。</w:t>
      </w:r>
    </w:p>
    <w:p w14:paraId="2291CBF6">
      <w:pPr>
        <w:spacing w:before="46" w:line="219" w:lineRule="auto"/>
        <w:ind w:left="51"/>
        <w:outlineLvl w:val="9"/>
        <w:rPr>
          <w:rFonts w:ascii="宋体" w:hAnsi="宋体" w:eastAsia="宋体" w:cs="宋体"/>
          <w:sz w:val="24"/>
          <w:szCs w:val="24"/>
        </w:rPr>
      </w:pPr>
      <w:r>
        <w:rPr>
          <w:rFonts w:ascii="宋体" w:hAnsi="宋体" w:eastAsia="宋体" w:cs="宋体"/>
          <w:spacing w:val="-2"/>
          <w:sz w:val="24"/>
          <w:szCs w:val="24"/>
        </w:rPr>
        <w:t>（若投标文件中无上述文件，则在评审时不考虑对该小、微企业的相关优惠。）</w:t>
      </w:r>
    </w:p>
    <w:p w14:paraId="2E862801">
      <w:pPr>
        <w:spacing w:line="219" w:lineRule="auto"/>
        <w:outlineLvl w:val="9"/>
        <w:rPr>
          <w:rFonts w:ascii="宋体" w:hAnsi="宋体" w:eastAsia="宋体" w:cs="宋体"/>
          <w:sz w:val="24"/>
          <w:szCs w:val="24"/>
        </w:rPr>
        <w:sectPr>
          <w:headerReference r:id="rId94" w:type="default"/>
          <w:footerReference r:id="rId95" w:type="default"/>
          <w:pgSz w:w="11906" w:h="16840"/>
          <w:pgMar w:top="1091" w:right="1686" w:bottom="1156" w:left="1785" w:header="1077" w:footer="910" w:gutter="0"/>
          <w:pgNumType w:fmt="decimal"/>
          <w:cols w:space="720" w:num="1"/>
        </w:sectPr>
      </w:pPr>
    </w:p>
    <w:p w14:paraId="2CA83F93">
      <w:pPr>
        <w:pStyle w:val="2"/>
        <w:spacing w:line="423" w:lineRule="auto"/>
        <w:outlineLvl w:val="9"/>
      </w:pPr>
    </w:p>
    <w:p w14:paraId="72B32A57">
      <w:pPr>
        <w:spacing w:before="98" w:line="225" w:lineRule="auto"/>
        <w:ind w:left="83"/>
        <w:outlineLvl w:val="9"/>
        <w:rPr>
          <w:rFonts w:ascii="宋体" w:hAnsi="宋体" w:eastAsia="宋体" w:cs="宋体"/>
          <w:sz w:val="30"/>
          <w:szCs w:val="30"/>
        </w:rPr>
      </w:pPr>
      <w:bookmarkStart w:id="24" w:name="_Toc25347_WPSOffice_Level1"/>
      <w:r>
        <w:rPr>
          <w:rFonts w:ascii="宋体" w:hAnsi="宋体" w:eastAsia="宋体" w:cs="宋体"/>
          <w:b/>
          <w:bCs/>
          <w:spacing w:val="-7"/>
          <w:sz w:val="30"/>
          <w:szCs w:val="30"/>
        </w:rPr>
        <w:t>附件九：</w:t>
      </w:r>
      <w:bookmarkEnd w:id="24"/>
    </w:p>
    <w:p w14:paraId="028DC875">
      <w:pPr>
        <w:spacing w:before="233" w:line="225" w:lineRule="auto"/>
        <w:ind w:left="1790"/>
        <w:outlineLvl w:val="9"/>
        <w:rPr>
          <w:rFonts w:ascii="宋体" w:hAnsi="宋体" w:eastAsia="宋体" w:cs="宋体"/>
          <w:sz w:val="30"/>
          <w:szCs w:val="30"/>
        </w:rPr>
      </w:pPr>
      <w:r>
        <w:rPr>
          <w:rFonts w:ascii="宋体" w:hAnsi="宋体" w:eastAsia="宋体" w:cs="宋体"/>
          <w:spacing w:val="15"/>
          <w:sz w:val="30"/>
          <w:szCs w:val="30"/>
        </w:rPr>
        <w:t>残疾人福利性单位声明函（若有）</w:t>
      </w:r>
    </w:p>
    <w:p w14:paraId="51E3FC93">
      <w:pPr>
        <w:pStyle w:val="2"/>
        <w:spacing w:line="288" w:lineRule="auto"/>
        <w:outlineLvl w:val="9"/>
      </w:pPr>
    </w:p>
    <w:p w14:paraId="2EEFD0DE">
      <w:pPr>
        <w:spacing w:before="78" w:line="385" w:lineRule="auto"/>
        <w:ind w:left="27" w:right="4" w:firstLine="481"/>
        <w:jc w:val="both"/>
        <w:outlineLvl w:val="9"/>
        <w:rPr>
          <w:rFonts w:ascii="宋体" w:hAnsi="宋体" w:eastAsia="宋体" w:cs="宋体"/>
          <w:sz w:val="24"/>
          <w:szCs w:val="24"/>
        </w:rPr>
      </w:pPr>
      <w:r>
        <w:rPr>
          <w:rFonts w:ascii="宋体" w:hAnsi="宋体" w:eastAsia="宋体" w:cs="宋体"/>
          <w:spacing w:val="-7"/>
          <w:sz w:val="24"/>
          <w:szCs w:val="24"/>
        </w:rPr>
        <w:t>本单位郑重声明，根据《财政部民政部中国残疾人联合会关于促进残疾人</w:t>
      </w:r>
      <w:r>
        <w:rPr>
          <w:rFonts w:ascii="宋体" w:hAnsi="宋体" w:eastAsia="宋体" w:cs="宋体"/>
          <w:spacing w:val="-1"/>
          <w:sz w:val="24"/>
          <w:szCs w:val="24"/>
        </w:rPr>
        <w:t>就业政府采购政策的通知》（财库〔2017〕141号）的规定，本单位为符合条</w:t>
      </w:r>
      <w:r>
        <w:rPr>
          <w:rFonts w:ascii="宋体" w:hAnsi="宋体" w:eastAsia="宋体" w:cs="宋体"/>
          <w:spacing w:val="1"/>
          <w:sz w:val="24"/>
          <w:szCs w:val="24"/>
        </w:rPr>
        <w:t>件的残疾人福利性单位，且本单位参加单位的采购文件编号为的</w:t>
      </w:r>
      <w:r>
        <w:rPr>
          <w:rFonts w:ascii="宋体" w:hAnsi="宋体" w:eastAsia="宋体" w:cs="宋体"/>
          <w:sz w:val="24"/>
          <w:szCs w:val="24"/>
        </w:rPr>
        <w:t>项目采购活动提供本单位制造的服务或产品（由本单位承担工程/提供服务</w:t>
      </w:r>
      <w:r>
        <w:rPr>
          <w:rFonts w:ascii="宋体" w:hAnsi="宋体" w:eastAsia="宋体" w:cs="宋体"/>
          <w:spacing w:val="10"/>
          <w:sz w:val="24"/>
          <w:szCs w:val="24"/>
        </w:rPr>
        <w:t>），</w:t>
      </w:r>
      <w:r>
        <w:rPr>
          <w:rFonts w:ascii="宋体" w:hAnsi="宋体" w:eastAsia="宋体" w:cs="宋体"/>
          <w:spacing w:val="-3"/>
          <w:sz w:val="24"/>
          <w:szCs w:val="24"/>
        </w:rPr>
        <w:t>或者提供其他残疾人福利性单位制造的服务或产品（不包括使用非残疾人福利性</w:t>
      </w:r>
      <w:r>
        <w:rPr>
          <w:rFonts w:ascii="宋体" w:hAnsi="宋体" w:eastAsia="宋体" w:cs="宋体"/>
          <w:spacing w:val="-2"/>
          <w:sz w:val="24"/>
          <w:szCs w:val="24"/>
        </w:rPr>
        <w:t>单位注册商标的服务或产品）。</w:t>
      </w:r>
    </w:p>
    <w:p w14:paraId="74DC226F">
      <w:pPr>
        <w:spacing w:before="142" w:line="386" w:lineRule="auto"/>
        <w:ind w:left="80" w:right="30" w:firstLine="428"/>
        <w:outlineLvl w:val="9"/>
        <w:rPr>
          <w:rFonts w:ascii="宋体" w:hAnsi="宋体" w:eastAsia="宋体" w:cs="宋体"/>
          <w:sz w:val="24"/>
          <w:szCs w:val="24"/>
        </w:rPr>
      </w:pPr>
      <w:r>
        <w:rPr>
          <w:rFonts w:ascii="宋体" w:hAnsi="宋体" w:eastAsia="宋体" w:cs="宋体"/>
          <w:spacing w:val="3"/>
          <w:sz w:val="24"/>
          <w:szCs w:val="24"/>
        </w:rPr>
        <w:t>本单位在本次政府采购活动中提供的残疾人福利单位产品报价合计为人民</w:t>
      </w:r>
      <w:r>
        <w:rPr>
          <w:rFonts w:ascii="宋体" w:hAnsi="宋体" w:eastAsia="宋体" w:cs="宋体"/>
          <w:spacing w:val="-24"/>
          <w:sz w:val="24"/>
          <w:szCs w:val="24"/>
        </w:rPr>
        <w:t>币（大写）圆整(￥:)。</w:t>
      </w:r>
    </w:p>
    <w:p w14:paraId="6C6F89AB">
      <w:pPr>
        <w:spacing w:before="129" w:line="219" w:lineRule="auto"/>
        <w:ind w:left="511"/>
        <w:outlineLvl w:val="9"/>
        <w:rPr>
          <w:rFonts w:ascii="宋体" w:hAnsi="宋体" w:eastAsia="宋体" w:cs="宋体"/>
          <w:sz w:val="24"/>
          <w:szCs w:val="24"/>
        </w:rPr>
      </w:pPr>
      <w:r>
        <w:rPr>
          <w:rFonts w:ascii="宋体" w:hAnsi="宋体" w:eastAsia="宋体" w:cs="宋体"/>
          <w:spacing w:val="-1"/>
          <w:sz w:val="24"/>
          <w:szCs w:val="24"/>
        </w:rPr>
        <w:t>本单位对上述声明的真实性负责。如有虚假</w:t>
      </w:r>
      <w:r>
        <w:rPr>
          <w:rFonts w:ascii="宋体" w:hAnsi="宋体" w:eastAsia="宋体" w:cs="宋体"/>
          <w:spacing w:val="-2"/>
          <w:sz w:val="24"/>
          <w:szCs w:val="24"/>
        </w:rPr>
        <w:t>，将依法承担相应责任。</w:t>
      </w:r>
    </w:p>
    <w:p w14:paraId="6F963348">
      <w:pPr>
        <w:pStyle w:val="2"/>
        <w:spacing w:line="241" w:lineRule="auto"/>
        <w:outlineLvl w:val="9"/>
      </w:pPr>
    </w:p>
    <w:p w14:paraId="350C2A13">
      <w:pPr>
        <w:pStyle w:val="2"/>
        <w:spacing w:line="241" w:lineRule="auto"/>
        <w:outlineLvl w:val="9"/>
      </w:pPr>
    </w:p>
    <w:p w14:paraId="708E0341">
      <w:pPr>
        <w:pStyle w:val="2"/>
        <w:spacing w:line="241" w:lineRule="auto"/>
        <w:outlineLvl w:val="9"/>
      </w:pPr>
    </w:p>
    <w:p w14:paraId="2016C2E1">
      <w:pPr>
        <w:pStyle w:val="2"/>
        <w:spacing w:line="241" w:lineRule="auto"/>
        <w:outlineLvl w:val="9"/>
      </w:pPr>
    </w:p>
    <w:p w14:paraId="5E3DC635">
      <w:pPr>
        <w:spacing w:before="78" w:line="387" w:lineRule="auto"/>
        <w:ind w:left="37" w:right="11" w:firstLine="493"/>
        <w:outlineLvl w:val="9"/>
        <w:rPr>
          <w:rFonts w:ascii="宋体" w:hAnsi="宋体" w:eastAsia="宋体" w:cs="宋体"/>
          <w:sz w:val="24"/>
          <w:szCs w:val="24"/>
        </w:rPr>
      </w:pPr>
      <w:r>
        <w:rPr>
          <w:rFonts w:ascii="宋体" w:hAnsi="宋体" w:eastAsia="宋体" w:cs="宋体"/>
          <w:spacing w:val="-4"/>
          <w:sz w:val="24"/>
          <w:szCs w:val="24"/>
        </w:rPr>
        <w:t>（备注：1、供应商如不提供此声明函，价格将不做相应扣除。2、中标供应</w:t>
      </w:r>
      <w:r>
        <w:rPr>
          <w:rFonts w:ascii="宋体" w:hAnsi="宋体" w:eastAsia="宋体" w:cs="宋体"/>
          <w:spacing w:val="-1"/>
          <w:sz w:val="24"/>
          <w:szCs w:val="24"/>
        </w:rPr>
        <w:t>商为残疾人福利单位的，此声明函将随中标</w:t>
      </w:r>
      <w:r>
        <w:rPr>
          <w:rFonts w:ascii="宋体" w:hAnsi="宋体" w:eastAsia="宋体" w:cs="宋体"/>
          <w:spacing w:val="-2"/>
          <w:sz w:val="24"/>
          <w:szCs w:val="24"/>
        </w:rPr>
        <w:t>结果同时公告，接受社会监督）</w:t>
      </w:r>
    </w:p>
    <w:p w14:paraId="211A6151">
      <w:pPr>
        <w:pStyle w:val="2"/>
        <w:spacing w:line="349" w:lineRule="auto"/>
        <w:outlineLvl w:val="9"/>
      </w:pPr>
    </w:p>
    <w:p w14:paraId="11DC9770">
      <w:pPr>
        <w:pStyle w:val="2"/>
        <w:spacing w:line="349" w:lineRule="auto"/>
        <w:outlineLvl w:val="9"/>
      </w:pPr>
    </w:p>
    <w:p w14:paraId="1E90F395">
      <w:pPr>
        <w:spacing w:before="78" w:line="219" w:lineRule="auto"/>
        <w:ind w:right="11"/>
        <w:jc w:val="right"/>
        <w:outlineLvl w:val="9"/>
        <w:rPr>
          <w:rFonts w:ascii="宋体" w:hAnsi="宋体" w:eastAsia="宋体" w:cs="宋体"/>
          <w:sz w:val="24"/>
          <w:szCs w:val="24"/>
        </w:rPr>
      </w:pPr>
      <w:r>
        <w:rPr>
          <w:rFonts w:ascii="宋体" w:hAnsi="宋体" w:eastAsia="宋体" w:cs="宋体"/>
          <w:spacing w:val="-4"/>
          <w:sz w:val="24"/>
          <w:szCs w:val="24"/>
        </w:rPr>
        <w:t>企业名称（公章</w:t>
      </w:r>
      <w:r>
        <w:rPr>
          <w:rFonts w:ascii="宋体" w:hAnsi="宋体" w:eastAsia="宋体" w:cs="宋体"/>
          <w:spacing w:val="-1"/>
          <w:sz w:val="24"/>
          <w:szCs w:val="24"/>
        </w:rPr>
        <w:t>）：</w:t>
      </w:r>
    </w:p>
    <w:p w14:paraId="7328E419">
      <w:pPr>
        <w:pStyle w:val="2"/>
        <w:spacing w:line="293" w:lineRule="auto"/>
        <w:outlineLvl w:val="9"/>
      </w:pPr>
    </w:p>
    <w:p w14:paraId="3585A7E9">
      <w:pPr>
        <w:spacing w:before="79" w:line="220" w:lineRule="auto"/>
        <w:ind w:left="6592"/>
        <w:outlineLvl w:val="9"/>
        <w:rPr>
          <w:rFonts w:ascii="宋体" w:hAnsi="宋体" w:eastAsia="宋体" w:cs="宋体"/>
          <w:sz w:val="24"/>
          <w:szCs w:val="24"/>
        </w:rPr>
      </w:pPr>
      <w:r>
        <w:rPr>
          <w:rFonts w:ascii="宋体" w:hAnsi="宋体" w:eastAsia="宋体" w:cs="宋体"/>
          <w:spacing w:val="-21"/>
          <w:sz w:val="24"/>
          <w:szCs w:val="24"/>
        </w:rPr>
        <w:t>日期：</w:t>
      </w:r>
    </w:p>
    <w:p w14:paraId="3461A022">
      <w:pPr>
        <w:spacing w:line="220" w:lineRule="auto"/>
        <w:outlineLvl w:val="9"/>
        <w:rPr>
          <w:rFonts w:ascii="宋体" w:hAnsi="宋体" w:eastAsia="宋体" w:cs="宋体"/>
          <w:sz w:val="24"/>
          <w:szCs w:val="24"/>
        </w:rPr>
        <w:sectPr>
          <w:headerReference r:id="rId96" w:type="default"/>
          <w:footerReference r:id="rId97" w:type="default"/>
          <w:pgSz w:w="11906" w:h="16840"/>
          <w:pgMar w:top="1091" w:right="1785" w:bottom="1098" w:left="1785" w:header="1077" w:footer="931" w:gutter="0"/>
          <w:pgNumType w:fmt="decimal"/>
          <w:cols w:space="720" w:num="1"/>
        </w:sectPr>
      </w:pPr>
    </w:p>
    <w:p w14:paraId="03A65A48">
      <w:pPr>
        <w:pStyle w:val="2"/>
        <w:spacing w:line="397" w:lineRule="auto"/>
        <w:outlineLvl w:val="9"/>
      </w:pPr>
    </w:p>
    <w:p w14:paraId="3E69AB28">
      <w:pPr>
        <w:spacing w:before="98" w:line="225" w:lineRule="auto"/>
        <w:ind w:left="83"/>
        <w:outlineLvl w:val="9"/>
        <w:rPr>
          <w:rFonts w:ascii="宋体" w:hAnsi="宋体" w:eastAsia="宋体" w:cs="宋体"/>
          <w:sz w:val="30"/>
          <w:szCs w:val="30"/>
        </w:rPr>
      </w:pPr>
      <w:bookmarkStart w:id="25" w:name="_Toc370_WPSOffice_Level1"/>
      <w:r>
        <w:rPr>
          <w:rFonts w:ascii="宋体" w:hAnsi="宋体" w:eastAsia="宋体" w:cs="宋体"/>
          <w:b/>
          <w:bCs/>
          <w:spacing w:val="-7"/>
          <w:sz w:val="30"/>
          <w:szCs w:val="30"/>
        </w:rPr>
        <w:t>附件十：</w:t>
      </w:r>
      <w:bookmarkEnd w:id="25"/>
    </w:p>
    <w:p w14:paraId="0B4627D4">
      <w:pPr>
        <w:spacing w:before="133" w:line="225" w:lineRule="auto"/>
        <w:ind w:left="2746"/>
        <w:outlineLvl w:val="9"/>
        <w:rPr>
          <w:rFonts w:ascii="宋体" w:hAnsi="宋体" w:eastAsia="宋体" w:cs="宋体"/>
          <w:sz w:val="30"/>
          <w:szCs w:val="30"/>
        </w:rPr>
      </w:pPr>
      <w:r>
        <w:rPr>
          <w:rFonts w:ascii="宋体" w:hAnsi="宋体" w:eastAsia="宋体" w:cs="宋体"/>
          <w:spacing w:val="15"/>
          <w:sz w:val="30"/>
          <w:szCs w:val="30"/>
        </w:rPr>
        <w:t>政府采购诚信承诺书</w:t>
      </w:r>
    </w:p>
    <w:p w14:paraId="5BCB4F85">
      <w:pPr>
        <w:pStyle w:val="2"/>
        <w:spacing w:line="305" w:lineRule="auto"/>
        <w:outlineLvl w:val="9"/>
      </w:pPr>
    </w:p>
    <w:p w14:paraId="1EE7D7CE">
      <w:pPr>
        <w:pStyle w:val="2"/>
        <w:spacing w:line="306" w:lineRule="auto"/>
        <w:outlineLvl w:val="9"/>
      </w:pPr>
    </w:p>
    <w:p w14:paraId="33639ADC">
      <w:pPr>
        <w:tabs>
          <w:tab w:val="left" w:pos="395"/>
        </w:tabs>
        <w:spacing w:before="78" w:line="219" w:lineRule="auto"/>
        <w:ind w:left="9"/>
        <w:outlineLvl w:val="9"/>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25"/>
          <w:w w:val="84"/>
          <w:sz w:val="24"/>
          <w:szCs w:val="24"/>
          <w:u w:val="single" w:color="auto"/>
        </w:rPr>
        <w:t>（采购人</w:t>
      </w:r>
      <w:r>
        <w:rPr>
          <w:rFonts w:ascii="宋体" w:hAnsi="宋体" w:eastAsia="宋体" w:cs="宋体"/>
          <w:spacing w:val="-12"/>
          <w:sz w:val="24"/>
          <w:szCs w:val="24"/>
          <w:u w:val="single" w:color="auto"/>
        </w:rPr>
        <w:t>）</w:t>
      </w:r>
      <w:r>
        <w:rPr>
          <w:rFonts w:ascii="宋体" w:hAnsi="宋体" w:eastAsia="宋体" w:cs="宋体"/>
          <w:spacing w:val="-12"/>
          <w:sz w:val="24"/>
          <w:szCs w:val="24"/>
        </w:rPr>
        <w:t>：</w:t>
      </w:r>
    </w:p>
    <w:p w14:paraId="49B2464C">
      <w:pPr>
        <w:spacing w:before="233" w:line="219" w:lineRule="auto"/>
        <w:ind w:right="29"/>
        <w:jc w:val="both"/>
        <w:outlineLvl w:val="9"/>
        <w:rPr>
          <w:rFonts w:ascii="宋体" w:hAnsi="宋体" w:eastAsia="宋体" w:cs="宋体"/>
          <w:sz w:val="24"/>
          <w:szCs w:val="24"/>
        </w:rPr>
      </w:pPr>
      <w:r>
        <w:rPr>
          <w:rFonts w:ascii="宋体" w:hAnsi="宋体" w:eastAsia="宋体" w:cs="宋体"/>
          <w:spacing w:val="-8"/>
          <w:sz w:val="24"/>
          <w:szCs w:val="24"/>
        </w:rPr>
        <w:t>我公司（供应商名称）已详细阅读了项目（项</w:t>
      </w:r>
      <w:r>
        <w:rPr>
          <w:rFonts w:ascii="宋体" w:hAnsi="宋体" w:eastAsia="宋体" w:cs="宋体"/>
          <w:spacing w:val="-6"/>
          <w:sz w:val="24"/>
          <w:szCs w:val="24"/>
        </w:rPr>
        <w:t>目编号</w:t>
      </w:r>
      <w:r>
        <w:rPr>
          <w:rFonts w:ascii="宋体" w:hAnsi="宋体" w:eastAsia="宋体" w:cs="宋体"/>
          <w:spacing w:val="-13"/>
          <w:sz w:val="24"/>
          <w:szCs w:val="24"/>
        </w:rPr>
        <w:t>：）</w:t>
      </w:r>
      <w:r>
        <w:rPr>
          <w:rFonts w:ascii="宋体" w:hAnsi="宋体" w:eastAsia="宋体" w:cs="宋体"/>
          <w:spacing w:val="-6"/>
          <w:sz w:val="24"/>
          <w:szCs w:val="24"/>
        </w:rPr>
        <w:t>招标文件，自愿参加本次投标，现就有关事项做出郑重承</w:t>
      </w:r>
    </w:p>
    <w:p w14:paraId="5B5BAE31">
      <w:pPr>
        <w:spacing w:before="195" w:line="220" w:lineRule="auto"/>
        <w:ind w:left="28"/>
        <w:outlineLvl w:val="9"/>
        <w:rPr>
          <w:rFonts w:ascii="宋体" w:hAnsi="宋体" w:eastAsia="宋体" w:cs="宋体"/>
          <w:sz w:val="24"/>
          <w:szCs w:val="24"/>
        </w:rPr>
      </w:pPr>
      <w:r>
        <w:rPr>
          <w:rFonts w:ascii="宋体" w:hAnsi="宋体" w:eastAsia="宋体" w:cs="宋体"/>
          <w:spacing w:val="-5"/>
          <w:sz w:val="24"/>
          <w:szCs w:val="24"/>
        </w:rPr>
        <w:t>诺如下：</w:t>
      </w:r>
    </w:p>
    <w:p w14:paraId="305B875B">
      <w:pPr>
        <w:spacing w:before="232" w:line="330" w:lineRule="auto"/>
        <w:ind w:left="28" w:firstLine="488"/>
        <w:outlineLvl w:val="9"/>
        <w:rPr>
          <w:rFonts w:ascii="宋体" w:hAnsi="宋体" w:eastAsia="宋体" w:cs="宋体"/>
          <w:sz w:val="24"/>
          <w:szCs w:val="24"/>
        </w:rPr>
      </w:pPr>
      <w:r>
        <w:rPr>
          <w:rFonts w:ascii="宋体" w:hAnsi="宋体" w:eastAsia="宋体" w:cs="宋体"/>
          <w:spacing w:val="-9"/>
          <w:sz w:val="24"/>
          <w:szCs w:val="24"/>
        </w:rPr>
        <w:t>一、诚信投标，材料真实。我公司保证所提供的</w:t>
      </w:r>
      <w:r>
        <w:rPr>
          <w:rFonts w:ascii="宋体" w:hAnsi="宋体" w:eastAsia="宋体" w:cs="宋体"/>
          <w:spacing w:val="-10"/>
          <w:sz w:val="24"/>
          <w:szCs w:val="24"/>
        </w:rPr>
        <w:t>全部材料、投标内容均真实、</w:t>
      </w:r>
      <w:r>
        <w:rPr>
          <w:rFonts w:ascii="宋体" w:hAnsi="宋体" w:eastAsia="宋体" w:cs="宋体"/>
          <w:spacing w:val="-3"/>
          <w:sz w:val="24"/>
          <w:szCs w:val="24"/>
        </w:rPr>
        <w:t>合法、有效，保证不出借或者借用其他企业资质，不以他人</w:t>
      </w:r>
      <w:r>
        <w:rPr>
          <w:rFonts w:ascii="宋体" w:hAnsi="宋体" w:eastAsia="宋体" w:cs="宋体"/>
          <w:spacing w:val="-4"/>
          <w:sz w:val="24"/>
          <w:szCs w:val="24"/>
        </w:rPr>
        <w:t>名义投标，不弄虚作</w:t>
      </w:r>
      <w:r>
        <w:rPr>
          <w:rFonts w:ascii="宋体" w:hAnsi="宋体" w:eastAsia="宋体" w:cs="宋体"/>
          <w:spacing w:val="-5"/>
          <w:sz w:val="24"/>
          <w:szCs w:val="24"/>
        </w:rPr>
        <w:t>假；</w:t>
      </w:r>
    </w:p>
    <w:p w14:paraId="2D806A8A">
      <w:pPr>
        <w:spacing w:before="209" w:line="331" w:lineRule="auto"/>
        <w:ind w:left="28" w:right="36" w:firstLine="488"/>
        <w:outlineLvl w:val="9"/>
        <w:rPr>
          <w:rFonts w:ascii="宋体" w:hAnsi="宋体" w:eastAsia="宋体" w:cs="宋体"/>
          <w:sz w:val="24"/>
          <w:szCs w:val="24"/>
        </w:rPr>
      </w:pPr>
      <w:r>
        <w:rPr>
          <w:rFonts w:ascii="宋体" w:hAnsi="宋体" w:eastAsia="宋体" w:cs="宋体"/>
          <w:spacing w:val="-4"/>
          <w:sz w:val="24"/>
          <w:szCs w:val="24"/>
        </w:rPr>
        <w:t>二、遵纪守法，公平竞争。不与其他供应商相互串通、哄抬价格，不排挤其</w:t>
      </w:r>
      <w:r>
        <w:rPr>
          <w:rFonts w:ascii="宋体" w:hAnsi="宋体" w:eastAsia="宋体" w:cs="宋体"/>
          <w:spacing w:val="-3"/>
          <w:sz w:val="24"/>
          <w:szCs w:val="24"/>
        </w:rPr>
        <w:t>他供应商，不损害采购人的合法权益；不向评标委员会、采</w:t>
      </w:r>
      <w:r>
        <w:rPr>
          <w:rFonts w:ascii="宋体" w:hAnsi="宋体" w:eastAsia="宋体" w:cs="宋体"/>
          <w:spacing w:val="-4"/>
          <w:sz w:val="24"/>
          <w:szCs w:val="24"/>
        </w:rPr>
        <w:t>购人提供利益以牟取</w:t>
      </w:r>
      <w:r>
        <w:rPr>
          <w:rFonts w:ascii="宋体" w:hAnsi="宋体" w:eastAsia="宋体" w:cs="宋体"/>
          <w:spacing w:val="-5"/>
          <w:sz w:val="24"/>
          <w:szCs w:val="24"/>
        </w:rPr>
        <w:t>中标。</w:t>
      </w:r>
    </w:p>
    <w:p w14:paraId="5CA95208">
      <w:pPr>
        <w:spacing w:before="204" w:line="331" w:lineRule="auto"/>
        <w:ind w:left="28" w:right="37" w:firstLine="480"/>
        <w:outlineLvl w:val="9"/>
        <w:rPr>
          <w:rFonts w:ascii="宋体" w:hAnsi="宋体" w:eastAsia="宋体" w:cs="宋体"/>
          <w:sz w:val="24"/>
          <w:szCs w:val="24"/>
        </w:rPr>
      </w:pPr>
      <w:r>
        <w:rPr>
          <w:rFonts w:ascii="宋体" w:hAnsi="宋体" w:eastAsia="宋体" w:cs="宋体"/>
          <w:spacing w:val="-3"/>
          <w:sz w:val="24"/>
          <w:szCs w:val="24"/>
        </w:rPr>
        <w:t>三、若中标后，将按照规定及时与采购人签订政府采购合</w:t>
      </w:r>
      <w:r>
        <w:rPr>
          <w:rFonts w:ascii="宋体" w:hAnsi="宋体" w:eastAsia="宋体" w:cs="宋体"/>
          <w:spacing w:val="-4"/>
          <w:sz w:val="24"/>
          <w:szCs w:val="24"/>
        </w:rPr>
        <w:t>同，不与采购人订</w:t>
      </w:r>
      <w:r>
        <w:rPr>
          <w:rFonts w:ascii="宋体" w:hAnsi="宋体" w:eastAsia="宋体" w:cs="宋体"/>
          <w:spacing w:val="-3"/>
          <w:sz w:val="24"/>
          <w:szCs w:val="24"/>
        </w:rPr>
        <w:t>立有悖于采购结果的合同或协议；严格履行政府采购合同，</w:t>
      </w:r>
      <w:r>
        <w:rPr>
          <w:rFonts w:ascii="宋体" w:hAnsi="宋体" w:eastAsia="宋体" w:cs="宋体"/>
          <w:spacing w:val="-4"/>
          <w:sz w:val="24"/>
          <w:szCs w:val="24"/>
        </w:rPr>
        <w:t>不降低合同约定的产</w:t>
      </w:r>
      <w:r>
        <w:rPr>
          <w:rFonts w:ascii="宋体" w:hAnsi="宋体" w:eastAsia="宋体" w:cs="宋体"/>
          <w:spacing w:val="-1"/>
          <w:sz w:val="24"/>
          <w:szCs w:val="24"/>
        </w:rPr>
        <w:t>品质量和服务，不擅自变更、中止、终止合同，或者拒绝履行合同义务；</w:t>
      </w:r>
    </w:p>
    <w:p w14:paraId="693F4F73">
      <w:pPr>
        <w:spacing w:before="207" w:line="387" w:lineRule="auto"/>
        <w:ind w:left="32" w:right="34" w:firstLine="476"/>
        <w:jc w:val="both"/>
        <w:outlineLvl w:val="9"/>
        <w:rPr>
          <w:rFonts w:ascii="宋体" w:hAnsi="宋体" w:eastAsia="宋体" w:cs="宋体"/>
          <w:sz w:val="24"/>
          <w:szCs w:val="24"/>
        </w:rPr>
      </w:pPr>
      <w:r>
        <w:rPr>
          <w:rFonts w:ascii="宋体" w:hAnsi="宋体" w:eastAsia="宋体" w:cs="宋体"/>
          <w:spacing w:val="-3"/>
          <w:sz w:val="24"/>
          <w:szCs w:val="24"/>
        </w:rPr>
        <w:t>若有违反以上承诺内容的行为，我公司自愿接受取消投标资格</w:t>
      </w:r>
      <w:r>
        <w:rPr>
          <w:rFonts w:ascii="宋体" w:hAnsi="宋体" w:eastAsia="宋体" w:cs="宋体"/>
          <w:spacing w:val="-4"/>
          <w:sz w:val="24"/>
          <w:szCs w:val="24"/>
        </w:rPr>
        <w:t>、记入信用档</w:t>
      </w:r>
      <w:r>
        <w:rPr>
          <w:rFonts w:ascii="宋体" w:hAnsi="宋体" w:eastAsia="宋体" w:cs="宋体"/>
          <w:spacing w:val="-3"/>
          <w:sz w:val="24"/>
          <w:szCs w:val="24"/>
        </w:rPr>
        <w:t>案、媒体通报、1-3年内禁止参与政府采购等处罚；如已中标的，自动放弃中标</w:t>
      </w:r>
      <w:r>
        <w:rPr>
          <w:rFonts w:ascii="宋体" w:hAnsi="宋体" w:eastAsia="宋体" w:cs="宋体"/>
          <w:spacing w:val="-1"/>
          <w:sz w:val="24"/>
          <w:szCs w:val="24"/>
        </w:rPr>
        <w:t>资格，并承担全部法律责任；给采购人造成损失的，依法承担赔偿责任。</w:t>
      </w:r>
    </w:p>
    <w:p w14:paraId="4313A983">
      <w:pPr>
        <w:pStyle w:val="2"/>
        <w:spacing w:line="275" w:lineRule="auto"/>
        <w:outlineLvl w:val="9"/>
      </w:pPr>
    </w:p>
    <w:p w14:paraId="0BFCEF6E">
      <w:pPr>
        <w:pStyle w:val="2"/>
        <w:spacing w:line="276" w:lineRule="auto"/>
        <w:outlineLvl w:val="9"/>
      </w:pPr>
    </w:p>
    <w:p w14:paraId="5222B79A">
      <w:pPr>
        <w:pStyle w:val="2"/>
        <w:spacing w:line="276" w:lineRule="auto"/>
        <w:outlineLvl w:val="9"/>
      </w:pPr>
    </w:p>
    <w:p w14:paraId="4650E11A">
      <w:pPr>
        <w:pStyle w:val="2"/>
        <w:spacing w:line="276" w:lineRule="auto"/>
        <w:outlineLvl w:val="9"/>
      </w:pPr>
    </w:p>
    <w:p w14:paraId="2228C497">
      <w:pPr>
        <w:pStyle w:val="2"/>
        <w:spacing w:line="276" w:lineRule="auto"/>
        <w:outlineLvl w:val="9"/>
      </w:pPr>
    </w:p>
    <w:p w14:paraId="7410ED7E">
      <w:pPr>
        <w:spacing w:before="78" w:line="219" w:lineRule="auto"/>
        <w:ind w:left="3299"/>
        <w:outlineLvl w:val="9"/>
        <w:rPr>
          <w:rFonts w:ascii="宋体" w:hAnsi="宋体" w:eastAsia="宋体" w:cs="宋体"/>
          <w:sz w:val="24"/>
          <w:szCs w:val="24"/>
        </w:rPr>
      </w:pPr>
      <w:r>
        <w:rPr>
          <w:rFonts w:ascii="宋体" w:hAnsi="宋体" w:eastAsia="宋体" w:cs="宋体"/>
          <w:spacing w:val="-2"/>
          <w:sz w:val="24"/>
          <w:szCs w:val="24"/>
        </w:rPr>
        <w:t>供应商</w:t>
      </w:r>
      <w:r>
        <w:rPr>
          <w:rFonts w:ascii="宋体" w:hAnsi="宋体" w:eastAsia="宋体" w:cs="宋体"/>
          <w:spacing w:val="-30"/>
          <w:sz w:val="24"/>
          <w:szCs w:val="24"/>
        </w:rPr>
        <w:t>：（</w:t>
      </w:r>
      <w:r>
        <w:rPr>
          <w:rFonts w:ascii="宋体" w:hAnsi="宋体" w:eastAsia="宋体" w:cs="宋体"/>
          <w:spacing w:val="-2"/>
          <w:sz w:val="24"/>
          <w:szCs w:val="24"/>
        </w:rPr>
        <w:t>盖单位公章）</w:t>
      </w:r>
    </w:p>
    <w:p w14:paraId="00E71193">
      <w:pPr>
        <w:pStyle w:val="2"/>
        <w:spacing w:line="288" w:lineRule="auto"/>
        <w:outlineLvl w:val="9"/>
      </w:pPr>
    </w:p>
    <w:p w14:paraId="1106A47C">
      <w:pPr>
        <w:spacing w:before="79" w:line="219" w:lineRule="auto"/>
        <w:ind w:left="3302"/>
        <w:outlineLvl w:val="9"/>
        <w:rPr>
          <w:rFonts w:ascii="宋体" w:hAnsi="宋体" w:eastAsia="宋体" w:cs="宋体"/>
          <w:sz w:val="24"/>
          <w:szCs w:val="24"/>
        </w:rPr>
      </w:pPr>
      <w:r>
        <w:rPr>
          <w:rFonts w:ascii="宋体" w:hAnsi="宋体" w:eastAsia="宋体" w:cs="宋体"/>
          <w:spacing w:val="2"/>
          <w:sz w:val="24"/>
          <w:szCs w:val="24"/>
        </w:rPr>
        <w:t>法定代表人</w:t>
      </w:r>
      <w:r>
        <w:rPr>
          <w:rFonts w:ascii="宋体" w:hAnsi="宋体" w:eastAsia="宋体" w:cs="宋体"/>
          <w:spacing w:val="-25"/>
          <w:sz w:val="24"/>
          <w:szCs w:val="24"/>
        </w:rPr>
        <w:t>：（</w:t>
      </w:r>
      <w:r>
        <w:rPr>
          <w:rFonts w:ascii="宋体" w:hAnsi="宋体" w:eastAsia="宋体" w:cs="宋体"/>
          <w:spacing w:val="2"/>
          <w:sz w:val="24"/>
          <w:szCs w:val="24"/>
        </w:rPr>
        <w:t>签字或盖章）</w:t>
      </w:r>
    </w:p>
    <w:p w14:paraId="787F1468">
      <w:pPr>
        <w:pStyle w:val="2"/>
        <w:spacing w:line="260" w:lineRule="auto"/>
        <w:outlineLvl w:val="9"/>
      </w:pPr>
    </w:p>
    <w:p w14:paraId="00C7C7EF">
      <w:pPr>
        <w:spacing w:before="78" w:line="219" w:lineRule="auto"/>
        <w:ind w:left="3724"/>
        <w:outlineLvl w:val="9"/>
        <w:rPr>
          <w:rFonts w:ascii="宋体" w:hAnsi="宋体" w:eastAsia="宋体" w:cs="宋体"/>
          <w:sz w:val="24"/>
          <w:szCs w:val="24"/>
        </w:rPr>
      </w:pPr>
      <w:r>
        <w:rPr>
          <w:rFonts w:ascii="宋体" w:hAnsi="宋体" w:eastAsia="宋体" w:cs="宋体"/>
          <w:spacing w:val="-17"/>
          <w:sz w:val="24"/>
          <w:szCs w:val="24"/>
        </w:rPr>
        <w:t>日期：年月日</w:t>
      </w:r>
    </w:p>
    <w:p w14:paraId="4B8D27C1">
      <w:pPr>
        <w:spacing w:line="219" w:lineRule="auto"/>
        <w:outlineLvl w:val="9"/>
        <w:rPr>
          <w:rFonts w:ascii="宋体" w:hAnsi="宋体" w:eastAsia="宋体" w:cs="宋体"/>
          <w:sz w:val="24"/>
          <w:szCs w:val="24"/>
        </w:rPr>
        <w:sectPr>
          <w:headerReference r:id="rId98" w:type="default"/>
          <w:footerReference r:id="rId99" w:type="default"/>
          <w:pgSz w:w="11906" w:h="16840"/>
          <w:pgMar w:top="1091" w:right="1760" w:bottom="1156" w:left="1785" w:header="1077" w:footer="910" w:gutter="0"/>
          <w:pgNumType w:fmt="decimal"/>
          <w:cols w:space="720" w:num="1"/>
        </w:sectPr>
      </w:pPr>
    </w:p>
    <w:p w14:paraId="13E8AB1E">
      <w:pPr>
        <w:pStyle w:val="2"/>
        <w:spacing w:line="272" w:lineRule="auto"/>
        <w:outlineLvl w:val="9"/>
      </w:pPr>
    </w:p>
    <w:p w14:paraId="077A21BB">
      <w:pPr>
        <w:pStyle w:val="2"/>
        <w:spacing w:line="273" w:lineRule="auto"/>
        <w:outlineLvl w:val="9"/>
      </w:pPr>
    </w:p>
    <w:p w14:paraId="7B2B7D5D">
      <w:pPr>
        <w:spacing w:before="97" w:line="225" w:lineRule="auto"/>
        <w:ind w:left="2063"/>
        <w:outlineLvl w:val="9"/>
        <w:rPr>
          <w:rFonts w:ascii="宋体" w:hAnsi="宋体" w:eastAsia="宋体" w:cs="宋体"/>
          <w:sz w:val="24"/>
          <w:szCs w:val="24"/>
        </w:rPr>
      </w:pPr>
      <w:bookmarkStart w:id="26" w:name="_Toc10099_WPSOffice_Level1"/>
      <w:r>
        <w:rPr>
          <w:rFonts w:ascii="宋体" w:hAnsi="宋体" w:eastAsia="宋体" w:cs="宋体"/>
          <w:b/>
          <w:bCs/>
          <w:spacing w:val="-2"/>
          <w:sz w:val="30"/>
          <w:szCs w:val="30"/>
        </w:rPr>
        <w:t>附件十一：</w:t>
      </w:r>
      <w:r>
        <w:rPr>
          <w:rFonts w:ascii="宋体" w:hAnsi="宋体" w:eastAsia="宋体" w:cs="宋体"/>
          <w:b/>
          <w:bCs/>
          <w:spacing w:val="-2"/>
          <w:sz w:val="24"/>
          <w:szCs w:val="24"/>
        </w:rPr>
        <w:t>关于符合本国产品标准的声明函（若有）</w:t>
      </w:r>
      <w:bookmarkEnd w:id="26"/>
    </w:p>
    <w:p w14:paraId="1D560DF0">
      <w:pPr>
        <w:spacing w:before="99" w:line="357" w:lineRule="auto"/>
        <w:ind w:left="47" w:firstLine="420"/>
        <w:jc w:val="both"/>
        <w:outlineLvl w:val="9"/>
        <w:rPr>
          <w:rFonts w:ascii="宋体" w:hAnsi="宋体" w:eastAsia="宋体" w:cs="宋体"/>
          <w:sz w:val="24"/>
          <w:szCs w:val="24"/>
        </w:rPr>
      </w:pPr>
      <w:r>
        <w:rPr>
          <w:rFonts w:ascii="宋体" w:hAnsi="宋体" w:eastAsia="宋体" w:cs="宋体"/>
          <w:spacing w:val="-2"/>
          <w:sz w:val="24"/>
          <w:szCs w:val="24"/>
        </w:rPr>
        <w:t>本公司（单位）郑重声明，根据《国务院办公厅关于在政府采购中</w:t>
      </w:r>
      <w:r>
        <w:rPr>
          <w:rFonts w:ascii="宋体" w:hAnsi="宋体" w:eastAsia="宋体" w:cs="宋体"/>
          <w:spacing w:val="-3"/>
          <w:sz w:val="24"/>
          <w:szCs w:val="24"/>
        </w:rPr>
        <w:t>实施本国</w:t>
      </w:r>
      <w:r>
        <w:rPr>
          <w:rFonts w:ascii="宋体" w:hAnsi="宋体" w:eastAsia="宋体" w:cs="宋体"/>
          <w:sz w:val="24"/>
          <w:szCs w:val="24"/>
        </w:rPr>
        <w:t>产品标准及相关政策的通知》（国办发〔2025〕34号）的规定，本</w:t>
      </w:r>
      <w:r>
        <w:rPr>
          <w:rFonts w:ascii="宋体" w:hAnsi="宋体" w:eastAsia="宋体" w:cs="宋体"/>
          <w:spacing w:val="-1"/>
          <w:sz w:val="24"/>
          <w:szCs w:val="24"/>
        </w:rPr>
        <w:t>公司（单位）</w:t>
      </w:r>
      <w:r>
        <w:rPr>
          <w:rFonts w:ascii="宋体" w:hAnsi="宋体" w:eastAsia="宋体" w:cs="宋体"/>
          <w:spacing w:val="-2"/>
          <w:sz w:val="24"/>
          <w:szCs w:val="24"/>
        </w:rPr>
        <w:t>提供的以下产品属于本国产品。具体情况如下：</w:t>
      </w:r>
    </w:p>
    <w:p w14:paraId="37A6F8A4">
      <w:pPr>
        <w:tabs>
          <w:tab w:val="left" w:pos="177"/>
        </w:tabs>
        <w:spacing w:before="7" w:line="358" w:lineRule="auto"/>
        <w:ind w:left="42" w:right="312" w:firstLine="459"/>
        <w:outlineLvl w:val="9"/>
        <w:rPr>
          <w:rFonts w:ascii="宋体" w:hAnsi="宋体" w:eastAsia="宋体" w:cs="宋体"/>
          <w:sz w:val="24"/>
          <w:szCs w:val="24"/>
        </w:rPr>
      </w:pPr>
      <w:r>
        <w:rPr>
          <w:rFonts w:ascii="宋体" w:hAnsi="宋体" w:eastAsia="宋体" w:cs="宋体"/>
          <w:spacing w:val="-5"/>
          <w:sz w:val="24"/>
          <w:szCs w:val="24"/>
        </w:rPr>
        <w:t>1.</w:t>
      </w:r>
      <w:r>
        <w:rPr>
          <w:rFonts w:ascii="宋体" w:hAnsi="宋体" w:eastAsia="宋体" w:cs="宋体"/>
          <w:spacing w:val="-5"/>
          <w:sz w:val="24"/>
          <w:szCs w:val="24"/>
          <w:u w:val="single" w:color="auto"/>
        </w:rPr>
        <w:t>（产品名称1）</w:t>
      </w:r>
      <w:r>
        <w:rPr>
          <w:rFonts w:ascii="宋体" w:hAnsi="宋体" w:eastAsia="宋体" w:cs="宋体"/>
          <w:spacing w:val="-5"/>
          <w:position w:val="11"/>
          <w:sz w:val="12"/>
          <w:szCs w:val="12"/>
        </w:rPr>
        <w:t>1</w:t>
      </w:r>
      <w:r>
        <w:rPr>
          <w:rFonts w:ascii="宋体" w:hAnsi="宋体" w:eastAsia="宋体" w:cs="宋体"/>
          <w:spacing w:val="-5"/>
          <w:sz w:val="24"/>
          <w:szCs w:val="24"/>
        </w:rPr>
        <w:t>，生产厂为</w:t>
      </w:r>
      <w:r>
        <w:rPr>
          <w:rFonts w:ascii="宋体" w:hAnsi="宋体" w:eastAsia="宋体" w:cs="宋体"/>
          <w:spacing w:val="-5"/>
          <w:sz w:val="24"/>
          <w:szCs w:val="24"/>
          <w:u w:val="single" w:color="auto"/>
        </w:rPr>
        <w:t>（厂名）</w:t>
      </w:r>
      <w:r>
        <w:rPr>
          <w:rFonts w:ascii="宋体" w:hAnsi="宋体" w:eastAsia="宋体" w:cs="宋体"/>
          <w:spacing w:val="-5"/>
          <w:position w:val="11"/>
          <w:sz w:val="12"/>
          <w:szCs w:val="12"/>
        </w:rPr>
        <w:t>2</w:t>
      </w:r>
      <w:r>
        <w:rPr>
          <w:rFonts w:ascii="宋体" w:hAnsi="宋体" w:eastAsia="宋体" w:cs="宋体"/>
          <w:spacing w:val="-5"/>
          <w:sz w:val="24"/>
          <w:szCs w:val="24"/>
        </w:rPr>
        <w:t>，厂址为</w:t>
      </w:r>
      <w:r>
        <w:rPr>
          <w:rFonts w:ascii="宋体" w:hAnsi="宋体" w:eastAsia="宋体" w:cs="宋体"/>
          <w:spacing w:val="-5"/>
          <w:sz w:val="24"/>
          <w:szCs w:val="24"/>
          <w:u w:val="single" w:color="auto"/>
        </w:rPr>
        <w:t>（生产厂</w:t>
      </w:r>
      <w:r>
        <w:rPr>
          <w:rFonts w:ascii="宋体" w:hAnsi="宋体" w:eastAsia="宋体" w:cs="宋体"/>
          <w:spacing w:val="-6"/>
          <w:sz w:val="24"/>
          <w:szCs w:val="24"/>
          <w:u w:val="single" w:color="auto"/>
        </w:rPr>
        <w:t>址）</w:t>
      </w:r>
      <w:r>
        <w:rPr>
          <w:rFonts w:ascii="宋体" w:hAnsi="宋体" w:eastAsia="宋体" w:cs="宋体"/>
          <w:spacing w:val="-6"/>
          <w:sz w:val="24"/>
          <w:szCs w:val="24"/>
        </w:rPr>
        <w:t>。</w:t>
      </w:r>
      <w:r>
        <w:rPr>
          <w:rFonts w:ascii="宋体" w:hAnsi="宋体" w:eastAsia="宋体" w:cs="宋体"/>
          <w:spacing w:val="-6"/>
          <w:sz w:val="24"/>
          <w:szCs w:val="24"/>
          <w:u w:val="single" w:color="auto"/>
        </w:rPr>
        <w:t>（产品名</w:t>
      </w:r>
      <w:r>
        <w:rPr>
          <w:rFonts w:ascii="宋体" w:hAnsi="宋体" w:eastAsia="宋体" w:cs="宋体"/>
          <w:spacing w:val="3"/>
          <w:sz w:val="24"/>
          <w:szCs w:val="24"/>
          <w:u w:val="single" w:color="auto"/>
        </w:rPr>
        <w:t>称1）</w:t>
      </w:r>
      <w:r>
        <w:rPr>
          <w:rFonts w:ascii="宋体" w:hAnsi="宋体" w:eastAsia="宋体" w:cs="宋体"/>
          <w:spacing w:val="3"/>
          <w:sz w:val="24"/>
          <w:szCs w:val="24"/>
        </w:rPr>
        <w:t>的中国境内生产的组件成本占比≥</w:t>
      </w:r>
      <w:r>
        <w:rPr>
          <w:rFonts w:ascii="宋体" w:hAnsi="宋体" w:eastAsia="宋体" w:cs="宋体"/>
          <w:spacing w:val="3"/>
          <w:sz w:val="24"/>
          <w:szCs w:val="24"/>
          <w:u w:val="single" w:color="auto"/>
        </w:rPr>
        <w:t>（规定比例）</w:t>
      </w:r>
      <w:r>
        <w:rPr>
          <w:rFonts w:ascii="宋体" w:hAnsi="宋体" w:eastAsia="宋体" w:cs="宋体"/>
          <w:spacing w:val="3"/>
          <w:position w:val="10"/>
          <w:sz w:val="12"/>
          <w:szCs w:val="12"/>
        </w:rPr>
        <w:t>3</w:t>
      </w:r>
      <w:r>
        <w:rPr>
          <w:rFonts w:ascii="宋体" w:hAnsi="宋体" w:eastAsia="宋体" w:cs="宋体"/>
          <w:spacing w:val="3"/>
          <w:sz w:val="24"/>
          <w:szCs w:val="24"/>
        </w:rPr>
        <w:t>。</w:t>
      </w:r>
      <w:r>
        <w:rPr>
          <w:rFonts w:ascii="宋体" w:hAnsi="宋体" w:eastAsia="宋体" w:cs="宋体"/>
          <w:spacing w:val="3"/>
          <w:sz w:val="24"/>
          <w:szCs w:val="24"/>
          <w:u w:val="single" w:color="auto"/>
        </w:rPr>
        <w:t>（产品名称</w:t>
      </w:r>
      <w:r>
        <w:rPr>
          <w:rFonts w:ascii="宋体" w:hAnsi="宋体" w:eastAsia="宋体" w:cs="宋体"/>
          <w:spacing w:val="2"/>
          <w:sz w:val="24"/>
          <w:szCs w:val="24"/>
          <w:u w:val="single" w:color="auto"/>
        </w:rPr>
        <w:t>1）</w:t>
      </w:r>
      <w:r>
        <w:rPr>
          <w:rFonts w:ascii="宋体" w:hAnsi="宋体" w:eastAsia="宋体" w:cs="宋体"/>
          <w:spacing w:val="2"/>
          <w:sz w:val="24"/>
          <w:szCs w:val="24"/>
        </w:rPr>
        <w:t>的</w:t>
      </w:r>
      <w:r>
        <w:rPr>
          <w:rFonts w:ascii="宋体" w:hAnsi="宋体" w:eastAsia="宋体" w:cs="宋体"/>
          <w:sz w:val="24"/>
          <w:szCs w:val="24"/>
          <w:u w:val="single" w:color="auto"/>
        </w:rPr>
        <w:tab/>
      </w:r>
      <w:r>
        <w:rPr>
          <w:rFonts w:ascii="宋体" w:hAnsi="宋体" w:eastAsia="宋体" w:cs="宋体"/>
          <w:spacing w:val="-26"/>
          <w:sz w:val="24"/>
          <w:szCs w:val="24"/>
          <w:u w:val="single" w:color="auto"/>
        </w:rPr>
        <w:t>（关键组件）</w:t>
      </w:r>
      <w:r>
        <w:rPr>
          <w:rFonts w:ascii="宋体" w:hAnsi="宋体" w:eastAsia="宋体" w:cs="宋体"/>
          <w:spacing w:val="-3"/>
          <w:position w:val="11"/>
          <w:sz w:val="12"/>
          <w:szCs w:val="12"/>
        </w:rPr>
        <w:t>4</w:t>
      </w:r>
      <w:r>
        <w:rPr>
          <w:rFonts w:ascii="宋体" w:hAnsi="宋体" w:eastAsia="宋体" w:cs="宋体"/>
          <w:spacing w:val="-3"/>
          <w:sz w:val="24"/>
          <w:szCs w:val="24"/>
        </w:rPr>
        <w:t>在中国境内生产。</w:t>
      </w:r>
      <w:r>
        <w:rPr>
          <w:rFonts w:ascii="宋体" w:hAnsi="宋体" w:eastAsia="宋体" w:cs="宋体"/>
          <w:spacing w:val="-3"/>
          <w:sz w:val="24"/>
          <w:szCs w:val="24"/>
          <w:u w:val="single" w:color="auto"/>
        </w:rPr>
        <w:t>（产品名称1）</w:t>
      </w:r>
      <w:r>
        <w:rPr>
          <w:rFonts w:ascii="宋体" w:hAnsi="宋体" w:eastAsia="宋体" w:cs="宋体"/>
          <w:spacing w:val="-3"/>
          <w:sz w:val="24"/>
          <w:szCs w:val="24"/>
        </w:rPr>
        <w:t>的</w:t>
      </w:r>
      <w:r>
        <w:rPr>
          <w:rFonts w:ascii="宋体" w:hAnsi="宋体" w:eastAsia="宋体" w:cs="宋体"/>
          <w:spacing w:val="-3"/>
          <w:sz w:val="24"/>
          <w:szCs w:val="24"/>
          <w:u w:val="single" w:color="auto"/>
        </w:rPr>
        <w:t>（关键工序）</w:t>
      </w:r>
      <w:r>
        <w:rPr>
          <w:rFonts w:ascii="宋体" w:hAnsi="宋体" w:eastAsia="宋体" w:cs="宋体"/>
          <w:spacing w:val="-3"/>
          <w:position w:val="11"/>
          <w:sz w:val="12"/>
          <w:szCs w:val="12"/>
        </w:rPr>
        <w:t>5</w:t>
      </w:r>
      <w:r>
        <w:rPr>
          <w:rFonts w:ascii="宋体" w:hAnsi="宋体" w:eastAsia="宋体" w:cs="宋体"/>
          <w:spacing w:val="-3"/>
          <w:sz w:val="24"/>
          <w:szCs w:val="24"/>
        </w:rPr>
        <w:t>在中国境内</w:t>
      </w:r>
      <w:r>
        <w:rPr>
          <w:rFonts w:ascii="宋体" w:hAnsi="宋体" w:eastAsia="宋体" w:cs="宋体"/>
          <w:spacing w:val="-1"/>
          <w:sz w:val="24"/>
          <w:szCs w:val="24"/>
        </w:rPr>
        <w:t>完成。</w:t>
      </w:r>
    </w:p>
    <w:p w14:paraId="12B09B05">
      <w:pPr>
        <w:tabs>
          <w:tab w:val="left" w:pos="177"/>
        </w:tabs>
        <w:spacing w:before="42" w:line="357" w:lineRule="auto"/>
        <w:ind w:left="42" w:right="336" w:firstLine="433"/>
        <w:outlineLvl w:val="9"/>
        <w:rPr>
          <w:rFonts w:ascii="宋体" w:hAnsi="宋体" w:eastAsia="宋体" w:cs="宋体"/>
          <w:sz w:val="24"/>
          <w:szCs w:val="24"/>
        </w:rPr>
      </w:pPr>
      <w:r>
        <w:rPr>
          <w:rFonts w:ascii="宋体" w:hAnsi="宋体" w:eastAsia="宋体" w:cs="宋体"/>
          <w:sz w:val="24"/>
          <w:szCs w:val="24"/>
        </w:rPr>
        <w:t>2.</w:t>
      </w:r>
      <w:r>
        <w:rPr>
          <w:rFonts w:ascii="宋体" w:hAnsi="宋体" w:eastAsia="宋体" w:cs="宋体"/>
          <w:sz w:val="24"/>
          <w:szCs w:val="24"/>
          <w:u w:val="single" w:color="auto"/>
        </w:rPr>
        <w:t>（产品名称2</w:t>
      </w:r>
      <w:r>
        <w:rPr>
          <w:rFonts w:ascii="宋体" w:hAnsi="宋体" w:eastAsia="宋体" w:cs="宋体"/>
          <w:spacing w:val="19"/>
          <w:sz w:val="24"/>
          <w:szCs w:val="24"/>
          <w:u w:val="single" w:color="auto"/>
        </w:rPr>
        <w:t>）</w:t>
      </w:r>
      <w:r>
        <w:rPr>
          <w:rFonts w:ascii="宋体" w:hAnsi="宋体" w:eastAsia="宋体" w:cs="宋体"/>
          <w:spacing w:val="19"/>
          <w:sz w:val="24"/>
          <w:szCs w:val="24"/>
        </w:rPr>
        <w:t>，</w:t>
      </w:r>
      <w:r>
        <w:rPr>
          <w:rFonts w:ascii="宋体" w:hAnsi="宋体" w:eastAsia="宋体" w:cs="宋体"/>
          <w:sz w:val="24"/>
          <w:szCs w:val="24"/>
        </w:rPr>
        <w:t>生产厂为</w:t>
      </w:r>
      <w:r>
        <w:rPr>
          <w:rFonts w:ascii="宋体" w:hAnsi="宋体" w:eastAsia="宋体" w:cs="宋体"/>
          <w:sz w:val="24"/>
          <w:szCs w:val="24"/>
          <w:u w:val="single" w:color="auto"/>
        </w:rPr>
        <w:t>（厂名</w:t>
      </w:r>
      <w:r>
        <w:rPr>
          <w:rFonts w:ascii="宋体" w:hAnsi="宋体" w:eastAsia="宋体" w:cs="宋体"/>
          <w:spacing w:val="19"/>
          <w:sz w:val="24"/>
          <w:szCs w:val="24"/>
          <w:u w:val="single" w:color="auto"/>
        </w:rPr>
        <w:t>）</w:t>
      </w:r>
      <w:r>
        <w:rPr>
          <w:rFonts w:ascii="宋体" w:hAnsi="宋体" w:eastAsia="宋体" w:cs="宋体"/>
          <w:spacing w:val="19"/>
          <w:sz w:val="24"/>
          <w:szCs w:val="24"/>
        </w:rPr>
        <w:t>，</w:t>
      </w:r>
      <w:r>
        <w:rPr>
          <w:rFonts w:ascii="宋体" w:hAnsi="宋体" w:eastAsia="宋体" w:cs="宋体"/>
          <w:sz w:val="24"/>
          <w:szCs w:val="24"/>
        </w:rPr>
        <w:t>厂址为</w:t>
      </w:r>
      <w:r>
        <w:rPr>
          <w:rFonts w:ascii="宋体" w:hAnsi="宋体" w:eastAsia="宋体" w:cs="宋体"/>
          <w:sz w:val="24"/>
          <w:szCs w:val="24"/>
          <w:u w:val="single" w:color="auto"/>
        </w:rPr>
        <w:t>（生产厂址）</w:t>
      </w:r>
      <w:r>
        <w:rPr>
          <w:rFonts w:ascii="宋体" w:hAnsi="宋体" w:eastAsia="宋体" w:cs="宋体"/>
          <w:sz w:val="24"/>
          <w:szCs w:val="24"/>
        </w:rPr>
        <w:t>。</w:t>
      </w:r>
      <w:r>
        <w:rPr>
          <w:rFonts w:ascii="宋体" w:hAnsi="宋体" w:eastAsia="宋体" w:cs="宋体"/>
          <w:sz w:val="24"/>
          <w:szCs w:val="24"/>
          <w:u w:val="single" w:color="auto"/>
        </w:rPr>
        <w:t>（产</w:t>
      </w:r>
      <w:r>
        <w:rPr>
          <w:rFonts w:ascii="宋体" w:hAnsi="宋体" w:eastAsia="宋体" w:cs="宋体"/>
          <w:spacing w:val="-1"/>
          <w:sz w:val="24"/>
          <w:szCs w:val="24"/>
          <w:u w:val="single" w:color="auto"/>
        </w:rPr>
        <w:t>品名</w:t>
      </w:r>
      <w:r>
        <w:rPr>
          <w:rFonts w:ascii="宋体" w:hAnsi="宋体" w:eastAsia="宋体" w:cs="宋体"/>
          <w:spacing w:val="7"/>
          <w:sz w:val="24"/>
          <w:szCs w:val="24"/>
          <w:u w:val="single" w:color="auto"/>
        </w:rPr>
        <w:t>称2）</w:t>
      </w:r>
      <w:r>
        <w:rPr>
          <w:rFonts w:ascii="宋体" w:hAnsi="宋体" w:eastAsia="宋体" w:cs="宋体"/>
          <w:spacing w:val="7"/>
          <w:sz w:val="24"/>
          <w:szCs w:val="24"/>
        </w:rPr>
        <w:t>的中国境内生产的组件成本占比≥</w:t>
      </w:r>
      <w:r>
        <w:rPr>
          <w:rFonts w:ascii="宋体" w:hAnsi="宋体" w:eastAsia="宋体" w:cs="宋体"/>
          <w:spacing w:val="7"/>
          <w:sz w:val="24"/>
          <w:szCs w:val="24"/>
          <w:u w:val="single" w:color="auto"/>
        </w:rPr>
        <w:t>（规定比例）</w:t>
      </w:r>
      <w:r>
        <w:rPr>
          <w:rFonts w:ascii="宋体" w:hAnsi="宋体" w:eastAsia="宋体" w:cs="宋体"/>
          <w:spacing w:val="7"/>
          <w:sz w:val="24"/>
          <w:szCs w:val="24"/>
        </w:rPr>
        <w:t>。</w:t>
      </w:r>
      <w:r>
        <w:rPr>
          <w:rFonts w:ascii="宋体" w:hAnsi="宋体" w:eastAsia="宋体" w:cs="宋体"/>
          <w:spacing w:val="7"/>
          <w:sz w:val="24"/>
          <w:szCs w:val="24"/>
          <w:u w:val="single" w:color="auto"/>
        </w:rPr>
        <w:t>（</w:t>
      </w:r>
      <w:r>
        <w:rPr>
          <w:rFonts w:ascii="宋体" w:hAnsi="宋体" w:eastAsia="宋体" w:cs="宋体"/>
          <w:spacing w:val="6"/>
          <w:sz w:val="24"/>
          <w:szCs w:val="24"/>
          <w:u w:val="single" w:color="auto"/>
        </w:rPr>
        <w:t>产品名称2）</w:t>
      </w:r>
      <w:r>
        <w:rPr>
          <w:rFonts w:ascii="宋体" w:hAnsi="宋体" w:eastAsia="宋体" w:cs="宋体"/>
          <w:spacing w:val="6"/>
          <w:sz w:val="24"/>
          <w:szCs w:val="24"/>
        </w:rPr>
        <w:t>的</w:t>
      </w:r>
      <w:r>
        <w:rPr>
          <w:rFonts w:ascii="宋体" w:hAnsi="宋体" w:eastAsia="宋体" w:cs="宋体"/>
          <w:sz w:val="24"/>
          <w:szCs w:val="24"/>
          <w:u w:val="single" w:color="auto"/>
        </w:rPr>
        <w:tab/>
      </w:r>
      <w:r>
        <w:rPr>
          <w:rFonts w:ascii="宋体" w:hAnsi="宋体" w:eastAsia="宋体" w:cs="宋体"/>
          <w:spacing w:val="-1"/>
          <w:sz w:val="24"/>
          <w:szCs w:val="24"/>
          <w:u w:val="single" w:color="auto"/>
        </w:rPr>
        <w:t>（关键组件）</w:t>
      </w:r>
      <w:r>
        <w:rPr>
          <w:rFonts w:ascii="宋体" w:hAnsi="宋体" w:eastAsia="宋体" w:cs="宋体"/>
          <w:spacing w:val="-1"/>
          <w:sz w:val="24"/>
          <w:szCs w:val="24"/>
        </w:rPr>
        <w:t>在中国境内生产。</w:t>
      </w:r>
      <w:r>
        <w:rPr>
          <w:rFonts w:ascii="宋体" w:hAnsi="宋体" w:eastAsia="宋体" w:cs="宋体"/>
          <w:spacing w:val="-1"/>
          <w:sz w:val="24"/>
          <w:szCs w:val="24"/>
          <w:u w:val="single" w:color="auto"/>
        </w:rPr>
        <w:t>（产品名称2）</w:t>
      </w:r>
      <w:r>
        <w:rPr>
          <w:rFonts w:ascii="宋体" w:hAnsi="宋体" w:eastAsia="宋体" w:cs="宋体"/>
          <w:spacing w:val="-1"/>
          <w:sz w:val="24"/>
          <w:szCs w:val="24"/>
        </w:rPr>
        <w:t>的</w:t>
      </w:r>
      <w:r>
        <w:rPr>
          <w:rFonts w:ascii="宋体" w:hAnsi="宋体" w:eastAsia="宋体" w:cs="宋体"/>
          <w:spacing w:val="-1"/>
          <w:sz w:val="24"/>
          <w:szCs w:val="24"/>
          <w:u w:val="single" w:color="auto"/>
        </w:rPr>
        <w:t>（关键工序）</w:t>
      </w:r>
      <w:r>
        <w:rPr>
          <w:rFonts w:ascii="宋体" w:hAnsi="宋体" w:eastAsia="宋体" w:cs="宋体"/>
          <w:spacing w:val="-1"/>
          <w:sz w:val="24"/>
          <w:szCs w:val="24"/>
        </w:rPr>
        <w:t>在中国境内</w:t>
      </w:r>
      <w:r>
        <w:rPr>
          <w:rFonts w:ascii="宋体" w:hAnsi="宋体" w:eastAsia="宋体" w:cs="宋体"/>
          <w:sz w:val="24"/>
          <w:szCs w:val="24"/>
        </w:rPr>
        <w:t>完成。</w:t>
      </w:r>
    </w:p>
    <w:p w14:paraId="3A71F710">
      <w:pPr>
        <w:spacing w:before="63" w:line="378" w:lineRule="exact"/>
        <w:ind w:left="499"/>
        <w:outlineLvl w:val="9"/>
        <w:rPr>
          <w:rFonts w:ascii="宋体" w:hAnsi="宋体" w:eastAsia="宋体" w:cs="宋体"/>
          <w:sz w:val="24"/>
          <w:szCs w:val="24"/>
        </w:rPr>
      </w:pPr>
      <w:r>
        <w:rPr>
          <w:rFonts w:ascii="宋体" w:hAnsi="宋体" w:eastAsia="宋体" w:cs="宋体"/>
          <w:spacing w:val="-13"/>
          <w:position w:val="3"/>
          <w:sz w:val="24"/>
          <w:szCs w:val="24"/>
        </w:rPr>
        <w:t>……</w:t>
      </w:r>
    </w:p>
    <w:p w14:paraId="6C263E3A">
      <w:pPr>
        <w:spacing w:before="68" w:line="353" w:lineRule="auto"/>
        <w:ind w:left="57" w:right="315" w:firstLine="413"/>
        <w:outlineLvl w:val="9"/>
        <w:rPr>
          <w:rFonts w:ascii="宋体" w:hAnsi="宋体" w:eastAsia="宋体" w:cs="宋体"/>
          <w:sz w:val="24"/>
          <w:szCs w:val="24"/>
        </w:rPr>
      </w:pPr>
      <w:r>
        <w:rPr>
          <w:rFonts w:ascii="宋体" w:hAnsi="宋体" w:eastAsia="宋体" w:cs="宋体"/>
          <w:spacing w:val="2"/>
          <w:sz w:val="24"/>
          <w:szCs w:val="24"/>
        </w:rPr>
        <w:t>本公司（单位）对上述声明内容的真实性负责。如有虚假，愿承担相应法</w:t>
      </w:r>
      <w:r>
        <w:rPr>
          <w:rFonts w:ascii="宋体" w:hAnsi="宋体" w:eastAsia="宋体" w:cs="宋体"/>
          <w:spacing w:val="-9"/>
          <w:sz w:val="24"/>
          <w:szCs w:val="24"/>
        </w:rPr>
        <w:t>律责任。</w:t>
      </w:r>
    </w:p>
    <w:p w14:paraId="4052664A">
      <w:pPr>
        <w:spacing w:before="52" w:line="219" w:lineRule="auto"/>
        <w:ind w:left="4043"/>
        <w:outlineLvl w:val="9"/>
        <w:rPr>
          <w:rFonts w:ascii="宋体" w:hAnsi="宋体" w:eastAsia="宋体" w:cs="宋体"/>
          <w:sz w:val="24"/>
          <w:szCs w:val="24"/>
        </w:rPr>
      </w:pPr>
      <w:r>
        <w:rPr>
          <w:rFonts w:ascii="宋体" w:hAnsi="宋体" w:eastAsia="宋体" w:cs="宋体"/>
          <w:spacing w:val="-4"/>
          <w:sz w:val="24"/>
          <w:szCs w:val="24"/>
        </w:rPr>
        <w:t>公司（单位）名称（盖章</w:t>
      </w:r>
      <w:r>
        <w:rPr>
          <w:rFonts w:ascii="宋体" w:hAnsi="宋体" w:eastAsia="宋体" w:cs="宋体"/>
          <w:spacing w:val="2"/>
          <w:sz w:val="24"/>
          <w:szCs w:val="24"/>
        </w:rPr>
        <w:t>）：</w:t>
      </w:r>
    </w:p>
    <w:p w14:paraId="5C55BB6F">
      <w:pPr>
        <w:spacing w:before="191" w:line="219" w:lineRule="auto"/>
        <w:ind w:left="4113"/>
        <w:outlineLvl w:val="9"/>
        <w:rPr>
          <w:rFonts w:ascii="宋体" w:hAnsi="宋体" w:eastAsia="宋体" w:cs="宋体"/>
          <w:sz w:val="24"/>
          <w:szCs w:val="24"/>
        </w:rPr>
      </w:pPr>
      <w:r>
        <w:rPr>
          <w:rFonts w:ascii="宋体" w:hAnsi="宋体" w:eastAsia="宋体" w:cs="宋体"/>
          <w:spacing w:val="-13"/>
          <w:sz w:val="24"/>
          <w:szCs w:val="24"/>
        </w:rPr>
        <w:t>日期：年月日</w:t>
      </w:r>
    </w:p>
    <w:p w14:paraId="45F081D3">
      <w:pPr>
        <w:pStyle w:val="2"/>
        <w:spacing w:line="292" w:lineRule="auto"/>
        <w:outlineLvl w:val="9"/>
      </w:pPr>
    </w:p>
    <w:p w14:paraId="0442122B">
      <w:pPr>
        <w:pStyle w:val="2"/>
        <w:spacing w:line="292" w:lineRule="auto"/>
        <w:outlineLvl w:val="9"/>
      </w:pPr>
    </w:p>
    <w:p w14:paraId="623CBAC7">
      <w:pPr>
        <w:pStyle w:val="2"/>
        <w:spacing w:line="293" w:lineRule="auto"/>
        <w:outlineLvl w:val="9"/>
      </w:pPr>
    </w:p>
    <w:p w14:paraId="0426E57F">
      <w:pPr>
        <w:pStyle w:val="2"/>
        <w:spacing w:line="293" w:lineRule="auto"/>
        <w:outlineLvl w:val="9"/>
      </w:pPr>
    </w:p>
    <w:p w14:paraId="4241C172">
      <w:pPr>
        <w:spacing w:before="79" w:line="219" w:lineRule="auto"/>
        <w:ind w:left="504"/>
        <w:outlineLvl w:val="9"/>
        <w:rPr>
          <w:rFonts w:ascii="宋体" w:hAnsi="宋体" w:eastAsia="宋体" w:cs="宋体"/>
          <w:sz w:val="24"/>
          <w:szCs w:val="24"/>
        </w:rPr>
      </w:pPr>
      <w:r>
        <w:rPr>
          <w:rFonts w:ascii="宋体" w:hAnsi="宋体" w:eastAsia="宋体" w:cs="宋体"/>
          <w:spacing w:val="-6"/>
          <w:sz w:val="24"/>
          <w:szCs w:val="24"/>
        </w:rPr>
        <w:t>1.产品如有型号，请在“产品名称”栏一并填写。</w:t>
      </w:r>
    </w:p>
    <w:p w14:paraId="2676CA3E">
      <w:pPr>
        <w:spacing w:before="188" w:line="219" w:lineRule="auto"/>
        <w:ind w:left="475"/>
        <w:outlineLvl w:val="9"/>
        <w:rPr>
          <w:rFonts w:ascii="宋体" w:hAnsi="宋体" w:eastAsia="宋体" w:cs="宋体"/>
          <w:sz w:val="24"/>
          <w:szCs w:val="24"/>
        </w:rPr>
      </w:pPr>
      <w:r>
        <w:rPr>
          <w:rFonts w:ascii="宋体" w:hAnsi="宋体" w:eastAsia="宋体" w:cs="宋体"/>
          <w:spacing w:val="-2"/>
          <w:sz w:val="24"/>
          <w:szCs w:val="24"/>
        </w:rPr>
        <w:t>2.生产厂名与厂址应与生产厂营业执照载明的相关信息保持一致。</w:t>
      </w:r>
    </w:p>
    <w:p w14:paraId="59A19A18">
      <w:pPr>
        <w:spacing w:before="210" w:line="355" w:lineRule="auto"/>
        <w:ind w:left="49" w:right="200" w:firstLine="427"/>
        <w:outlineLvl w:val="9"/>
        <w:rPr>
          <w:rFonts w:ascii="宋体" w:hAnsi="宋体" w:eastAsia="宋体" w:cs="宋体"/>
          <w:sz w:val="24"/>
          <w:szCs w:val="24"/>
        </w:rPr>
      </w:pPr>
      <w:r>
        <w:rPr>
          <w:rFonts w:ascii="宋体" w:hAnsi="宋体" w:eastAsia="宋体" w:cs="宋体"/>
          <w:spacing w:val="3"/>
          <w:sz w:val="24"/>
          <w:szCs w:val="24"/>
        </w:rPr>
        <w:t>3.该产品的中国境内生产的组件成本占比相关要求实施前，“</w:t>
      </w:r>
      <w:r>
        <w:rPr>
          <w:rFonts w:ascii="宋体" w:hAnsi="宋体" w:eastAsia="宋体" w:cs="宋体"/>
          <w:spacing w:val="2"/>
          <w:sz w:val="24"/>
          <w:szCs w:val="24"/>
        </w:rPr>
        <w:t>规定比例”</w:t>
      </w:r>
      <w:r>
        <w:rPr>
          <w:rFonts w:ascii="宋体" w:hAnsi="宋体" w:eastAsia="宋体" w:cs="宋体"/>
          <w:spacing w:val="-3"/>
          <w:sz w:val="24"/>
          <w:szCs w:val="24"/>
        </w:rPr>
        <w:t>栏可不填，下同。</w:t>
      </w:r>
    </w:p>
    <w:p w14:paraId="017EB495">
      <w:pPr>
        <w:spacing w:before="6" w:line="219" w:lineRule="auto"/>
        <w:ind w:left="466"/>
        <w:outlineLvl w:val="9"/>
        <w:rPr>
          <w:rFonts w:ascii="宋体" w:hAnsi="宋体" w:eastAsia="宋体" w:cs="宋体"/>
          <w:sz w:val="24"/>
          <w:szCs w:val="24"/>
        </w:rPr>
      </w:pPr>
      <w:r>
        <w:rPr>
          <w:rFonts w:ascii="宋体" w:hAnsi="宋体" w:eastAsia="宋体" w:cs="宋体"/>
          <w:spacing w:val="-3"/>
          <w:sz w:val="24"/>
          <w:szCs w:val="24"/>
        </w:rPr>
        <w:t>4.该产品的关键组件要求实施前，“关键组件”栏</w:t>
      </w:r>
      <w:r>
        <w:rPr>
          <w:rFonts w:ascii="宋体" w:hAnsi="宋体" w:eastAsia="宋体" w:cs="宋体"/>
          <w:spacing w:val="-4"/>
          <w:sz w:val="24"/>
          <w:szCs w:val="24"/>
        </w:rPr>
        <w:t>可不填，下同。</w:t>
      </w:r>
    </w:p>
    <w:p w14:paraId="52843A74">
      <w:pPr>
        <w:spacing w:before="106" w:line="219" w:lineRule="auto"/>
        <w:ind w:left="707"/>
        <w:outlineLvl w:val="9"/>
        <w:rPr>
          <w:rFonts w:ascii="宋体" w:hAnsi="宋体" w:eastAsia="宋体" w:cs="宋体"/>
          <w:sz w:val="24"/>
          <w:szCs w:val="24"/>
        </w:rPr>
      </w:pPr>
      <w:r>
        <w:rPr>
          <w:rFonts w:ascii="宋体" w:hAnsi="宋体" w:eastAsia="宋体" w:cs="宋体"/>
          <w:spacing w:val="-4"/>
          <w:sz w:val="24"/>
          <w:szCs w:val="24"/>
        </w:rPr>
        <w:t>5.该产品的关键工序要求实施前，“关键工序”栏可不填，下同。</w:t>
      </w:r>
    </w:p>
    <w:p w14:paraId="45C8B6DF">
      <w:pPr>
        <w:spacing w:line="219" w:lineRule="auto"/>
        <w:outlineLvl w:val="9"/>
        <w:rPr>
          <w:rFonts w:ascii="宋体" w:hAnsi="宋体" w:eastAsia="宋体" w:cs="宋体"/>
          <w:sz w:val="24"/>
          <w:szCs w:val="24"/>
        </w:rPr>
        <w:sectPr>
          <w:headerReference r:id="rId100" w:type="default"/>
          <w:footerReference r:id="rId101" w:type="default"/>
          <w:pgSz w:w="11906" w:h="16840"/>
          <w:pgMar w:top="2131" w:right="1580" w:bottom="1156" w:left="1785" w:header="2116" w:footer="910" w:gutter="0"/>
          <w:pgNumType w:fmt="decimal"/>
          <w:cols w:space="720" w:num="1"/>
        </w:sectPr>
      </w:pPr>
    </w:p>
    <w:p w14:paraId="7D40FFD7">
      <w:pPr>
        <w:pStyle w:val="2"/>
        <w:spacing w:line="286" w:lineRule="auto"/>
        <w:outlineLvl w:val="9"/>
      </w:pPr>
    </w:p>
    <w:p w14:paraId="50F68B14">
      <w:pPr>
        <w:pStyle w:val="2"/>
        <w:spacing w:line="286" w:lineRule="auto"/>
        <w:outlineLvl w:val="9"/>
      </w:pPr>
    </w:p>
    <w:p w14:paraId="2652D429">
      <w:pPr>
        <w:pStyle w:val="2"/>
        <w:spacing w:line="287" w:lineRule="auto"/>
        <w:outlineLvl w:val="9"/>
      </w:pPr>
    </w:p>
    <w:p w14:paraId="67061709">
      <w:pPr>
        <w:pStyle w:val="2"/>
        <w:spacing w:line="287" w:lineRule="auto"/>
        <w:outlineLvl w:val="9"/>
      </w:pPr>
    </w:p>
    <w:p w14:paraId="36DF5E67">
      <w:pPr>
        <w:pStyle w:val="2"/>
        <w:spacing w:line="287" w:lineRule="auto"/>
        <w:outlineLvl w:val="9"/>
      </w:pPr>
    </w:p>
    <w:p w14:paraId="2F677258">
      <w:pPr>
        <w:spacing w:before="98" w:line="225" w:lineRule="auto"/>
        <w:ind w:left="729"/>
        <w:outlineLvl w:val="9"/>
        <w:rPr>
          <w:rFonts w:ascii="宋体" w:hAnsi="宋体" w:eastAsia="宋体" w:cs="宋体"/>
          <w:sz w:val="30"/>
          <w:szCs w:val="30"/>
        </w:rPr>
      </w:pPr>
      <w:bookmarkStart w:id="27" w:name="_Toc10993_WPSOffice_Level1"/>
      <w:r>
        <w:rPr>
          <w:rFonts w:ascii="宋体" w:hAnsi="宋体" w:eastAsia="宋体" w:cs="宋体"/>
          <w:b/>
          <w:bCs/>
          <w:spacing w:val="14"/>
          <w:sz w:val="30"/>
          <w:szCs w:val="30"/>
        </w:rPr>
        <w:t>附件十二：</w:t>
      </w:r>
      <w:r>
        <w:rPr>
          <w:rFonts w:ascii="宋体" w:hAnsi="宋体" w:eastAsia="宋体" w:cs="宋体"/>
          <w:spacing w:val="14"/>
          <w:sz w:val="30"/>
          <w:szCs w:val="30"/>
        </w:rPr>
        <w:t>供应商认为有必要提供的其他相关文件</w:t>
      </w:r>
      <w:bookmarkEnd w:id="27"/>
    </w:p>
    <w:p w14:paraId="2AED52B2">
      <w:pPr>
        <w:spacing w:before="131" w:line="225" w:lineRule="auto"/>
        <w:ind w:left="3269"/>
        <w:outlineLvl w:val="9"/>
        <w:rPr>
          <w:rFonts w:ascii="宋体" w:hAnsi="宋体" w:eastAsia="宋体" w:cs="宋体"/>
          <w:sz w:val="30"/>
          <w:szCs w:val="30"/>
        </w:rPr>
      </w:pPr>
      <w:r>
        <w:rPr>
          <w:rFonts w:ascii="宋体" w:hAnsi="宋体" w:eastAsia="宋体" w:cs="宋体"/>
          <w:spacing w:val="6"/>
          <w:sz w:val="30"/>
          <w:szCs w:val="30"/>
        </w:rPr>
        <w:t>（格式自拟）</w:t>
      </w:r>
    </w:p>
    <w:sectPr>
      <w:headerReference r:id="rId102" w:type="default"/>
      <w:footerReference r:id="rId103" w:type="default"/>
      <w:pgSz w:w="11906" w:h="16840"/>
      <w:pgMar w:top="400" w:right="1785" w:bottom="1156" w:left="1785" w:header="0" w:footer="91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6"/>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3A8F1">
    <w:pPr>
      <w:pStyle w:val="3"/>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04A1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204A1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2A236">
    <w:pPr>
      <w:pStyle w:val="3"/>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6BB72">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F76BB72">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702B0">
    <w:pPr>
      <w:pStyle w:val="2"/>
      <w:spacing w:line="235" w:lineRule="exact"/>
      <w:ind w:left="4105"/>
      <w:rPr>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8B6978">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18B6978">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4B3A7">
    <w:pPr>
      <w:pStyle w:val="2"/>
      <w:spacing w:line="235" w:lineRule="exact"/>
      <w:ind w:left="4104"/>
      <w:rPr>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AA0765">
                          <w:pPr>
                            <w:pStyle w:val="3"/>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3AA0765">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F1237">
    <w:pPr>
      <w:pStyle w:val="2"/>
      <w:spacing w:line="182" w:lineRule="auto"/>
      <w:ind w:left="4106"/>
      <w:rPr>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F0BD25">
                          <w:pPr>
                            <w:pStyle w:val="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9F0BD25">
                    <w:pPr>
                      <w:pStyle w:val="3"/>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60872">
    <w:pPr>
      <w:pStyle w:val="2"/>
      <w:spacing w:line="235" w:lineRule="exact"/>
      <w:ind w:left="4925"/>
      <w:rPr>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0B5EC">
                          <w:pPr>
                            <w:pStyle w:val="3"/>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160B5EC">
                    <w:pPr>
                      <w:pStyle w:val="3"/>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9E0F7">
    <w:pPr>
      <w:pStyle w:val="2"/>
      <w:spacing w:line="235" w:lineRule="exact"/>
      <w:ind w:left="4926"/>
      <w:rPr>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E9DA63">
                          <w:pPr>
                            <w:pStyle w:val="3"/>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EE9DA63">
                    <w:pPr>
                      <w:pStyle w:val="3"/>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52B02">
    <w:pPr>
      <w:pStyle w:val="2"/>
      <w:spacing w:line="235" w:lineRule="exact"/>
      <w:ind w:left="4887"/>
      <w:rPr>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50D007">
                          <w:pPr>
                            <w:pStyle w:val="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A50D007">
                    <w:pPr>
                      <w:pStyle w:val="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D5973">
    <w:pPr>
      <w:pStyle w:val="2"/>
      <w:spacing w:line="184" w:lineRule="auto"/>
      <w:ind w:left="4893"/>
      <w:rPr>
        <w:sz w:val="18"/>
        <w:szCs w:val="18"/>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E1728">
                          <w:pPr>
                            <w:pStyle w:val="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F7E1728">
                    <w:pPr>
                      <w:pStyle w:val="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AB7B2">
    <w:pPr>
      <w:pStyle w:val="2"/>
      <w:spacing w:line="235" w:lineRule="exact"/>
      <w:ind w:left="4066"/>
      <w:rPr>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2BBDE8">
                          <w:pPr>
                            <w:pStyle w:val="3"/>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242BBDE8">
                    <w:pPr>
                      <w:pStyle w:val="3"/>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BCB10">
    <w:pPr>
      <w:pStyle w:val="2"/>
      <w:spacing w:line="235" w:lineRule="exact"/>
      <w:ind w:left="4066"/>
      <w:rPr>
        <w:sz w:val="18"/>
        <w:szCs w:val="18"/>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1A09C5">
                          <w:pPr>
                            <w:pStyle w:val="3"/>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81A09C5">
                    <w:pPr>
                      <w:pStyle w:val="3"/>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AFBAB">
    <w:pPr>
      <w:pStyle w:val="2"/>
      <w:spacing w:line="235" w:lineRule="exact"/>
      <w:ind w:left="4052"/>
      <w:rPr>
        <w:sz w:val="18"/>
        <w:szCs w:val="18"/>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A9935E">
                          <w:pPr>
                            <w:pStyle w:val="3"/>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30A9935E">
                    <w:pPr>
                      <w:pStyle w:val="3"/>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3E55F">
    <w:pPr>
      <w:pStyle w:val="2"/>
      <w:spacing w:line="184" w:lineRule="auto"/>
      <w:ind w:left="4052"/>
      <w:rPr>
        <w:sz w:val="18"/>
        <w:szCs w:val="18"/>
      </w:rP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893E7">
                          <w:pPr>
                            <w:pStyle w:val="3"/>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4FF893E7">
                    <w:pPr>
                      <w:pStyle w:val="3"/>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18711">
    <w:pPr>
      <w:pStyle w:val="2"/>
      <w:spacing w:line="184" w:lineRule="auto"/>
      <w:ind w:left="4052"/>
      <w:rPr>
        <w:sz w:val="18"/>
        <w:szCs w:val="18"/>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4E2E28">
                          <w:pPr>
                            <w:pStyle w:val="3"/>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2E4E2E28">
                    <w:pPr>
                      <w:pStyle w:val="3"/>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2307D">
    <w:pPr>
      <w:pStyle w:val="2"/>
      <w:spacing w:line="235" w:lineRule="exact"/>
      <w:rPr>
        <w:sz w:val="18"/>
        <w:szCs w:val="18"/>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899C16">
                          <w:pPr>
                            <w:pStyle w:val="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7A899C16">
                    <w:pPr>
                      <w:pStyle w:val="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0E50A">
    <w:pPr>
      <w:pStyle w:val="2"/>
      <w:spacing w:line="184" w:lineRule="auto"/>
      <w:ind w:left="4052"/>
      <w:rPr>
        <w:sz w:val="18"/>
        <w:szCs w:val="18"/>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48DEAF">
                          <w:pPr>
                            <w:pStyle w:val="3"/>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1F48DEAF">
                    <w:pPr>
                      <w:pStyle w:val="3"/>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4EEE6">
    <w:pPr>
      <w:pStyle w:val="2"/>
      <w:spacing w:line="235" w:lineRule="exact"/>
      <w:ind w:left="4052"/>
      <w:rPr>
        <w:sz w:val="18"/>
        <w:szCs w:val="18"/>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0B7E7D">
                          <w:pPr>
                            <w:pStyle w:val="3"/>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050B7E7D">
                    <w:pPr>
                      <w:pStyle w:val="3"/>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20BCB">
    <w:pPr>
      <w:pStyle w:val="2"/>
      <w:spacing w:line="235" w:lineRule="exact"/>
      <w:ind w:left="4052"/>
      <w:rPr>
        <w:sz w:val="18"/>
        <w:szCs w:val="18"/>
      </w:rPr>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6C2A9">
                          <w:pPr>
                            <w:pStyle w:val="3"/>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1046C2A9">
                    <w:pPr>
                      <w:pStyle w:val="3"/>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48365">
    <w:pPr>
      <w:pStyle w:val="3"/>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B9943C">
                          <w:pPr>
                            <w:pStyle w:val="3"/>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55B9943C">
                    <w:pPr>
                      <w:pStyle w:val="3"/>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86784">
    <w:pPr>
      <w:pStyle w:val="3"/>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50761A">
                          <w:pPr>
                            <w:pStyle w:val="3"/>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1B50761A">
                    <w:pPr>
                      <w:pStyle w:val="3"/>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2FB8D">
    <w:pPr>
      <w:pStyle w:val="3"/>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188D9C">
                          <w:pPr>
                            <w:pStyle w:val="3"/>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48188D9C">
                    <w:pPr>
                      <w:pStyle w:val="3"/>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F83FA">
    <w:pPr>
      <w:pStyle w:val="3"/>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80BC9F">
                          <w:pPr>
                            <w:pStyle w:val="3"/>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580BC9F">
                    <w:pPr>
                      <w:pStyle w:val="3"/>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454EA">
    <w:pPr>
      <w:pStyle w:val="3"/>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41AA2">
                          <w:pPr>
                            <w:pStyle w:val="3"/>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70741AA2">
                    <w:pPr>
                      <w:pStyle w:val="3"/>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9A33A">
    <w:pPr>
      <w:pStyle w:val="3"/>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689D5">
                          <w:pPr>
                            <w:pStyle w:val="3"/>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B2689D5">
                    <w:pPr>
                      <w:pStyle w:val="3"/>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D8928">
    <w:pPr>
      <w:pStyle w:val="3"/>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172608">
                          <w:pPr>
                            <w:pStyle w:val="3"/>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70172608">
                    <w:pPr>
                      <w:pStyle w:val="3"/>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4A792">
    <w:pPr>
      <w:pStyle w:val="3"/>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6DB92D">
                          <w:pPr>
                            <w:pStyle w:val="3"/>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696DB92D">
                    <w:pPr>
                      <w:pStyle w:val="3"/>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57D33">
    <w:pPr>
      <w:pStyle w:val="3"/>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A7CB03">
                          <w:pPr>
                            <w:pStyle w:val="3"/>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7FA7CB03">
                    <w:pPr>
                      <w:pStyle w:val="3"/>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D2EDA">
    <w:pPr>
      <w:pStyle w:val="3"/>
    </w:pPr>
    <w:r>
      <w:rPr>
        <w:sz w:val="18"/>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DF5072">
                          <w:pPr>
                            <w:pStyle w:val="3"/>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09DF5072">
                    <w:pPr>
                      <w:pStyle w:val="3"/>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FE6FE">
    <w:pPr>
      <w:pStyle w:val="3"/>
    </w:pPr>
    <w:r>
      <w:rPr>
        <w:sz w:val="18"/>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5337F">
                          <w:pPr>
                            <w:pStyle w:val="3"/>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3595337F">
                    <w:pPr>
                      <w:pStyle w:val="3"/>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77FFA">
    <w:pPr>
      <w:pStyle w:val="3"/>
    </w:pPr>
    <w:r>
      <w:rPr>
        <w:sz w:val="18"/>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69673">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2C169673">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A6430">
    <w:pPr>
      <w:pStyle w:val="3"/>
    </w:pPr>
    <w:r>
      <w:rPr>
        <w:sz w:val="18"/>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B54610">
                          <w:pPr>
                            <w:pStyle w:val="3"/>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2AB54610">
                    <w:pPr>
                      <w:pStyle w:val="3"/>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E7CA9">
    <w:pPr>
      <w:pStyle w:val="3"/>
    </w:pPr>
    <w:r>
      <w:rPr>
        <w:sz w:val="18"/>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17F66E">
                          <w:pPr>
                            <w:pStyle w:val="3"/>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4717F66E">
                    <w:pPr>
                      <w:pStyle w:val="3"/>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C8115">
    <w:pPr>
      <w:pStyle w:val="3"/>
    </w:pPr>
    <w:r>
      <w:rPr>
        <w:sz w:val="18"/>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EA173D">
                          <w:pPr>
                            <w:pStyle w:val="3"/>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72EA173D">
                    <w:pPr>
                      <w:pStyle w:val="3"/>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EA201">
    <w:pPr>
      <w:pStyle w:val="2"/>
      <w:spacing w:line="99" w:lineRule="exact"/>
      <w:ind w:left="4726"/>
      <w:rPr>
        <w:sz w:val="18"/>
        <w:szCs w:val="18"/>
      </w:rPr>
    </w:pPr>
    <w:r>
      <w:rPr>
        <w:sz w:val="18"/>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DEA29">
                          <w:pPr>
                            <w:pStyle w:val="3"/>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45EDEA29">
                    <w:pPr>
                      <w:pStyle w:val="3"/>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2C871">
    <w:pPr>
      <w:pStyle w:val="3"/>
    </w:pPr>
    <w:r>
      <w:rPr>
        <w:sz w:val="18"/>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F09173">
                          <w:pPr>
                            <w:pStyle w:val="3"/>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31F09173">
                    <w:pPr>
                      <w:pStyle w:val="3"/>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3585F">
    <w:pPr>
      <w:pStyle w:val="2"/>
      <w:spacing w:line="98" w:lineRule="exact"/>
      <w:ind w:left="4070"/>
      <w:rPr>
        <w:sz w:val="18"/>
        <w:szCs w:val="18"/>
      </w:rPr>
    </w:pPr>
    <w:r>
      <w:rPr>
        <w:sz w:val="18"/>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963A8C">
                          <w:pPr>
                            <w:pStyle w:val="3"/>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1D963A8C">
                    <w:pPr>
                      <w:pStyle w:val="3"/>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419C0">
    <w:pPr>
      <w:pStyle w:val="2"/>
      <w:spacing w:line="14" w:lineRule="auto"/>
      <w:rPr>
        <w:sz w:val="2"/>
      </w:rPr>
    </w:pPr>
    <w:r>
      <w:rPr>
        <w:sz w:val="2"/>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46C9BC">
                          <w:pPr>
                            <w:pStyle w:val="3"/>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2246C9BC">
                    <w:pPr>
                      <w:pStyle w:val="3"/>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253D8">
    <w:pPr>
      <w:pStyle w:val="2"/>
      <w:spacing w:line="98" w:lineRule="exact"/>
      <w:ind w:left="4070"/>
      <w:rPr>
        <w:sz w:val="18"/>
        <w:szCs w:val="18"/>
      </w:rPr>
    </w:pPr>
    <w:r>
      <w:rPr>
        <w:sz w:val="18"/>
      </w:rP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210C60">
                          <w:pPr>
                            <w:pStyle w:val="3"/>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4F210C60">
                    <w:pPr>
                      <w:pStyle w:val="3"/>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9BE56">
    <w:pPr>
      <w:pStyle w:val="2"/>
      <w:spacing w:line="14" w:lineRule="auto"/>
      <w:rPr>
        <w:sz w:val="2"/>
      </w:rPr>
    </w:pPr>
    <w:r>
      <w:rPr>
        <w:sz w:val="2"/>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9E96D1">
                          <w:pPr>
                            <w:pStyle w:val="3"/>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429E96D1">
                    <w:pPr>
                      <w:pStyle w:val="3"/>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FE72E">
    <w:pPr>
      <w:pStyle w:val="2"/>
      <w:spacing w:line="235" w:lineRule="exact"/>
      <w:ind w:left="4075"/>
      <w:rPr>
        <w:sz w:val="18"/>
        <w:szCs w:val="18"/>
      </w:rPr>
    </w:pPr>
    <w:r>
      <w:rPr>
        <w:sz w:val="18"/>
      </w:rP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14DD28">
                          <w:pPr>
                            <w:pStyle w:val="3"/>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78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7214DD28">
                    <w:pPr>
                      <w:pStyle w:val="3"/>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DE4E2">
    <w:pPr>
      <w:pStyle w:val="2"/>
      <w:spacing w:line="235" w:lineRule="exact"/>
      <w:ind w:left="4075"/>
      <w:rPr>
        <w:sz w:val="18"/>
        <w:szCs w:val="18"/>
      </w:rPr>
    </w:pPr>
    <w:r>
      <w:rPr>
        <w:sz w:val="18"/>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3F00F6">
                          <w:pPr>
                            <w:pStyle w:val="3"/>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88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1D3F00F6">
                    <w:pPr>
                      <w:pStyle w:val="3"/>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CD7F6">
    <w:pPr>
      <w:pStyle w:val="2"/>
      <w:spacing w:line="235" w:lineRule="exact"/>
      <w:ind w:left="4087"/>
      <w:rPr>
        <w:sz w:val="18"/>
        <w:szCs w:val="18"/>
      </w:rPr>
    </w:pPr>
    <w:r>
      <w:rPr>
        <w:sz w:val="18"/>
      </w:rPr>
      <mc:AlternateContent>
        <mc:Choice Requires="wps">
          <w:drawing>
            <wp:anchor distT="0" distB="0" distL="114300" distR="114300" simplePos="0" relativeHeight="251729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B55529">
                          <w:pPr>
                            <w:pStyle w:val="3"/>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99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7FB55529">
                    <w:pPr>
                      <w:pStyle w:val="3"/>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D95B1">
    <w:pPr>
      <w:pStyle w:val="2"/>
      <w:spacing w:line="235" w:lineRule="exact"/>
      <w:ind w:left="4118"/>
      <w:rPr>
        <w:sz w:val="18"/>
        <w:szCs w:val="18"/>
      </w:rPr>
    </w:pPr>
    <w:r>
      <w:rPr>
        <w:sz w:val="18"/>
      </w:rP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F795BB">
                          <w:pPr>
                            <w:pStyle w:val="3"/>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09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61F795BB">
                    <w:pPr>
                      <w:pStyle w:val="3"/>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FB766">
    <w:pPr>
      <w:pStyle w:val="3"/>
    </w:pPr>
    <w:r>
      <w:rPr>
        <w:sz w:val="18"/>
      </w:rPr>
      <mc:AlternateContent>
        <mc:Choice Requires="wps">
          <w:drawing>
            <wp:anchor distT="0" distB="0" distL="114300" distR="114300" simplePos="0" relativeHeight="251731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490DEF">
                          <w:pPr>
                            <w:pStyle w:val="3"/>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1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3D490DEF">
                    <w:pPr>
                      <w:pStyle w:val="3"/>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7DDD0">
    <w:pPr>
      <w:pStyle w:val="3"/>
    </w:pPr>
    <w:r>
      <w:rPr>
        <w:sz w:val="18"/>
      </w:rPr>
      <mc:AlternateContent>
        <mc:Choice Requires="wps">
          <w:drawing>
            <wp:anchor distT="0" distB="0" distL="114300" distR="114300" simplePos="0" relativeHeight="251732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60C11">
                          <w:pPr>
                            <w:pStyle w:val="3"/>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29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29B60C11">
                    <w:pPr>
                      <w:pStyle w:val="3"/>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3A543">
    <w:pPr>
      <w:pStyle w:val="3"/>
    </w:pPr>
    <w:r>
      <w:rPr>
        <w:sz w:val="18"/>
      </w:rP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D4940">
                          <w:pPr>
                            <w:pStyle w:val="3"/>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472D4940">
                    <w:pPr>
                      <w:pStyle w:val="3"/>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F2AE9">
    <w:pPr>
      <w:pStyle w:val="3"/>
    </w:pPr>
    <w:r>
      <w:rPr>
        <w:sz w:val="18"/>
      </w:rPr>
      <mc:AlternateContent>
        <mc:Choice Requires="wps">
          <w:drawing>
            <wp:anchor distT="0" distB="0" distL="114300" distR="114300" simplePos="0" relativeHeight="25173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8FB014">
                          <w:pPr>
                            <w:pStyle w:val="3"/>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50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7A8FB014">
                    <w:pPr>
                      <w:pStyle w:val="3"/>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19FD4">
    <w:pPr>
      <w:pStyle w:val="3"/>
    </w:pPr>
    <w:r>
      <w:rPr>
        <w:sz w:val="18"/>
      </w:rPr>
      <mc:AlternateContent>
        <mc:Choice Requires="wps">
          <w:drawing>
            <wp:anchor distT="0" distB="0" distL="114300" distR="114300" simplePos="0" relativeHeight="25173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BEBD0">
                          <w:pPr>
                            <w:pStyle w:val="3"/>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160BEBD0">
                    <w:pPr>
                      <w:pStyle w:val="3"/>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B3D9C">
    <w:pPr>
      <w:pStyle w:val="3"/>
    </w:pPr>
    <w:r>
      <w:rPr>
        <w:sz w:val="18"/>
      </w:rP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953872">
                          <w:pPr>
                            <w:pStyle w:val="3"/>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7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0A953872">
                    <w:pPr>
                      <w:pStyle w:val="3"/>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B43AE">
    <w:pPr>
      <w:pStyle w:val="3"/>
    </w:pPr>
    <w:r>
      <w:rPr>
        <w:sz w:val="18"/>
      </w:rPr>
      <mc:AlternateContent>
        <mc:Choice Requires="wps">
          <w:drawing>
            <wp:anchor distT="0" distB="0" distL="114300" distR="114300" simplePos="0" relativeHeight="251738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DF9C61">
                          <w:pPr>
                            <w:pStyle w:val="3"/>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81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3FDF9C61">
                    <w:pPr>
                      <w:pStyle w:val="3"/>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F0946">
    <w:pPr>
      <w:pStyle w:val="3"/>
    </w:pPr>
    <w:r>
      <w:rPr>
        <w:sz w:val="18"/>
      </w:rP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2E98D">
                          <w:pPr>
                            <w:pStyle w:val="3"/>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91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1E02E98D">
                    <w:pPr>
                      <w:pStyle w:val="3"/>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27632">
    <w:pPr>
      <w:pStyle w:val="3"/>
    </w:pPr>
    <w:r>
      <w:rPr>
        <w:sz w:val="18"/>
      </w:rPr>
      <mc:AlternateContent>
        <mc:Choice Requires="wps">
          <w:drawing>
            <wp:anchor distT="0" distB="0" distL="114300" distR="114300" simplePos="0" relativeHeight="251740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820E8">
                          <w:pPr>
                            <w:pStyle w:val="3"/>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01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720820E8">
                    <w:pPr>
                      <w:pStyle w:val="3"/>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35930">
    <w:pPr>
      <w:pStyle w:val="3"/>
    </w:pPr>
    <w:r>
      <w:rPr>
        <w:sz w:val="18"/>
      </w:rPr>
      <mc:AlternateContent>
        <mc:Choice Requires="wps">
          <w:drawing>
            <wp:anchor distT="0" distB="0" distL="114300" distR="114300" simplePos="0" relativeHeight="251741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41F7C">
                          <w:pPr>
                            <w:pStyle w:val="3"/>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11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50641F7C">
                    <w:pPr>
                      <w:pStyle w:val="3"/>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AA739">
    <w:pPr>
      <w:pStyle w:val="3"/>
    </w:pPr>
    <w:r>
      <w:rPr>
        <w:sz w:val="18"/>
      </w:rPr>
      <mc:AlternateContent>
        <mc:Choice Requires="wps">
          <w:drawing>
            <wp:anchor distT="0" distB="0" distL="114300" distR="114300" simplePos="0" relativeHeight="2517422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8B6CFF">
                          <w:pPr>
                            <w:pStyle w:val="3"/>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22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7A8B6CFF">
                    <w:pPr>
                      <w:pStyle w:val="3"/>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3197F">
    <w:pPr>
      <w:pStyle w:val="3"/>
    </w:pPr>
    <w:r>
      <w:rPr>
        <w:sz w:val="18"/>
      </w:rPr>
      <mc:AlternateContent>
        <mc:Choice Requires="wps">
          <w:drawing>
            <wp:anchor distT="0" distB="0" distL="114300" distR="114300" simplePos="0" relativeHeight="251743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C85AD6">
                          <w:pPr>
                            <w:pStyle w:val="3"/>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32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33C85AD6">
                    <w:pPr>
                      <w:pStyle w:val="3"/>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CAD90">
    <w:pPr>
      <w:pStyle w:val="3"/>
    </w:pPr>
    <w:r>
      <w:rPr>
        <w:sz w:val="18"/>
      </w:rPr>
      <mc:AlternateContent>
        <mc:Choice Requires="wps">
          <w:drawing>
            <wp:anchor distT="0" distB="0" distL="114300" distR="114300" simplePos="0" relativeHeight="251744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25859">
                          <w:pPr>
                            <w:pStyle w:val="3"/>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4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79E25859">
                    <w:pPr>
                      <w:pStyle w:val="3"/>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D1A42">
    <w:pPr>
      <w:pStyle w:val="3"/>
    </w:pPr>
    <w:r>
      <w:rPr>
        <w:sz w:val="18"/>
      </w:rPr>
      <mc:AlternateContent>
        <mc:Choice Requires="wps">
          <w:drawing>
            <wp:anchor distT="0" distB="0" distL="114300" distR="114300" simplePos="0" relativeHeight="2517452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20B100">
                          <w:pPr>
                            <w:pStyle w:val="3"/>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52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2620B100">
                    <w:pPr>
                      <w:pStyle w:val="3"/>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97828">
    <w:pPr>
      <w:pStyle w:val="3"/>
    </w:pPr>
    <w:r>
      <w:rPr>
        <w:sz w:val="18"/>
      </w:rPr>
      <mc:AlternateContent>
        <mc:Choice Requires="wps">
          <w:drawing>
            <wp:anchor distT="0" distB="0" distL="114300" distR="114300" simplePos="0" relativeHeight="2517463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0F213">
                          <w:pPr>
                            <w:pStyle w:val="3"/>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63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2070F213">
                    <w:pPr>
                      <w:pStyle w:val="3"/>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EDB87">
    <w:pPr>
      <w:pStyle w:val="3"/>
    </w:pPr>
    <w:r>
      <w:rPr>
        <w:sz w:val="18"/>
      </w:rPr>
      <mc:AlternateContent>
        <mc:Choice Requires="wps">
          <w:drawing>
            <wp:anchor distT="0" distB="0" distL="114300" distR="114300" simplePos="0" relativeHeight="251747328"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3085A">
                          <w:pPr>
                            <w:pStyle w:val="3"/>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73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4543085A">
                    <w:pPr>
                      <w:pStyle w:val="3"/>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FBA21">
    <w:pPr>
      <w:pStyle w:val="3"/>
    </w:pPr>
    <w:r>
      <w:rPr>
        <w:sz w:val="18"/>
      </w:rPr>
      <mc:AlternateContent>
        <mc:Choice Requires="wps">
          <w:drawing>
            <wp:anchor distT="0" distB="0" distL="114300" distR="114300" simplePos="0" relativeHeight="2517483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F468A4">
                          <w:pPr>
                            <w:pStyle w:val="3"/>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83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5EF468A4">
                    <w:pPr>
                      <w:pStyle w:val="3"/>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4D698">
    <w:pPr>
      <w:pStyle w:val="3"/>
    </w:pPr>
    <w:r>
      <w:rPr>
        <w:sz w:val="18"/>
      </w:rPr>
      <mc:AlternateContent>
        <mc:Choice Requires="wps">
          <w:drawing>
            <wp:anchor distT="0" distB="0" distL="114300" distR="114300" simplePos="0" relativeHeight="251749376"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524E5">
                          <w:pPr>
                            <w:pStyle w:val="3"/>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93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14:paraId="393524E5">
                    <w:pPr>
                      <w:pStyle w:val="3"/>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95033">
    <w:pPr>
      <w:pStyle w:val="3"/>
    </w:pPr>
    <w:r>
      <w:rPr>
        <w:sz w:val="18"/>
      </w:rPr>
      <mc:AlternateContent>
        <mc:Choice Requires="wps">
          <w:drawing>
            <wp:anchor distT="0" distB="0" distL="114300" distR="114300" simplePos="0" relativeHeight="251750400"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E6D60">
                          <w:pPr>
                            <w:pStyle w:val="3"/>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04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WR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iC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7JZFzICAABjBAAADgAAAAAAAAABACAAAAAfAQAAZHJzL2Uyb0RvYy54bWxQSwUG&#10;AAAAAAYABgBZAQAAwwUAAAAA&#10;">
              <v:fill on="f" focussize="0,0"/>
              <v:stroke on="f" weight="0.5pt"/>
              <v:imagedata o:title=""/>
              <o:lock v:ext="edit" aspectratio="f"/>
              <v:textbox inset="0mm,0mm,0mm,0mm" style="mso-fit-shape-to-text:t;">
                <w:txbxContent>
                  <w:p w14:paraId="55FE6D60">
                    <w:pPr>
                      <w:pStyle w:val="3"/>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0A2BC">
    <w:pPr>
      <w:pStyle w:val="3"/>
    </w:pPr>
    <w:r>
      <w:rPr>
        <w:sz w:val="18"/>
      </w:rPr>
      <mc:AlternateContent>
        <mc:Choice Requires="wps">
          <w:drawing>
            <wp:anchor distT="0" distB="0" distL="114300" distR="114300" simplePos="0" relativeHeight="251751424"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A3F870">
                          <w:pPr>
                            <w:pStyle w:val="3"/>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14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zvg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2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RrO+DICAABjBAAADgAAAAAAAAABACAAAAAfAQAAZHJzL2Uyb0RvYy54bWxQSwUG&#10;AAAAAAYABgBZAQAAwwUAAAAA&#10;">
              <v:fill on="f" focussize="0,0"/>
              <v:stroke on="f" weight="0.5pt"/>
              <v:imagedata o:title=""/>
              <o:lock v:ext="edit" aspectratio="f"/>
              <v:textbox inset="0mm,0mm,0mm,0mm" style="mso-fit-shape-to-text:t;">
                <w:txbxContent>
                  <w:p w14:paraId="3AA3F870">
                    <w:pPr>
                      <w:pStyle w:val="3"/>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D74DB">
    <w:pPr>
      <w:pStyle w:val="3"/>
    </w:pPr>
    <w:r>
      <w:rPr>
        <w:sz w:val="18"/>
      </w:rPr>
      <mc:AlternateContent>
        <mc:Choice Requires="wps">
          <w:drawing>
            <wp:anchor distT="0" distB="0" distL="114300" distR="114300" simplePos="0" relativeHeight="251752448"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E70555">
                          <w:pPr>
                            <w:pStyle w:val="3"/>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24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14:paraId="14E70555">
                    <w:pPr>
                      <w:pStyle w:val="3"/>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84E8D">
    <w:pPr>
      <w:pStyle w:val="3"/>
    </w:pPr>
    <w:r>
      <w:rPr>
        <w:sz w:val="18"/>
      </w:rPr>
      <mc:AlternateContent>
        <mc:Choice Requires="wps">
          <w:drawing>
            <wp:anchor distT="0" distB="0" distL="114300" distR="114300" simplePos="0" relativeHeight="251753472"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76F9A0">
                          <w:pPr>
                            <w:pStyle w:val="3"/>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34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MkPw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MkPwzAgAAYwQAAA4AAAAAAAAAAQAgAAAAHwEAAGRycy9lMm9Eb2MueG1sUEsF&#10;BgAAAAAGAAYAWQEAAMQFAAAAAA==&#10;">
              <v:fill on="f" focussize="0,0"/>
              <v:stroke on="f" weight="0.5pt"/>
              <v:imagedata o:title=""/>
              <o:lock v:ext="edit" aspectratio="f"/>
              <v:textbox inset="0mm,0mm,0mm,0mm" style="mso-fit-shape-to-text:t;">
                <w:txbxContent>
                  <w:p w14:paraId="2776F9A0">
                    <w:pPr>
                      <w:pStyle w:val="3"/>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8F2EA">
    <w:pPr>
      <w:pStyle w:val="3"/>
    </w:pPr>
    <w:r>
      <w:rPr>
        <w:sz w:val="18"/>
      </w:rPr>
      <mc:AlternateContent>
        <mc:Choice Requires="wps">
          <w:drawing>
            <wp:anchor distT="0" distB="0" distL="114300" distR="114300" simplePos="0" relativeHeight="251754496"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B7DA40">
                          <w:pPr>
                            <w:pStyle w:val="3"/>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44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14:paraId="11B7DA40">
                    <w:pPr>
                      <w:pStyle w:val="3"/>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0B144">
    <w:pPr>
      <w:pStyle w:val="3"/>
    </w:pPr>
    <w:r>
      <w:rPr>
        <w:sz w:val="18"/>
      </w:rPr>
      <mc:AlternateContent>
        <mc:Choice Requires="wps">
          <w:drawing>
            <wp:anchor distT="0" distB="0" distL="114300" distR="114300" simplePos="0" relativeHeight="251755520"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4D1BE">
                          <w:pPr>
                            <w:pStyle w:val="3"/>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55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14:paraId="4154D1BE">
                    <w:pPr>
                      <w:pStyle w:val="3"/>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80C85">
    <w:pPr>
      <w:pStyle w:val="3"/>
    </w:pPr>
    <w:r>
      <w:rPr>
        <w:sz w:val="18"/>
      </w:rPr>
      <mc:AlternateContent>
        <mc:Choice Requires="wps">
          <w:drawing>
            <wp:anchor distT="0" distB="0" distL="114300" distR="114300" simplePos="0" relativeHeight="251756544"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96A575">
                          <w:pPr>
                            <w:pStyle w:val="3"/>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65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14:paraId="3F96A575">
                    <w:pPr>
                      <w:pStyle w:val="3"/>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5BFAD">
    <w:pPr>
      <w:pStyle w:val="3"/>
    </w:pPr>
    <w:r>
      <w:rPr>
        <w:sz w:val="18"/>
      </w:rPr>
      <mc:AlternateContent>
        <mc:Choice Requires="wps">
          <w:drawing>
            <wp:anchor distT="0" distB="0" distL="114300" distR="114300" simplePos="0" relativeHeight="25175756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927801">
                          <w:pPr>
                            <w:pStyle w:val="3"/>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75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14:paraId="25927801">
                    <w:pPr>
                      <w:pStyle w:val="3"/>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75F2F">
    <w:pPr>
      <w:pStyle w:val="2"/>
      <w:spacing w:line="14" w:lineRule="auto"/>
      <w:rPr>
        <w:sz w:val="2"/>
      </w:rPr>
    </w:pPr>
    <w:r>
      <w:pict>
        <v:shape id="WordPictureWatermark2" o:spid="_x0000_s2049" o:spt="75" type="#_x0000_t75" style="position:absolute;left:0pt;margin-left:89.85pt;margin-top:454.3pt;height:47.65pt;width:135.15pt;mso-position-horizontal-relative:page;mso-position-vertical-relative:page;z-index:-251657216;mso-width-relative:page;mso-height-relative:page;" filled="f" stroked="f" coordsize="21600,21600" o:allowincell="f">
          <v:path/>
          <v:fill on="f" focussize="0,0"/>
          <v:stroke on="f"/>
          <v:imagedata r:id="rId1" o:title=""/>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AA26E">
    <w:pPr>
      <w:pStyle w:val="2"/>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842CF">
    <w:pPr>
      <w:pStyle w:val="2"/>
      <w:spacing w:line="46" w:lineRule="auto"/>
      <w:rPr>
        <w:sz w:val="2"/>
      </w:rPr>
    </w:pPr>
    <w:r>
      <w:pict>
        <v:shape id="_x0000_s2050" o:spid="_x0000_s2050" style="position:absolute;left:0pt;margin-left:90pt;margin-top:53.85pt;height:0.75pt;width:415.35pt;mso-position-horizontal-relative:page;mso-position-vertical-relative:page;z-index:251660288;mso-width-relative:page;mso-height-relative:page;" fillcolor="#000000" filled="t" stroked="f" coordsize="8307,15" o:allowincell="f" path="m0,0l8306,0,8306,14,0,14,0,0xe">
          <v:path/>
          <v:fill on="t" focussize="0,0"/>
          <v:stroke on="f"/>
          <v:imagedata o:title=""/>
          <o:lock v:ext="edi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729F3">
    <w:pPr>
      <w:pStyle w:val="2"/>
      <w:spacing w:line="46" w:lineRule="auto"/>
      <w:rPr>
        <w:sz w:val="2"/>
      </w:rPr>
    </w:pPr>
    <w:r>
      <w:pict>
        <v:shape id="_x0000_s2053" o:spid="_x0000_s2053" style="position:absolute;left:0pt;margin-left:90pt;margin-top:53.85pt;height:0.75pt;width:415.35pt;mso-position-horizontal-relative:page;mso-position-vertical-relative:page;z-index:251664384;mso-width-relative:page;mso-height-relative:page;" fillcolor="#000000" filled="t" stroked="f" coordsize="8307,15" o:allowincell="f" path="m0,0l8306,0,8306,14,0,14,0,0xe">
          <v:path/>
          <v:fill on="t" focussize="0,0"/>
          <v:stroke on="f"/>
          <v:imagedata o:title=""/>
          <o:lock v:ext="edi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653A6">
    <w:pPr>
      <w:pStyle w:val="2"/>
      <w:spacing w:line="46" w:lineRule="auto"/>
      <w:rPr>
        <w:sz w:val="2"/>
      </w:rPr>
    </w:pPr>
    <w:r>
      <w:pict>
        <v:shape id="_x0000_s2054" o:spid="_x0000_s2054" style="position:absolute;left:0pt;margin-left:90pt;margin-top:53.85pt;height:0.75pt;width:415.35pt;mso-position-horizontal-relative:page;mso-position-vertical-relative:page;z-index:251665408;mso-width-relative:page;mso-height-relative:page;" fillcolor="#000000" filled="t" stroked="f" coordsize="8307,15" o:allowincell="f" path="m0,0l8306,0,8306,14,0,14,0,0xe">
          <v:path/>
          <v:fill on="t" focussize="0,0"/>
          <v:stroke on="f"/>
          <v:imagedata o:title=""/>
          <o:lock v:ext="edi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1B797">
    <w:pPr>
      <w:pStyle w:val="2"/>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86CB1">
    <w:pPr>
      <w:pStyle w:val="2"/>
      <w:spacing w:line="46" w:lineRule="auto"/>
      <w:rPr>
        <w:sz w:val="2"/>
      </w:rPr>
    </w:pPr>
    <w:r>
      <w:pict>
        <v:shape id="_x0000_s2056" o:spid="_x0000_s2056" style="position:absolute;left:0pt;margin-left:89.85pt;margin-top:53.85pt;height:0.75pt;width:415.7pt;mso-position-horizontal-relative:page;mso-position-vertical-relative:page;z-index:251666432;mso-width-relative:page;mso-height-relative:page;" fillcolor="#000000" filled="t" stroked="f" coordsize="8314,15" o:allowincell="f" path="m0,0l8313,0,8313,14,0,14,0,0xe">
          <v:path/>
          <v:fill on="t" focussize="0,0"/>
          <v:stroke on="f"/>
          <v:imagedata o:title=""/>
          <o:lock v:ext="edi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469E5">
    <w:pPr>
      <w:pStyle w:val="2"/>
      <w:spacing w:line="46" w:lineRule="auto"/>
      <w:rPr>
        <w:sz w:val="2"/>
      </w:rPr>
    </w:pPr>
    <w:r>
      <w:pict>
        <v:shape id="_x0000_s2057" o:spid="_x0000_s2057" style="position:absolute;left:0pt;margin-left:89.85pt;margin-top:53.85pt;height:0.75pt;width:415.7pt;mso-position-horizontal-relative:page;mso-position-vertical-relative:page;z-index:251667456;mso-width-relative:page;mso-height-relative:page;" fillcolor="#000000" filled="t" stroked="f" coordsize="8314,15" o:allowincell="f" path="m0,0l8313,0,8313,14,0,14,0,0xe">
          <v:path/>
          <v:fill on="t" focussize="0,0"/>
          <v:stroke on="f"/>
          <v:imagedata o:title=""/>
          <o:lock v:ext="edi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564C8">
    <w:pPr>
      <w:pStyle w:val="2"/>
      <w:spacing w:line="46" w:lineRule="auto"/>
      <w:rPr>
        <w:sz w:val="2"/>
      </w:rPr>
    </w:pPr>
    <w:r>
      <w:pict>
        <v:shape id="_x0000_s2058" o:spid="_x0000_s2058" style="position:absolute;left:0pt;margin-left:89.85pt;margin-top:53.85pt;height:0.75pt;width:415.7pt;mso-position-horizontal-relative:page;mso-position-vertical-relative:page;z-index:251669504;mso-width-relative:page;mso-height-relative:page;" fillcolor="#000000" filled="t" stroked="f" coordsize="8314,15" o:allowincell="f" path="m0,0l8313,0,8313,14,0,14,0,0xe">
          <v:path/>
          <v:fill on="t" focussize="0,0"/>
          <v:stroke on="f"/>
          <v:imagedata o:title=""/>
          <o:lock v:ext="edi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959AC">
    <w:pPr>
      <w:pStyle w:val="2"/>
      <w:spacing w:line="46" w:lineRule="auto"/>
      <w:rPr>
        <w:sz w:val="2"/>
      </w:rPr>
    </w:pPr>
    <w:r>
      <w:pict>
        <v:shape id="_x0000_s2059" o:spid="_x0000_s2059" style="position:absolute;left:0pt;margin-left:89.85pt;margin-top:53.85pt;height:0.75pt;width:415.7pt;mso-position-horizontal-relative:page;mso-position-vertical-relative:page;z-index:251670528;mso-width-relative:page;mso-height-relative:page;" fillcolor="#000000" filled="t" stroked="f" coordsize="8314,15" o:allowincell="f" path="m0,0l8313,0,8313,14,0,14,0,0xe">
          <v:path/>
          <v:fill on="t" focussize="0,0"/>
          <v:stroke on="f"/>
          <v:imagedata o:title=""/>
          <o:lock v:ext="edi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D2500">
    <w:pPr>
      <w:pStyle w:val="2"/>
      <w:spacing w:line="46" w:lineRule="auto"/>
      <w:rPr>
        <w:sz w:val="2"/>
      </w:rPr>
    </w:pPr>
    <w:r>
      <w:pict>
        <v:shape id="_x0000_s2060" o:spid="_x0000_s2060" style="position:absolute;left:0pt;margin-left:89.85pt;margin-top:53.85pt;height:0.75pt;width:415.7pt;mso-position-horizontal-relative:page;mso-position-vertical-relative:page;z-index:251671552;mso-width-relative:page;mso-height-relative:page;" fillcolor="#000000" filled="t" stroked="f" coordsize="8314,15" o:allowincell="f" path="m0,0l8313,0,8313,14,0,14,0,0xe">
          <v:path/>
          <v:fill on="t" focussize="0,0"/>
          <v:stroke on="f"/>
          <v:imagedata o:title=""/>
          <o:lock v:ext="edi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1FECA">
    <w:pPr>
      <w:pStyle w:val="2"/>
      <w:spacing w:line="46" w:lineRule="auto"/>
      <w:rPr>
        <w:sz w:val="2"/>
      </w:rPr>
    </w:pPr>
    <w:r>
      <w:pict>
        <v:shape id="_x0000_s2061" o:spid="_x0000_s2061" style="position:absolute;left:0pt;margin-left:89.85pt;margin-top:53.85pt;height:0.75pt;width:415.7pt;mso-position-horizontal-relative:page;mso-position-vertical-relative:page;z-index:251672576;mso-width-relative:page;mso-height-relative:page;" fillcolor="#000000" filled="t" stroked="f" coordsize="8314,15" o:allowincell="f" path="m0,0l8313,0,8313,14,0,14,0,0xe">
          <v:path/>
          <v:fill on="t" focussize="0,0"/>
          <v:stroke on="f"/>
          <v:imagedata o:title=""/>
          <o:lock v:ext="edi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CD965">
    <w:pPr>
      <w:pStyle w:val="2"/>
      <w:spacing w:line="46" w:lineRule="auto"/>
      <w:rPr>
        <w:sz w:val="2"/>
      </w:rPr>
    </w:pPr>
    <w:r>
      <w:pict>
        <v:shape id="_x0000_s2062" o:spid="_x0000_s2062" style="position:absolute;left:0pt;margin-left:89.85pt;margin-top:53.85pt;height:0.75pt;width:415.7pt;mso-position-horizontal-relative:page;mso-position-vertical-relative:page;z-index:251673600;mso-width-relative:page;mso-height-relative:page;" fillcolor="#000000" filled="t" stroked="f" coordsize="8314,15" o:allowincell="f" path="m0,0l8313,0,8313,14,0,14,0,0xe">
          <v:path/>
          <v:fill on="t" focussize="0,0"/>
          <v:stroke on="f"/>
          <v:imagedata o:title=""/>
          <o:lock v:ext="edi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A3189">
    <w:pPr>
      <w:pStyle w:val="2"/>
      <w:spacing w:line="46" w:lineRule="auto"/>
      <w:rPr>
        <w:sz w:val="2"/>
      </w:rPr>
    </w:pPr>
    <w:r>
      <w:pict>
        <v:shape id="_x0000_s2063" o:spid="_x0000_s2063" style="position:absolute;left:0pt;margin-left:89.85pt;margin-top:53.85pt;height:0.75pt;width:415.7pt;mso-position-horizontal-relative:page;mso-position-vertical-relative:page;z-index:251674624;mso-width-relative:page;mso-height-relative:page;" fillcolor="#000000" filled="t" stroked="f" coordsize="8314,15" o:allowincell="f" path="m0,0l8313,0,8313,14,0,14,0,0xe">
          <v:path/>
          <v:fill on="t" focussize="0,0"/>
          <v:stroke on="f"/>
          <v:imagedata o:title=""/>
          <o:lock v:ext="edi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9FFAC">
    <w:pPr>
      <w:pStyle w:val="2"/>
      <w:spacing w:line="46" w:lineRule="auto"/>
      <w:rPr>
        <w:sz w:val="2"/>
      </w:rPr>
    </w:pPr>
    <w:r>
      <mc:AlternateContent>
        <mc:Choice Requires="wps">
          <w:drawing>
            <wp:anchor distT="0" distB="0" distL="114300" distR="114300" simplePos="0" relativeHeight="251686912" behindDoc="0" locked="0" layoutInCell="0" allowOverlap="1">
              <wp:simplePos x="0" y="0"/>
              <wp:positionH relativeFrom="page">
                <wp:posOffset>1141095</wp:posOffset>
              </wp:positionH>
              <wp:positionV relativeFrom="page">
                <wp:posOffset>683895</wp:posOffset>
              </wp:positionV>
              <wp:extent cx="527939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279390" cy="9525"/>
                      </a:xfrm>
                      <a:custGeom>
                        <a:avLst/>
                        <a:gdLst/>
                        <a:ahLst/>
                        <a:cxnLst/>
                        <a:pathLst>
                          <a:path w="8314" h="15">
                            <a:moveTo>
                              <a:pt x="0" y="0"/>
                            </a:moveTo>
                            <a:lnTo>
                              <a:pt x="8313" y="0"/>
                            </a:lnTo>
                            <a:lnTo>
                              <a:pt x="8313"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53.85pt;height:0.75pt;width:415.7pt;mso-position-horizontal-relative:page;mso-position-vertical-relative:page;z-index:251686912;mso-width-relative:page;mso-height-relative:page;" fillcolor="#000000" filled="t" stroked="f" coordsize="8314,15" o:allowincell="f" o:gfxdata="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WY6DDWAAAADAEAAA8AAAAAAAAA&#10;AQAgAAAAIgAAAGRycy9kb3ducmV2LnhtbFBLAQIUABQAAAAIAIdO4kAlCxNFEwIAAHsEAAAOAAAA&#10;AAAAAAEAIAAAACUBAABkcnMvZTJvRG9jLnhtbFBLBQYAAAAABgAGAFkBAACqBQAAAAA=&#10;" path="m0,0l8313,0,8313,14,0,14,0,0xe">
              <v:fill on="t" focussize="0,0"/>
              <v:stroke on="f"/>
              <v:imagedata o:title=""/>
              <o:lock v:ext="edit" aspectratio="f"/>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D52F6">
    <w:pPr>
      <w:pStyle w:val="2"/>
      <w:spacing w:line="46" w:lineRule="auto"/>
      <w:rPr>
        <w:sz w:val="2"/>
      </w:rPr>
    </w:pPr>
    <w:r>
      <w:pict>
        <v:shape id="_x0000_s2064" o:spid="_x0000_s2064" style="position:absolute;left:0pt;margin-left:89.85pt;margin-top:53.85pt;height:0.75pt;width:415.7pt;mso-position-horizontal-relative:page;mso-position-vertical-relative:page;z-index:251676672;mso-width-relative:page;mso-height-relative:page;" fillcolor="#000000" filled="t" stroked="f" coordsize="8314,15" o:allowincell="f" path="m0,0l8313,0,8313,14,0,14,0,0xe">
          <v:path/>
          <v:fill on="t" focussize="0,0"/>
          <v:stroke on="f"/>
          <v:imagedata o:title=""/>
          <o:lock v:ext="edit"/>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86EA1">
    <w:pPr>
      <w:pStyle w:val="2"/>
      <w:spacing w:line="46" w:lineRule="auto"/>
      <w:rPr>
        <w:sz w:val="2"/>
      </w:rPr>
    </w:pPr>
    <w:r>
      <w:pict>
        <v:shape id="_x0000_s2066" o:spid="_x0000_s2066" style="position:absolute;left:0pt;margin-left:89.85pt;margin-top:53.85pt;height:0.75pt;width:415.7pt;mso-position-horizontal-relative:page;mso-position-vertical-relative:page;z-index:251677696;mso-width-relative:page;mso-height-relative:page;" fillcolor="#000000" filled="t" stroked="f" coordsize="8314,15" o:allowincell="f" path="m0,0l8313,0,8313,14,0,14,0,0xe">
          <v:path/>
          <v:fill on="t" focussize="0,0"/>
          <v:stroke on="f"/>
          <v:imagedata o:title=""/>
          <o:lock v:ext="edi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51D16">
    <w:pPr>
      <w:pStyle w:val="2"/>
      <w:spacing w:line="46" w:lineRule="auto"/>
      <w:rPr>
        <w:sz w:val="2"/>
      </w:rPr>
    </w:pPr>
    <w:r>
      <w:pict>
        <v:shape id="_x0000_s2067" o:spid="_x0000_s2067" style="position:absolute;left:0pt;margin-left:89.85pt;margin-top:53.85pt;height:0.75pt;width:415.7pt;mso-position-horizontal-relative:page;mso-position-vertical-relative:page;z-index:251666432;mso-width-relative:page;mso-height-relative:page;" fillcolor="#000000" filled="t" stroked="f" coordsize="8314,15" o:allowincell="f" path="m0,0l8313,0,8313,14,0,14,0,0xe">
          <v:path/>
          <v:fill on="t" focussize="0,0"/>
          <v:stroke on="f"/>
          <v:imagedata o:title=""/>
          <o:lock v:ext="edi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D1587">
    <w:pPr>
      <w:pStyle w:val="2"/>
      <w:spacing w:line="46" w:lineRule="auto"/>
      <w:rPr>
        <w:sz w:val="2"/>
      </w:rPr>
    </w:pPr>
    <w:r>
      <w:pict>
        <v:shape id="_x0000_s2068" o:spid="_x0000_s2068" style="position:absolute;left:0pt;margin-left:89.85pt;margin-top:53.85pt;height:0.75pt;width:415.7pt;mso-position-horizontal-relative:page;mso-position-vertical-relative:page;z-index:251678720;mso-width-relative:page;mso-height-relative:page;" fillcolor="#000000" filled="t" stroked="f" coordsize="8314,15" o:allowincell="f" path="m0,0l8313,0,8313,14,0,14,0,0xe">
          <v:path/>
          <v:fill on="t" focussize="0,0"/>
          <v:stroke on="f"/>
          <v:imagedata o:title=""/>
          <o:lock v:ext="edit"/>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8FA13">
    <w:pPr>
      <w:pStyle w:val="2"/>
      <w:spacing w:line="46" w:lineRule="auto"/>
      <w:rPr>
        <w:sz w:val="2"/>
      </w:rPr>
    </w:pPr>
    <w:r>
      <w:pict>
        <v:shape id="_x0000_s2069" o:spid="_x0000_s2069" style="position:absolute;left:0pt;margin-left:89.85pt;margin-top:53.85pt;height:0.75pt;width:415.7pt;mso-position-horizontal-relative:page;mso-position-vertical-relative:page;z-index:251666432;mso-width-relative:page;mso-height-relative:page;" fillcolor="#000000" filled="t" stroked="f" coordsize="8314,15" o:allowincell="f" path="m0,0l8313,0,8313,14,0,14,0,0xe">
          <v:path/>
          <v:fill on="t" focussize="0,0"/>
          <v:stroke on="f"/>
          <v:imagedata o:title=""/>
          <o:lock v:ext="edi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BC9FF">
    <w:pPr>
      <w:pStyle w:val="2"/>
      <w:spacing w:line="14" w:lineRule="auto"/>
      <w:rPr>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2F76B">
    <w:pPr>
      <w:pStyle w:val="2"/>
      <w:spacing w:line="46" w:lineRule="auto"/>
      <w:rPr>
        <w:sz w:val="2"/>
      </w:rPr>
    </w:pPr>
    <w:r>
      <w:pict>
        <v:shape id="_x0000_s2070" o:spid="_x0000_s2070" style="position:absolute;left:0pt;margin-left:89.85pt;margin-top:53.85pt;height:0.75pt;width:415.7pt;mso-position-horizontal-relative:page;mso-position-vertical-relative:page;z-index:251666432;mso-width-relative:page;mso-height-relative:page;" fillcolor="#000000" filled="t" stroked="f" coordsize="8314,15" o:allowincell="f" path="m0,0l8313,0,8313,14,0,14,0,0xe">
          <v:path/>
          <v:fill on="t" focussize="0,0"/>
          <v:stroke on="f"/>
          <v:imagedata o:title=""/>
          <o:lock v:ext="edit"/>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5A4C5">
    <w:pPr>
      <w:pStyle w:val="2"/>
      <w:spacing w:line="46" w:lineRule="auto"/>
      <w:rPr>
        <w:sz w:val="2"/>
      </w:rPr>
    </w:pPr>
    <w:r>
      <w:pict>
        <v:shape id="_x0000_s2071" o:spid="_x0000_s2071" style="position:absolute;left:0pt;margin-left:89.85pt;margin-top:53.85pt;height:0.75pt;width:415.7pt;mso-position-horizontal-relative:page;mso-position-vertical-relative:page;z-index:251679744;mso-width-relative:page;mso-height-relative:page;" fillcolor="#000000" filled="t" stroked="f" coordsize="8314,15" o:allowincell="f" path="m0,0l8313,0,8313,14,0,14,0,0xe">
          <v:path/>
          <v:fill on="t" focussize="0,0"/>
          <v:stroke on="f"/>
          <v:imagedata o:title=""/>
          <o:lock v:ext="edi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BF8BE">
    <w:pPr>
      <w:pStyle w:val="2"/>
      <w:spacing w:line="46" w:lineRule="auto"/>
      <w:rPr>
        <w:sz w:val="2"/>
      </w:rPr>
    </w:pPr>
    <w:r>
      <w:pict>
        <v:shape id="_x0000_s2072" o:spid="_x0000_s2072" style="position:absolute;left:0pt;margin-left:89.85pt;margin-top:53.85pt;height:0.75pt;width:415.7pt;mso-position-horizontal-relative:page;mso-position-vertical-relative:page;z-index:251680768;mso-width-relative:page;mso-height-relative:page;" fillcolor="#000000" filled="t" stroked="f" coordsize="8314,15" o:allowincell="f" path="m0,0l8313,0,8313,14,0,14,0,0xe">
          <v:path/>
          <v:fill on="t" focussize="0,0"/>
          <v:stroke on="f"/>
          <v:imagedata o:title=""/>
          <o:lock v:ext="edi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926D7">
    <w:pPr>
      <w:pStyle w:val="2"/>
      <w:spacing w:line="46" w:lineRule="auto"/>
      <w:rPr>
        <w:sz w:val="2"/>
      </w:rPr>
    </w:pPr>
    <w:r>
      <w:pict>
        <v:shape id="_x0000_s2073" o:spid="_x0000_s2073" style="position:absolute;left:0pt;margin-left:89.85pt;margin-top:53.85pt;height:0.75pt;width:415.7pt;mso-position-horizontal-relative:page;mso-position-vertical-relative:page;z-index:251681792;mso-width-relative:page;mso-height-relative:page;" fillcolor="#000000" filled="t" stroked="f" coordsize="8314,15" o:allowincell="f" path="m0,0l8313,0,8313,14,0,14,0,0xe">
          <v:path/>
          <v:fill on="t" focussize="0,0"/>
          <v:stroke on="f"/>
          <v:imagedata o:title=""/>
          <o:lock v:ext="edit"/>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B88A7">
    <w:pPr>
      <w:pStyle w:val="2"/>
      <w:spacing w:line="46" w:lineRule="auto"/>
      <w:rPr>
        <w:sz w:val="2"/>
      </w:rPr>
    </w:pPr>
    <w:r>
      <w:pict>
        <v:shape id="_x0000_s2074" o:spid="_x0000_s2074" style="position:absolute;left:0pt;margin-left:89.85pt;margin-top:53.85pt;height:0.75pt;width:415.7pt;mso-position-horizontal-relative:page;mso-position-vertical-relative:page;z-index:251682816;mso-width-relative:page;mso-height-relative:page;" fillcolor="#000000" filled="t" stroked="f" coordsize="8314,15" o:allowincell="f" path="m0,0l8313,0,8313,14,0,14,0,0xe">
          <v:path/>
          <v:fill on="t" focussize="0,0"/>
          <v:stroke on="f"/>
          <v:imagedata o:title=""/>
          <o:lock v:ext="edi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2AE3C">
    <w:pPr>
      <w:pStyle w:val="2"/>
      <w:spacing w:line="46" w:lineRule="auto"/>
      <w:rPr>
        <w:sz w:val="2"/>
      </w:rPr>
    </w:pPr>
    <w:r>
      <w:pict>
        <v:shape id="_x0000_s2075" o:spid="_x0000_s2075" style="position:absolute;left:0pt;margin-left:89.85pt;margin-top:53.85pt;height:0.75pt;width:415.7pt;mso-position-horizontal-relative:page;mso-position-vertical-relative:page;z-index:251666432;mso-width-relative:page;mso-height-relative:page;" fillcolor="#000000" filled="t" stroked="f" coordsize="8314,15" o:allowincell="f" path="m0,0l8313,0,8313,14,0,14,0,0xe">
          <v:path/>
          <v:fill on="t" focussize="0,0"/>
          <v:stroke on="f"/>
          <v:imagedata o:title=""/>
          <o:lock v:ext="edi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C1032">
    <w:pPr>
      <w:pStyle w:val="2"/>
      <w:spacing w:line="46" w:lineRule="auto"/>
      <w:rPr>
        <w:sz w:val="2"/>
      </w:rPr>
    </w:pPr>
    <w:r>
      <w:pict>
        <v:shape id="_x0000_s2076" o:spid="_x0000_s2076" style="position:absolute;left:0pt;margin-left:89.85pt;margin-top:53.85pt;height:0.75pt;width:415.7pt;mso-position-horizontal-relative:page;mso-position-vertical-relative:page;z-index:251683840;mso-width-relative:page;mso-height-relative:page;" fillcolor="#000000" filled="t" stroked="f" coordsize="8314,15" o:allowincell="f" path="m0,0l8313,0,8313,14,0,14,0,0xe">
          <v:path/>
          <v:fill on="t" focussize="0,0"/>
          <v:stroke on="f"/>
          <v:imagedata o:title=""/>
          <o:lock v:ext="edit"/>
        </v:shape>
      </w:pic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F252">
    <w:pPr>
      <w:pStyle w:val="2"/>
      <w:spacing w:line="46" w:lineRule="auto"/>
      <w:rPr>
        <w:sz w:val="2"/>
      </w:rPr>
    </w:pPr>
    <w:r>
      <w:pict>
        <v:shape id="_x0000_s2077" o:spid="_x0000_s2077" style="position:absolute;left:0pt;margin-left:90.6pt;margin-top:105.8pt;height:0.75pt;width:415.6pt;mso-position-horizontal-relative:page;mso-position-vertical-relative:page;z-index:251684864;mso-width-relative:page;mso-height-relative:page;" fillcolor="#000000" filled="t" stroked="f" coordsize="8312,15" o:allowincell="f" path="m0,0l8311,0,8311,14,0,14,0,0xe">
          <v:path/>
          <v:fill on="t" focussize="0,0"/>
          <v:stroke on="f"/>
          <v:imagedata o:title=""/>
          <o:lock v:ext="edi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2FE41">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ED5B83"/>
    <w:rsid w:val="0A3A6391"/>
    <w:rsid w:val="20654ACF"/>
    <w:rsid w:val="2B173A9F"/>
    <w:rsid w:val="34A927F4"/>
    <w:rsid w:val="3C4319CD"/>
    <w:rsid w:val="407D35F0"/>
    <w:rsid w:val="41BF6593"/>
    <w:rsid w:val="49FF5C14"/>
    <w:rsid w:val="56DA024E"/>
    <w:rsid w:val="5A730156"/>
    <w:rsid w:val="5E3E46A2"/>
    <w:rsid w:val="6490611E"/>
    <w:rsid w:val="67932C84"/>
    <w:rsid w:val="6879298A"/>
    <w:rsid w:val="6C0D5944"/>
    <w:rsid w:val="76E341AB"/>
    <w:rsid w:val="7D242097"/>
    <w:rsid w:val="7F1A0B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TML Sample"/>
    <w:basedOn w:val="8"/>
    <w:qFormat/>
    <w:uiPriority w:val="0"/>
    <w:rPr>
      <w:rFonts w:ascii="Courier New" w:hAnsi="Courier New"/>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24"/>
      <w:szCs w:val="24"/>
      <w:lang w:val="en-US" w:eastAsia="en-US" w:bidi="ar-SA"/>
    </w:rPr>
  </w:style>
  <w:style w:type="paragraph" w:customStyle="1" w:styleId="12">
    <w:name w:val="WPSOffice手动目录 1"/>
    <w:qFormat/>
    <w:uiPriority w:val="0"/>
    <w:pPr>
      <w:ind w:leftChars="0"/>
    </w:pPr>
    <w:rPr>
      <w:rFonts w:ascii="Arial" w:hAnsi="Arial" w:eastAsia="Arial" w:cs="Arial"/>
      <w:sz w:val="20"/>
      <w:szCs w:val="20"/>
    </w:rPr>
  </w:style>
  <w:style w:type="paragraph" w:customStyle="1" w:styleId="13">
    <w:name w:val="WPSOffice手动目录 2"/>
    <w:qFormat/>
    <w:uiPriority w:val="0"/>
    <w:pPr>
      <w:ind w:leftChars="200"/>
    </w:pPr>
    <w:rPr>
      <w:rFonts w:ascii="Arial" w:hAnsi="Arial" w:eastAsia="Arial" w:cs="Arial"/>
      <w:sz w:val="20"/>
      <w:szCs w:val="20"/>
    </w:rPr>
  </w:style>
  <w:style w:type="paragraph" w:customStyle="1" w:styleId="14">
    <w:name w:val="WPSOffice手动目录 3"/>
    <w:qFormat/>
    <w:uiPriority w:val="0"/>
    <w:pPr>
      <w:ind w:leftChars="400"/>
    </w:pPr>
    <w:rPr>
      <w:rFonts w:ascii="Arial" w:hAnsi="Arial" w:eastAsia="Arial" w:cs="Arial"/>
      <w:sz w:val="20"/>
      <w:szCs w:val="20"/>
    </w:rPr>
  </w:style>
</w:styles>
</file>

<file path=word/_rels/document.xml.rels><?xml version="1.0" encoding="UTF-8" standalone="yes"?>
<Relationships xmlns="http://schemas.openxmlformats.org/package/2006/relationships"><Relationship Id="rId99" Type="http://schemas.openxmlformats.org/officeDocument/2006/relationships/footer" Target="footer67.xml"/><Relationship Id="rId98" Type="http://schemas.openxmlformats.org/officeDocument/2006/relationships/header" Target="header28.xml"/><Relationship Id="rId97" Type="http://schemas.openxmlformats.org/officeDocument/2006/relationships/footer" Target="footer66.xml"/><Relationship Id="rId96" Type="http://schemas.openxmlformats.org/officeDocument/2006/relationships/header" Target="header27.xml"/><Relationship Id="rId95" Type="http://schemas.openxmlformats.org/officeDocument/2006/relationships/footer" Target="footer65.xml"/><Relationship Id="rId94" Type="http://schemas.openxmlformats.org/officeDocument/2006/relationships/header" Target="header26.xml"/><Relationship Id="rId93" Type="http://schemas.openxmlformats.org/officeDocument/2006/relationships/footer" Target="footer64.xml"/><Relationship Id="rId92" Type="http://schemas.openxmlformats.org/officeDocument/2006/relationships/footer" Target="footer63.xml"/><Relationship Id="rId91" Type="http://schemas.openxmlformats.org/officeDocument/2006/relationships/header" Target="header25.xml"/><Relationship Id="rId90" Type="http://schemas.openxmlformats.org/officeDocument/2006/relationships/footer" Target="footer62.xml"/><Relationship Id="rId9" Type="http://schemas.openxmlformats.org/officeDocument/2006/relationships/footer" Target="footer5.xml"/><Relationship Id="rId89" Type="http://schemas.openxmlformats.org/officeDocument/2006/relationships/header" Target="header24.xml"/><Relationship Id="rId88" Type="http://schemas.openxmlformats.org/officeDocument/2006/relationships/footer" Target="footer61.xml"/><Relationship Id="rId87" Type="http://schemas.openxmlformats.org/officeDocument/2006/relationships/header" Target="header23.xml"/><Relationship Id="rId86" Type="http://schemas.openxmlformats.org/officeDocument/2006/relationships/footer" Target="footer60.xml"/><Relationship Id="rId85" Type="http://schemas.openxmlformats.org/officeDocument/2006/relationships/footer" Target="footer59.xml"/><Relationship Id="rId84" Type="http://schemas.openxmlformats.org/officeDocument/2006/relationships/header" Target="header22.xml"/><Relationship Id="rId83" Type="http://schemas.openxmlformats.org/officeDocument/2006/relationships/footer" Target="footer58.xml"/><Relationship Id="rId82" Type="http://schemas.openxmlformats.org/officeDocument/2006/relationships/header" Target="header21.xml"/><Relationship Id="rId81" Type="http://schemas.openxmlformats.org/officeDocument/2006/relationships/footer" Target="footer57.xml"/><Relationship Id="rId80" Type="http://schemas.openxmlformats.org/officeDocument/2006/relationships/footer" Target="footer56.xml"/><Relationship Id="rId8" Type="http://schemas.openxmlformats.org/officeDocument/2006/relationships/footer" Target="footer4.xml"/><Relationship Id="rId79" Type="http://schemas.openxmlformats.org/officeDocument/2006/relationships/footer" Target="footer55.xml"/><Relationship Id="rId78" Type="http://schemas.openxmlformats.org/officeDocument/2006/relationships/header" Target="header20.xml"/><Relationship Id="rId77" Type="http://schemas.openxmlformats.org/officeDocument/2006/relationships/footer" Target="footer54.xml"/><Relationship Id="rId76" Type="http://schemas.openxmlformats.org/officeDocument/2006/relationships/header" Target="header19.xml"/><Relationship Id="rId75" Type="http://schemas.openxmlformats.org/officeDocument/2006/relationships/footer" Target="footer53.xml"/><Relationship Id="rId74" Type="http://schemas.openxmlformats.org/officeDocument/2006/relationships/header" Target="header18.xml"/><Relationship Id="rId73" Type="http://schemas.openxmlformats.org/officeDocument/2006/relationships/footer" Target="footer52.xml"/><Relationship Id="rId72" Type="http://schemas.openxmlformats.org/officeDocument/2006/relationships/footer" Target="footer51.xml"/><Relationship Id="rId71" Type="http://schemas.openxmlformats.org/officeDocument/2006/relationships/header" Target="header17.xml"/><Relationship Id="rId70" Type="http://schemas.openxmlformats.org/officeDocument/2006/relationships/footer" Target="footer50.xml"/><Relationship Id="rId7" Type="http://schemas.openxmlformats.org/officeDocument/2006/relationships/footer" Target="footer3.xml"/><Relationship Id="rId69" Type="http://schemas.openxmlformats.org/officeDocument/2006/relationships/header" Target="header16.xml"/><Relationship Id="rId68" Type="http://schemas.openxmlformats.org/officeDocument/2006/relationships/footer" Target="footer49.xml"/><Relationship Id="rId67" Type="http://schemas.openxmlformats.org/officeDocument/2006/relationships/header" Target="header15.xml"/><Relationship Id="rId66" Type="http://schemas.openxmlformats.org/officeDocument/2006/relationships/footer" Target="footer48.xml"/><Relationship Id="rId65" Type="http://schemas.openxmlformats.org/officeDocument/2006/relationships/header" Target="header14.xml"/><Relationship Id="rId64" Type="http://schemas.openxmlformats.org/officeDocument/2006/relationships/footer" Target="footer47.xml"/><Relationship Id="rId63" Type="http://schemas.openxmlformats.org/officeDocument/2006/relationships/header" Target="header13.xml"/><Relationship Id="rId62" Type="http://schemas.openxmlformats.org/officeDocument/2006/relationships/footer" Target="footer46.xml"/><Relationship Id="rId61" Type="http://schemas.openxmlformats.org/officeDocument/2006/relationships/header" Target="header12.xml"/><Relationship Id="rId60" Type="http://schemas.openxmlformats.org/officeDocument/2006/relationships/footer" Target="footer45.xml"/><Relationship Id="rId6" Type="http://schemas.openxmlformats.org/officeDocument/2006/relationships/footer" Target="footer2.xml"/><Relationship Id="rId59" Type="http://schemas.openxmlformats.org/officeDocument/2006/relationships/header" Target="header11.xml"/><Relationship Id="rId58" Type="http://schemas.openxmlformats.org/officeDocument/2006/relationships/footer" Target="footer44.xml"/><Relationship Id="rId57" Type="http://schemas.openxmlformats.org/officeDocument/2006/relationships/header" Target="header10.xml"/><Relationship Id="rId56" Type="http://schemas.openxmlformats.org/officeDocument/2006/relationships/footer" Target="footer43.xml"/><Relationship Id="rId55" Type="http://schemas.openxmlformats.org/officeDocument/2006/relationships/header" Target="header9.xml"/><Relationship Id="rId54" Type="http://schemas.openxmlformats.org/officeDocument/2006/relationships/footer" Target="footer42.xml"/><Relationship Id="rId53" Type="http://schemas.openxmlformats.org/officeDocument/2006/relationships/header" Target="header8.xml"/><Relationship Id="rId52" Type="http://schemas.openxmlformats.org/officeDocument/2006/relationships/footer" Target="footer41.xml"/><Relationship Id="rId51" Type="http://schemas.openxmlformats.org/officeDocument/2006/relationships/header" Target="header7.xml"/><Relationship Id="rId50" Type="http://schemas.openxmlformats.org/officeDocument/2006/relationships/footer" Target="footer40.xml"/><Relationship Id="rId5" Type="http://schemas.openxmlformats.org/officeDocument/2006/relationships/footer" Target="footer1.xml"/><Relationship Id="rId49" Type="http://schemas.openxmlformats.org/officeDocument/2006/relationships/header" Target="header6.xml"/><Relationship Id="rId48" Type="http://schemas.openxmlformats.org/officeDocument/2006/relationships/footer" Target="footer39.xml"/><Relationship Id="rId47" Type="http://schemas.openxmlformats.org/officeDocument/2006/relationships/footer" Target="footer38.xml"/><Relationship Id="rId46" Type="http://schemas.openxmlformats.org/officeDocument/2006/relationships/footer" Target="footer37.xml"/><Relationship Id="rId45" Type="http://schemas.openxmlformats.org/officeDocument/2006/relationships/footer" Target="footer36.xml"/><Relationship Id="rId44" Type="http://schemas.openxmlformats.org/officeDocument/2006/relationships/footer" Target="footer35.xml"/><Relationship Id="rId43" Type="http://schemas.openxmlformats.org/officeDocument/2006/relationships/header" Target="header5.xml"/><Relationship Id="rId42" Type="http://schemas.openxmlformats.org/officeDocument/2006/relationships/footer" Target="footer34.xml"/><Relationship Id="rId41" Type="http://schemas.openxmlformats.org/officeDocument/2006/relationships/footer" Target="footer33.xml"/><Relationship Id="rId40" Type="http://schemas.openxmlformats.org/officeDocument/2006/relationships/header" Target="header4.xml"/><Relationship Id="rId4" Type="http://schemas.openxmlformats.org/officeDocument/2006/relationships/endnotes" Target="endnotes.xml"/><Relationship Id="rId39" Type="http://schemas.openxmlformats.org/officeDocument/2006/relationships/footer" Target="footer32.xml"/><Relationship Id="rId38" Type="http://schemas.openxmlformats.org/officeDocument/2006/relationships/footer" Target="footer31.xml"/><Relationship Id="rId37" Type="http://schemas.openxmlformats.org/officeDocument/2006/relationships/header" Target="header3.xml"/><Relationship Id="rId36" Type="http://schemas.openxmlformats.org/officeDocument/2006/relationships/footer" Target="footer30.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header" Target="header2.xml"/><Relationship Id="rId28" Type="http://schemas.openxmlformats.org/officeDocument/2006/relationships/footer" Target="footer23.xml"/><Relationship Id="rId27" Type="http://schemas.openxmlformats.org/officeDocument/2006/relationships/header" Target="header1.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3" Type="http://schemas.openxmlformats.org/officeDocument/2006/relationships/glossaryDocument" Target="glossary/document.xml"/><Relationship Id="rId122" Type="http://schemas.openxmlformats.org/officeDocument/2006/relationships/fontTable" Target="fontTable.xml"/><Relationship Id="rId121" Type="http://schemas.openxmlformats.org/officeDocument/2006/relationships/customXml" Target="../customXml/item1.xml"/><Relationship Id="rId120" Type="http://schemas.openxmlformats.org/officeDocument/2006/relationships/image" Target="media/image17.png"/><Relationship Id="rId12" Type="http://schemas.openxmlformats.org/officeDocument/2006/relationships/footer" Target="footer8.xml"/><Relationship Id="rId119" Type="http://schemas.openxmlformats.org/officeDocument/2006/relationships/image" Target="media/image16.png"/><Relationship Id="rId118" Type="http://schemas.openxmlformats.org/officeDocument/2006/relationships/image" Target="media/image15.png"/><Relationship Id="rId117" Type="http://schemas.openxmlformats.org/officeDocument/2006/relationships/image" Target="media/image14.png"/><Relationship Id="rId116" Type="http://schemas.openxmlformats.org/officeDocument/2006/relationships/image" Target="media/image13.png"/><Relationship Id="rId115" Type="http://schemas.openxmlformats.org/officeDocument/2006/relationships/image" Target="media/image12.png"/><Relationship Id="rId114" Type="http://schemas.openxmlformats.org/officeDocument/2006/relationships/image" Target="media/image11.png"/><Relationship Id="rId113" Type="http://schemas.openxmlformats.org/officeDocument/2006/relationships/image" Target="media/image10.png"/><Relationship Id="rId112" Type="http://schemas.openxmlformats.org/officeDocument/2006/relationships/image" Target="media/image9.png"/><Relationship Id="rId111" Type="http://schemas.openxmlformats.org/officeDocument/2006/relationships/image" Target="media/image8.png"/><Relationship Id="rId110" Type="http://schemas.openxmlformats.org/officeDocument/2006/relationships/image" Target="media/image7.png"/><Relationship Id="rId11" Type="http://schemas.openxmlformats.org/officeDocument/2006/relationships/footer" Target="footer7.xml"/><Relationship Id="rId109" Type="http://schemas.openxmlformats.org/officeDocument/2006/relationships/image" Target="media/image6.png"/><Relationship Id="rId108" Type="http://schemas.openxmlformats.org/officeDocument/2006/relationships/image" Target="media/image5.png"/><Relationship Id="rId107" Type="http://schemas.openxmlformats.org/officeDocument/2006/relationships/image" Target="media/image4.png"/><Relationship Id="rId106" Type="http://schemas.openxmlformats.org/officeDocument/2006/relationships/image" Target="media/image3.png"/><Relationship Id="rId105" Type="http://schemas.openxmlformats.org/officeDocument/2006/relationships/image" Target="media/image2.png"/><Relationship Id="rId104" Type="http://schemas.openxmlformats.org/officeDocument/2006/relationships/theme" Target="theme/theme1.xml"/><Relationship Id="rId103" Type="http://schemas.openxmlformats.org/officeDocument/2006/relationships/footer" Target="footer69.xml"/><Relationship Id="rId102" Type="http://schemas.openxmlformats.org/officeDocument/2006/relationships/header" Target="header30.xml"/><Relationship Id="rId101" Type="http://schemas.openxmlformats.org/officeDocument/2006/relationships/footer" Target="footer68.xml"/><Relationship Id="rId100" Type="http://schemas.openxmlformats.org/officeDocument/2006/relationships/header" Target="header29.xml"/><Relationship Id="rId10" Type="http://schemas.openxmlformats.org/officeDocument/2006/relationships/footer" Target="footer6.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f3febd7-fb2f-4a93-afce-00f853ae2919}"/>
        <w:style w:val=""/>
        <w:category>
          <w:name w:val="常规"/>
          <w:gallery w:val="placeholder"/>
        </w:category>
        <w:types>
          <w:type w:val="bbPlcHdr"/>
        </w:types>
        <w:behaviors>
          <w:behavior w:val="content"/>
        </w:behaviors>
        <w:description w:val=""/>
        <w:guid w:val="{ef3febd7-fb2f-4a93-afce-00f853ae2919}"/>
      </w:docPartPr>
      <w:docPartBody>
        <w:p w14:paraId="3FCE32BE">
          <w:r>
            <w:rPr>
              <w:color w:val="808080"/>
            </w:rPr>
            <w:t>单击此处输入文字。</w:t>
          </w:r>
        </w:p>
      </w:docPartBody>
    </w:docPart>
    <w:docPart>
      <w:docPartPr>
        <w:name w:val="{f5d36ff5-eb0c-478c-a3a3-8e7ab50340f1}"/>
        <w:style w:val=""/>
        <w:category>
          <w:name w:val="常规"/>
          <w:gallery w:val="placeholder"/>
        </w:category>
        <w:types>
          <w:type w:val="bbPlcHdr"/>
        </w:types>
        <w:behaviors>
          <w:behavior w:val="content"/>
        </w:behaviors>
        <w:description w:val=""/>
        <w:guid w:val="{f5d36ff5-eb0c-478c-a3a3-8e7ab50340f1}"/>
      </w:docPartPr>
      <w:docPartBody>
        <w:p w14:paraId="3DFE9CA0">
          <w:r>
            <w:rPr>
              <w:color w:val="808080"/>
            </w:rPr>
            <w:t>单击此处输入文字。</w:t>
          </w:r>
        </w:p>
      </w:docPartBody>
    </w:docPart>
    <w:docPart>
      <w:docPartPr>
        <w:name w:val="{c99bb422-390a-430d-99c0-3d4072a4c07b}"/>
        <w:style w:val=""/>
        <w:category>
          <w:name w:val="常规"/>
          <w:gallery w:val="placeholder"/>
        </w:category>
        <w:types>
          <w:type w:val="bbPlcHdr"/>
        </w:types>
        <w:behaviors>
          <w:behavior w:val="content"/>
        </w:behaviors>
        <w:description w:val=""/>
        <w:guid w:val="{c99bb422-390a-430d-99c0-3d4072a4c07b}"/>
      </w:docPartPr>
      <w:docPartBody>
        <w:p w14:paraId="2BF6883C">
          <w:r>
            <w:rPr>
              <w:color w:val="808080"/>
            </w:rPr>
            <w:t>单击此处输入文字。</w:t>
          </w:r>
        </w:p>
      </w:docPartBody>
    </w:docPart>
    <w:docPart>
      <w:docPartPr>
        <w:name w:val="{0e83d0ca-1b9b-4d0f-80b2-f515e7acf605}"/>
        <w:style w:val=""/>
        <w:category>
          <w:name w:val="常规"/>
          <w:gallery w:val="placeholder"/>
        </w:category>
        <w:types>
          <w:type w:val="bbPlcHdr"/>
        </w:types>
        <w:behaviors>
          <w:behavior w:val="content"/>
        </w:behaviors>
        <w:description w:val=""/>
        <w:guid w:val="{0e83d0ca-1b9b-4d0f-80b2-f515e7acf605}"/>
      </w:docPartPr>
      <w:docPartBody>
        <w:p w14:paraId="46B7087E">
          <w:r>
            <w:rPr>
              <w:color w:val="808080"/>
            </w:rPr>
            <w:t>单击此处输入文字。</w:t>
          </w:r>
        </w:p>
      </w:docPartBody>
    </w:docPart>
    <w:docPart>
      <w:docPartPr>
        <w:name w:val="{8dd6a8ac-4bfe-4828-a079-610d692ea4db}"/>
        <w:style w:val=""/>
        <w:category>
          <w:name w:val="常规"/>
          <w:gallery w:val="placeholder"/>
        </w:category>
        <w:types>
          <w:type w:val="bbPlcHdr"/>
        </w:types>
        <w:behaviors>
          <w:behavior w:val="content"/>
        </w:behaviors>
        <w:description w:val=""/>
        <w:guid w:val="{8dd6a8ac-4bfe-4828-a079-610d692ea4db}"/>
      </w:docPartPr>
      <w:docPartBody>
        <w:p w14:paraId="14A53C7A">
          <w:r>
            <w:rPr>
              <w:color w:val="808080"/>
            </w:rPr>
            <w:t>单击此处输入文字。</w:t>
          </w:r>
        </w:p>
      </w:docPartBody>
    </w:docPart>
    <w:docPart>
      <w:docPartPr>
        <w:name w:val="{312f4568-00b1-4adc-9098-c89c92018e32}"/>
        <w:style w:val=""/>
        <w:category>
          <w:name w:val="常规"/>
          <w:gallery w:val="placeholder"/>
        </w:category>
        <w:types>
          <w:type w:val="bbPlcHdr"/>
        </w:types>
        <w:behaviors>
          <w:behavior w:val="content"/>
        </w:behaviors>
        <w:description w:val=""/>
        <w:guid w:val="{312f4568-00b1-4adc-9098-c89c92018e32}"/>
      </w:docPartPr>
      <w:docPartBody>
        <w:p w14:paraId="26DB2819">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49"/>
    <customShpInfo spid="_x0000_s2050"/>
    <customShpInfo spid="_x0000_s2053"/>
    <customShpInfo spid="_x0000_s2054"/>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1027"/>
    <customShpInfo spid="_x0000_s1028"/>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79</Pages>
  <Words>17767</Words>
  <Characters>19092</Characters>
  <TotalTime>63</TotalTime>
  <ScaleCrop>false</ScaleCrop>
  <LinksUpToDate>false</LinksUpToDate>
  <CharactersWithSpaces>19113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2026-07-21T16:13:00Z</dcterms:created>
  <dc:creator>Administrator</dc:creator>
  <cp:lastModifiedBy>HUAWEI</cp:lastModifiedBy>
  <dcterms:modified xsi:type="dcterms:W3CDTF">2026-09-29T17:23:42Z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2026-08-11T20:27:46Z</vt:filetime>
  </property>
  <property fmtid="{D5CDD505-2E9C-101B-9397-08002B2CF9AE}" pid="4" name="KSOTemplateDocerSaveRecord">
    <vt:lpwstr>eyJoZGlkIjoiNjA5NDEzNTQxYmM1MDdkMjNkYjg3OGU4NDVjMTM0YWEiLCJ1c2VySWQiOiI0NDc0NjI4MzcifQ==</vt:lpwstr>
  </property>
  <property fmtid="{D5CDD505-2E9C-101B-9397-08002B2CF9AE}" pid="5" name="KSOProductBuildVer">
    <vt:lpwstr>2052-12.1.0.28505</vt:lpwstr>
  </property>
  <property fmtid="{D5CDD505-2E9C-101B-9397-08002B2CF9AE}" pid="6" name="ICV">
    <vt:lpwstr>61B5A26C0DF94A3FB52DCDD10A0B484C_13</vt:lpwstr>
  </property>
</Properties>
</file>