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0CC69">
      <w:pPr>
        <w:spacing w:line="360" w:lineRule="auto"/>
        <w:jc w:val="center"/>
        <w:rPr>
          <w:rFonts w:hint="eastAsia" w:hAnsi="宋体" w:eastAsia="宋体" w:cs="宋体"/>
          <w:b/>
          <w:kern w:val="0"/>
          <w:sz w:val="58"/>
          <w:szCs w:val="58"/>
          <w:highlight w:val="none"/>
          <w:u w:val="single"/>
          <w:lang w:val="en-US" w:eastAsia="zh-CN"/>
        </w:rPr>
      </w:pPr>
      <w:r>
        <w:rPr>
          <w:rFonts w:hint="eastAsia" w:hAnsi="宋体" w:eastAsia="宋体" w:cs="宋体"/>
          <w:b/>
          <w:kern w:val="0"/>
          <w:sz w:val="58"/>
          <w:szCs w:val="58"/>
          <w:highlight w:val="none"/>
          <w:u w:val="single"/>
          <w:lang w:val="en-US" w:eastAsia="zh-CN"/>
        </w:rPr>
        <w:t>大龙山风电场（二期）项目工程</w:t>
      </w:r>
    </w:p>
    <w:p w14:paraId="7B7B0359">
      <w:pPr>
        <w:spacing w:line="360" w:lineRule="auto"/>
        <w:jc w:val="center"/>
        <w:rPr>
          <w:rFonts w:hint="eastAsia" w:hAnsi="宋体" w:eastAsia="宋体" w:cs="宋体"/>
          <w:b/>
          <w:kern w:val="0"/>
          <w:sz w:val="58"/>
          <w:szCs w:val="58"/>
          <w:highlight w:val="none"/>
          <w:u w:val="single"/>
          <w:lang w:val="en-US" w:eastAsia="zh-CN"/>
        </w:rPr>
      </w:pPr>
      <w:r>
        <w:rPr>
          <w:rFonts w:hint="eastAsia" w:hAnsi="宋体" w:eastAsia="宋体" w:cs="宋体"/>
          <w:b/>
          <w:kern w:val="0"/>
          <w:sz w:val="58"/>
          <w:szCs w:val="58"/>
          <w:highlight w:val="none"/>
          <w:u w:val="single"/>
          <w:lang w:val="en-US" w:eastAsia="zh-CN"/>
        </w:rPr>
        <w:t>招标控制价编制及全过程</w:t>
      </w:r>
    </w:p>
    <w:p w14:paraId="3192E00C">
      <w:pPr>
        <w:spacing w:line="360" w:lineRule="auto"/>
        <w:jc w:val="center"/>
        <w:rPr>
          <w:rFonts w:hint="eastAsia" w:hAnsi="宋体" w:eastAsia="宋体" w:cs="宋体"/>
          <w:b/>
          <w:kern w:val="0"/>
          <w:sz w:val="58"/>
          <w:szCs w:val="58"/>
          <w:highlight w:val="none"/>
          <w:u w:val="single"/>
          <w:lang w:val="en-US" w:eastAsia="zh-CN"/>
        </w:rPr>
      </w:pPr>
      <w:r>
        <w:rPr>
          <w:rFonts w:hint="eastAsia" w:hAnsi="宋体" w:eastAsia="宋体" w:cs="宋体"/>
          <w:b/>
          <w:kern w:val="0"/>
          <w:sz w:val="58"/>
          <w:szCs w:val="58"/>
          <w:highlight w:val="none"/>
          <w:u w:val="single"/>
          <w:lang w:val="en-US" w:eastAsia="zh-CN"/>
        </w:rPr>
        <w:t>造价控制咨询服务</w:t>
      </w:r>
    </w:p>
    <w:p w14:paraId="38380A6F">
      <w:pPr>
        <w:spacing w:line="360" w:lineRule="auto"/>
        <w:ind w:right="-693" w:rightChars="-330" w:firstLine="1526" w:firstLineChars="347"/>
        <w:rPr>
          <w:rFonts w:ascii="宋体" w:hAnsi="宋体"/>
          <w:b w:val="0"/>
          <w:bCs w:val="0"/>
          <w:sz w:val="44"/>
          <w:szCs w:val="44"/>
          <w:highlight w:val="none"/>
        </w:rPr>
      </w:pPr>
    </w:p>
    <w:p w14:paraId="4315984B">
      <w:pPr>
        <w:spacing w:line="360" w:lineRule="auto"/>
        <w:ind w:left="210" w:leftChars="100"/>
        <w:jc w:val="center"/>
        <w:rPr>
          <w:rFonts w:ascii="宋体" w:hAnsi="宋体" w:cs="宋体"/>
          <w:b/>
          <w:sz w:val="44"/>
          <w:szCs w:val="44"/>
          <w:highlight w:val="none"/>
        </w:rPr>
      </w:pPr>
      <w:bookmarkStart w:id="0" w:name="OLE_LINK2"/>
      <w:bookmarkStart w:id="1" w:name="OLE_LINK1"/>
    </w:p>
    <w:p w14:paraId="29B592B8">
      <w:pPr>
        <w:spacing w:line="360" w:lineRule="auto"/>
        <w:ind w:left="210" w:leftChars="100"/>
        <w:jc w:val="center"/>
        <w:rPr>
          <w:rFonts w:ascii="宋体" w:hAnsi="宋体" w:cs="宋体"/>
          <w:b/>
          <w:sz w:val="44"/>
          <w:szCs w:val="44"/>
          <w:highlight w:val="none"/>
        </w:rPr>
      </w:pPr>
    </w:p>
    <w:p w14:paraId="268C551F">
      <w:pPr>
        <w:spacing w:line="360" w:lineRule="auto"/>
        <w:jc w:val="center"/>
        <w:rPr>
          <w:rFonts w:ascii="宋体" w:hAnsi="宋体" w:cs="宋体"/>
          <w:b/>
          <w:bCs/>
          <w:sz w:val="72"/>
          <w:szCs w:val="72"/>
          <w:highlight w:val="none"/>
        </w:rPr>
      </w:pPr>
      <w:r>
        <w:rPr>
          <w:rFonts w:hint="eastAsia" w:ascii="宋体" w:hAnsi="宋体" w:cs="宋体"/>
          <w:b/>
          <w:bCs/>
          <w:sz w:val="72"/>
          <w:szCs w:val="72"/>
          <w:highlight w:val="none"/>
        </w:rPr>
        <w:t>竞争性谈判采购文件</w:t>
      </w:r>
    </w:p>
    <w:p w14:paraId="2784AE5F">
      <w:pPr>
        <w:spacing w:line="360" w:lineRule="auto"/>
        <w:jc w:val="center"/>
        <w:rPr>
          <w:rFonts w:ascii="宋体" w:hAnsi="宋体" w:cs="宋体"/>
          <w:bCs/>
          <w:sz w:val="24"/>
          <w:szCs w:val="24"/>
          <w:highlight w:val="none"/>
        </w:rPr>
      </w:pPr>
    </w:p>
    <w:p w14:paraId="430FAF3B">
      <w:pPr>
        <w:spacing w:line="360" w:lineRule="auto"/>
        <w:jc w:val="center"/>
        <w:rPr>
          <w:rFonts w:ascii="宋体" w:hAnsi="宋体" w:cs="宋体"/>
          <w:b/>
          <w:bCs/>
          <w:sz w:val="32"/>
          <w:szCs w:val="32"/>
          <w:highlight w:val="none"/>
        </w:rPr>
      </w:pPr>
    </w:p>
    <w:p w14:paraId="72284B1A">
      <w:pPr>
        <w:spacing w:line="360" w:lineRule="auto"/>
        <w:rPr>
          <w:rFonts w:ascii="宋体" w:hAnsi="宋体" w:cs="宋体"/>
          <w:b/>
          <w:bCs/>
          <w:sz w:val="44"/>
          <w:szCs w:val="36"/>
          <w:highlight w:val="none"/>
        </w:rPr>
      </w:pPr>
    </w:p>
    <w:p w14:paraId="11DB076D">
      <w:pPr>
        <w:spacing w:line="360" w:lineRule="auto"/>
        <w:rPr>
          <w:rFonts w:ascii="宋体" w:hAnsi="宋体" w:cs="宋体"/>
          <w:b/>
          <w:bCs/>
          <w:sz w:val="32"/>
          <w:szCs w:val="32"/>
          <w:highlight w:val="none"/>
        </w:rPr>
      </w:pPr>
    </w:p>
    <w:p w14:paraId="079BC959">
      <w:pPr>
        <w:pStyle w:val="29"/>
        <w:ind w:firstLine="0" w:firstLineChars="0"/>
        <w:jc w:val="center"/>
        <w:rPr>
          <w:rFonts w:hint="default" w:hAnsi="宋体" w:eastAsia="宋体" w:cs="宋体"/>
          <w:b/>
          <w:bCs/>
          <w:sz w:val="32"/>
          <w:szCs w:val="32"/>
          <w:highlight w:val="none"/>
          <w:lang w:val="en-US" w:eastAsia="zh-CN"/>
        </w:rPr>
      </w:pPr>
      <w:r>
        <w:rPr>
          <w:rFonts w:hint="eastAsia" w:hAnsi="宋体" w:eastAsia="宋体" w:cs="宋体"/>
          <w:b/>
          <w:bCs/>
          <w:sz w:val="32"/>
          <w:szCs w:val="32"/>
          <w:highlight w:val="none"/>
        </w:rPr>
        <w:t>采购人：</w:t>
      </w:r>
      <w:r>
        <w:rPr>
          <w:rFonts w:hint="eastAsia" w:hAnsi="宋体" w:eastAsia="宋体" w:cs="宋体"/>
          <w:b/>
          <w:bCs/>
          <w:sz w:val="32"/>
          <w:szCs w:val="32"/>
          <w:highlight w:val="none"/>
          <w:u w:val="single"/>
          <w:lang w:eastAsia="zh-CN"/>
        </w:rPr>
        <w:t xml:space="preserve"> </w:t>
      </w:r>
      <w:r>
        <w:rPr>
          <w:rFonts w:hint="eastAsia" w:hAnsi="宋体" w:eastAsia="宋体" w:cs="宋体"/>
          <w:b/>
          <w:bCs/>
          <w:sz w:val="32"/>
          <w:szCs w:val="32"/>
          <w:highlight w:val="none"/>
          <w:u w:val="single"/>
          <w:lang w:val="en-US" w:eastAsia="zh-CN"/>
        </w:rPr>
        <w:t>华宁云能投新能源开发有限公司</w:t>
      </w:r>
    </w:p>
    <w:p w14:paraId="3A13337F">
      <w:pPr>
        <w:jc w:val="center"/>
        <w:rPr>
          <w:rFonts w:ascii="宋体" w:hAnsi="宋体" w:cs="宋体"/>
          <w:highlight w:val="none"/>
        </w:rPr>
      </w:pPr>
    </w:p>
    <w:p w14:paraId="605317A7">
      <w:pPr>
        <w:autoSpaceDE w:val="0"/>
        <w:autoSpaceDN w:val="0"/>
        <w:adjustRightInd w:val="0"/>
        <w:spacing w:line="560" w:lineRule="exact"/>
        <w:jc w:val="center"/>
        <w:rPr>
          <w:rFonts w:ascii="宋体" w:hAnsi="宋体" w:cs="宋体"/>
          <w:b/>
          <w:bCs/>
          <w:sz w:val="32"/>
          <w:szCs w:val="32"/>
          <w:highlight w:val="none"/>
        </w:rPr>
      </w:pPr>
    </w:p>
    <w:p w14:paraId="755C14FF">
      <w:pPr>
        <w:spacing w:line="360" w:lineRule="auto"/>
        <w:ind w:firstLine="2891" w:firstLineChars="900"/>
        <w:rPr>
          <w:rFonts w:ascii="宋体" w:hAnsi="宋体" w:cs="宋体"/>
          <w:b/>
          <w:bCs/>
          <w:sz w:val="32"/>
          <w:szCs w:val="32"/>
          <w:highlight w:val="none"/>
        </w:rPr>
      </w:pPr>
      <w:r>
        <w:rPr>
          <w:rFonts w:hint="eastAsia" w:ascii="宋体" w:hAnsi="宋体" w:cs="宋体"/>
          <w:b/>
          <w:bCs/>
          <w:sz w:val="32"/>
          <w:szCs w:val="32"/>
          <w:highlight w:val="none"/>
        </w:rPr>
        <w:t>日  期：二〇二</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十一</w:t>
      </w:r>
      <w:r>
        <w:rPr>
          <w:rFonts w:hint="eastAsia" w:ascii="宋体" w:hAnsi="宋体" w:cs="宋体"/>
          <w:b/>
          <w:bCs/>
          <w:sz w:val="32"/>
          <w:szCs w:val="32"/>
          <w:highlight w:val="none"/>
        </w:rPr>
        <w:t>月</w:t>
      </w:r>
    </w:p>
    <w:p w14:paraId="00E57F57">
      <w:pPr>
        <w:widowControl/>
        <w:jc w:val="center"/>
        <w:rPr>
          <w:rFonts w:ascii="宋体" w:hAnsi="宋体" w:cs="宋体"/>
          <w:b/>
          <w:bCs/>
          <w:sz w:val="32"/>
          <w:szCs w:val="32"/>
          <w:highlight w:val="none"/>
        </w:rPr>
      </w:pPr>
      <w:r>
        <w:rPr>
          <w:rFonts w:hint="eastAsia" w:ascii="宋体" w:hAnsi="宋体" w:cs="宋体"/>
          <w:sz w:val="44"/>
          <w:highlight w:val="none"/>
        </w:rPr>
        <w:br w:type="page"/>
      </w:r>
      <w:bookmarkEnd w:id="0"/>
      <w:bookmarkEnd w:id="1"/>
      <w:r>
        <w:rPr>
          <w:rFonts w:hint="eastAsia" w:ascii="宋体" w:hAnsi="宋体" w:cs="宋体"/>
          <w:b/>
          <w:bCs/>
          <w:sz w:val="44"/>
          <w:szCs w:val="44"/>
          <w:highlight w:val="none"/>
        </w:rPr>
        <w:t>目  录</w:t>
      </w:r>
    </w:p>
    <w:p w14:paraId="370653D7">
      <w:pPr>
        <w:spacing w:line="360" w:lineRule="auto"/>
        <w:ind w:firstLine="281"/>
        <w:jc w:val="center"/>
        <w:rPr>
          <w:rFonts w:ascii="宋体" w:hAnsi="宋体" w:cs="宋体"/>
          <w:b/>
          <w:bCs/>
          <w:sz w:val="44"/>
          <w:szCs w:val="44"/>
          <w:highlight w:val="none"/>
        </w:rPr>
      </w:pPr>
    </w:p>
    <w:p w14:paraId="40882B78">
      <w:pPr>
        <w:pStyle w:val="37"/>
        <w:tabs>
          <w:tab w:val="right" w:leader="dot" w:pos="8844"/>
        </w:tabs>
        <w:rPr>
          <w:sz w:val="28"/>
          <w:szCs w:val="24"/>
          <w:highlight w:val="none"/>
        </w:rPr>
      </w:pPr>
      <w:r>
        <w:rPr>
          <w:rFonts w:hint="eastAsia" w:ascii="宋体" w:hAnsi="宋体" w:cs="宋体"/>
          <w:b/>
          <w:bCs/>
          <w:smallCaps/>
          <w:sz w:val="40"/>
          <w:szCs w:val="40"/>
          <w:highlight w:val="none"/>
        </w:rPr>
        <w:fldChar w:fldCharType="begin"/>
      </w:r>
      <w:r>
        <w:rPr>
          <w:rFonts w:hint="eastAsia" w:ascii="宋体" w:hAnsi="宋体" w:cs="宋体"/>
          <w:b/>
          <w:bCs/>
          <w:sz w:val="40"/>
          <w:szCs w:val="40"/>
          <w:highlight w:val="none"/>
        </w:rPr>
        <w:instrText xml:space="preserve"> TOC \o "1-3" \h \z </w:instrText>
      </w:r>
      <w:r>
        <w:rPr>
          <w:rFonts w:hint="eastAsia" w:ascii="宋体" w:hAnsi="宋体" w:cs="宋体"/>
          <w:b/>
          <w:bCs/>
          <w:smallCaps/>
          <w:sz w:val="40"/>
          <w:szCs w:val="40"/>
          <w:highlight w:val="none"/>
        </w:rPr>
        <w:fldChar w:fldCharType="separate"/>
      </w: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_Toc1094733066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第一章  采购公告</w:t>
      </w:r>
      <w:r>
        <w:rPr>
          <w:sz w:val="28"/>
          <w:szCs w:val="24"/>
          <w:highlight w:val="none"/>
        </w:rPr>
        <w:tab/>
      </w:r>
      <w:r>
        <w:rPr>
          <w:rFonts w:hint="eastAsia"/>
          <w:sz w:val="28"/>
          <w:szCs w:val="24"/>
          <w:highlight w:val="none"/>
          <w:lang w:val="en-US" w:eastAsia="zh-CN"/>
        </w:rPr>
        <w:t>3</w:t>
      </w:r>
      <w:r>
        <w:rPr>
          <w:rFonts w:hint="eastAsia" w:ascii="宋体" w:hAnsi="宋体" w:cs="宋体"/>
          <w:bCs/>
          <w:sz w:val="28"/>
          <w:szCs w:val="40"/>
          <w:highlight w:val="none"/>
        </w:rPr>
        <w:fldChar w:fldCharType="end"/>
      </w:r>
    </w:p>
    <w:p w14:paraId="4C504E76">
      <w:pPr>
        <w:pStyle w:val="37"/>
        <w:tabs>
          <w:tab w:val="right" w:leader="dot" w:pos="8844"/>
        </w:tabs>
        <w:rPr>
          <w:rFonts w:hint="eastAsia" w:eastAsia="宋体"/>
          <w:sz w:val="28"/>
          <w:szCs w:val="24"/>
          <w:highlight w:val="none"/>
          <w:lang w:val="en-US" w:eastAsia="zh-CN"/>
        </w:rPr>
      </w:pPr>
      <w:r>
        <w:rPr>
          <w:rFonts w:hint="eastAsia" w:ascii="Times New Roman" w:hAnsi="Times New Roman" w:eastAsia="宋体" w:cs="Times New Roman"/>
          <w:sz w:val="28"/>
          <w:szCs w:val="24"/>
          <w:highlight w:val="none"/>
          <w:lang w:val="en-US" w:eastAsia="zh-CN"/>
        </w:rPr>
        <w:fldChar w:fldCharType="begin"/>
      </w:r>
      <w:r>
        <w:rPr>
          <w:rFonts w:hint="eastAsia" w:ascii="Times New Roman" w:hAnsi="Times New Roman" w:eastAsia="宋体" w:cs="Times New Roman"/>
          <w:sz w:val="28"/>
          <w:szCs w:val="24"/>
          <w:highlight w:val="none"/>
          <w:lang w:val="en-US" w:eastAsia="zh-CN"/>
        </w:rPr>
        <w:instrText xml:space="preserve"> HYPERLINK \l _Toc1197334358 </w:instrText>
      </w:r>
      <w:r>
        <w:rPr>
          <w:rFonts w:hint="eastAsia" w:ascii="Times New Roman" w:hAnsi="Times New Roman" w:eastAsia="宋体" w:cs="Times New Roman"/>
          <w:sz w:val="28"/>
          <w:szCs w:val="24"/>
          <w:highlight w:val="none"/>
          <w:lang w:val="en-US" w:eastAsia="zh-CN"/>
        </w:rPr>
        <w:fldChar w:fldCharType="separate"/>
      </w:r>
      <w:r>
        <w:rPr>
          <w:rFonts w:hint="eastAsia" w:ascii="Times New Roman" w:hAnsi="Times New Roman" w:eastAsia="宋体" w:cs="Times New Roman"/>
          <w:sz w:val="28"/>
          <w:szCs w:val="24"/>
          <w:highlight w:val="none"/>
          <w:lang w:val="en-US" w:eastAsia="zh-CN"/>
        </w:rPr>
        <w:t>第二章  供应商须知及前附表</w:t>
      </w:r>
      <w:r>
        <w:rPr>
          <w:rFonts w:hint="eastAsia" w:ascii="Times New Roman" w:hAnsi="Times New Roman" w:eastAsia="宋体" w:cs="Times New Roman"/>
          <w:sz w:val="28"/>
          <w:szCs w:val="24"/>
          <w:highlight w:val="none"/>
          <w:lang w:val="en-US" w:eastAsia="zh-CN"/>
        </w:rPr>
        <w:tab/>
      </w:r>
      <w:r>
        <w:rPr>
          <w:rFonts w:hint="eastAsia" w:ascii="Times New Roman" w:hAnsi="Times New Roman" w:eastAsia="宋体" w:cs="Times New Roman"/>
          <w:sz w:val="28"/>
          <w:szCs w:val="24"/>
          <w:highlight w:val="none"/>
          <w:lang w:val="en-US" w:eastAsia="zh-CN"/>
        </w:rPr>
        <w:t>1</w:t>
      </w:r>
      <w:r>
        <w:rPr>
          <w:rFonts w:hint="eastAsia" w:ascii="Times New Roman" w:hAnsi="Times New Roman" w:eastAsia="宋体" w:cs="Times New Roman"/>
          <w:sz w:val="28"/>
          <w:szCs w:val="24"/>
          <w:highlight w:val="none"/>
          <w:lang w:val="en-US" w:eastAsia="zh-CN"/>
        </w:rPr>
        <w:fldChar w:fldCharType="end"/>
      </w:r>
      <w:r>
        <w:rPr>
          <w:rFonts w:hint="eastAsia" w:cs="Times New Roman"/>
          <w:sz w:val="28"/>
          <w:szCs w:val="24"/>
          <w:highlight w:val="none"/>
          <w:lang w:val="en-US" w:eastAsia="zh-CN"/>
        </w:rPr>
        <w:t>2</w:t>
      </w:r>
    </w:p>
    <w:p w14:paraId="35523976">
      <w:pPr>
        <w:pStyle w:val="37"/>
        <w:tabs>
          <w:tab w:val="right" w:leader="dot" w:pos="8844"/>
        </w:tabs>
        <w:rPr>
          <w:rFonts w:hint="eastAsia" w:eastAsia="宋体"/>
          <w:sz w:val="28"/>
          <w:szCs w:val="24"/>
          <w:highlight w:val="none"/>
          <w:lang w:val="en-US"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_Toc764417141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第三章  评审办法</w:t>
      </w:r>
      <w:r>
        <w:rPr>
          <w:sz w:val="28"/>
          <w:szCs w:val="24"/>
          <w:highlight w:val="none"/>
        </w:rPr>
        <w:tab/>
      </w:r>
      <w:r>
        <w:rPr>
          <w:sz w:val="28"/>
          <w:szCs w:val="24"/>
          <w:highlight w:val="none"/>
        </w:rPr>
        <w:fldChar w:fldCharType="begin"/>
      </w:r>
      <w:r>
        <w:rPr>
          <w:sz w:val="28"/>
          <w:szCs w:val="24"/>
          <w:highlight w:val="none"/>
        </w:rPr>
        <w:instrText xml:space="preserve"> PAGEREF _Toc764417141 \h </w:instrText>
      </w:r>
      <w:r>
        <w:rPr>
          <w:sz w:val="28"/>
          <w:szCs w:val="24"/>
          <w:highlight w:val="none"/>
        </w:rPr>
        <w:fldChar w:fldCharType="separate"/>
      </w:r>
      <w:r>
        <w:rPr>
          <w:rFonts w:hint="eastAsia"/>
          <w:sz w:val="28"/>
          <w:szCs w:val="24"/>
          <w:highlight w:val="none"/>
          <w:lang w:val="en-US" w:eastAsia="zh-CN"/>
        </w:rPr>
        <w:t>2</w:t>
      </w:r>
      <w:r>
        <w:rPr>
          <w:sz w:val="28"/>
          <w:szCs w:val="24"/>
          <w:highlight w:val="none"/>
        </w:rPr>
        <w:fldChar w:fldCharType="end"/>
      </w:r>
      <w:r>
        <w:rPr>
          <w:rFonts w:hint="eastAsia" w:ascii="宋体" w:hAnsi="宋体" w:cs="宋体"/>
          <w:bCs/>
          <w:sz w:val="28"/>
          <w:szCs w:val="40"/>
          <w:highlight w:val="none"/>
        </w:rPr>
        <w:fldChar w:fldCharType="end"/>
      </w:r>
      <w:r>
        <w:rPr>
          <w:rFonts w:hint="eastAsia" w:cs="Times New Roman"/>
          <w:sz w:val="28"/>
          <w:szCs w:val="24"/>
          <w:highlight w:val="none"/>
          <w:lang w:val="en-US" w:eastAsia="zh-CN"/>
        </w:rPr>
        <w:t>0</w:t>
      </w:r>
    </w:p>
    <w:p w14:paraId="1C1C86F4">
      <w:pPr>
        <w:pStyle w:val="37"/>
        <w:tabs>
          <w:tab w:val="right" w:leader="dot" w:pos="8844"/>
        </w:tabs>
        <w:rPr>
          <w:rFonts w:hint="eastAsia" w:eastAsia="宋体"/>
          <w:sz w:val="28"/>
          <w:szCs w:val="24"/>
          <w:highlight w:val="none"/>
          <w:lang w:val="en-US" w:eastAsia="zh-CN"/>
        </w:rPr>
      </w:pPr>
      <w:r>
        <w:rPr>
          <w:rFonts w:hint="eastAsia" w:ascii="Times New Roman" w:hAnsi="Times New Roman" w:eastAsia="宋体" w:cs="Times New Roman"/>
          <w:sz w:val="28"/>
          <w:szCs w:val="24"/>
          <w:highlight w:val="none"/>
        </w:rPr>
        <w:fldChar w:fldCharType="begin"/>
      </w:r>
      <w:r>
        <w:rPr>
          <w:rFonts w:hint="eastAsia" w:ascii="Times New Roman" w:hAnsi="Times New Roman" w:eastAsia="宋体" w:cs="Times New Roman"/>
          <w:sz w:val="28"/>
          <w:szCs w:val="24"/>
          <w:highlight w:val="none"/>
        </w:rPr>
        <w:instrText xml:space="preserve"> HYPERLINK \l _Toc1938972028 </w:instrText>
      </w:r>
      <w:r>
        <w:rPr>
          <w:rFonts w:hint="eastAsia" w:ascii="Times New Roman" w:hAnsi="Times New Roman" w:eastAsia="宋体" w:cs="Times New Roman"/>
          <w:sz w:val="28"/>
          <w:szCs w:val="24"/>
          <w:highlight w:val="none"/>
        </w:rPr>
        <w:fldChar w:fldCharType="separate"/>
      </w:r>
      <w:r>
        <w:rPr>
          <w:rFonts w:hint="eastAsia" w:ascii="Times New Roman" w:hAnsi="Times New Roman" w:eastAsia="宋体" w:cs="Times New Roman"/>
          <w:sz w:val="28"/>
          <w:szCs w:val="24"/>
          <w:highlight w:val="none"/>
        </w:rPr>
        <w:t>第四章  合同条款及格式</w:t>
      </w:r>
      <w:r>
        <w:rPr>
          <w:rFonts w:ascii="Times New Roman" w:hAnsi="Times New Roman" w:eastAsia="宋体" w:cs="Times New Roman"/>
          <w:sz w:val="28"/>
          <w:szCs w:val="24"/>
          <w:highlight w:val="none"/>
        </w:rPr>
        <w:tab/>
      </w:r>
      <w:r>
        <w:rPr>
          <w:rFonts w:hint="eastAsia" w:cs="Times New Roman"/>
          <w:sz w:val="28"/>
          <w:szCs w:val="24"/>
          <w:highlight w:val="none"/>
          <w:lang w:val="en-US" w:eastAsia="zh-CN"/>
        </w:rPr>
        <w:t>2</w:t>
      </w:r>
      <w:r>
        <w:rPr>
          <w:rFonts w:hint="eastAsia" w:ascii="Times New Roman" w:hAnsi="Times New Roman" w:eastAsia="宋体" w:cs="Times New Roman"/>
          <w:sz w:val="28"/>
          <w:szCs w:val="24"/>
          <w:highlight w:val="none"/>
        </w:rPr>
        <w:fldChar w:fldCharType="end"/>
      </w:r>
      <w:r>
        <w:rPr>
          <w:rFonts w:hint="eastAsia" w:cs="Times New Roman"/>
          <w:sz w:val="28"/>
          <w:szCs w:val="24"/>
          <w:highlight w:val="none"/>
          <w:lang w:val="en-US" w:eastAsia="zh-CN"/>
        </w:rPr>
        <w:t>8</w:t>
      </w:r>
    </w:p>
    <w:p w14:paraId="40F640B0">
      <w:pPr>
        <w:pStyle w:val="37"/>
        <w:tabs>
          <w:tab w:val="right" w:leader="dot" w:pos="8844"/>
        </w:tabs>
        <w:rPr>
          <w:rFonts w:hint="eastAsia" w:eastAsia="宋体"/>
          <w:sz w:val="28"/>
          <w:szCs w:val="24"/>
          <w:highlight w:val="none"/>
          <w:lang w:val="en-US"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_Toc1323697249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w:t>
      </w:r>
      <w:r>
        <w:rPr>
          <w:rFonts w:hint="eastAsia" w:ascii="宋体" w:hAnsi="宋体" w:eastAsia="宋体" w:cs="宋体"/>
          <w:sz w:val="28"/>
          <w:szCs w:val="24"/>
          <w:highlight w:val="none"/>
          <w:lang w:val="en-US" w:eastAsia="zh-CN"/>
        </w:rPr>
        <w:t>五</w:t>
      </w:r>
      <w:r>
        <w:rPr>
          <w:rFonts w:hint="eastAsia" w:ascii="宋体" w:hAnsi="宋体" w:eastAsia="宋体" w:cs="宋体"/>
          <w:sz w:val="28"/>
          <w:szCs w:val="24"/>
          <w:highlight w:val="none"/>
        </w:rPr>
        <w:t xml:space="preserve">章  </w:t>
      </w:r>
      <w:r>
        <w:rPr>
          <w:rFonts w:hint="eastAsia" w:ascii="宋体" w:hAnsi="宋体" w:eastAsia="宋体" w:cs="宋体"/>
          <w:sz w:val="28"/>
          <w:szCs w:val="24"/>
          <w:highlight w:val="none"/>
          <w:lang w:val="en-US" w:eastAsia="zh-CN"/>
        </w:rPr>
        <w:t>采购人</w:t>
      </w:r>
      <w:r>
        <w:rPr>
          <w:rFonts w:hint="eastAsia" w:ascii="宋体" w:hAnsi="宋体" w:eastAsia="宋体" w:cs="宋体"/>
          <w:sz w:val="28"/>
          <w:szCs w:val="24"/>
          <w:highlight w:val="none"/>
        </w:rPr>
        <w:t>要求</w:t>
      </w:r>
      <w:r>
        <w:rPr>
          <w:sz w:val="28"/>
          <w:szCs w:val="24"/>
          <w:highlight w:val="none"/>
        </w:rPr>
        <w:tab/>
      </w:r>
      <w:r>
        <w:rPr>
          <w:rFonts w:hint="eastAsia"/>
          <w:sz w:val="28"/>
          <w:szCs w:val="24"/>
          <w:highlight w:val="none"/>
          <w:lang w:val="en-US" w:eastAsia="zh-CN"/>
        </w:rPr>
        <w:t>6</w:t>
      </w:r>
      <w:r>
        <w:rPr>
          <w:rFonts w:hint="eastAsia" w:ascii="宋体" w:hAnsi="宋体" w:cs="宋体"/>
          <w:bCs/>
          <w:sz w:val="28"/>
          <w:szCs w:val="40"/>
          <w:highlight w:val="none"/>
        </w:rPr>
        <w:fldChar w:fldCharType="end"/>
      </w:r>
      <w:r>
        <w:rPr>
          <w:rFonts w:hint="eastAsia" w:cs="Times New Roman"/>
          <w:sz w:val="28"/>
          <w:szCs w:val="24"/>
          <w:highlight w:val="none"/>
          <w:lang w:val="en-US" w:eastAsia="zh-CN"/>
        </w:rPr>
        <w:t>3</w:t>
      </w:r>
    </w:p>
    <w:p w14:paraId="7375D2C5">
      <w:pPr>
        <w:pStyle w:val="37"/>
        <w:tabs>
          <w:tab w:val="right" w:leader="dot" w:pos="8844"/>
        </w:tabs>
        <w:rPr>
          <w:rFonts w:hint="eastAsia" w:eastAsia="宋体"/>
          <w:sz w:val="28"/>
          <w:szCs w:val="24"/>
          <w:highlight w:val="none"/>
          <w:lang w:val="en-US" w:eastAsia="zh-CN"/>
        </w:rPr>
      </w:pPr>
      <w:r>
        <w:rPr>
          <w:rFonts w:hint="eastAsia" w:ascii="Times New Roman" w:hAnsi="Times New Roman" w:eastAsia="宋体" w:cs="Times New Roman"/>
          <w:sz w:val="28"/>
          <w:szCs w:val="24"/>
          <w:highlight w:val="none"/>
        </w:rPr>
        <w:fldChar w:fldCharType="begin"/>
      </w:r>
      <w:r>
        <w:rPr>
          <w:rFonts w:hint="eastAsia" w:ascii="Times New Roman" w:hAnsi="Times New Roman" w:eastAsia="宋体" w:cs="Times New Roman"/>
          <w:sz w:val="28"/>
          <w:szCs w:val="24"/>
          <w:highlight w:val="none"/>
        </w:rPr>
        <w:instrText xml:space="preserve"> HYPERLINK \l _Toc972989012 </w:instrText>
      </w:r>
      <w:r>
        <w:rPr>
          <w:rFonts w:hint="eastAsia" w:ascii="Times New Roman" w:hAnsi="Times New Roman" w:eastAsia="宋体" w:cs="Times New Roman"/>
          <w:sz w:val="28"/>
          <w:szCs w:val="24"/>
          <w:highlight w:val="none"/>
        </w:rPr>
        <w:fldChar w:fldCharType="separate"/>
      </w:r>
      <w:r>
        <w:rPr>
          <w:rFonts w:hint="eastAsia" w:ascii="Times New Roman" w:hAnsi="Times New Roman" w:eastAsia="宋体" w:cs="Times New Roman"/>
          <w:sz w:val="28"/>
          <w:szCs w:val="24"/>
          <w:highlight w:val="none"/>
          <w:lang w:val="en-US" w:eastAsia="zh-CN"/>
        </w:rPr>
        <w:t>第六</w:t>
      </w:r>
      <w:r>
        <w:rPr>
          <w:rFonts w:hint="eastAsia" w:ascii="Times New Roman" w:hAnsi="Times New Roman" w:eastAsia="宋体" w:cs="Times New Roman"/>
          <w:sz w:val="28"/>
          <w:szCs w:val="24"/>
          <w:highlight w:val="none"/>
        </w:rPr>
        <w:t>章  竞争性谈判响应文件格式</w:t>
      </w:r>
      <w:r>
        <w:rPr>
          <w:rFonts w:ascii="Times New Roman" w:hAnsi="Times New Roman" w:eastAsia="宋体" w:cs="Times New Roman"/>
          <w:sz w:val="28"/>
          <w:szCs w:val="24"/>
          <w:highlight w:val="none"/>
        </w:rPr>
        <w:tab/>
      </w:r>
      <w:r>
        <w:rPr>
          <w:rFonts w:hint="eastAsia" w:cs="Times New Roman"/>
          <w:sz w:val="28"/>
          <w:szCs w:val="24"/>
          <w:highlight w:val="none"/>
          <w:lang w:val="en-US" w:eastAsia="zh-CN"/>
        </w:rPr>
        <w:t>5</w:t>
      </w:r>
      <w:r>
        <w:rPr>
          <w:rFonts w:hint="eastAsia" w:ascii="Times New Roman" w:hAnsi="Times New Roman" w:eastAsia="宋体" w:cs="Times New Roman"/>
          <w:sz w:val="28"/>
          <w:szCs w:val="24"/>
          <w:highlight w:val="none"/>
        </w:rPr>
        <w:fldChar w:fldCharType="end"/>
      </w:r>
      <w:bookmarkStart w:id="1199" w:name="_GoBack"/>
      <w:bookmarkEnd w:id="1199"/>
      <w:r>
        <w:rPr>
          <w:rFonts w:hint="eastAsia" w:cs="Times New Roman"/>
          <w:sz w:val="28"/>
          <w:szCs w:val="24"/>
          <w:highlight w:val="none"/>
          <w:lang w:val="en-US" w:eastAsia="zh-CN"/>
        </w:rPr>
        <w:t>8</w:t>
      </w:r>
    </w:p>
    <w:p w14:paraId="11186A5B">
      <w:pPr>
        <w:tabs>
          <w:tab w:val="right" w:leader="dot" w:pos="8505"/>
        </w:tabs>
        <w:spacing w:line="360" w:lineRule="auto"/>
        <w:jc w:val="center"/>
        <w:rPr>
          <w:rFonts w:ascii="宋体" w:hAnsi="宋体" w:cs="宋体"/>
          <w:b/>
          <w:sz w:val="28"/>
          <w:szCs w:val="28"/>
          <w:highlight w:val="none"/>
        </w:rPr>
      </w:pPr>
      <w:r>
        <w:rPr>
          <w:rFonts w:hint="eastAsia" w:ascii="宋体" w:hAnsi="宋体" w:cs="宋体"/>
          <w:b/>
          <w:bCs/>
          <w:sz w:val="40"/>
          <w:szCs w:val="40"/>
          <w:highlight w:val="none"/>
        </w:rPr>
        <w:fldChar w:fldCharType="end"/>
      </w:r>
    </w:p>
    <w:p w14:paraId="5ECDCF64">
      <w:pPr>
        <w:pStyle w:val="45"/>
        <w:outlineLvl w:val="9"/>
        <w:rPr>
          <w:rFonts w:ascii="宋体" w:hAnsi="宋体" w:eastAsia="宋体" w:cs="宋体"/>
          <w:highlight w:val="none"/>
        </w:rPr>
      </w:pPr>
      <w:bookmarkStart w:id="2" w:name="_Toc22972"/>
      <w:bookmarkStart w:id="3" w:name="_Toc10250"/>
      <w:bookmarkStart w:id="4" w:name="_Toc23293"/>
      <w:bookmarkStart w:id="5" w:name="_Toc22118"/>
      <w:bookmarkStart w:id="6" w:name="_Toc13186"/>
      <w:bookmarkStart w:id="7" w:name="_Toc55310050"/>
      <w:bookmarkStart w:id="8" w:name="_Toc6281"/>
      <w:bookmarkStart w:id="9" w:name="_Toc4482"/>
    </w:p>
    <w:p w14:paraId="1EBA9FDE">
      <w:pPr>
        <w:tabs>
          <w:tab w:val="left" w:pos="2756"/>
        </w:tabs>
        <w:rPr>
          <w:rFonts w:hint="default"/>
          <w:highlight w:val="none"/>
        </w:rPr>
      </w:pPr>
      <w:r>
        <w:rPr>
          <w:highlight w:val="none"/>
        </w:rPr>
        <w:tab/>
      </w:r>
    </w:p>
    <w:p w14:paraId="64975C5F">
      <w:pPr>
        <w:rPr>
          <w:highlight w:val="none"/>
        </w:rPr>
      </w:pPr>
    </w:p>
    <w:p w14:paraId="6C1657FD">
      <w:pPr>
        <w:rPr>
          <w:highlight w:val="none"/>
        </w:rPr>
      </w:pPr>
    </w:p>
    <w:p w14:paraId="18FC7B4E">
      <w:pPr>
        <w:rPr>
          <w:highlight w:val="none"/>
        </w:rPr>
      </w:pPr>
    </w:p>
    <w:p w14:paraId="60D10EC3">
      <w:pPr>
        <w:rPr>
          <w:highlight w:val="none"/>
        </w:rPr>
      </w:pPr>
    </w:p>
    <w:p w14:paraId="28FED167">
      <w:pPr>
        <w:rPr>
          <w:highlight w:val="none"/>
        </w:rPr>
      </w:pPr>
    </w:p>
    <w:p w14:paraId="15066E50">
      <w:pPr>
        <w:rPr>
          <w:highlight w:val="none"/>
        </w:rPr>
      </w:pPr>
    </w:p>
    <w:p w14:paraId="71F703D2">
      <w:pPr>
        <w:rPr>
          <w:highlight w:val="none"/>
        </w:rPr>
      </w:pPr>
    </w:p>
    <w:p w14:paraId="3AE959D2">
      <w:pPr>
        <w:rPr>
          <w:highlight w:val="none"/>
        </w:rPr>
      </w:pPr>
    </w:p>
    <w:p w14:paraId="179795F2">
      <w:pPr>
        <w:rPr>
          <w:highlight w:val="none"/>
        </w:rPr>
      </w:pPr>
    </w:p>
    <w:p w14:paraId="0E828C0A">
      <w:pPr>
        <w:rPr>
          <w:highlight w:val="none"/>
        </w:rPr>
      </w:pPr>
    </w:p>
    <w:p w14:paraId="39425F36">
      <w:pPr>
        <w:rPr>
          <w:highlight w:val="none"/>
        </w:rPr>
      </w:pPr>
    </w:p>
    <w:p w14:paraId="2874B0A3">
      <w:pPr>
        <w:rPr>
          <w:highlight w:val="none"/>
        </w:rPr>
      </w:pPr>
    </w:p>
    <w:p w14:paraId="1AEEB324">
      <w:pPr>
        <w:rPr>
          <w:highlight w:val="none"/>
        </w:rPr>
      </w:pPr>
    </w:p>
    <w:p w14:paraId="1D678BC7">
      <w:pPr>
        <w:rPr>
          <w:highlight w:val="none"/>
        </w:rPr>
      </w:pPr>
    </w:p>
    <w:p w14:paraId="1D5C89C7">
      <w:pPr>
        <w:rPr>
          <w:highlight w:val="none"/>
        </w:rPr>
      </w:pPr>
    </w:p>
    <w:p w14:paraId="22767848">
      <w:pPr>
        <w:rPr>
          <w:highlight w:val="none"/>
        </w:rPr>
      </w:pPr>
    </w:p>
    <w:p w14:paraId="557D50AB">
      <w:pPr>
        <w:rPr>
          <w:highlight w:val="none"/>
        </w:rPr>
      </w:pPr>
    </w:p>
    <w:p w14:paraId="792D25D6">
      <w:pPr>
        <w:rPr>
          <w:highlight w:val="none"/>
        </w:rPr>
      </w:pPr>
    </w:p>
    <w:p w14:paraId="30644CF0">
      <w:pPr>
        <w:tabs>
          <w:tab w:val="left" w:pos="2953"/>
        </w:tabs>
        <w:jc w:val="left"/>
        <w:rPr>
          <w:rFonts w:hint="default"/>
          <w:highlight w:val="none"/>
        </w:rPr>
        <w:sectPr>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highlight w:val="none"/>
        </w:rPr>
        <w:tab/>
      </w:r>
    </w:p>
    <w:p w14:paraId="48AC7D4E">
      <w:pPr>
        <w:pStyle w:val="45"/>
        <w:rPr>
          <w:rFonts w:ascii="宋体" w:hAnsi="宋体" w:eastAsia="宋体" w:cs="宋体"/>
          <w:highlight w:val="none"/>
        </w:rPr>
      </w:pPr>
      <w:bookmarkStart w:id="10" w:name="_Toc1714770980"/>
      <w:bookmarkStart w:id="11" w:name="_Toc1807154329"/>
      <w:bookmarkStart w:id="12" w:name="_Toc2079530535"/>
      <w:bookmarkStart w:id="13" w:name="_Toc1094733066"/>
      <w:bookmarkStart w:id="14" w:name="_Toc313936280"/>
      <w:r>
        <w:rPr>
          <w:rFonts w:hint="eastAsia" w:ascii="宋体" w:hAnsi="宋体" w:eastAsia="宋体" w:cs="宋体"/>
          <w:highlight w:val="none"/>
        </w:rPr>
        <w:t xml:space="preserve">第一章  </w:t>
      </w:r>
      <w:bookmarkEnd w:id="2"/>
      <w:bookmarkEnd w:id="3"/>
      <w:bookmarkEnd w:id="4"/>
      <w:bookmarkEnd w:id="5"/>
      <w:bookmarkEnd w:id="6"/>
      <w:bookmarkEnd w:id="7"/>
      <w:bookmarkEnd w:id="8"/>
      <w:r>
        <w:rPr>
          <w:rFonts w:hint="eastAsia" w:ascii="宋体" w:hAnsi="宋体" w:eastAsia="宋体" w:cs="宋体"/>
          <w:highlight w:val="none"/>
        </w:rPr>
        <w:t>采购公告</w:t>
      </w:r>
      <w:bookmarkEnd w:id="9"/>
      <w:bookmarkEnd w:id="10"/>
      <w:bookmarkEnd w:id="11"/>
      <w:bookmarkEnd w:id="12"/>
      <w:bookmarkEnd w:id="13"/>
      <w:bookmarkEnd w:id="14"/>
    </w:p>
    <w:p w14:paraId="2B7716F3">
      <w:pPr>
        <w:rPr>
          <w:rFonts w:ascii="宋体" w:hAnsi="宋体" w:cs="宋体"/>
          <w:highlight w:val="none"/>
        </w:rPr>
      </w:pPr>
    </w:p>
    <w:p w14:paraId="366440D4">
      <w:pPr>
        <w:wordWrap w:val="0"/>
        <w:spacing w:line="360" w:lineRule="auto"/>
        <w:ind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rPr>
        <w:t>本项目为</w:t>
      </w:r>
      <w:r>
        <w:rPr>
          <w:rFonts w:hint="eastAsia" w:ascii="宋体" w:hAnsi="宋体" w:cs="宋体"/>
          <w:color w:val="auto"/>
          <w:sz w:val="24"/>
          <w:szCs w:val="24"/>
          <w:highlight w:val="none"/>
          <w:u w:val="single"/>
          <w:lang w:val="en-US" w:eastAsia="zh-CN"/>
        </w:rPr>
        <w:t>大龙山风电场（二期）项目工程招标控制价编制及全过程造价控制咨询服务</w:t>
      </w:r>
      <w:r>
        <w:rPr>
          <w:rFonts w:hint="eastAsia" w:ascii="宋体" w:hAnsi="宋体" w:eastAsia="宋体" w:cs="宋体"/>
          <w:color w:val="auto"/>
          <w:sz w:val="24"/>
          <w:szCs w:val="24"/>
          <w:highlight w:val="none"/>
        </w:rPr>
        <w:t>，采购人为</w:t>
      </w:r>
      <w:r>
        <w:rPr>
          <w:rFonts w:hint="eastAsia" w:ascii="宋体" w:hAnsi="宋体" w:cs="宋体"/>
          <w:color w:val="auto"/>
          <w:sz w:val="24"/>
          <w:szCs w:val="24"/>
          <w:highlight w:val="none"/>
          <w:u w:val="single"/>
          <w:lang w:val="en-US" w:eastAsia="zh-CN"/>
        </w:rPr>
        <w:t>华宁云能投新能源开发有限公司</w:t>
      </w:r>
      <w:r>
        <w:rPr>
          <w:rFonts w:hint="eastAsia" w:ascii="宋体" w:hAnsi="宋体" w:eastAsia="宋体" w:cs="宋体"/>
          <w:color w:val="auto"/>
          <w:sz w:val="24"/>
          <w:szCs w:val="24"/>
          <w:highlight w:val="none"/>
        </w:rPr>
        <w:t>。资金来源已落实。该项目已具备采购条件，</w:t>
      </w:r>
      <w:r>
        <w:rPr>
          <w:rFonts w:hint="eastAsia" w:asciiTheme="minorEastAsia" w:hAnsiTheme="minorEastAsia" w:eastAsiaTheme="minorEastAsia" w:cstheme="minorEastAsia"/>
          <w:color w:val="000000"/>
          <w:sz w:val="24"/>
          <w:szCs w:val="24"/>
          <w:highlight w:val="none"/>
        </w:rPr>
        <w:t>根据相关法律、法规及公司管理要求，现开展供应商公开竞争性谈判</w:t>
      </w:r>
      <w:r>
        <w:rPr>
          <w:rFonts w:hint="eastAsia" w:asciiTheme="minorEastAsia" w:hAnsiTheme="minorEastAsia" w:eastAsiaTheme="minorEastAsia" w:cstheme="minorEastAsia"/>
          <w:color w:val="000000"/>
          <w:sz w:val="24"/>
          <w:szCs w:val="24"/>
          <w:highlight w:val="none"/>
          <w:lang w:eastAsia="zh-CN"/>
        </w:rPr>
        <w:t>。</w:t>
      </w:r>
    </w:p>
    <w:p w14:paraId="5479C7F1">
      <w:pPr>
        <w:pStyle w:val="4"/>
        <w:ind w:firstLineChars="100"/>
        <w:outlineLvl w:val="1"/>
        <w:rPr>
          <w:rFonts w:ascii="宋体" w:hAnsi="宋体" w:eastAsia="宋体" w:cs="宋体"/>
          <w:color w:val="auto"/>
          <w:szCs w:val="28"/>
          <w:highlight w:val="none"/>
        </w:rPr>
      </w:pPr>
      <w:bookmarkStart w:id="15" w:name="_Toc1117"/>
      <w:bookmarkStart w:id="16" w:name="_Toc21484"/>
      <w:bookmarkStart w:id="17" w:name="_Toc18622"/>
      <w:bookmarkStart w:id="18" w:name="_Toc3431"/>
      <w:bookmarkStart w:id="19" w:name="_Toc17434"/>
      <w:bookmarkStart w:id="20" w:name="_Toc19200"/>
      <w:bookmarkStart w:id="21" w:name="_Toc1132188766"/>
      <w:bookmarkStart w:id="22" w:name="_Toc55310051"/>
      <w:bookmarkStart w:id="23" w:name="_Toc3743"/>
      <w:bookmarkStart w:id="24" w:name="_Toc55229783"/>
      <w:bookmarkStart w:id="25" w:name="_Toc13125"/>
      <w:bookmarkStart w:id="26" w:name="_Toc1532957538"/>
      <w:bookmarkStart w:id="27" w:name="_Toc25508"/>
      <w:bookmarkStart w:id="28" w:name="_Toc1961560796"/>
      <w:bookmarkStart w:id="29" w:name="_Toc55303738"/>
      <w:bookmarkStart w:id="30" w:name="_Toc6310"/>
      <w:bookmarkStart w:id="31" w:name="_Toc807977393"/>
      <w:bookmarkStart w:id="32" w:name="_Toc1702041023"/>
      <w:bookmarkStart w:id="33" w:name="_Toc7636"/>
      <w:bookmarkStart w:id="34" w:name="_Toc13372"/>
      <w:bookmarkStart w:id="35" w:name="_Toc30978"/>
      <w:r>
        <w:rPr>
          <w:rFonts w:hint="default" w:ascii="宋体" w:hAnsi="宋体" w:eastAsia="宋体" w:cs="宋体"/>
          <w:color w:val="auto"/>
          <w:szCs w:val="28"/>
          <w:highlight w:val="none"/>
        </w:rPr>
        <w:t>一、</w:t>
      </w:r>
      <w:bookmarkEnd w:id="15"/>
      <w:bookmarkEnd w:id="16"/>
      <w:bookmarkEnd w:id="17"/>
      <w:bookmarkEnd w:id="18"/>
      <w:bookmarkEnd w:id="19"/>
      <w:r>
        <w:rPr>
          <w:rFonts w:hint="default" w:ascii="宋体" w:hAnsi="宋体" w:eastAsia="宋体" w:cs="宋体"/>
          <w:color w:val="auto"/>
          <w:szCs w:val="28"/>
          <w:highlight w:val="none"/>
        </w:rPr>
        <w:t>项目概况</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0F6E488">
      <w:pPr>
        <w:pStyle w:val="48"/>
        <w:spacing w:after="0" w:line="360" w:lineRule="auto"/>
        <w:ind w:left="0" w:leftChars="0" w:firstLine="480"/>
        <w:outlineLvl w:val="1"/>
        <w:rPr>
          <w:rFonts w:hint="eastAsia" w:eastAsia="宋体" w:cs="宋体"/>
          <w:b w:val="0"/>
          <w:bCs w:val="0"/>
          <w:color w:val="000000"/>
          <w:highlight w:val="none"/>
          <w:lang w:eastAsia="zh-CN"/>
        </w:rPr>
      </w:pPr>
      <w:bookmarkStart w:id="36" w:name="_Toc55229784"/>
      <w:bookmarkStart w:id="37" w:name="_Toc55310052"/>
      <w:bookmarkStart w:id="38" w:name="_Toc55303739"/>
      <w:r>
        <w:rPr>
          <w:rFonts w:hint="eastAsia" w:eastAsia="宋体" w:cs="宋体"/>
          <w:b w:val="0"/>
          <w:bCs w:val="0"/>
          <w:color w:val="000000"/>
          <w:highlight w:val="none"/>
        </w:rPr>
        <w:t>项目名称：</w:t>
      </w:r>
      <w:r>
        <w:rPr>
          <w:rFonts w:hint="eastAsia" w:eastAsia="宋体" w:cs="宋体"/>
          <w:b w:val="0"/>
          <w:bCs w:val="0"/>
          <w:sz w:val="24"/>
          <w:szCs w:val="24"/>
          <w:highlight w:val="none"/>
          <w:u w:val="single"/>
          <w:lang w:eastAsia="zh-CN"/>
        </w:rPr>
        <w:t>大龙山风电场（二期）项目工程招标控制价编制及全过程造价控制咨询服务</w:t>
      </w:r>
    </w:p>
    <w:p w14:paraId="12F6B26B">
      <w:pPr>
        <w:pStyle w:val="2"/>
        <w:keepNext w:val="0"/>
        <w:keepLines w:val="0"/>
        <w:pageBreakBefore w:val="0"/>
        <w:kinsoku/>
        <w:wordWrap/>
        <w:overflowPunct/>
        <w:topLinePunct w:val="0"/>
        <w:autoSpaceDE/>
        <w:autoSpaceDN/>
        <w:bidi w:val="0"/>
        <w:spacing w:line="560" w:lineRule="exact"/>
        <w:ind w:firstLine="420" w:firstLineChars="200"/>
        <w:textAlignment w:val="auto"/>
        <w:rPr>
          <w:rFonts w:hint="eastAsia" w:ascii="宋体" w:hAnsi="宋体" w:eastAsia="宋体" w:cs="宋体"/>
          <w:color w:val="auto"/>
          <w:kern w:val="2"/>
          <w:sz w:val="24"/>
          <w:szCs w:val="24"/>
          <w:highlight w:val="none"/>
          <w:u w:val="single"/>
          <w:lang w:val="en-US" w:eastAsia="zh-CN" w:bidi="ar-SA"/>
        </w:rPr>
      </w:pPr>
      <w:r>
        <w:rPr>
          <w:rFonts w:hint="eastAsia" w:eastAsia="宋体" w:cs="宋体"/>
          <w:b w:val="0"/>
          <w:bCs w:val="0"/>
          <w:color w:val="000000"/>
          <w:highlight w:val="none"/>
          <w:lang w:val="en-US" w:eastAsia="zh-CN"/>
        </w:rPr>
        <w:t>项目基本情况：</w:t>
      </w:r>
      <w:r>
        <w:rPr>
          <w:rFonts w:hint="eastAsia" w:ascii="宋体" w:hAnsi="宋体" w:eastAsia="宋体" w:cs="宋体"/>
          <w:color w:val="auto"/>
          <w:kern w:val="2"/>
          <w:sz w:val="24"/>
          <w:szCs w:val="24"/>
          <w:highlight w:val="none"/>
          <w:u w:val="single"/>
          <w:lang w:val="en-US" w:eastAsia="zh-CN" w:bidi="ar-SA"/>
        </w:rPr>
        <w:t>大龙山风电场（二期）项目已列入“云南省2025年第三批新能源项目开发建设清单”，项目位于玉溪市华宁县青龙镇东北部的山脊及山顶台地上，地理坐标介于北纬 24°27′08"～24°31′09"、东经 103°00′58"～103°02′57"之间，场址高程在 1700m~2100m 之间。此为大龙山风电场的扩建项目，</w:t>
      </w:r>
      <w:r>
        <w:rPr>
          <w:rFonts w:hint="default" w:ascii="宋体" w:hAnsi="宋体" w:eastAsia="宋体" w:cs="宋体"/>
          <w:color w:val="auto"/>
          <w:kern w:val="2"/>
          <w:sz w:val="24"/>
          <w:szCs w:val="24"/>
          <w:highlight w:val="none"/>
          <w:u w:val="single"/>
          <w:lang w:val="en-US" w:eastAsia="zh-CN" w:bidi="ar-SA"/>
        </w:rPr>
        <w:t>不安装升压站，与大龙山风电场项目共用一座</w:t>
      </w:r>
      <w:r>
        <w:rPr>
          <w:rFonts w:hint="eastAsia" w:ascii="宋体" w:hAnsi="宋体" w:eastAsia="宋体" w:cs="宋体"/>
          <w:color w:val="auto"/>
          <w:kern w:val="2"/>
          <w:sz w:val="24"/>
          <w:szCs w:val="24"/>
          <w:highlight w:val="none"/>
          <w:u w:val="single"/>
          <w:lang w:val="en-US" w:eastAsia="zh-CN" w:bidi="ar-SA"/>
        </w:rPr>
        <w:t>，装机容量为30MW，拟安装6台5.0MW-220m风电机组，</w:t>
      </w:r>
      <w:r>
        <w:rPr>
          <w:rFonts w:hint="default" w:ascii="宋体" w:hAnsi="宋体" w:eastAsia="宋体" w:cs="宋体"/>
          <w:color w:val="auto"/>
          <w:kern w:val="2"/>
          <w:sz w:val="24"/>
          <w:szCs w:val="24"/>
          <w:highlight w:val="none"/>
          <w:u w:val="single"/>
          <w:lang w:val="en-US" w:eastAsia="zh-CN" w:bidi="ar-SA"/>
        </w:rPr>
        <w:t>6台箱变</w:t>
      </w:r>
      <w:r>
        <w:rPr>
          <w:rFonts w:hint="eastAsia" w:ascii="宋体" w:hAnsi="宋体" w:eastAsia="宋体" w:cs="宋体"/>
          <w:color w:val="auto"/>
          <w:kern w:val="2"/>
          <w:sz w:val="24"/>
          <w:szCs w:val="24"/>
          <w:highlight w:val="none"/>
          <w:u w:val="single"/>
          <w:lang w:val="en-US" w:eastAsia="zh-CN" w:bidi="ar-SA"/>
        </w:rPr>
        <w:t>。</w:t>
      </w:r>
    </w:p>
    <w:bookmarkEnd w:id="36"/>
    <w:bookmarkEnd w:id="37"/>
    <w:bookmarkEnd w:id="38"/>
    <w:p w14:paraId="1435ECA1">
      <w:pPr>
        <w:pStyle w:val="4"/>
        <w:outlineLvl w:val="1"/>
        <w:rPr>
          <w:rFonts w:ascii="宋体" w:hAnsi="宋体" w:eastAsia="宋体" w:cs="宋体"/>
          <w:color w:val="auto"/>
          <w:szCs w:val="28"/>
          <w:highlight w:val="none"/>
        </w:rPr>
      </w:pPr>
      <w:bookmarkStart w:id="39" w:name="_Toc2133600840"/>
      <w:bookmarkStart w:id="40" w:name="_Toc5137"/>
      <w:bookmarkStart w:id="41" w:name="_Toc1214107525"/>
      <w:bookmarkStart w:id="42" w:name="_Toc1765682589"/>
      <w:bookmarkStart w:id="43" w:name="_Toc1368014904"/>
      <w:bookmarkStart w:id="44" w:name="_Toc607950350"/>
      <w:r>
        <w:rPr>
          <w:rFonts w:hint="default" w:ascii="宋体" w:hAnsi="宋体" w:eastAsia="宋体" w:cs="宋体"/>
          <w:color w:val="auto"/>
          <w:szCs w:val="28"/>
          <w:highlight w:val="none"/>
        </w:rPr>
        <w:t>二、采购内容</w:t>
      </w:r>
      <w:bookmarkEnd w:id="39"/>
      <w:bookmarkEnd w:id="40"/>
      <w:bookmarkEnd w:id="41"/>
      <w:bookmarkEnd w:id="42"/>
      <w:bookmarkEnd w:id="43"/>
      <w:bookmarkEnd w:id="44"/>
    </w:p>
    <w:p w14:paraId="077EE838">
      <w:pPr>
        <w:spacing w:line="360" w:lineRule="auto"/>
        <w:ind w:firstLine="480" w:firstLineChars="200"/>
        <w:jc w:val="left"/>
        <w:rPr>
          <w:rFonts w:hint="eastAsia" w:ascii="宋体" w:hAnsi="宋体" w:cs="宋体"/>
          <w:color w:val="000000" w:themeColor="text1"/>
          <w:spacing w:val="0"/>
          <w:sz w:val="24"/>
          <w:szCs w:val="24"/>
          <w:highlight w:val="none"/>
          <w:u w:val="none"/>
          <w:lang w:eastAsia="zh-CN"/>
          <w14:textFill>
            <w14:solidFill>
              <w14:schemeClr w14:val="tx1"/>
            </w14:solidFill>
          </w14:textFill>
        </w:rPr>
      </w:pPr>
      <w:r>
        <w:rPr>
          <w:rFonts w:hint="eastAsia" w:ascii="宋体" w:hAnsi="宋体" w:cs="宋体"/>
          <w:sz w:val="24"/>
          <w:szCs w:val="24"/>
          <w:highlight w:val="none"/>
        </w:rPr>
        <w:t>2.1 采购范围：</w:t>
      </w:r>
      <w:r>
        <w:rPr>
          <w:rFonts w:hint="eastAsia" w:ascii="宋体" w:hAnsi="宋体" w:cs="宋体"/>
          <w:color w:val="000000" w:themeColor="text1"/>
          <w:spacing w:val="0"/>
          <w:sz w:val="24"/>
          <w:szCs w:val="24"/>
          <w:highlight w:val="none"/>
          <w:u w:val="none"/>
          <w:lang w:eastAsia="zh-CN"/>
          <w14:textFill>
            <w14:solidFill>
              <w14:schemeClr w14:val="tx1"/>
            </w14:solidFill>
          </w14:textFill>
        </w:rPr>
        <w:t>为做好</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本项目</w:t>
      </w:r>
      <w:r>
        <w:rPr>
          <w:rFonts w:hint="eastAsia" w:ascii="宋体" w:hAnsi="宋体" w:cs="宋体"/>
          <w:color w:val="000000" w:themeColor="text1"/>
          <w:spacing w:val="0"/>
          <w:sz w:val="24"/>
          <w:szCs w:val="24"/>
          <w:highlight w:val="none"/>
          <w:u w:val="none"/>
          <w:lang w:eastAsia="zh-CN"/>
          <w14:textFill>
            <w14:solidFill>
              <w14:schemeClr w14:val="tx1"/>
            </w14:solidFill>
          </w14:textFill>
        </w:rPr>
        <w:t>的建设，</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成交</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人应当以造价控制及合规性为核心，综合运用多种学科知识、工程实践经验、经济管理方法，采用一系列工程管理、造价</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管理</w:t>
      </w:r>
      <w:r>
        <w:rPr>
          <w:rFonts w:hint="eastAsia" w:ascii="宋体" w:hAnsi="宋体" w:cs="宋体"/>
          <w:color w:val="000000" w:themeColor="text1"/>
          <w:spacing w:val="0"/>
          <w:sz w:val="24"/>
          <w:szCs w:val="24"/>
          <w:highlight w:val="none"/>
          <w:u w:val="none"/>
          <w:lang w:eastAsia="zh-CN"/>
          <w14:textFill>
            <w14:solidFill>
              <w14:schemeClr w14:val="tx1"/>
            </w14:solidFill>
          </w14:textFill>
        </w:rPr>
        <w:t>等服务方式，为</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人提供招标控制价编制服务以</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及</w:t>
      </w:r>
      <w:r>
        <w:rPr>
          <w:rFonts w:hint="eastAsia" w:ascii="宋体" w:hAnsi="宋体" w:cs="宋体"/>
          <w:color w:val="000000" w:themeColor="text1"/>
          <w:spacing w:val="0"/>
          <w:sz w:val="24"/>
          <w:szCs w:val="24"/>
          <w:highlight w:val="none"/>
          <w:u w:val="none"/>
          <w:lang w:eastAsia="zh-CN"/>
          <w14:textFill>
            <w14:solidFill>
              <w14:schemeClr w14:val="tx1"/>
            </w14:solidFill>
          </w14:textFill>
        </w:rPr>
        <w:t>投资控制为目标的全过程咨询服务。还包括涉及业主方临时提出的工作安排，如宁州葫芦地光伏电站建设构网型配储项目</w:t>
      </w:r>
      <w:r>
        <w:rPr>
          <w:rFonts w:hint="eastAsia" w:ascii="宋体" w:hAnsi="宋体" w:cs="宋体"/>
          <w:color w:val="000000" w:themeColor="text1"/>
          <w:spacing w:val="0"/>
          <w:sz w:val="24"/>
          <w:szCs w:val="24"/>
          <w:highlight w:val="none"/>
          <w:u w:val="none"/>
          <w:lang w:eastAsia="zh-CN"/>
          <w14:textFill>
            <w14:solidFill>
              <w14:schemeClr w14:val="tx1"/>
            </w14:solidFill>
          </w14:textFill>
        </w:rPr>
        <w:t>招标控制价编制服务以</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及</w:t>
      </w:r>
      <w:r>
        <w:rPr>
          <w:rFonts w:hint="eastAsia" w:ascii="宋体" w:hAnsi="宋体" w:cs="宋体"/>
          <w:color w:val="000000" w:themeColor="text1"/>
          <w:spacing w:val="0"/>
          <w:sz w:val="24"/>
          <w:szCs w:val="24"/>
          <w:highlight w:val="none"/>
          <w:u w:val="none"/>
          <w:lang w:eastAsia="zh-CN"/>
          <w14:textFill>
            <w14:solidFill>
              <w14:schemeClr w14:val="tx1"/>
            </w14:solidFill>
          </w14:textFill>
        </w:rPr>
        <w:t>投资控制为目标的全过程咨询服务，</w:t>
      </w:r>
      <w:r>
        <w:rPr>
          <w:rFonts w:hint="eastAsia" w:ascii="宋体" w:hAnsi="宋体" w:cs="宋体"/>
          <w:color w:val="000000" w:themeColor="text1"/>
          <w:spacing w:val="0"/>
          <w:sz w:val="24"/>
          <w:szCs w:val="24"/>
          <w:highlight w:val="none"/>
          <w:u w:val="none"/>
          <w:lang w:eastAsia="zh-CN"/>
          <w14:textFill>
            <w14:solidFill>
              <w14:schemeClr w14:val="tx1"/>
            </w14:solidFill>
          </w14:textFill>
        </w:rPr>
        <w:t>具体范围包括不限于以下内容：</w:t>
      </w:r>
    </w:p>
    <w:p w14:paraId="466620BD">
      <w:pPr>
        <w:spacing w:line="360" w:lineRule="auto"/>
        <w:ind w:firstLine="480" w:firstLineChars="200"/>
        <w:jc w:val="left"/>
        <w:rPr>
          <w:rFonts w:hint="eastAsia" w:asciiTheme="minorEastAsia" w:hAnsiTheme="minorEastAsia" w:eastAsiaTheme="minorEastAsia" w:cstheme="minorEastAsia"/>
          <w:b w:val="0"/>
          <w:bCs w:val="0"/>
          <w:color w:val="000000"/>
          <w:sz w:val="24"/>
          <w:szCs w:val="24"/>
          <w:highlight w:val="none"/>
          <w:u w:val="single"/>
          <w:lang w:val="en-US" w:eastAsia="zh-CN"/>
        </w:rPr>
      </w:pP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b w:val="0"/>
          <w:bCs w:val="0"/>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.1</w:t>
      </w:r>
      <w:r>
        <w:rPr>
          <w:rFonts w:hint="eastAsia" w:ascii="宋体" w:hAnsi="宋体" w:cs="宋体"/>
          <w:b w:val="0"/>
          <w:bCs w:val="0"/>
          <w:color w:val="000000" w:themeColor="text1"/>
          <w:spacing w:val="0"/>
          <w:sz w:val="24"/>
          <w:szCs w:val="24"/>
          <w:highlight w:val="none"/>
          <w:u w:val="single"/>
          <w:lang w:eastAsia="zh-CN"/>
          <w14:textFill>
            <w14:solidFill>
              <w14:schemeClr w14:val="tx1"/>
            </w14:solidFill>
          </w14:textFill>
        </w:rPr>
        <w:t>与项目建设模式相对应的建筑及设备安装造价控制及相关服务</w:t>
      </w:r>
    </w:p>
    <w:p w14:paraId="78EF6928">
      <w:pPr>
        <w:spacing w:line="360" w:lineRule="auto"/>
        <w:ind w:firstLine="480" w:firstLineChars="200"/>
        <w:jc w:val="left"/>
        <w:rPr>
          <w:rFonts w:ascii="Times New Roman Regular" w:hAnsi="Times New Roman Regular" w:cs="Times New Roman Regular"/>
          <w:color w:val="000000" w:themeColor="text1"/>
          <w:sz w:val="24"/>
          <w:szCs w:val="24"/>
          <w:highlight w:val="none"/>
          <w:u w:val="single"/>
          <w14:textFill>
            <w14:solidFill>
              <w14:schemeClr w14:val="tx1"/>
            </w14:solidFill>
          </w14:textFill>
        </w:rPr>
      </w:pPr>
      <w:r>
        <w:rPr>
          <w:rFonts w:ascii="Times New Roman Regular" w:hAnsi="Times New Roman Regular" w:cs="Times New Roman Regular"/>
          <w:color w:val="000000" w:themeColor="text1"/>
          <w:sz w:val="24"/>
          <w:szCs w:val="24"/>
          <w:highlight w:val="none"/>
          <w:u w:val="single"/>
          <w14:textFill>
            <w14:solidFill>
              <w14:schemeClr w14:val="tx1"/>
            </w14:solidFill>
          </w14:textFill>
        </w:rPr>
        <w:t>与项目建设模式相对应的建筑及设备安装</w:t>
      </w:r>
      <w:r>
        <w:rPr>
          <w:rFonts w:hint="eastAsia" w:ascii="宋体" w:hAnsi="宋体" w:cs="宋体"/>
          <w:color w:val="000000" w:themeColor="text1"/>
          <w:sz w:val="24"/>
          <w:szCs w:val="24"/>
          <w:highlight w:val="none"/>
          <w:u w:val="single"/>
          <w14:textFill>
            <w14:solidFill>
              <w14:schemeClr w14:val="tx1"/>
            </w14:solidFill>
          </w14:textFill>
        </w:rPr>
        <w:t>工程造价控制及相关管理咨询服务</w:t>
      </w:r>
      <w:r>
        <w:rPr>
          <w:rFonts w:ascii="Times New Roman Regular" w:hAnsi="Times New Roman Regular" w:cs="Times New Roman Regular"/>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u w:val="single"/>
          <w14:textFill>
            <w14:solidFill>
              <w14:schemeClr w14:val="tx1"/>
            </w14:solidFill>
          </w14:textFill>
        </w:rPr>
        <w:t>根据现阶段成果，项目</w:t>
      </w:r>
      <w:r>
        <w:rPr>
          <w:rFonts w:hint="eastAsia" w:ascii="宋体" w:hAnsi="宋体" w:cs="宋体"/>
          <w:color w:val="000000" w:themeColor="text1"/>
          <w:sz w:val="24"/>
          <w:szCs w:val="24"/>
          <w:highlight w:val="none"/>
          <w:u w:val="single"/>
          <w:lang w:val="en-US" w:eastAsia="zh-CN"/>
          <w14:textFill>
            <w14:solidFill>
              <w14:schemeClr w14:val="tx1"/>
            </w14:solidFill>
          </w14:textFill>
        </w:rPr>
        <w:t>总投资</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16906.71</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万元</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，其中</w:t>
      </w:r>
      <w:r>
        <w:rPr>
          <w:rFonts w:hint="eastAsia" w:ascii="宋体" w:hAnsi="宋体" w:cs="宋体"/>
          <w:color w:val="000000" w:themeColor="text1"/>
          <w:sz w:val="24"/>
          <w:szCs w:val="24"/>
          <w:highlight w:val="none"/>
          <w:u w:val="single"/>
          <w14:textFill>
            <w14:solidFill>
              <w14:schemeClr w14:val="tx1"/>
            </w14:solidFill>
          </w14:textFill>
        </w:rPr>
        <w:t>建筑安装工程费</w:t>
      </w:r>
      <w:r>
        <w:rPr>
          <w:rFonts w:hint="eastAsia" w:ascii="宋体" w:hAnsi="宋体" w:cs="宋体"/>
          <w:color w:val="000000" w:themeColor="text1"/>
          <w:sz w:val="24"/>
          <w:szCs w:val="24"/>
          <w:highlight w:val="none"/>
          <w:u w:val="single"/>
          <w:lang w:val="en-US" w:eastAsia="zh-CN"/>
          <w14:textFill>
            <w14:solidFill>
              <w14:schemeClr w14:val="tx1"/>
            </w14:solidFill>
          </w14:textFill>
        </w:rPr>
        <w:t>10143.26万元</w:t>
      </w:r>
      <w:r>
        <w:rPr>
          <w:rFonts w:hint="eastAsia" w:ascii="宋体" w:hAnsi="宋体" w:cs="宋体"/>
          <w:color w:val="000000" w:themeColor="text1"/>
          <w:sz w:val="24"/>
          <w:szCs w:val="24"/>
          <w:highlight w:val="none"/>
          <w:u w:val="single"/>
          <w14:textFill>
            <w14:solidFill>
              <w14:schemeClr w14:val="tx1"/>
            </w14:solidFill>
          </w14:textFill>
        </w:rPr>
        <w:t>（主</w:t>
      </w:r>
      <w:r>
        <w:rPr>
          <w:rFonts w:hint="eastAsia" w:ascii="宋体" w:hAnsi="宋体" w:cs="宋体"/>
          <w:color w:val="000000" w:themeColor="text1"/>
          <w:sz w:val="24"/>
          <w:szCs w:val="24"/>
          <w:highlight w:val="none"/>
          <w:u w:val="single"/>
          <w14:textFill>
            <w14:solidFill>
              <w14:schemeClr w14:val="tx1"/>
            </w14:solidFill>
          </w14:textFill>
        </w:rPr>
        <w:t>要包括：风机安装平台、转运场、供电、供水等施工辅助工程，风电机组及塔筒吊安装、电力电缆、集电线路，风电机组及箱变基础、集电线路土建、风电场场内外道路（含改扩建及路面硬化）施工、环水保等建筑工程等，</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具体项目以实际为准</w:t>
      </w:r>
      <w:r>
        <w:rPr>
          <w:rFonts w:hint="eastAsia" w:ascii="宋体" w:hAnsi="宋体" w:cs="宋体"/>
          <w:color w:val="000000" w:themeColor="text1"/>
          <w:sz w:val="24"/>
          <w:szCs w:val="24"/>
          <w:highlight w:val="none"/>
          <w:u w:val="single"/>
          <w14:textFill>
            <w14:solidFill>
              <w14:schemeClr w14:val="tx1"/>
            </w14:solidFill>
          </w14:textFill>
        </w:rPr>
        <w:t>）。</w:t>
      </w:r>
      <w:r>
        <w:rPr>
          <w:rFonts w:ascii="Times New Roman Regular" w:hAnsi="Times New Roman Regular" w:cs="Times New Roman Regular"/>
          <w:color w:val="000000" w:themeColor="text1"/>
          <w:sz w:val="24"/>
          <w:szCs w:val="24"/>
          <w:highlight w:val="none"/>
          <w:u w:val="single"/>
          <w14:textFill>
            <w14:solidFill>
              <w14:schemeClr w14:val="tx1"/>
            </w14:solidFill>
          </w14:textFill>
        </w:rPr>
        <w:t>包括但不限于以下内容</w:t>
      </w:r>
      <w:r>
        <w:rPr>
          <w:rFonts w:hint="eastAsia" w:ascii="Times New Roman Regular" w:hAnsi="Times New Roman Regular" w:cs="Times New Roman Regular"/>
          <w:color w:val="000000" w:themeColor="text1"/>
          <w:sz w:val="24"/>
          <w:szCs w:val="24"/>
          <w:highlight w:val="none"/>
          <w:u w:val="single"/>
          <w14:textFill>
            <w14:solidFill>
              <w14:schemeClr w14:val="tx1"/>
            </w14:solidFill>
          </w14:textFill>
        </w:rPr>
        <w:t>：</w:t>
      </w:r>
    </w:p>
    <w:tbl>
      <w:tblPr>
        <w:tblStyle w:val="5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833"/>
        <w:gridCol w:w="6148"/>
      </w:tblGrid>
      <w:tr w14:paraId="15EF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Align w:val="center"/>
          </w:tcPr>
          <w:p w14:paraId="1E0A2692">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建设阶段名称</w:t>
            </w:r>
          </w:p>
        </w:tc>
        <w:tc>
          <w:tcPr>
            <w:tcW w:w="1833" w:type="dxa"/>
            <w:vAlign w:val="center"/>
          </w:tcPr>
          <w:p w14:paraId="5AD1976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工作范围</w:t>
            </w:r>
          </w:p>
        </w:tc>
        <w:tc>
          <w:tcPr>
            <w:tcW w:w="6148" w:type="dxa"/>
            <w:vAlign w:val="center"/>
          </w:tcPr>
          <w:p w14:paraId="24F14FE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工作内容</w:t>
            </w:r>
          </w:p>
        </w:tc>
      </w:tr>
      <w:tr w14:paraId="36E26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Align w:val="center"/>
          </w:tcPr>
          <w:p w14:paraId="2AFA3A1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招标阶段</w:t>
            </w:r>
          </w:p>
        </w:tc>
        <w:tc>
          <w:tcPr>
            <w:tcW w:w="1833" w:type="dxa"/>
            <w:vAlign w:val="center"/>
          </w:tcPr>
          <w:p w14:paraId="27AE696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配合做好招标过程造价管理</w:t>
            </w:r>
          </w:p>
        </w:tc>
        <w:tc>
          <w:tcPr>
            <w:tcW w:w="6148" w:type="dxa"/>
            <w:vAlign w:val="center"/>
          </w:tcPr>
          <w:p w14:paraId="3E0C75D0">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（1）参与工程招标文件编制；根据需要编制工程量清单及招标控制价，出具正式的工程量清单及招标控制价文件；</w:t>
            </w:r>
          </w:p>
          <w:p w14:paraId="3911C53A">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（2）根据采购人需要配合做好招标过程中施工（采购）合同的相关造价条款的拟定，与造价有关的相关咨询服务工作。</w:t>
            </w:r>
          </w:p>
        </w:tc>
      </w:tr>
      <w:tr w14:paraId="13E6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Align w:val="center"/>
          </w:tcPr>
          <w:p w14:paraId="1DAF8AB4">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设计阶段</w:t>
            </w:r>
          </w:p>
        </w:tc>
        <w:tc>
          <w:tcPr>
            <w:tcW w:w="1833" w:type="dxa"/>
            <w:vAlign w:val="center"/>
          </w:tcPr>
          <w:p w14:paraId="1A1A3CBB">
            <w:pPr>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技术与经济管理</w:t>
            </w:r>
          </w:p>
        </w:tc>
        <w:tc>
          <w:tcPr>
            <w:tcW w:w="6148" w:type="dxa"/>
            <w:vAlign w:val="center"/>
          </w:tcPr>
          <w:p w14:paraId="49BB04D4">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（1）技术指标优化建议、经济指标优化控制等。（2）提出工程设计方案的优化建议，各方案工程造价的编制与比选。</w:t>
            </w:r>
          </w:p>
        </w:tc>
      </w:tr>
      <w:tr w14:paraId="0A4B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090" w:type="dxa"/>
            <w:vMerge w:val="restart"/>
            <w:vAlign w:val="center"/>
          </w:tcPr>
          <w:p w14:paraId="15071436">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施工阶段</w:t>
            </w:r>
          </w:p>
        </w:tc>
        <w:tc>
          <w:tcPr>
            <w:tcW w:w="1833" w:type="dxa"/>
            <w:vAlign w:val="center"/>
          </w:tcPr>
          <w:p w14:paraId="621B838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1.规范咨询服务工作制度</w:t>
            </w:r>
          </w:p>
        </w:tc>
        <w:tc>
          <w:tcPr>
            <w:tcW w:w="6148" w:type="dxa"/>
            <w:vAlign w:val="center"/>
          </w:tcPr>
          <w:p w14:paraId="237521BC">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（1）协助采购人做好项目现场的管理制度及流程，配合做好采购人与各参建单位的管理关系；</w:t>
            </w:r>
          </w:p>
          <w:p w14:paraId="331C5F40">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（2）制订可行的周报、月报、季报和年报等定期报告制度；建立签证、变更、档案管理等与造价相关的工作制度；</w:t>
            </w:r>
          </w:p>
          <w:p w14:paraId="49AAE6C2">
            <w:pPr>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（3）协助采购人进行全口径成本分析、风险控制，提出税务统筹及融资方案的建议。</w:t>
            </w:r>
          </w:p>
        </w:tc>
      </w:tr>
      <w:tr w14:paraId="02978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6D38619B">
            <w:pPr>
              <w:jc w:val="center"/>
              <w:rPr>
                <w:color w:val="000000" w:themeColor="text1"/>
                <w:highlight w:val="none"/>
                <w14:textFill>
                  <w14:solidFill>
                    <w14:schemeClr w14:val="tx1"/>
                  </w14:solidFill>
                </w14:textFill>
              </w:rPr>
            </w:pPr>
          </w:p>
        </w:tc>
        <w:tc>
          <w:tcPr>
            <w:tcW w:w="1833" w:type="dxa"/>
            <w:vAlign w:val="center"/>
          </w:tcPr>
          <w:p w14:paraId="2A880EA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2.工程计量与计价管理</w:t>
            </w:r>
          </w:p>
        </w:tc>
        <w:tc>
          <w:tcPr>
            <w:tcW w:w="6148" w:type="dxa"/>
            <w:vAlign w:val="center"/>
          </w:tcPr>
          <w:p w14:paraId="527FCAB1">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（1）工程计量支付的确定，审核工程款支付申请，提出资金使用计划及付款建议，出具支付结算报告；</w:t>
            </w:r>
          </w:p>
          <w:p w14:paraId="205CF793">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（2）严格按要求配合做好工程价款的调整处理；</w:t>
            </w:r>
          </w:p>
          <w:p w14:paraId="4C4A50DC">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（3）规范并监督采购人的价款支付，及时整理和留存相关过程资料。</w:t>
            </w:r>
          </w:p>
        </w:tc>
      </w:tr>
      <w:tr w14:paraId="5373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6FC1F196">
            <w:pPr>
              <w:jc w:val="center"/>
              <w:rPr>
                <w:color w:val="000000" w:themeColor="text1"/>
                <w:highlight w:val="none"/>
                <w14:textFill>
                  <w14:solidFill>
                    <w14:schemeClr w14:val="tx1"/>
                  </w14:solidFill>
                </w14:textFill>
              </w:rPr>
            </w:pPr>
          </w:p>
        </w:tc>
        <w:tc>
          <w:tcPr>
            <w:tcW w:w="1833" w:type="dxa"/>
            <w:vAlign w:val="center"/>
          </w:tcPr>
          <w:p w14:paraId="2DD7BAEA">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3.设计变更控制</w:t>
            </w:r>
          </w:p>
        </w:tc>
        <w:tc>
          <w:tcPr>
            <w:tcW w:w="6148" w:type="dxa"/>
          </w:tcPr>
          <w:p w14:paraId="5F16EBD9">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（1）施工过程的设计变更、工程签证、隐蔽工程 记录签认处理，进行变更源分析和类别划分；</w:t>
            </w:r>
          </w:p>
          <w:p w14:paraId="76F1E310">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（2）审核变更预算，进行总造价影响及成本控制分析；</w:t>
            </w:r>
          </w:p>
          <w:p w14:paraId="484CBC73">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（3）配合变更方案比选，提出合理化建议；</w:t>
            </w:r>
          </w:p>
          <w:p w14:paraId="46E6B205">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（4）深入施工现场，积极收集管理第一手资料并汇总归集；对现场签证及新增工程量进行审核；</w:t>
            </w:r>
          </w:p>
          <w:p w14:paraId="22337CF3">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（5）施工过程中对设计变更、经济签证、非投标工程或合同承包范围外增加工程费用等进行编制和审核，提供相应变化情况的报告，并向采购人提供《造价控制动态分析报告》。</w:t>
            </w:r>
          </w:p>
        </w:tc>
      </w:tr>
      <w:tr w14:paraId="55791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390B22B3">
            <w:pPr>
              <w:jc w:val="center"/>
              <w:rPr>
                <w:color w:val="000000" w:themeColor="text1"/>
                <w:highlight w:val="none"/>
                <w14:textFill>
                  <w14:solidFill>
                    <w14:schemeClr w14:val="tx1"/>
                  </w14:solidFill>
                </w14:textFill>
              </w:rPr>
            </w:pPr>
          </w:p>
        </w:tc>
        <w:tc>
          <w:tcPr>
            <w:tcW w:w="1833" w:type="dxa"/>
            <w:vAlign w:val="center"/>
          </w:tcPr>
          <w:p w14:paraId="17480533">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4.合同及索赔管理</w:t>
            </w:r>
          </w:p>
        </w:tc>
        <w:tc>
          <w:tcPr>
            <w:tcW w:w="6148" w:type="dxa"/>
          </w:tcPr>
          <w:p w14:paraId="7A59CBA0">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（1）建设项目工程造价相关合同履行过程的管理；</w:t>
            </w:r>
          </w:p>
          <w:p w14:paraId="79422121">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（2）负责处理合同索赔，维护采购人的合法权益；</w:t>
            </w:r>
          </w:p>
          <w:p w14:paraId="7C128560">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（3）对索赔报告进行审查分析，收集反索赔的理由和证据，复核索赔值，提出反索赔报告；</w:t>
            </w:r>
          </w:p>
          <w:p w14:paraId="0040E6D4">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（4）参与调解所有合同争端，负责在仲裁过程中提供理据充分的依据。</w:t>
            </w:r>
          </w:p>
        </w:tc>
      </w:tr>
      <w:tr w14:paraId="068D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61" w:hRule="atLeast"/>
          <w:jc w:val="center"/>
        </w:trPr>
        <w:tc>
          <w:tcPr>
            <w:tcW w:w="1090" w:type="dxa"/>
            <w:vMerge w:val="continue"/>
          </w:tcPr>
          <w:p w14:paraId="779DB055">
            <w:pPr>
              <w:jc w:val="center"/>
              <w:rPr>
                <w:color w:val="000000" w:themeColor="text1"/>
                <w:highlight w:val="none"/>
                <w14:textFill>
                  <w14:solidFill>
                    <w14:schemeClr w14:val="tx1"/>
                  </w14:solidFill>
                </w14:textFill>
              </w:rPr>
            </w:pPr>
          </w:p>
        </w:tc>
        <w:tc>
          <w:tcPr>
            <w:tcW w:w="1833" w:type="dxa"/>
            <w:vAlign w:val="center"/>
          </w:tcPr>
          <w:p w14:paraId="3B4D3EA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5.信息管理</w:t>
            </w:r>
          </w:p>
        </w:tc>
        <w:tc>
          <w:tcPr>
            <w:tcW w:w="6148" w:type="dxa"/>
          </w:tcPr>
          <w:p w14:paraId="5C4C16F2">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（1）收集价格信息或编制工程造价管理月报，及时向采购人提供有关工程造价信息资料和成果，其中包括每月的主要材料价格分析、机械、设备等造价信息；</w:t>
            </w:r>
          </w:p>
          <w:p w14:paraId="54D3AE63">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（2）记录重大变更及特殊做法的影像资料，工程完工后整理提供一套完整的工程造价资料。</w:t>
            </w:r>
          </w:p>
        </w:tc>
      </w:tr>
      <w:tr w14:paraId="2412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7E04A2D0">
            <w:pPr>
              <w:jc w:val="center"/>
              <w:rPr>
                <w:color w:val="000000" w:themeColor="text1"/>
                <w:highlight w:val="none"/>
                <w14:textFill>
                  <w14:solidFill>
                    <w14:schemeClr w14:val="tx1"/>
                  </w14:solidFill>
                </w14:textFill>
              </w:rPr>
            </w:pPr>
          </w:p>
        </w:tc>
        <w:tc>
          <w:tcPr>
            <w:tcW w:w="1833" w:type="dxa"/>
            <w:vAlign w:val="center"/>
          </w:tcPr>
          <w:p w14:paraId="22759BED">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6.做好重点工作的管理</w:t>
            </w:r>
          </w:p>
        </w:tc>
        <w:tc>
          <w:tcPr>
            <w:tcW w:w="6148" w:type="dxa"/>
          </w:tcPr>
          <w:p w14:paraId="0EE37159">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（1）做好投资管理：建立及动态更新投资总控表，并与目标投资比对，及时提交项目造价控制意见。</w:t>
            </w:r>
          </w:p>
          <w:p w14:paraId="0E37B74C">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（2）加强合同管理：通过合同台账监控项目现场的履约情况，及时做好投资、合同与资金支付的对比分析。加强与工程审计和采购人财务人员的沟通，及时发现合同及资金支付过程中的问题。</w:t>
            </w:r>
          </w:p>
        </w:tc>
      </w:tr>
      <w:tr w14:paraId="6005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6861FC20">
            <w:pPr>
              <w:jc w:val="center"/>
              <w:rPr>
                <w:color w:val="000000" w:themeColor="text1"/>
                <w:highlight w:val="none"/>
                <w14:textFill>
                  <w14:solidFill>
                    <w14:schemeClr w14:val="tx1"/>
                  </w14:solidFill>
                </w14:textFill>
              </w:rPr>
            </w:pPr>
          </w:p>
        </w:tc>
        <w:tc>
          <w:tcPr>
            <w:tcW w:w="1833" w:type="dxa"/>
            <w:vAlign w:val="center"/>
          </w:tcPr>
          <w:p w14:paraId="518E87C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7.资料管理</w:t>
            </w:r>
          </w:p>
        </w:tc>
        <w:tc>
          <w:tcPr>
            <w:tcW w:w="6148" w:type="dxa"/>
          </w:tcPr>
          <w:p w14:paraId="72F27ECB">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及时建立与更新合同台帐、支付台账、设计变更和签证台账、资料收发台帐、索赔及反索赔台帐。</w:t>
            </w:r>
          </w:p>
        </w:tc>
      </w:tr>
      <w:tr w14:paraId="7267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378C47C5">
            <w:pPr>
              <w:jc w:val="center"/>
              <w:rPr>
                <w:color w:val="000000" w:themeColor="text1"/>
                <w:highlight w:val="none"/>
                <w14:textFill>
                  <w14:solidFill>
                    <w14:schemeClr w14:val="tx1"/>
                  </w14:solidFill>
                </w14:textFill>
              </w:rPr>
            </w:pPr>
          </w:p>
        </w:tc>
        <w:tc>
          <w:tcPr>
            <w:tcW w:w="1833" w:type="dxa"/>
            <w:vAlign w:val="center"/>
          </w:tcPr>
          <w:p w14:paraId="50ABB09E">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8.现场服务</w:t>
            </w:r>
          </w:p>
        </w:tc>
        <w:tc>
          <w:tcPr>
            <w:tcW w:w="6148" w:type="dxa"/>
          </w:tcPr>
          <w:p w14:paraId="15B7620E">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派驻驻场造价工程师现场办公；委派造价人员参与例会，并定期召开造价控制会议，解决施工过程中各类造价问题。</w:t>
            </w:r>
          </w:p>
        </w:tc>
      </w:tr>
      <w:tr w14:paraId="332F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restart"/>
            <w:vAlign w:val="center"/>
          </w:tcPr>
          <w:p w14:paraId="0372F4E1">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竣工阶段</w:t>
            </w:r>
          </w:p>
        </w:tc>
        <w:tc>
          <w:tcPr>
            <w:tcW w:w="1833" w:type="dxa"/>
            <w:vAlign w:val="center"/>
          </w:tcPr>
          <w:p w14:paraId="1916487F">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1.结算审核</w:t>
            </w:r>
          </w:p>
        </w:tc>
        <w:tc>
          <w:tcPr>
            <w:tcW w:w="6148" w:type="dxa"/>
          </w:tcPr>
          <w:p w14:paraId="1E5EC7A2">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（1）审核资料的完整性和符合性（根据合同及结算资料）</w:t>
            </w:r>
          </w:p>
          <w:p w14:paraId="45E4C0BC">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（2）根据合同及结算资料，对结算价格进行审核，会同财务管理部门的评审；</w:t>
            </w:r>
          </w:p>
          <w:p w14:paraId="6B31723C">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（3）审核各类服务、采购及供货合同结算；</w:t>
            </w:r>
          </w:p>
          <w:p w14:paraId="65757217">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（4）出具工程竣工结算报告。</w:t>
            </w:r>
          </w:p>
        </w:tc>
      </w:tr>
      <w:tr w14:paraId="76B4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757242BA">
            <w:pPr>
              <w:jc w:val="center"/>
              <w:rPr>
                <w:color w:val="000000" w:themeColor="text1"/>
                <w:highlight w:val="none"/>
                <w14:textFill>
                  <w14:solidFill>
                    <w14:schemeClr w14:val="tx1"/>
                  </w14:solidFill>
                </w14:textFill>
              </w:rPr>
            </w:pPr>
          </w:p>
        </w:tc>
        <w:tc>
          <w:tcPr>
            <w:tcW w:w="1833" w:type="dxa"/>
            <w:vAlign w:val="center"/>
          </w:tcPr>
          <w:p w14:paraId="5650E875">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2.结算台账</w:t>
            </w:r>
          </w:p>
        </w:tc>
        <w:tc>
          <w:tcPr>
            <w:tcW w:w="6148" w:type="dxa"/>
          </w:tcPr>
          <w:p w14:paraId="4E41BD84">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建立与更新</w:t>
            </w:r>
          </w:p>
        </w:tc>
      </w:tr>
      <w:tr w14:paraId="2B5E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55753B1F">
            <w:pPr>
              <w:jc w:val="center"/>
              <w:rPr>
                <w:color w:val="000000" w:themeColor="text1"/>
                <w:highlight w:val="none"/>
                <w14:textFill>
                  <w14:solidFill>
                    <w14:schemeClr w14:val="tx1"/>
                  </w14:solidFill>
                </w14:textFill>
              </w:rPr>
            </w:pPr>
          </w:p>
        </w:tc>
        <w:tc>
          <w:tcPr>
            <w:tcW w:w="1833" w:type="dxa"/>
            <w:vAlign w:val="center"/>
          </w:tcPr>
          <w:p w14:paraId="09710477">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3.投资情况分析</w:t>
            </w:r>
          </w:p>
        </w:tc>
        <w:tc>
          <w:tcPr>
            <w:tcW w:w="6148" w:type="dxa"/>
          </w:tcPr>
          <w:p w14:paraId="3B4659E7">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编制项目投资情况分析报告</w:t>
            </w:r>
          </w:p>
        </w:tc>
      </w:tr>
      <w:tr w14:paraId="2CBE7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6CD76143">
            <w:pPr>
              <w:jc w:val="center"/>
              <w:rPr>
                <w:color w:val="000000" w:themeColor="text1"/>
                <w:highlight w:val="none"/>
                <w14:textFill>
                  <w14:solidFill>
                    <w14:schemeClr w14:val="tx1"/>
                  </w14:solidFill>
                </w14:textFill>
              </w:rPr>
            </w:pPr>
          </w:p>
        </w:tc>
        <w:tc>
          <w:tcPr>
            <w:tcW w:w="1833" w:type="dxa"/>
            <w:vAlign w:val="center"/>
          </w:tcPr>
          <w:p w14:paraId="08C7CC50">
            <w:pPr>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4.项目审计</w:t>
            </w:r>
          </w:p>
        </w:tc>
        <w:tc>
          <w:tcPr>
            <w:tcW w:w="6148" w:type="dxa"/>
          </w:tcPr>
          <w:p w14:paraId="0D69AB4F">
            <w:pPr>
              <w:jc w:val="lef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配合项目审计</w:t>
            </w:r>
          </w:p>
        </w:tc>
      </w:tr>
    </w:tbl>
    <w:p w14:paraId="66B26A57">
      <w:pPr>
        <w:spacing w:line="360" w:lineRule="auto"/>
        <w:ind w:firstLine="480" w:firstLineChars="200"/>
        <w:jc w:val="left"/>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pP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b w:val="0"/>
          <w:bCs w:val="0"/>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b w:val="0"/>
          <w:bCs w:val="0"/>
          <w:color w:val="000000" w:themeColor="text1"/>
          <w:spacing w:val="0"/>
          <w:sz w:val="24"/>
          <w:szCs w:val="24"/>
          <w:highlight w:val="none"/>
          <w:u w:val="none"/>
          <w:lang w:val="en-US" w:eastAsia="zh-CN"/>
          <w14:textFill>
            <w14:solidFill>
              <w14:schemeClr w14:val="tx1"/>
            </w14:solidFill>
          </w14:textFill>
        </w:rPr>
        <w:t>2其他咨询</w:t>
      </w: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服务</w:t>
      </w:r>
    </w:p>
    <w:p w14:paraId="04241F6E">
      <w:pPr>
        <w:spacing w:line="360" w:lineRule="auto"/>
        <w:ind w:firstLine="480" w:firstLineChars="200"/>
        <w:rPr>
          <w:rFonts w:hint="default" w:ascii="宋体" w:hAnsi="宋体" w:cs="宋体"/>
          <w:color w:val="000000" w:themeColor="text1"/>
          <w:spacing w:val="0"/>
          <w:sz w:val="24"/>
          <w:szCs w:val="24"/>
          <w:highlight w:val="none"/>
          <w:u w:val="single"/>
          <w:lang w:val="en-US" w:eastAsia="zh-CN"/>
          <w14:textFill>
            <w14:solidFill>
              <w14:schemeClr w14:val="tx1"/>
            </w14:solidFill>
          </w14:textFill>
        </w:rPr>
      </w:pPr>
      <w:r>
        <w:rPr>
          <w:rFonts w:hint="eastAsia" w:ascii="宋体" w:hAnsi="宋体"/>
          <w:sz w:val="24"/>
          <w:szCs w:val="24"/>
          <w:highlight w:val="none"/>
          <w:u w:val="single"/>
        </w:rPr>
        <w:t>根据云南省国资委关于国有资产监管的相关要求，</w:t>
      </w:r>
      <w:r>
        <w:rPr>
          <w:rFonts w:ascii="Times New Roman Regular" w:hAnsi="Times New Roman Regular" w:cs="Times New Roman Regular"/>
          <w:color w:val="000000" w:themeColor="text1"/>
          <w:sz w:val="24"/>
          <w:szCs w:val="24"/>
          <w:highlight w:val="none"/>
          <w:u w:val="single"/>
          <w14:textFill>
            <w14:solidFill>
              <w14:schemeClr w14:val="tx1"/>
            </w14:solidFill>
          </w14:textFill>
        </w:rPr>
        <w:t>以及财政部、建设部关于印发《建设工程价款结算暂行办法》的通知（财建〔2004〕369号）；《关于下发〔工程造价咨询单位执业行业准则〕、〔造价工程师职业道德行为准则〕的通知》（中价协〔2002〕第15号）；《建设项目全过程造价咨询规程》（CECA/GC4-2017）；《建设项目工程结算编审规程》（中造协CECA/GC3-2007）；《工程造价咨询业务操作指导规程》《建设工程造价咨询成果文件质量标准》《建设工程价款结算暂行办法》《陆上风电场工程设计概算编制规定及费用标准》等一系列制度及法律法规要求</w:t>
      </w:r>
      <w:r>
        <w:rPr>
          <w:rFonts w:hint="eastAsia" w:ascii="宋体" w:hAnsi="宋体"/>
          <w:sz w:val="24"/>
          <w:szCs w:val="24"/>
          <w:highlight w:val="none"/>
          <w:u w:val="single"/>
        </w:rPr>
        <w:t>，以项目建设过程的真实性、合法合规性和有效性为目标</w:t>
      </w:r>
      <w:r>
        <w:rPr>
          <w:rFonts w:hint="eastAsia" w:ascii="宋体" w:hAnsi="宋体"/>
          <w:sz w:val="24"/>
          <w:szCs w:val="24"/>
          <w:highlight w:val="none"/>
          <w:u w:val="single"/>
          <w:lang w:eastAsia="zh-CN"/>
        </w:rPr>
        <w:t>，</w:t>
      </w:r>
      <w:r>
        <w:rPr>
          <w:rFonts w:hint="eastAsia" w:ascii="宋体" w:hAnsi="宋体"/>
          <w:sz w:val="24"/>
          <w:szCs w:val="24"/>
          <w:highlight w:val="none"/>
          <w:u w:val="single"/>
          <w:lang w:val="en-US" w:eastAsia="zh-CN"/>
        </w:rPr>
        <w:t>对项目的合规性提供咨询服务，</w:t>
      </w:r>
      <w:r>
        <w:rPr>
          <w:rFonts w:hint="eastAsia" w:ascii="宋体" w:hAnsi="宋体"/>
          <w:b w:val="0"/>
          <w:bCs w:val="0"/>
          <w:sz w:val="24"/>
          <w:szCs w:val="24"/>
          <w:highlight w:val="none"/>
          <w:u w:val="single"/>
          <w:lang w:val="en-US" w:eastAsia="zh-CN"/>
        </w:rPr>
        <w:t>并提出书面的合理化意见和建议；</w:t>
      </w:r>
      <w:r>
        <w:rPr>
          <w:rFonts w:hint="eastAsia" w:ascii="宋体" w:hAnsi="宋体"/>
          <w:sz w:val="24"/>
          <w:szCs w:val="24"/>
          <w:highlight w:val="none"/>
          <w:u w:val="single"/>
        </w:rPr>
        <w:t>围绕建设管理的各个环节，找出其薄弱环节及存在的问题，及时提出整改意见。</w:t>
      </w:r>
    </w:p>
    <w:p w14:paraId="65775089">
      <w:pPr>
        <w:spacing w:line="360" w:lineRule="auto"/>
        <w:ind w:firstLine="480" w:firstLineChars="200"/>
        <w:jc w:val="left"/>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pP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b w:val="0"/>
          <w:bCs w:val="0"/>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b w:val="0"/>
          <w:bCs w:val="0"/>
          <w:color w:val="000000" w:themeColor="text1"/>
          <w:spacing w:val="0"/>
          <w:sz w:val="24"/>
          <w:szCs w:val="24"/>
          <w:highlight w:val="none"/>
          <w:u w:val="none"/>
          <w:lang w:val="en-US" w:eastAsia="zh-CN"/>
          <w14:textFill>
            <w14:solidFill>
              <w14:schemeClr w14:val="tx1"/>
            </w14:solidFill>
          </w14:textFill>
        </w:rPr>
        <w:t>3</w:t>
      </w:r>
      <w:r>
        <w:rPr>
          <w:rFonts w:hint="eastAsia" w:ascii="宋体" w:hAnsi="宋体" w:cs="宋体"/>
          <w:b w:val="0"/>
          <w:bCs w:val="0"/>
          <w:color w:val="000000" w:themeColor="text1"/>
          <w:spacing w:val="0"/>
          <w:sz w:val="24"/>
          <w:szCs w:val="24"/>
          <w:highlight w:val="none"/>
          <w:u w:val="none"/>
          <w:lang w:eastAsia="zh-CN"/>
          <w14:textFill>
            <w14:solidFill>
              <w14:schemeClr w14:val="tx1"/>
            </w14:solidFill>
          </w14:textFill>
        </w:rPr>
        <w:t>特别说明</w:t>
      </w:r>
    </w:p>
    <w:p w14:paraId="03DDDC17">
      <w:pPr>
        <w:spacing w:line="360" w:lineRule="auto"/>
        <w:ind w:firstLine="480" w:firstLineChars="200"/>
        <w:jc w:val="left"/>
        <w:rPr>
          <w:rFonts w:hint="eastAsia" w:ascii="宋体" w:hAnsi="宋体" w:cs="宋体"/>
          <w:color w:val="000000" w:themeColor="text1"/>
          <w:spacing w:val="0"/>
          <w:sz w:val="24"/>
          <w:szCs w:val="24"/>
          <w:highlight w:val="none"/>
          <w:u w:val="none"/>
          <w:lang w:eastAsia="zh-CN"/>
          <w14:textFill>
            <w14:solidFill>
              <w14:schemeClr w14:val="tx1"/>
            </w14:solidFill>
          </w14:textFill>
        </w:rPr>
      </w:pPr>
      <w:r>
        <w:rPr>
          <w:rFonts w:hint="eastAsia" w:ascii="宋体" w:hAnsi="宋体" w:cs="宋体"/>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3</w:t>
      </w:r>
      <w:r>
        <w:rPr>
          <w:rFonts w:hint="eastAsia" w:ascii="宋体" w:hAnsi="宋体" w:cs="宋体"/>
          <w:color w:val="000000" w:themeColor="text1"/>
          <w:spacing w:val="0"/>
          <w:sz w:val="24"/>
          <w:szCs w:val="24"/>
          <w:highlight w:val="none"/>
          <w:u w:val="none"/>
          <w:lang w:eastAsia="zh-CN"/>
          <w14:textFill>
            <w14:solidFill>
              <w14:schemeClr w14:val="tx1"/>
            </w14:solidFill>
          </w14:textFill>
        </w:rPr>
        <w:t>.1</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根据本项目的委托目标及服务原则，</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成交</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人必须在合同生效后30日内，</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提出</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本项目建设管理程序及相关内部控制的风险识别，初步完成投资控制体系的建立，提出完整可行的工作计划、过程控制资料或工作底稿、工作制度或沟通协调机制、质量控制方案、工作成果形式等与本次</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服务内容有关的过程资料和结果文件，上述资料经</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人审核同意后正式实施。</w:t>
      </w:r>
    </w:p>
    <w:p w14:paraId="6F345FF1">
      <w:pPr>
        <w:spacing w:line="360" w:lineRule="auto"/>
        <w:ind w:firstLine="480" w:firstLineChars="200"/>
        <w:jc w:val="left"/>
        <w:rPr>
          <w:rFonts w:hint="eastAsia" w:asciiTheme="minorEastAsia" w:hAnsiTheme="minorEastAsia" w:eastAsiaTheme="minorEastAsia" w:cstheme="minorEastAsia"/>
          <w:color w:val="000000"/>
          <w:sz w:val="24"/>
          <w:szCs w:val="24"/>
          <w:highlight w:val="none"/>
          <w:u w:val="single"/>
          <w:lang w:val="en-US" w:eastAsia="zh-CN"/>
        </w:rPr>
      </w:pPr>
      <w:r>
        <w:rPr>
          <w:rFonts w:hint="eastAsia" w:ascii="宋体" w:hAnsi="宋体" w:cs="宋体"/>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3</w:t>
      </w:r>
      <w:r>
        <w:rPr>
          <w:rFonts w:hint="eastAsia" w:ascii="宋体" w:hAnsi="宋体" w:cs="宋体"/>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成交</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人要做好过程控制资料的交底，指导</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single"/>
          <w:lang w:eastAsia="zh-CN"/>
          <w14:textFill>
            <w14:solidFill>
              <w14:schemeClr w14:val="tx1"/>
            </w14:solidFill>
          </w14:textFill>
        </w:rPr>
        <w:t>人及各参建单位按规定实施。</w:t>
      </w:r>
    </w:p>
    <w:p w14:paraId="58AD473A">
      <w:pPr>
        <w:pStyle w:val="289"/>
        <w:wordWrap w:val="0"/>
        <w:spacing w:line="360" w:lineRule="auto"/>
        <w:ind w:firstLine="480" w:firstLineChars="200"/>
        <w:jc w:val="left"/>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2.2质量标准及要求：</w:t>
      </w:r>
    </w:p>
    <w:p w14:paraId="45ADEA45">
      <w:pPr>
        <w:pStyle w:val="289"/>
        <w:wordWrap w:val="0"/>
        <w:spacing w:line="360" w:lineRule="auto"/>
        <w:ind w:firstLine="480" w:firstLineChars="200"/>
        <w:jc w:val="left"/>
        <w:rPr>
          <w:rFonts w:hint="eastAsia" w:ascii="宋体" w:hAnsi="宋体"/>
          <w:sz w:val="24"/>
          <w:szCs w:val="24"/>
          <w:highlight w:val="none"/>
          <w:u w:val="single"/>
          <w:lang w:val="zh-CN"/>
        </w:rPr>
      </w:pPr>
      <w:r>
        <w:rPr>
          <w:rFonts w:hint="eastAsia" w:ascii="宋体" w:hAnsi="宋体"/>
          <w:sz w:val="24"/>
          <w:szCs w:val="24"/>
          <w:highlight w:val="none"/>
          <w:lang w:val="en-US" w:eastAsia="zh-CN"/>
        </w:rPr>
        <w:t>2.5.1</w:t>
      </w:r>
      <w:r>
        <w:rPr>
          <w:rFonts w:hint="eastAsia" w:ascii="宋体" w:hAnsi="宋体"/>
          <w:sz w:val="24"/>
          <w:szCs w:val="24"/>
          <w:highlight w:val="none"/>
          <w:u w:val="single"/>
          <w:lang w:val="zh-CN"/>
        </w:rPr>
        <w:t>造价控制过程应当符合国家现行的法律法规及规范，</w:t>
      </w:r>
      <w:r>
        <w:rPr>
          <w:rFonts w:hint="eastAsia" w:ascii="宋体" w:hAnsi="宋体"/>
          <w:sz w:val="24"/>
          <w:szCs w:val="24"/>
          <w:highlight w:val="none"/>
          <w:u w:val="single"/>
          <w:lang w:val="en-US" w:eastAsia="zh-CN"/>
        </w:rPr>
        <w:t>符合</w:t>
      </w:r>
      <w:r>
        <w:rPr>
          <w:rFonts w:hint="eastAsia" w:ascii="宋体" w:hAnsi="宋体"/>
          <w:sz w:val="24"/>
          <w:szCs w:val="24"/>
          <w:highlight w:val="none"/>
          <w:u w:val="single"/>
          <w:lang w:val="zh-CN"/>
        </w:rPr>
        <w:t>云南省</w:t>
      </w:r>
      <w:r>
        <w:rPr>
          <w:rFonts w:hint="eastAsia" w:ascii="宋体" w:hAnsi="宋体"/>
          <w:sz w:val="24"/>
          <w:szCs w:val="24"/>
          <w:highlight w:val="none"/>
          <w:u w:val="single"/>
          <w:lang w:val="en-US" w:eastAsia="zh-CN"/>
        </w:rPr>
        <w:t>和玉溪市</w:t>
      </w:r>
      <w:r>
        <w:rPr>
          <w:rFonts w:hint="eastAsia" w:ascii="宋体" w:hAnsi="宋体"/>
          <w:sz w:val="24"/>
          <w:szCs w:val="24"/>
          <w:highlight w:val="none"/>
          <w:u w:val="single"/>
          <w:lang w:val="zh-CN"/>
        </w:rPr>
        <w:t>的其他相关规定；满足工程基本建设有关规章以及住建部、云南省政府、云南省住房和城乡建设厅、审计部门涉及项目造价管理的有关规定、文件及</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lang w:val="zh-CN"/>
        </w:rPr>
        <w:t>人的要求。严格按照省、市建设行政主管部门及行业有关工程计价、结算的规定开展工作。</w:t>
      </w:r>
    </w:p>
    <w:p w14:paraId="7E541642">
      <w:pPr>
        <w:pStyle w:val="289"/>
        <w:wordWrap w:val="0"/>
        <w:spacing w:line="360" w:lineRule="auto"/>
        <w:ind w:firstLine="480" w:firstLineChars="200"/>
        <w:jc w:val="left"/>
        <w:rPr>
          <w:rFonts w:hint="eastAsia" w:ascii="宋体" w:hAnsi="宋体" w:eastAsia="宋体"/>
          <w:sz w:val="24"/>
          <w:szCs w:val="24"/>
          <w:highlight w:val="none"/>
          <w:u w:val="single"/>
          <w:lang w:val="zh-CN" w:eastAsia="zh-CN"/>
        </w:rPr>
      </w:pPr>
      <w:r>
        <w:rPr>
          <w:rFonts w:hint="eastAsia" w:ascii="宋体" w:hAnsi="宋体"/>
          <w:sz w:val="24"/>
          <w:highlight w:val="none"/>
          <w:u w:val="single"/>
          <w:lang w:val="en-US" w:eastAsia="zh-CN"/>
        </w:rPr>
        <w:t>其他咨询服务的重点是项目的合规性咨询服务，合规性服务应当</w:t>
      </w:r>
      <w:r>
        <w:rPr>
          <w:rFonts w:hint="eastAsia" w:ascii="宋体" w:hAnsi="宋体"/>
          <w:sz w:val="24"/>
          <w:highlight w:val="none"/>
          <w:u w:val="single"/>
        </w:rPr>
        <w:t>符合国家现行法律、法规、规范及云南</w:t>
      </w:r>
      <w:r>
        <w:rPr>
          <w:rFonts w:hint="eastAsia" w:ascii="宋体" w:hAnsi="宋体"/>
          <w:sz w:val="24"/>
          <w:highlight w:val="none"/>
          <w:u w:val="single"/>
          <w:lang w:val="en-US" w:eastAsia="zh-CN"/>
        </w:rPr>
        <w:t>省国资委有关国有企业审计工作的相关要求</w:t>
      </w:r>
      <w:r>
        <w:rPr>
          <w:rFonts w:hint="eastAsia" w:ascii="宋体" w:hAnsi="宋体"/>
          <w:sz w:val="24"/>
          <w:highlight w:val="none"/>
          <w:u w:val="single"/>
        </w:rPr>
        <w:t>的其他相关规定</w:t>
      </w:r>
      <w:r>
        <w:rPr>
          <w:rFonts w:hint="eastAsia" w:ascii="宋体" w:hAnsi="宋体"/>
          <w:sz w:val="24"/>
          <w:highlight w:val="none"/>
          <w:u w:val="single"/>
          <w:lang w:eastAsia="zh-CN"/>
        </w:rPr>
        <w:t>。</w:t>
      </w:r>
    </w:p>
    <w:p w14:paraId="6F67B867">
      <w:pPr>
        <w:pStyle w:val="289"/>
        <w:wordWrap w:val="0"/>
        <w:spacing w:line="360" w:lineRule="auto"/>
        <w:ind w:firstLine="480" w:firstLineChars="200"/>
        <w:jc w:val="left"/>
        <w:rPr>
          <w:rFonts w:hint="eastAsia" w:ascii="宋体" w:hAnsi="宋体"/>
          <w:sz w:val="24"/>
          <w:szCs w:val="24"/>
          <w:highlight w:val="none"/>
          <w:u w:val="single"/>
          <w:lang w:val="zh-CN"/>
        </w:rPr>
      </w:pPr>
      <w:r>
        <w:rPr>
          <w:rFonts w:hint="eastAsia" w:ascii="宋体" w:hAnsi="宋体"/>
          <w:sz w:val="24"/>
          <w:szCs w:val="24"/>
          <w:highlight w:val="none"/>
          <w:lang w:val="en-US" w:eastAsia="zh-CN"/>
        </w:rPr>
        <w:t>2.5.2</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lang w:val="zh-CN"/>
        </w:rPr>
        <w:t>人应本着“客观、公正、合理、 科学”的原则，遵守国家法律法规和有关文件规定，正确执行计价依据，认真履行职责，同时承担相应的法律责任。</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lang w:val="zh-CN"/>
        </w:rPr>
        <w:t>人不得参加与受委托的工程项目审计有关的经营活动，对项目审计实行回避制度。对</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lang w:val="zh-CN"/>
        </w:rPr>
        <w:t>人滥用职权、营私舞弊、玩忽职守应按情节轻重给予取消</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lang w:val="zh-CN"/>
        </w:rPr>
        <w:t>资格。情节严重，造成</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lang w:val="zh-CN"/>
        </w:rPr>
        <w:t>人重大损失的，移送司法机关追究刑事责任。</w:t>
      </w:r>
    </w:p>
    <w:p w14:paraId="1B2CED91">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val="en-US" w:eastAsia="zh-CN"/>
        </w:rPr>
        <w:t>服务期限</w:t>
      </w:r>
      <w:r>
        <w:rPr>
          <w:rFonts w:hint="eastAsia" w:ascii="宋体" w:hAnsi="宋体" w:eastAsia="宋体" w:cs="宋体"/>
          <w:sz w:val="24"/>
          <w:szCs w:val="24"/>
          <w:highlight w:val="none"/>
        </w:rPr>
        <w:t>要求：</w:t>
      </w:r>
    </w:p>
    <w:p w14:paraId="664F304C">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lang w:val="en-US" w:eastAsia="zh-CN"/>
        </w:rPr>
        <w:t>2.4.</w:t>
      </w:r>
      <w:r>
        <w:rPr>
          <w:rFonts w:hint="eastAsia" w:ascii="宋体" w:hAnsi="宋体"/>
          <w:sz w:val="24"/>
          <w:szCs w:val="24"/>
          <w:highlight w:val="none"/>
        </w:rPr>
        <w:t>1</w:t>
      </w:r>
      <w:r>
        <w:rPr>
          <w:rFonts w:hint="eastAsia" w:ascii="宋体" w:hAnsi="宋体"/>
          <w:sz w:val="24"/>
          <w:szCs w:val="24"/>
          <w:highlight w:val="none"/>
          <w:u w:val="single"/>
        </w:rPr>
        <w:t>本项目委托服务目标</w:t>
      </w:r>
    </w:p>
    <w:p w14:paraId="4D5A5F7F">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u w:val="single"/>
          <w:lang w:val="en-US" w:eastAsia="zh-CN"/>
        </w:rPr>
        <w:t>成交</w:t>
      </w:r>
      <w:r>
        <w:rPr>
          <w:rFonts w:hint="eastAsia" w:ascii="宋体" w:hAnsi="宋体"/>
          <w:sz w:val="24"/>
          <w:szCs w:val="24"/>
          <w:highlight w:val="none"/>
          <w:u w:val="single"/>
        </w:rPr>
        <w:t>人应根据双方合同及相关法律法规要求，认真履行全过程造价控制和工程咨询服务职能，协助</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人达到以下目标：</w:t>
      </w:r>
    </w:p>
    <w:p w14:paraId="71062403">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lang w:val="en-US" w:eastAsia="zh-CN"/>
        </w:rPr>
        <w:t>2.4.1.1</w:t>
      </w:r>
      <w:r>
        <w:rPr>
          <w:rFonts w:hint="eastAsia" w:ascii="宋体" w:hAnsi="宋体"/>
          <w:sz w:val="24"/>
          <w:szCs w:val="24"/>
          <w:highlight w:val="none"/>
          <w:u w:val="single"/>
        </w:rPr>
        <w:t>协助</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人切实加强本项目的事前管理、事中管理、事后管理；</w:t>
      </w:r>
    </w:p>
    <w:p w14:paraId="507EBFEC">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lang w:val="en-US" w:eastAsia="zh-CN"/>
        </w:rPr>
        <w:t>2.4.1.2</w:t>
      </w:r>
      <w:r>
        <w:rPr>
          <w:rFonts w:hint="eastAsia" w:ascii="宋体" w:hAnsi="宋体"/>
          <w:sz w:val="24"/>
          <w:szCs w:val="24"/>
          <w:highlight w:val="none"/>
          <w:u w:val="single"/>
        </w:rPr>
        <w:t>在保证项目质量及安全的前提下尽可能节约投资；</w:t>
      </w:r>
    </w:p>
    <w:p w14:paraId="303157DB">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2.4.1.3</w:t>
      </w:r>
      <w:r>
        <w:rPr>
          <w:rFonts w:hint="eastAsia" w:ascii="宋体" w:hAnsi="宋体"/>
          <w:sz w:val="24"/>
          <w:szCs w:val="24"/>
          <w:highlight w:val="none"/>
          <w:u w:val="single"/>
        </w:rPr>
        <w:t>规范项目建设基本程序，确保项目的合法合规；</w:t>
      </w:r>
    </w:p>
    <w:p w14:paraId="38DC6280">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lang w:val="en-US" w:eastAsia="zh-CN"/>
        </w:rPr>
        <w:t>2.4.1.4</w:t>
      </w:r>
      <w:r>
        <w:rPr>
          <w:rFonts w:hint="eastAsia" w:ascii="宋体" w:hAnsi="宋体"/>
          <w:sz w:val="24"/>
          <w:szCs w:val="24"/>
          <w:highlight w:val="none"/>
          <w:u w:val="single"/>
        </w:rPr>
        <w:t>确保项目建设资金的安全完整，坚决杜绝项目建设过程中的违纪违规现象；</w:t>
      </w:r>
    </w:p>
    <w:p w14:paraId="41793B87">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lang w:val="en-US" w:eastAsia="zh-CN"/>
        </w:rPr>
        <w:t>2.4.1.5</w:t>
      </w:r>
      <w:r>
        <w:rPr>
          <w:rFonts w:hint="eastAsia" w:ascii="宋体" w:hAnsi="宋体"/>
          <w:sz w:val="24"/>
          <w:szCs w:val="24"/>
          <w:highlight w:val="none"/>
          <w:u w:val="single"/>
        </w:rPr>
        <w:t>确保项目全部工程竣工</w:t>
      </w:r>
      <w:r>
        <w:rPr>
          <w:rFonts w:hint="eastAsia" w:ascii="宋体" w:hAnsi="宋体"/>
          <w:sz w:val="24"/>
          <w:szCs w:val="24"/>
          <w:highlight w:val="none"/>
          <w:u w:val="single"/>
          <w:lang w:val="en-US" w:eastAsia="zh-CN"/>
        </w:rPr>
        <w:t>结算</w:t>
      </w:r>
      <w:r>
        <w:rPr>
          <w:rFonts w:hint="eastAsia" w:ascii="宋体" w:hAnsi="宋体"/>
          <w:sz w:val="24"/>
          <w:szCs w:val="24"/>
          <w:highlight w:val="none"/>
          <w:u w:val="single"/>
        </w:rPr>
        <w:t>按时按要求顺利通过各方确认，最终完成竣工验收备案。</w:t>
      </w:r>
    </w:p>
    <w:p w14:paraId="2E15836F">
      <w:pPr>
        <w:spacing w:line="360" w:lineRule="auto"/>
        <w:ind w:firstLine="480" w:firstLineChars="200"/>
        <w:rPr>
          <w:rFonts w:ascii="宋体" w:hAnsi="宋体"/>
          <w:sz w:val="24"/>
          <w:szCs w:val="24"/>
          <w:highlight w:val="none"/>
        </w:rPr>
      </w:pPr>
      <w:r>
        <w:rPr>
          <w:rFonts w:hint="eastAsia" w:ascii="宋体" w:hAnsi="宋体"/>
          <w:sz w:val="24"/>
          <w:szCs w:val="24"/>
          <w:highlight w:val="none"/>
        </w:rPr>
        <w:t>2.</w:t>
      </w:r>
      <w:r>
        <w:rPr>
          <w:rFonts w:hint="eastAsia" w:ascii="宋体" w:hAnsi="宋体"/>
          <w:sz w:val="24"/>
          <w:szCs w:val="24"/>
          <w:highlight w:val="none"/>
          <w:lang w:val="en-US" w:eastAsia="zh-CN"/>
        </w:rPr>
        <w:t>4.2</w:t>
      </w:r>
      <w:r>
        <w:rPr>
          <w:rFonts w:hint="eastAsia" w:ascii="宋体" w:hAnsi="宋体"/>
          <w:sz w:val="24"/>
          <w:szCs w:val="24"/>
          <w:highlight w:val="none"/>
        </w:rPr>
        <w:t>服务原则</w:t>
      </w:r>
    </w:p>
    <w:p w14:paraId="7C7EA74F">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u w:val="single"/>
        </w:rPr>
        <w:t>由于本项目投资金额较大、工期紧张、参建单位较多，为确保本项目达到预期目标，</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人应当把造价、管理有机整合并发挥其优势，创新服务模式，系统处理好造价控制与项目建设的关系，通过制度理顺</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rPr>
        <w:t>人与</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人及各参建方（包括设计、监理、施工、供应商等）的工作方式，形成完整可行的工作计划及过程方案，定期或不定期提交高质量的工作成果，及时提出整改意见或管理建议。</w:t>
      </w:r>
    </w:p>
    <w:p w14:paraId="0414DC3C">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2.4.3</w:t>
      </w:r>
      <w:r>
        <w:rPr>
          <w:rFonts w:hint="eastAsia" w:ascii="宋体" w:hAnsi="宋体"/>
          <w:sz w:val="24"/>
          <w:szCs w:val="24"/>
          <w:highlight w:val="none"/>
          <w:u w:val="single"/>
        </w:rPr>
        <w:t>在合同约定的服务期内，如</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rPr>
        <w:t>人提供的服务无法满足</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人的需要或未达到</w:t>
      </w:r>
      <w:r>
        <w:rPr>
          <w:rFonts w:hint="eastAsia" w:ascii="宋体" w:hAnsi="宋体"/>
          <w:sz w:val="24"/>
          <w:szCs w:val="24"/>
          <w:highlight w:val="none"/>
          <w:u w:val="single"/>
          <w:lang w:val="en-US" w:eastAsia="zh-CN"/>
        </w:rPr>
        <w:t>竞谈</w:t>
      </w:r>
      <w:r>
        <w:rPr>
          <w:rFonts w:hint="eastAsia" w:ascii="宋体" w:hAnsi="宋体"/>
          <w:sz w:val="24"/>
          <w:szCs w:val="24"/>
          <w:highlight w:val="none"/>
          <w:u w:val="single"/>
        </w:rPr>
        <w:t>承诺的标准，经</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人指出后仍未有改进的，</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人可单方解除合同且不承担违约责任，由此造成</w:t>
      </w:r>
      <w:r>
        <w:rPr>
          <w:rFonts w:hint="eastAsia" w:ascii="宋体" w:hAnsi="宋体"/>
          <w:sz w:val="24"/>
          <w:szCs w:val="24"/>
          <w:highlight w:val="none"/>
          <w:u w:val="single"/>
          <w:lang w:val="en-US" w:eastAsia="zh-CN"/>
        </w:rPr>
        <w:t>采购人</w:t>
      </w:r>
      <w:r>
        <w:rPr>
          <w:rFonts w:hint="eastAsia" w:ascii="宋体" w:hAnsi="宋体"/>
          <w:sz w:val="24"/>
          <w:szCs w:val="24"/>
          <w:highlight w:val="none"/>
          <w:u w:val="single"/>
        </w:rPr>
        <w:t>的一切损失均由</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rPr>
        <w:t>人承担。</w:t>
      </w:r>
    </w:p>
    <w:p w14:paraId="4F74D4F6">
      <w:pPr>
        <w:spacing w:line="360" w:lineRule="auto"/>
        <w:ind w:firstLine="480" w:firstLineChars="200"/>
        <w:rPr>
          <w:rFonts w:ascii="宋体" w:hAnsi="宋体"/>
          <w:sz w:val="24"/>
          <w:szCs w:val="24"/>
          <w:highlight w:val="none"/>
          <w:u w:val="single"/>
        </w:rPr>
      </w:pPr>
      <w:r>
        <w:rPr>
          <w:rFonts w:hint="eastAsia" w:ascii="宋体" w:hAnsi="宋体"/>
          <w:sz w:val="24"/>
          <w:szCs w:val="24"/>
          <w:highlight w:val="none"/>
          <w:lang w:val="en-US" w:eastAsia="zh-CN"/>
        </w:rPr>
        <w:t>2.4.4</w:t>
      </w:r>
      <w:r>
        <w:rPr>
          <w:rFonts w:hint="eastAsia" w:ascii="宋体" w:hAnsi="宋体"/>
          <w:sz w:val="24"/>
          <w:szCs w:val="24"/>
          <w:highlight w:val="none"/>
          <w:u w:val="single"/>
        </w:rPr>
        <w:t>服务过程中</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人可根据项目具体实施情况及需要对工作内容进行调整，</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rPr>
        <w:t>人需配合</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人工作且不得以此作为索赔、调整价格的理由。</w:t>
      </w:r>
    </w:p>
    <w:p w14:paraId="50C2889D">
      <w:pPr>
        <w:pStyle w:val="289"/>
        <w:wordWrap w:val="0"/>
        <w:spacing w:line="360" w:lineRule="auto"/>
        <w:ind w:firstLine="480" w:firstLineChars="200"/>
        <w:jc w:val="left"/>
        <w:rPr>
          <w:rFonts w:hint="eastAsia" w:ascii="宋体" w:hAnsi="宋体"/>
          <w:sz w:val="24"/>
          <w:szCs w:val="24"/>
          <w:highlight w:val="none"/>
          <w:u w:val="single"/>
        </w:rPr>
      </w:pPr>
      <w:r>
        <w:rPr>
          <w:rFonts w:hint="eastAsia" w:ascii="宋体" w:hAnsi="宋体"/>
          <w:sz w:val="24"/>
          <w:szCs w:val="24"/>
          <w:highlight w:val="none"/>
          <w:lang w:val="en-US" w:eastAsia="zh-CN"/>
        </w:rPr>
        <w:t>2.4.5</w:t>
      </w:r>
      <w:r>
        <w:rPr>
          <w:rFonts w:hint="eastAsia" w:ascii="宋体" w:hAnsi="宋体"/>
          <w:sz w:val="24"/>
          <w:szCs w:val="24"/>
          <w:highlight w:val="none"/>
          <w:u w:val="single"/>
        </w:rPr>
        <w:t>项目结束需要向</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人至少交付一套全部工作过程形成的记录、档案资料。</w:t>
      </w:r>
    </w:p>
    <w:p w14:paraId="32AFC3C0">
      <w:pPr>
        <w:pStyle w:val="4"/>
        <w:outlineLvl w:val="1"/>
        <w:rPr>
          <w:rFonts w:ascii="宋体" w:hAnsi="宋体" w:eastAsia="宋体" w:cs="宋体"/>
          <w:color w:val="auto"/>
          <w:szCs w:val="28"/>
          <w:highlight w:val="none"/>
        </w:rPr>
      </w:pPr>
      <w:bookmarkStart w:id="45" w:name="_Toc29613"/>
      <w:bookmarkStart w:id="46" w:name="_Toc1036117842"/>
      <w:bookmarkStart w:id="47" w:name="_Toc1954472271"/>
      <w:bookmarkStart w:id="48" w:name="_Toc214860362"/>
      <w:bookmarkStart w:id="49" w:name="_Toc1781906741"/>
      <w:bookmarkStart w:id="50" w:name="_Toc939220092"/>
      <w:r>
        <w:rPr>
          <w:rFonts w:hint="default" w:ascii="宋体" w:hAnsi="宋体" w:eastAsia="宋体" w:cs="宋体"/>
          <w:color w:val="auto"/>
          <w:szCs w:val="28"/>
          <w:highlight w:val="none"/>
        </w:rPr>
        <w:t>三、供应商资格要求</w:t>
      </w:r>
      <w:bookmarkEnd w:id="45"/>
      <w:bookmarkEnd w:id="46"/>
      <w:bookmarkEnd w:id="47"/>
      <w:bookmarkEnd w:id="48"/>
      <w:bookmarkEnd w:id="49"/>
      <w:bookmarkEnd w:id="50"/>
    </w:p>
    <w:p w14:paraId="4F308F7E">
      <w:pPr>
        <w:spacing w:line="360" w:lineRule="auto"/>
        <w:ind w:firstLine="480" w:firstLineChars="200"/>
        <w:outlineLvl w:val="1"/>
        <w:rPr>
          <w:rFonts w:hint="eastAsia" w:ascii="宋体" w:hAnsi="宋体" w:cs="宋体"/>
          <w:sz w:val="24"/>
          <w:szCs w:val="24"/>
          <w:highlight w:val="none"/>
        </w:rPr>
      </w:pPr>
      <w:r>
        <w:rPr>
          <w:rFonts w:hint="eastAsia" w:ascii="宋体" w:hAnsi="宋体" w:cs="宋体"/>
          <w:sz w:val="24"/>
          <w:szCs w:val="24"/>
          <w:highlight w:val="none"/>
        </w:rPr>
        <w:t xml:space="preserve">3.1 </w:t>
      </w:r>
      <w:r>
        <w:rPr>
          <w:rFonts w:hint="eastAsia" w:ascii="宋体" w:hAnsi="宋体" w:cs="宋体"/>
          <w:sz w:val="24"/>
          <w:szCs w:val="24"/>
          <w:highlight w:val="none"/>
          <w:lang w:val="en-US" w:eastAsia="zh-CN"/>
        </w:rPr>
        <w:t>通用资格条件</w:t>
      </w:r>
    </w:p>
    <w:p w14:paraId="3E5EC48E">
      <w:pPr>
        <w:spacing w:line="360" w:lineRule="auto"/>
        <w:ind w:firstLine="480" w:firstLineChars="200"/>
        <w:outlineLvl w:val="1"/>
        <w:rPr>
          <w:rFonts w:hint="eastAsia" w:ascii="宋体" w:hAnsi="宋体" w:cs="宋体"/>
          <w:color w:val="auto"/>
          <w:sz w:val="24"/>
          <w:szCs w:val="24"/>
          <w:highlight w:val="none"/>
          <w:u w:val="single"/>
        </w:rPr>
      </w:pPr>
      <w:r>
        <w:rPr>
          <w:rFonts w:hint="eastAsia" w:ascii="宋体" w:hAnsi="宋体" w:cs="宋体"/>
          <w:sz w:val="24"/>
          <w:szCs w:val="24"/>
          <w:highlight w:val="none"/>
          <w:lang w:val="en-US" w:eastAsia="zh-CN"/>
        </w:rPr>
        <w:t>3.1.1营业执照：</w:t>
      </w:r>
      <w:r>
        <w:rPr>
          <w:rFonts w:hint="eastAsia" w:ascii="宋体" w:hAnsi="宋体" w:cs="宋体"/>
          <w:color w:val="auto"/>
          <w:sz w:val="24"/>
          <w:szCs w:val="24"/>
          <w:highlight w:val="none"/>
          <w:u w:val="single"/>
        </w:rPr>
        <w:t>供应商为中华人民共和国境内合法注册的独立企业法人或其他组织，具有独立承担民事责任能力，具有独立签订立合同的权利，营业执照应在有效期内。</w:t>
      </w:r>
    </w:p>
    <w:p w14:paraId="3FD521F4">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 xml:space="preserve">1.2 </w:t>
      </w:r>
      <w:r>
        <w:rPr>
          <w:rFonts w:hint="eastAsia" w:ascii="宋体" w:hAnsi="宋体" w:cs="宋体"/>
          <w:sz w:val="24"/>
          <w:szCs w:val="24"/>
          <w:highlight w:val="none"/>
        </w:rPr>
        <w:t>信誉要求：</w:t>
      </w:r>
    </w:p>
    <w:p w14:paraId="1CA4564C">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3.1.2.1</w:t>
      </w:r>
      <w:r>
        <w:rPr>
          <w:rFonts w:hint="eastAsia" w:asciiTheme="minorEastAsia" w:hAnsiTheme="minorEastAsia" w:eastAsiaTheme="minorEastAsia" w:cstheme="minorEastAsia"/>
          <w:color w:val="000000"/>
          <w:sz w:val="24"/>
          <w:szCs w:val="24"/>
          <w:highlight w:val="none"/>
          <w:u w:val="single"/>
          <w:lang w:val="en-US" w:eastAsia="zh-CN"/>
        </w:rPr>
        <w:t>没有处于被责令停产、停业或进入破产程序，且资产未被重组、接管和冻结，也未被司法机关采取财产保全或强制执行措施（提供书面承诺并加盖公章或相关证明材料）。</w:t>
      </w:r>
    </w:p>
    <w:p w14:paraId="509E8B4A">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3.1.2.2</w:t>
      </w:r>
      <w:r>
        <w:rPr>
          <w:rFonts w:hint="eastAsia" w:asciiTheme="minorEastAsia" w:hAnsiTheme="minorEastAsia" w:eastAsiaTheme="minorEastAsia" w:cstheme="minorEastAsia"/>
          <w:color w:val="000000"/>
          <w:sz w:val="24"/>
          <w:szCs w:val="24"/>
          <w:highlight w:val="none"/>
          <w:u w:val="single"/>
          <w:lang w:val="en-US" w:eastAsia="zh-CN"/>
        </w:rPr>
        <w:t>没有处于行政主管部门禁止投标的处罚期间内（提供书面承诺并加盖公章或相关证明材料）</w:t>
      </w:r>
      <w:r>
        <w:rPr>
          <w:rFonts w:hint="eastAsia" w:asciiTheme="minorEastAsia" w:hAnsiTheme="minorEastAsia" w:eastAsiaTheme="minorEastAsia" w:cstheme="minorEastAsia"/>
          <w:color w:val="000000"/>
          <w:sz w:val="24"/>
          <w:szCs w:val="24"/>
          <w:highlight w:val="none"/>
          <w:lang w:val="en-US" w:eastAsia="zh-CN"/>
        </w:rPr>
        <w:t>。</w:t>
      </w:r>
    </w:p>
    <w:p w14:paraId="1790D32E">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 xml:space="preserve">3.1.2.3 </w:t>
      </w:r>
      <w:r>
        <w:rPr>
          <w:rFonts w:hint="eastAsia" w:asciiTheme="minorEastAsia" w:hAnsiTheme="minorEastAsia" w:eastAsiaTheme="minorEastAsia" w:cstheme="minorEastAsia"/>
          <w:color w:val="000000"/>
          <w:sz w:val="24"/>
          <w:szCs w:val="24"/>
          <w:highlight w:val="none"/>
          <w:u w:val="single"/>
          <w:lang w:val="en-US" w:eastAsia="zh-CN"/>
        </w:rPr>
        <w:t>2022年以来，在工程造价咨询及审计服务过程中未因违规、违约等问题被通报并停止或暂停授权（提供书面承诺并加盖公章或相关证明材料）。</w:t>
      </w:r>
    </w:p>
    <w:p w14:paraId="35F529A3">
      <w:pPr>
        <w:spacing w:line="360" w:lineRule="auto"/>
        <w:ind w:firstLine="460" w:firstLineChars="192"/>
        <w:jc w:val="left"/>
        <w:rPr>
          <w:rFonts w:hint="eastAsia" w:asciiTheme="minorEastAsia" w:hAnsiTheme="minorEastAsia" w:eastAsiaTheme="minorEastAsia" w:cstheme="minorEastAsia"/>
          <w:color w:val="000000"/>
          <w:sz w:val="24"/>
          <w:szCs w:val="24"/>
          <w:highlight w:val="none"/>
          <w:u w:val="single"/>
          <w:lang w:val="en-US" w:eastAsia="zh-CN"/>
        </w:rPr>
      </w:pPr>
      <w:r>
        <w:rPr>
          <w:rFonts w:hint="eastAsia" w:asciiTheme="minorEastAsia" w:hAnsiTheme="minorEastAsia" w:eastAsiaTheme="minorEastAsia" w:cstheme="minorEastAsia"/>
          <w:color w:val="000000"/>
          <w:sz w:val="24"/>
          <w:szCs w:val="24"/>
          <w:highlight w:val="none"/>
          <w:lang w:val="en-US" w:eastAsia="zh-CN"/>
        </w:rPr>
        <w:t>3.1.2.4</w:t>
      </w:r>
      <w:r>
        <w:rPr>
          <w:rFonts w:hint="eastAsia" w:asciiTheme="minorEastAsia" w:hAnsiTheme="minorEastAsia" w:eastAsiaTheme="minorEastAsia" w:cstheme="minorEastAsia"/>
          <w:color w:val="000000"/>
          <w:sz w:val="24"/>
          <w:szCs w:val="24"/>
          <w:highlight w:val="none"/>
          <w:u w:val="single"/>
          <w:lang w:val="en-US" w:eastAsia="zh-CN"/>
        </w:rPr>
        <w:t>谈判申请人未被列入</w:t>
      </w:r>
      <w:r>
        <w:rPr>
          <w:rFonts w:hint="eastAsia" w:asciiTheme="minorEastAsia" w:hAnsiTheme="minorEastAsia" w:eastAsiaTheme="minorEastAsia" w:cstheme="minorEastAsia"/>
          <w:color w:val="000000"/>
          <w:sz w:val="24"/>
          <w:szCs w:val="24"/>
          <w:highlight w:val="none"/>
          <w:u w:val="single"/>
        </w:rPr>
        <w:t>“信用中国”网站（www.creditchina.gov.cn）失信被执行人、税收违法</w:t>
      </w:r>
      <w:r>
        <w:rPr>
          <w:rFonts w:hint="eastAsia" w:asciiTheme="minorEastAsia" w:hAnsiTheme="minorEastAsia" w:eastAsiaTheme="minorEastAsia" w:cstheme="minorEastAsia"/>
          <w:color w:val="000000"/>
          <w:sz w:val="24"/>
          <w:szCs w:val="24"/>
          <w:highlight w:val="none"/>
          <w:u w:val="single"/>
          <w:lang w:val="en-US" w:eastAsia="zh-CN"/>
        </w:rPr>
        <w:t>黑名单</w:t>
      </w:r>
      <w:r>
        <w:rPr>
          <w:rFonts w:hint="eastAsia" w:asciiTheme="minorEastAsia" w:hAnsiTheme="minorEastAsia" w:eastAsiaTheme="minorEastAsia" w:cstheme="minorEastAsia"/>
          <w:color w:val="000000"/>
          <w:sz w:val="24"/>
          <w:szCs w:val="24"/>
          <w:highlight w:val="none"/>
          <w:u w:val="single"/>
          <w:lang w:eastAsia="zh-CN"/>
        </w:rPr>
        <w:t>、</w:t>
      </w:r>
      <w:r>
        <w:rPr>
          <w:rFonts w:hint="eastAsia" w:asciiTheme="minorEastAsia" w:hAnsiTheme="minorEastAsia" w:eastAsiaTheme="minorEastAsia" w:cstheme="minorEastAsia"/>
          <w:color w:val="000000"/>
          <w:sz w:val="24"/>
          <w:szCs w:val="24"/>
          <w:highlight w:val="none"/>
          <w:u w:val="single"/>
        </w:rPr>
        <w:t>政府采购严重违法失信行为记录名单</w:t>
      </w:r>
      <w:r>
        <w:rPr>
          <w:rFonts w:hint="eastAsia" w:asciiTheme="minorEastAsia" w:hAnsiTheme="minorEastAsia" w:eastAsiaTheme="minorEastAsia" w:cstheme="minorEastAsia"/>
          <w:color w:val="000000"/>
          <w:sz w:val="24"/>
          <w:szCs w:val="24"/>
          <w:highlight w:val="none"/>
          <w:u w:val="single"/>
          <w:lang w:eastAsia="zh-CN"/>
        </w:rPr>
        <w:t>。</w:t>
      </w:r>
      <w:r>
        <w:rPr>
          <w:rFonts w:hint="eastAsia" w:asciiTheme="minorEastAsia" w:hAnsiTheme="minorEastAsia" w:eastAsiaTheme="minorEastAsia" w:cstheme="minorEastAsia"/>
          <w:color w:val="000000"/>
          <w:sz w:val="24"/>
          <w:szCs w:val="24"/>
          <w:highlight w:val="none"/>
          <w:u w:val="single"/>
          <w:lang w:val="en-US" w:eastAsia="zh-CN"/>
        </w:rPr>
        <w:t>谈判申请人须提供“信用中国”网站查询结果证明材料（网页查询记录截图，查询时间为本公告发布之日起至申请文件提交截止时间止。）</w:t>
      </w:r>
    </w:p>
    <w:p w14:paraId="03B2BC4D">
      <w:pPr>
        <w:spacing w:line="360" w:lineRule="auto"/>
        <w:ind w:firstLine="480" w:firstLineChars="200"/>
        <w:outlineLvl w:val="1"/>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3.2专用资格条件</w:t>
      </w:r>
    </w:p>
    <w:p w14:paraId="52889917">
      <w:pPr>
        <w:keepNext w:val="0"/>
        <w:keepLines w:val="0"/>
        <w:pageBreakBefore w:val="0"/>
        <w:widowControl w:val="0"/>
        <w:numPr>
          <w:ilvl w:val="0"/>
          <w:numId w:val="9"/>
        </w:numPr>
        <w:kinsoku/>
        <w:wordWrap/>
        <w:overflowPunct/>
        <w:topLinePunct w:val="0"/>
        <w:autoSpaceDE/>
        <w:autoSpaceDN/>
        <w:bidi w:val="0"/>
        <w:spacing w:line="360" w:lineRule="auto"/>
        <w:ind w:left="0" w:leftChars="0" w:firstLine="480" w:firstLineChars="200"/>
        <w:textAlignment w:val="auto"/>
        <w:rPr>
          <w:rFonts w:hint="eastAsia" w:ascii="宋体" w:hAnsi="宋体" w:cs="宋体"/>
          <w:spacing w:val="-3"/>
          <w:sz w:val="24"/>
          <w:highlight w:val="none"/>
          <w:u w:val="single"/>
          <w:lang w:val="en-US" w:eastAsia="zh-CN"/>
        </w:rPr>
      </w:pPr>
      <w:r>
        <w:rPr>
          <w:rFonts w:hint="eastAsia" w:ascii="宋体" w:hAnsi="宋体" w:eastAsia="宋体" w:cs="宋体"/>
          <w:color w:val="auto"/>
          <w:spacing w:val="0"/>
          <w:sz w:val="24"/>
          <w:szCs w:val="24"/>
          <w:highlight w:val="none"/>
        </w:rPr>
        <w:t>资质要求：</w:t>
      </w:r>
      <w:r>
        <w:rPr>
          <w:rFonts w:hint="eastAsia" w:ascii="宋体" w:hAnsi="宋体" w:cs="宋体"/>
          <w:spacing w:val="-3"/>
          <w:sz w:val="24"/>
          <w:highlight w:val="none"/>
          <w:u w:val="single"/>
          <w:lang w:val="en-US" w:eastAsia="zh-CN"/>
        </w:rPr>
        <w:t>营业执照经营范围中包括有工程造价咨询业务。</w:t>
      </w:r>
    </w:p>
    <w:p w14:paraId="5004BDA9">
      <w:pPr>
        <w:keepNext w:val="0"/>
        <w:keepLines w:val="0"/>
        <w:pageBreakBefore w:val="0"/>
        <w:widowControl w:val="0"/>
        <w:numPr>
          <w:ilvl w:val="0"/>
          <w:numId w:val="9"/>
        </w:numPr>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u w:val="single"/>
          <w:lang w:val="en-US" w:eastAsia="zh-CN"/>
        </w:rPr>
      </w:pPr>
      <w:r>
        <w:rPr>
          <w:rFonts w:hint="eastAsia" w:asciiTheme="minorEastAsia" w:hAnsiTheme="minorEastAsia" w:eastAsiaTheme="minorEastAsia" w:cstheme="minorEastAsia"/>
          <w:color w:val="000000"/>
          <w:sz w:val="24"/>
          <w:szCs w:val="24"/>
          <w:highlight w:val="none"/>
          <w:u w:val="none"/>
          <w:lang w:val="en-US" w:eastAsia="zh-CN"/>
        </w:rPr>
        <w:t>业绩要求</w:t>
      </w:r>
      <w:r>
        <w:rPr>
          <w:rFonts w:hint="eastAsia" w:asciiTheme="minorEastAsia" w:hAnsiTheme="minorEastAsia" w:eastAsiaTheme="minorEastAsia" w:cstheme="minorEastAsia"/>
          <w:color w:val="000000"/>
          <w:sz w:val="24"/>
          <w:szCs w:val="24"/>
          <w:highlight w:val="none"/>
          <w:u w:val="single"/>
          <w:lang w:val="en-US" w:eastAsia="zh-CN"/>
        </w:rPr>
        <w:t>：企业近3年（2022年～2025年）有2个2000万元及以上新能源行业相关的工程造价咨询业务业绩。</w:t>
      </w:r>
    </w:p>
    <w:p w14:paraId="26A2D325">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bookmarkStart w:id="51" w:name="_Toc55303741"/>
      <w:bookmarkStart w:id="52" w:name="_Toc55310054"/>
      <w:bookmarkStart w:id="53" w:name="_Toc55229786"/>
      <w:r>
        <w:rPr>
          <w:rFonts w:hint="eastAsia" w:asciiTheme="minorEastAsia" w:hAnsiTheme="minorEastAsia" w:eastAsiaTheme="minorEastAsia" w:cstheme="minorEastAsia"/>
          <w:color w:val="000000"/>
          <w:sz w:val="24"/>
          <w:szCs w:val="24"/>
          <w:highlight w:val="none"/>
          <w:lang w:val="en-US" w:eastAsia="zh-CN"/>
        </w:rPr>
        <w:t>3.2.1.2项目负责人：</w:t>
      </w:r>
    </w:p>
    <w:p w14:paraId="05F99A6A">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u w:val="single"/>
          <w:lang w:val="en-US" w:eastAsia="zh-CN"/>
        </w:rPr>
      </w:pPr>
      <w:r>
        <w:rPr>
          <w:rFonts w:hint="eastAsia" w:asciiTheme="minorEastAsia" w:hAnsiTheme="minorEastAsia" w:eastAsiaTheme="minorEastAsia" w:cstheme="minorEastAsia"/>
          <w:color w:val="000000"/>
          <w:sz w:val="24"/>
          <w:szCs w:val="24"/>
          <w:highlight w:val="none"/>
          <w:u w:val="single"/>
          <w:lang w:val="en-US" w:eastAsia="zh-CN"/>
        </w:rPr>
        <w:t>（1）拟派项目负责人取得一级注册造价工程师执业时间不少于5年（以注册证初始注册时间为准）。（2）近5年至少作为项目负责人承担过2项2000万元及以上工程项目的造价咨询工作。</w:t>
      </w:r>
    </w:p>
    <w:p w14:paraId="4645AB68">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3.2.2服务团队要求（最低要求条件）</w:t>
      </w:r>
    </w:p>
    <w:p w14:paraId="1480AA55">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u w:val="single"/>
          <w:lang w:val="en-US" w:eastAsia="zh-CN"/>
        </w:rPr>
      </w:pPr>
      <w:r>
        <w:rPr>
          <w:rFonts w:hint="eastAsia" w:asciiTheme="minorEastAsia" w:hAnsiTheme="minorEastAsia" w:eastAsiaTheme="minorEastAsia" w:cstheme="minorEastAsia"/>
          <w:color w:val="000000"/>
          <w:sz w:val="24"/>
          <w:szCs w:val="24"/>
          <w:highlight w:val="none"/>
          <w:lang w:val="en-US" w:eastAsia="zh-CN"/>
        </w:rPr>
        <w:t>3.2.2.1</w:t>
      </w:r>
      <w:r>
        <w:rPr>
          <w:rFonts w:hint="eastAsia" w:asciiTheme="minorEastAsia" w:hAnsiTheme="minorEastAsia" w:eastAsiaTheme="minorEastAsia" w:cstheme="minorEastAsia"/>
          <w:color w:val="000000"/>
          <w:sz w:val="24"/>
          <w:szCs w:val="24"/>
          <w:highlight w:val="none"/>
          <w:u w:val="single"/>
          <w:lang w:val="en-US" w:eastAsia="zh-CN"/>
        </w:rPr>
        <w:t>造价专业人员（包括项目负责人在内不少于8人），其中土建专业一级造价工程师不少于3人，安装专业一级造价工程师不少于3人；需要取得注册造价工程师执业资格证。</w:t>
      </w:r>
    </w:p>
    <w:p w14:paraId="0439C60B">
      <w:pPr>
        <w:spacing w:line="360" w:lineRule="auto"/>
        <w:ind w:firstLine="480" w:firstLineChars="200"/>
        <w:rPr>
          <w:rFonts w:hint="eastAsia" w:asciiTheme="minorEastAsia" w:hAnsiTheme="minorEastAsia" w:eastAsiaTheme="minorEastAsia" w:cstheme="minorEastAsia"/>
          <w:color w:val="000000"/>
          <w:sz w:val="24"/>
          <w:szCs w:val="24"/>
          <w:highlight w:val="none"/>
          <w:u w:val="single"/>
          <w:lang w:val="en-US" w:eastAsia="zh-CN"/>
        </w:rPr>
      </w:pPr>
      <w:r>
        <w:rPr>
          <w:rFonts w:hint="eastAsia" w:asciiTheme="minorEastAsia" w:hAnsiTheme="minorEastAsia" w:eastAsiaTheme="minorEastAsia" w:cstheme="minorEastAsia"/>
          <w:color w:val="000000"/>
          <w:sz w:val="24"/>
          <w:szCs w:val="24"/>
          <w:highlight w:val="none"/>
          <w:lang w:val="en-US" w:eastAsia="zh-CN"/>
        </w:rPr>
        <w:t>3.2.2.2</w:t>
      </w:r>
      <w:r>
        <w:rPr>
          <w:rFonts w:hint="eastAsia" w:asciiTheme="minorEastAsia" w:hAnsiTheme="minorEastAsia" w:eastAsiaTheme="minorEastAsia" w:cstheme="minorEastAsia"/>
          <w:color w:val="000000"/>
          <w:sz w:val="24"/>
          <w:szCs w:val="24"/>
          <w:highlight w:val="none"/>
          <w:u w:val="single"/>
          <w:lang w:val="en-US" w:eastAsia="zh-CN"/>
        </w:rPr>
        <w:t>其他咨询服务人员：不少</w:t>
      </w:r>
      <w:r>
        <w:rPr>
          <w:rFonts w:hint="eastAsia" w:asciiTheme="minorEastAsia" w:hAnsiTheme="minorEastAsia" w:eastAsiaTheme="minorEastAsia" w:cstheme="minorEastAsia"/>
          <w:color w:val="000000"/>
          <w:sz w:val="24"/>
          <w:szCs w:val="24"/>
          <w:highlight w:val="none"/>
          <w:u w:val="single"/>
          <w:lang w:val="en-US" w:eastAsia="zh-CN"/>
        </w:rPr>
        <w:t>于2人，</w:t>
      </w:r>
      <w:r>
        <w:rPr>
          <w:rFonts w:hint="eastAsia" w:ascii="宋体" w:hAnsi="宋体"/>
          <w:sz w:val="24"/>
          <w:highlight w:val="none"/>
          <w:u w:val="single"/>
        </w:rPr>
        <w:t>应</w:t>
      </w:r>
      <w:r>
        <w:rPr>
          <w:rFonts w:hint="eastAsia" w:ascii="宋体" w:hAnsi="宋体" w:cs="宋体"/>
          <w:bCs/>
          <w:kern w:val="2"/>
          <w:sz w:val="24"/>
          <w:szCs w:val="24"/>
          <w:highlight w:val="none"/>
          <w:u w:val="single"/>
        </w:rPr>
        <w:t>具备丰富的造价、经济、审计、会计、项目管理等方面的经验，能够综合运用多种学科知识、工程实践经验、经济管理方法为本项目的建设过程提供管理咨询服务。</w:t>
      </w:r>
    </w:p>
    <w:p w14:paraId="180E9210">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注：</w:t>
      </w:r>
    </w:p>
    <w:p w14:paraId="74D47ED2">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（1）以上仅是谈判申请人拟投入本项目团队的最低资格要求；</w:t>
      </w:r>
    </w:p>
    <w:p w14:paraId="25FDF788">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（2）谈判申请人需提供相应人员的身份证、职称证、学历证、执业资格证书的复印件；</w:t>
      </w:r>
    </w:p>
    <w:p w14:paraId="35501526">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（3）服务团队人员须为本单位在职人员并提供劳动合同；</w:t>
      </w:r>
    </w:p>
    <w:p w14:paraId="4943AFE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（4）提供近半年的社保缴费证明；</w:t>
      </w:r>
    </w:p>
    <w:p w14:paraId="4978F15F">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（5）服务团队人数包括项目负责人。</w:t>
      </w:r>
    </w:p>
    <w:p w14:paraId="7C5EDA7C">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（6）提供项目负责人的业绩证明材料，材料</w:t>
      </w:r>
      <w:r>
        <w:rPr>
          <w:rFonts w:hint="eastAsia" w:ascii="宋体" w:hAnsi="宋体"/>
          <w:sz w:val="24"/>
          <w:highlight w:val="none"/>
        </w:rPr>
        <w:t>应当能体现项目负责人姓名的合同复印件</w:t>
      </w:r>
      <w:r>
        <w:rPr>
          <w:rFonts w:hint="eastAsia" w:ascii="宋体" w:hAnsi="宋体"/>
          <w:sz w:val="24"/>
          <w:highlight w:val="none"/>
          <w:lang w:eastAsia="zh-CN"/>
        </w:rPr>
        <w:t>（</w:t>
      </w:r>
      <w:r>
        <w:rPr>
          <w:rFonts w:hint="eastAsia" w:ascii="宋体" w:hAnsi="宋体"/>
          <w:sz w:val="24"/>
          <w:highlight w:val="none"/>
          <w:lang w:val="en-US" w:eastAsia="zh-CN"/>
        </w:rPr>
        <w:t>证明信息的关键页，</w:t>
      </w:r>
      <w:r>
        <w:rPr>
          <w:rFonts w:hint="eastAsia" w:ascii="宋体" w:hAnsi="宋体"/>
          <w:sz w:val="24"/>
          <w:highlight w:val="none"/>
        </w:rPr>
        <w:t>合同</w:t>
      </w:r>
      <w:r>
        <w:rPr>
          <w:rFonts w:hint="eastAsia" w:ascii="宋体" w:hAnsi="宋体"/>
          <w:sz w:val="24"/>
          <w:highlight w:val="none"/>
          <w:lang w:val="en-US" w:eastAsia="zh-CN"/>
        </w:rPr>
        <w:t>签字盖章等）</w:t>
      </w:r>
    </w:p>
    <w:p w14:paraId="1D3C9BC5">
      <w:pPr>
        <w:keepNext w:val="0"/>
        <w:keepLines w:val="0"/>
        <w:pageBreakBefore w:val="0"/>
        <w:widowControl w:val="0"/>
        <w:kinsoku/>
        <w:wordWrap/>
        <w:overflowPunct/>
        <w:topLinePunct w:val="0"/>
        <w:autoSpaceDE/>
        <w:autoSpaceDN/>
        <w:bidi w:val="0"/>
        <w:spacing w:line="360" w:lineRule="auto"/>
        <w:ind w:left="0" w:leftChars="0" w:firstLine="482"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lang w:val="en-US" w:eastAsia="zh-CN"/>
        </w:rPr>
        <w:t>3.2.3本项目不接受联合体参加竞谈。</w:t>
      </w:r>
    </w:p>
    <w:p w14:paraId="50805DCD">
      <w:pPr>
        <w:keepNext w:val="0"/>
        <w:keepLines w:val="0"/>
        <w:pageBreakBefore w:val="0"/>
        <w:widowControl w:val="0"/>
        <w:kinsoku/>
        <w:wordWrap/>
        <w:overflowPunct/>
        <w:topLinePunct w:val="0"/>
        <w:autoSpaceDE/>
        <w:autoSpaceDN/>
        <w:bidi w:val="0"/>
        <w:spacing w:line="360" w:lineRule="auto"/>
        <w:ind w:left="0" w:leftChars="0" w:firstLine="482" w:firstLineChars="200"/>
        <w:textAlignment w:val="auto"/>
        <w:rPr>
          <w:rFonts w:hint="default" w:asciiTheme="minorEastAsia" w:hAnsiTheme="minorEastAsia" w:eastAsiaTheme="minorEastAsia" w:cstheme="minorEastAsia"/>
          <w:color w:val="000000"/>
          <w:sz w:val="24"/>
          <w:szCs w:val="24"/>
          <w:highlight w:val="none"/>
          <w:u w:val="single"/>
          <w:lang w:val="en-US" w:eastAsia="zh-CN"/>
        </w:rPr>
      </w:pPr>
      <w:r>
        <w:rPr>
          <w:rFonts w:hint="eastAsia" w:asciiTheme="minorEastAsia" w:hAnsiTheme="minorEastAsia" w:eastAsiaTheme="minorEastAsia" w:cstheme="minorEastAsia"/>
          <w:b/>
          <w:bCs/>
          <w:color w:val="000000"/>
          <w:sz w:val="24"/>
          <w:szCs w:val="24"/>
          <w:highlight w:val="none"/>
          <w:lang w:val="en-US" w:eastAsia="zh-CN"/>
        </w:rPr>
        <w:t>3.2.4财务要求：</w:t>
      </w:r>
      <w:r>
        <w:rPr>
          <w:rFonts w:hint="eastAsia" w:asciiTheme="minorEastAsia" w:hAnsiTheme="minorEastAsia" w:eastAsiaTheme="minorEastAsia" w:cstheme="minorEastAsia"/>
          <w:color w:val="000000"/>
          <w:sz w:val="24"/>
          <w:szCs w:val="24"/>
          <w:highlight w:val="none"/>
          <w:u w:val="single"/>
          <w:lang w:val="en-US" w:eastAsia="zh-CN"/>
        </w:rPr>
        <w:t>提供2023年-2025年经第三方审计的审计报告及财务报表(包括资产负债表、利润表、现金流量表)，成立不满3年的，提供自成立至今经第三方审计的审计报告及财务报表(包括资产负债表、利润表、现金流量表），成立不满1年的，提供自成立至今的财务报表(包括资产负债表、利润表、现金流量表)。</w:t>
      </w:r>
    </w:p>
    <w:p w14:paraId="4924D2DC">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lang w:val="en-US" w:eastAsia="zh-CN"/>
        </w:rPr>
        <w:t>3.3</w:t>
      </w:r>
      <w:r>
        <w:rPr>
          <w:rFonts w:hint="eastAsia" w:ascii="宋体" w:hAnsi="宋体" w:cs="宋体"/>
          <w:sz w:val="24"/>
          <w:szCs w:val="24"/>
          <w:highlight w:val="none"/>
        </w:rPr>
        <w:t>其他要求：</w:t>
      </w:r>
    </w:p>
    <w:p w14:paraId="63957166">
      <w:pPr>
        <w:widowControl/>
        <w:overflowPunct w:val="0"/>
        <w:spacing w:line="360" w:lineRule="auto"/>
        <w:ind w:firstLine="480" w:firstLineChars="200"/>
        <w:textAlignment w:val="baseline"/>
        <w:outlineLvl w:val="1"/>
        <w:rPr>
          <w:rFonts w:hint="eastAsia" w:ascii="宋体" w:hAnsi="宋体" w:cs="宋体"/>
          <w:sz w:val="24"/>
          <w:szCs w:val="24"/>
          <w:highlight w:val="none"/>
          <w:u w:val="single"/>
        </w:rPr>
      </w:pPr>
      <w:r>
        <w:rPr>
          <w:rFonts w:hint="eastAsia" w:ascii="宋体" w:hAnsi="宋体" w:cs="宋体"/>
          <w:sz w:val="24"/>
          <w:szCs w:val="24"/>
          <w:highlight w:val="none"/>
        </w:rPr>
        <w:t>（</w:t>
      </w:r>
      <w:r>
        <w:rPr>
          <w:rFonts w:hint="eastAsia" w:ascii="宋体" w:hAnsi="宋体" w:cs="宋体"/>
          <w:sz w:val="24"/>
          <w:szCs w:val="24"/>
          <w:highlight w:val="none"/>
          <w:u w:val="single"/>
        </w:rPr>
        <w:t>1）与招标人存在利害关系可能影响招标公正性的法人、其他组织或者个人，不得参加投标（提供书面承诺或相关证明材料）。</w:t>
      </w:r>
    </w:p>
    <w:p w14:paraId="38270D86">
      <w:pPr>
        <w:widowControl/>
        <w:overflowPunct w:val="0"/>
        <w:spacing w:line="360" w:lineRule="auto"/>
        <w:ind w:firstLine="480" w:firstLineChars="200"/>
        <w:textAlignment w:val="baseline"/>
        <w:outlineLvl w:val="1"/>
        <w:rPr>
          <w:rFonts w:hint="eastAsia" w:ascii="宋体" w:hAnsi="宋体" w:cs="宋体"/>
          <w:sz w:val="24"/>
          <w:szCs w:val="24"/>
          <w:highlight w:val="none"/>
          <w:u w:val="single"/>
        </w:rPr>
      </w:pPr>
      <w:r>
        <w:rPr>
          <w:rFonts w:hint="eastAsia" w:ascii="宋体" w:hAnsi="宋体" w:cs="宋体"/>
          <w:sz w:val="24"/>
          <w:szCs w:val="24"/>
          <w:highlight w:val="none"/>
          <w:u w:val="single"/>
        </w:rPr>
        <w:t>（2）单位负责人为同一人或者存在控股、管理关系的不同单位不得参加同一标段的投标或者未划分标段的同一招标项目的投标（提供书面承诺或相关证明材料）。</w:t>
      </w:r>
    </w:p>
    <w:p w14:paraId="63EAD189">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4</w:t>
      </w:r>
      <w:r>
        <w:rPr>
          <w:rFonts w:hint="eastAsia" w:ascii="宋体" w:hAnsi="宋体" w:cs="宋体"/>
          <w:sz w:val="24"/>
          <w:szCs w:val="24"/>
          <w:highlight w:val="none"/>
        </w:rPr>
        <w:t xml:space="preserve"> 供应商不得存在下列情形之一：</w:t>
      </w:r>
    </w:p>
    <w:p w14:paraId="7357E60B">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（1）处于被责令停产停业、暂扣或者吊销执照、暂扣或者吊销许可证、吊销资质证书状态；</w:t>
      </w:r>
    </w:p>
    <w:p w14:paraId="0FF540BB">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（2）进入清算程序，或被宣告破产，或其他丧失履约能力的情形；</w:t>
      </w:r>
    </w:p>
    <w:p w14:paraId="17AAE734">
      <w:pPr>
        <w:adjustRightInd w:val="0"/>
        <w:snapToGrid w:val="0"/>
        <w:spacing w:line="300" w:lineRule="auto"/>
        <w:ind w:firstLine="482" w:firstLineChars="200"/>
        <w:outlineLvl w:val="1"/>
        <w:rPr>
          <w:rFonts w:ascii="宋体" w:hAnsi="宋体" w:cs="宋体"/>
          <w:b/>
          <w:snapToGrid w:val="0"/>
          <w:kern w:val="0"/>
          <w:sz w:val="24"/>
          <w:szCs w:val="30"/>
          <w:highlight w:val="none"/>
          <w:u w:val="single"/>
        </w:rPr>
      </w:pPr>
      <w:r>
        <w:rPr>
          <w:rFonts w:hint="eastAsia" w:ascii="宋体" w:hAnsi="宋体" w:cs="宋体"/>
          <w:b/>
          <w:snapToGrid w:val="0"/>
          <w:kern w:val="0"/>
          <w:sz w:val="24"/>
          <w:szCs w:val="30"/>
          <w:highlight w:val="none"/>
          <w:u w:val="single"/>
        </w:rPr>
        <w:t>注：提供相关承诺说明。</w:t>
      </w:r>
    </w:p>
    <w:p w14:paraId="404D5ED5">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5</w:t>
      </w:r>
      <w:r>
        <w:rPr>
          <w:rFonts w:hint="eastAsia" w:ascii="宋体" w:hAnsi="宋体" w:cs="宋体"/>
          <w:sz w:val="24"/>
          <w:szCs w:val="24"/>
          <w:highlight w:val="none"/>
        </w:rPr>
        <w:t xml:space="preserve"> 联合体投标</w:t>
      </w:r>
      <w:r>
        <w:rPr>
          <w:rFonts w:hint="eastAsia" w:ascii="宋体" w:hAnsi="宋体" w:cs="宋体"/>
          <w:sz w:val="24"/>
          <w:szCs w:val="24"/>
          <w:highlight w:val="none"/>
          <w:lang w:eastAsia="zh-CN"/>
        </w:rPr>
        <w:t>：</w:t>
      </w:r>
      <w:r>
        <w:rPr>
          <w:rFonts w:hint="eastAsia" w:ascii="宋体" w:hAnsi="宋体" w:cs="宋体"/>
          <w:sz w:val="24"/>
          <w:szCs w:val="24"/>
          <w:highlight w:val="none"/>
        </w:rPr>
        <w:t>本次采购</w:t>
      </w:r>
      <w:r>
        <w:rPr>
          <w:rFonts w:hint="eastAsia" w:ascii="宋体" w:hAnsi="宋体" w:cs="宋体"/>
          <w:b/>
          <w:bCs/>
          <w:sz w:val="24"/>
          <w:szCs w:val="24"/>
          <w:highlight w:val="none"/>
          <w:u w:val="single"/>
        </w:rPr>
        <w:t>不接受</w:t>
      </w:r>
      <w:r>
        <w:rPr>
          <w:rFonts w:hint="eastAsia" w:ascii="宋体" w:hAnsi="宋体" w:cs="宋体"/>
          <w:sz w:val="24"/>
          <w:szCs w:val="24"/>
          <w:highlight w:val="none"/>
        </w:rPr>
        <w:t>联合体投标。</w:t>
      </w:r>
    </w:p>
    <w:bookmarkEnd w:id="51"/>
    <w:bookmarkEnd w:id="52"/>
    <w:bookmarkEnd w:id="53"/>
    <w:p w14:paraId="541E2D81">
      <w:pPr>
        <w:pStyle w:val="4"/>
        <w:spacing w:before="0" w:after="0"/>
        <w:outlineLvl w:val="1"/>
        <w:rPr>
          <w:rFonts w:hint="default" w:ascii="宋体" w:hAnsi="宋体" w:eastAsia="宋体" w:cs="宋体"/>
          <w:color w:val="auto"/>
          <w:sz w:val="28"/>
          <w:szCs w:val="28"/>
          <w:highlight w:val="none"/>
        </w:rPr>
      </w:pPr>
      <w:bookmarkStart w:id="54" w:name="_Toc31343"/>
      <w:bookmarkStart w:id="55" w:name="_Toc27061"/>
      <w:bookmarkStart w:id="56" w:name="_Toc23414"/>
      <w:bookmarkStart w:id="57" w:name="_Toc25811"/>
      <w:bookmarkStart w:id="58" w:name="_Toc3635"/>
      <w:bookmarkStart w:id="59" w:name="_Toc26160"/>
      <w:bookmarkStart w:id="60" w:name="_Toc1936"/>
      <w:bookmarkStart w:id="61" w:name="_Toc1656142349"/>
      <w:bookmarkStart w:id="62" w:name="_Toc4623"/>
      <w:bookmarkStart w:id="63" w:name="_Toc340377305"/>
      <w:bookmarkStart w:id="64" w:name="_Toc829177456"/>
      <w:bookmarkStart w:id="65" w:name="_Toc987470028"/>
      <w:bookmarkStart w:id="66" w:name="_Toc16692"/>
      <w:bookmarkStart w:id="67" w:name="_Toc11601"/>
      <w:bookmarkStart w:id="68" w:name="_Toc2138505499"/>
      <w:bookmarkStart w:id="69" w:name="_Toc14733"/>
      <w:bookmarkStart w:id="70" w:name="_Toc7192"/>
      <w:bookmarkStart w:id="71" w:name="_Toc32008"/>
      <w:bookmarkStart w:id="72" w:name="_Toc26358"/>
      <w:bookmarkStart w:id="73" w:name="_Toc24995"/>
      <w:bookmarkStart w:id="74" w:name="_Toc290111286"/>
      <w:bookmarkStart w:id="75" w:name="_Toc15232"/>
      <w:bookmarkStart w:id="76" w:name="_Toc55310058"/>
      <w:bookmarkStart w:id="77" w:name="_Toc19007"/>
      <w:r>
        <w:rPr>
          <w:rFonts w:hint="default" w:ascii="宋体" w:hAnsi="宋体" w:eastAsia="宋体" w:cs="宋体"/>
          <w:color w:val="auto"/>
          <w:sz w:val="28"/>
          <w:szCs w:val="28"/>
          <w:highlight w:val="none"/>
        </w:rPr>
        <w:t>四、</w:t>
      </w:r>
      <w:bookmarkEnd w:id="54"/>
      <w:bookmarkEnd w:id="55"/>
      <w:bookmarkEnd w:id="56"/>
      <w:bookmarkEnd w:id="57"/>
      <w:bookmarkEnd w:id="58"/>
      <w:bookmarkEnd w:id="59"/>
      <w:bookmarkEnd w:id="60"/>
      <w:r>
        <w:rPr>
          <w:rFonts w:hint="default" w:ascii="宋体" w:hAnsi="宋体" w:eastAsia="宋体" w:cs="宋体"/>
          <w:color w:val="auto"/>
          <w:sz w:val="28"/>
          <w:szCs w:val="28"/>
          <w:highlight w:val="none"/>
        </w:rPr>
        <w:t>采购文件的获取</w:t>
      </w:r>
      <w:bookmarkEnd w:id="61"/>
      <w:bookmarkEnd w:id="62"/>
      <w:bookmarkEnd w:id="63"/>
      <w:bookmarkEnd w:id="64"/>
      <w:bookmarkEnd w:id="65"/>
      <w:bookmarkEnd w:id="66"/>
      <w:bookmarkEnd w:id="67"/>
      <w:bookmarkEnd w:id="68"/>
    </w:p>
    <w:p w14:paraId="044861E9">
      <w:pPr>
        <w:wordWrap w:val="0"/>
        <w:spacing w:line="360" w:lineRule="auto"/>
        <w:ind w:firstLine="480" w:firstLineChars="200"/>
        <w:jc w:val="left"/>
        <w:outlineLvl w:val="1"/>
        <w:rPr>
          <w:rFonts w:hint="eastAsia" w:ascii="宋体" w:hAnsi="宋体" w:cs="宋体"/>
          <w:color w:val="auto"/>
          <w:sz w:val="24"/>
          <w:szCs w:val="24"/>
          <w:highlight w:val="none"/>
        </w:rPr>
      </w:pPr>
      <w:bookmarkStart w:id="78" w:name="_Toc20123"/>
      <w:bookmarkStart w:id="79" w:name="_Toc19187"/>
      <w:bookmarkStart w:id="80" w:name="_Toc32710"/>
      <w:bookmarkStart w:id="81" w:name="_Toc29193"/>
      <w:bookmarkStart w:id="82" w:name="_Toc32757"/>
      <w:bookmarkStart w:id="83" w:name="_Toc55303742"/>
      <w:bookmarkStart w:id="84" w:name="_Toc23855"/>
      <w:bookmarkStart w:id="85" w:name="_Toc7557"/>
      <w:bookmarkStart w:id="86" w:name="_Toc28477"/>
      <w:bookmarkStart w:id="87" w:name="_Toc17671"/>
      <w:bookmarkStart w:id="88" w:name="_Toc26691"/>
      <w:bookmarkStart w:id="89" w:name="_Toc55229787"/>
      <w:bookmarkStart w:id="90" w:name="_Toc2706"/>
      <w:bookmarkStart w:id="91" w:name="_Toc55310055"/>
      <w:bookmarkStart w:id="92" w:name="_Toc31714"/>
      <w:bookmarkStart w:id="93" w:name="_Toc12984"/>
      <w:r>
        <w:rPr>
          <w:rFonts w:hint="eastAsia" w:ascii="宋体" w:hAnsi="宋体" w:cs="宋体"/>
          <w:color w:val="auto"/>
          <w:sz w:val="24"/>
          <w:szCs w:val="24"/>
          <w:highlight w:val="none"/>
        </w:rPr>
        <w:t>采购文件随公告在“云南能</w:t>
      </w:r>
      <w:r>
        <w:rPr>
          <w:rFonts w:hint="eastAsia" w:ascii="宋体" w:hAnsi="宋体" w:cs="宋体"/>
          <w:color w:val="auto"/>
          <w:sz w:val="24"/>
          <w:szCs w:val="24"/>
          <w:highlight w:val="none"/>
          <w:lang w:val="en-US" w:eastAsia="zh-CN"/>
        </w:rPr>
        <w:t>源</w:t>
      </w:r>
      <w:r>
        <w:rPr>
          <w:rFonts w:hint="eastAsia" w:ascii="宋体" w:hAnsi="宋体" w:cs="宋体"/>
          <w:color w:val="auto"/>
          <w:sz w:val="24"/>
          <w:szCs w:val="24"/>
          <w:highlight w:val="none"/>
        </w:rPr>
        <w:t>集团招采发布平台”发布，不再另行线下提供纸质购文件，凡有意参与者可在本公告期内自行查看和下载（http://zcfb.cnyeig.cn/sjhz/），并于</w:t>
      </w:r>
      <w:r>
        <w:rPr>
          <w:rFonts w:hint="eastAsia" w:ascii="宋体" w:hAnsi="宋体" w:cs="宋体"/>
          <w:color w:val="auto"/>
          <w:sz w:val="24"/>
          <w:szCs w:val="24"/>
          <w:highlight w:val="none"/>
          <w:u w:val="single"/>
          <w:lang w:val="en-US" w:eastAsia="zh-CN"/>
        </w:rPr>
        <w:t>2026</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4 </w:t>
      </w:r>
      <w:r>
        <w:rPr>
          <w:rFonts w:hint="eastAsia" w:ascii="宋体" w:hAnsi="宋体" w:cs="宋体"/>
          <w:color w:val="auto"/>
          <w:sz w:val="24"/>
          <w:szCs w:val="24"/>
          <w:highlight w:val="none"/>
          <w:u w:val="single"/>
        </w:rPr>
        <w:t>日</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18</w:t>
      </w:r>
      <w:r>
        <w:rPr>
          <w:rFonts w:hint="eastAsia" w:ascii="宋体" w:hAnsi="宋体" w:cs="宋体"/>
          <w:color w:val="auto"/>
          <w:sz w:val="24"/>
          <w:szCs w:val="24"/>
          <w:highlight w:val="none"/>
          <w:u w:val="single"/>
        </w:rPr>
        <w:t>时</w:t>
      </w:r>
      <w:r>
        <w:rPr>
          <w:rFonts w:hint="eastAsia" w:ascii="宋体" w:hAnsi="宋体" w:cs="宋体"/>
          <w:color w:val="auto"/>
          <w:sz w:val="24"/>
          <w:szCs w:val="24"/>
          <w:highlight w:val="none"/>
          <w:u w:val="single"/>
          <w:lang w:val="en-US" w:eastAsia="zh-CN"/>
        </w:rPr>
        <w:t>00</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rPr>
        <w:t>分</w:t>
      </w:r>
      <w:r>
        <w:rPr>
          <w:rFonts w:hint="eastAsia" w:ascii="宋体" w:hAnsi="宋体" w:cs="宋体"/>
          <w:color w:val="auto"/>
          <w:sz w:val="24"/>
          <w:szCs w:val="24"/>
          <w:highlight w:val="none"/>
        </w:rPr>
        <w:t>前以书面形式确认是否参加本次采购活动（格式见附件），同时需将确认函盖章后的电子版以公司名称＋项目名称命名发送至电子邮箱</w:t>
      </w:r>
      <w:r>
        <w:rPr>
          <w:rFonts w:hint="eastAsia" w:ascii="宋体" w:hAnsi="宋体" w:cs="宋体"/>
          <w:color w:val="auto"/>
          <w:sz w:val="24"/>
          <w:szCs w:val="24"/>
          <w:highlight w:val="none"/>
          <w:u w:val="single"/>
          <w:lang w:eastAsia="zh-CN"/>
        </w:rPr>
        <w:t>2</w:t>
      </w:r>
      <w:r>
        <w:rPr>
          <w:rFonts w:hint="eastAsia" w:ascii="宋体" w:hAnsi="宋体" w:cs="宋体"/>
          <w:color w:val="auto"/>
          <w:sz w:val="24"/>
          <w:szCs w:val="24"/>
          <w:highlight w:val="none"/>
          <w:u w:val="single"/>
          <w:lang w:val="en-US" w:eastAsia="zh-CN"/>
        </w:rPr>
        <w:t>906486069@qq.com</w:t>
      </w:r>
      <w:r>
        <w:rPr>
          <w:rFonts w:hint="eastAsia" w:ascii="宋体" w:hAnsi="宋体" w:cs="宋体"/>
          <w:color w:val="auto"/>
          <w:sz w:val="24"/>
          <w:szCs w:val="24"/>
          <w:highlight w:val="none"/>
        </w:rPr>
        <w:t>。在本公告规定的时间内未按上述要求发送电子邮件至指定邮箱者，不得递交响应文件或参加竞谈。</w:t>
      </w:r>
    </w:p>
    <w:p w14:paraId="1B72FC14">
      <w:pPr>
        <w:pStyle w:val="4"/>
        <w:spacing w:before="0" w:after="0"/>
        <w:outlineLvl w:val="1"/>
        <w:rPr>
          <w:rFonts w:hint="default" w:ascii="宋体" w:hAnsi="宋体" w:eastAsia="宋体" w:cs="宋体"/>
          <w:color w:val="auto"/>
          <w:sz w:val="28"/>
          <w:szCs w:val="28"/>
          <w:highlight w:val="none"/>
        </w:rPr>
      </w:pPr>
      <w:bookmarkStart w:id="94" w:name="_Toc259035731"/>
      <w:bookmarkStart w:id="95" w:name="_Toc29326"/>
      <w:bookmarkStart w:id="96" w:name="_Toc2091142948"/>
      <w:bookmarkStart w:id="97" w:name="_Toc30137"/>
      <w:bookmarkStart w:id="98" w:name="_Toc1380947824"/>
      <w:bookmarkStart w:id="99" w:name="_Toc663173731"/>
      <w:bookmarkStart w:id="100" w:name="_Toc1792406470"/>
      <w:r>
        <w:rPr>
          <w:rFonts w:hint="default" w:ascii="宋体" w:hAnsi="宋体" w:eastAsia="宋体" w:cs="宋体"/>
          <w:color w:val="auto"/>
          <w:sz w:val="28"/>
          <w:szCs w:val="28"/>
          <w:highlight w:val="none"/>
        </w:rPr>
        <w:t>五、</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Fonts w:hint="default" w:ascii="宋体" w:hAnsi="宋体" w:eastAsia="宋体" w:cs="宋体"/>
          <w:color w:val="auto"/>
          <w:sz w:val="28"/>
          <w:szCs w:val="28"/>
          <w:highlight w:val="none"/>
        </w:rPr>
        <w:t>响应文件的递交</w:t>
      </w:r>
      <w:bookmarkEnd w:id="93"/>
      <w:bookmarkEnd w:id="94"/>
      <w:bookmarkEnd w:id="95"/>
      <w:bookmarkEnd w:id="96"/>
      <w:bookmarkEnd w:id="97"/>
      <w:bookmarkEnd w:id="98"/>
      <w:bookmarkEnd w:id="99"/>
      <w:bookmarkEnd w:id="100"/>
    </w:p>
    <w:p w14:paraId="0020A59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bookmarkStart w:id="101" w:name="_Toc32372"/>
      <w:bookmarkStart w:id="102" w:name="_Toc25853"/>
      <w:bookmarkStart w:id="103" w:name="_Toc20894"/>
      <w:bookmarkStart w:id="104" w:name="_Toc55303743"/>
      <w:bookmarkStart w:id="105" w:name="_Toc5745"/>
      <w:bookmarkStart w:id="106" w:name="_Toc11968"/>
      <w:bookmarkStart w:id="107" w:name="_Toc2461"/>
      <w:bookmarkStart w:id="108" w:name="_Toc25286"/>
      <w:bookmarkStart w:id="109" w:name="_Toc19854"/>
      <w:bookmarkStart w:id="110" w:name="_Toc22823"/>
      <w:bookmarkStart w:id="111" w:name="_Toc28074"/>
      <w:bookmarkStart w:id="112" w:name="_Toc14240"/>
      <w:bookmarkStart w:id="113" w:name="_Toc55310056"/>
      <w:bookmarkStart w:id="114" w:name="_Toc55229788"/>
      <w:bookmarkStart w:id="115" w:name="_Toc22040"/>
      <w:bookmarkStart w:id="116" w:name="_Toc771"/>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竞争性谈判响应文件递交的截止时间为：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 xml:space="preserve"> 11</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12 </w:t>
      </w:r>
      <w:r>
        <w:rPr>
          <w:rFonts w:hint="eastAsia" w:ascii="宋体" w:hAnsi="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10</w:t>
      </w:r>
      <w:r>
        <w:rPr>
          <w:rFonts w:hint="eastAsia" w:ascii="宋体" w:hAnsi="宋体" w:cs="宋体"/>
          <w:color w:val="auto"/>
          <w:sz w:val="24"/>
          <w:szCs w:val="24"/>
          <w:highlight w:val="none"/>
          <w:u w:val="single"/>
        </w:rPr>
        <w:t>时</w:t>
      </w:r>
      <w:r>
        <w:rPr>
          <w:rFonts w:hint="eastAsia" w:ascii="宋体" w:hAnsi="宋体" w:cs="宋体"/>
          <w:color w:val="auto"/>
          <w:sz w:val="24"/>
          <w:szCs w:val="24"/>
          <w:highlight w:val="none"/>
          <w:u w:val="single"/>
          <w:lang w:val="en-US" w:eastAsia="zh-CN"/>
        </w:rPr>
        <w:t>00</w:t>
      </w:r>
      <w:r>
        <w:rPr>
          <w:rFonts w:hint="eastAsia" w:ascii="宋体" w:hAnsi="宋体" w:cs="宋体"/>
          <w:color w:val="auto"/>
          <w:sz w:val="24"/>
          <w:szCs w:val="24"/>
          <w:highlight w:val="none"/>
          <w:u w:val="single"/>
        </w:rPr>
        <w:t>分</w:t>
      </w:r>
      <w:r>
        <w:rPr>
          <w:rFonts w:hint="eastAsia" w:ascii="宋体" w:hAnsi="宋体" w:eastAsia="宋体" w:cs="宋体"/>
          <w:color w:val="auto"/>
          <w:kern w:val="0"/>
          <w:sz w:val="24"/>
          <w:szCs w:val="24"/>
          <w:highlight w:val="none"/>
          <w:lang w:val="en-US" w:eastAsia="zh-CN" w:bidi="ar"/>
        </w:rPr>
        <w:t>，递交地址：</w:t>
      </w:r>
      <w:r>
        <w:rPr>
          <w:rFonts w:hint="eastAsia" w:ascii="宋体" w:hAnsi="宋体" w:cs="宋体"/>
          <w:color w:val="auto"/>
          <w:sz w:val="24"/>
          <w:szCs w:val="24"/>
          <w:highlight w:val="none"/>
          <w:u w:val="single"/>
          <w:lang w:eastAsia="zh-CN"/>
        </w:rPr>
        <w:t xml:space="preserve"> 玉溪市华宁县青龙镇小平宾馆三楼会议室</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bidi="ar"/>
        </w:rPr>
        <w:t>，逾期送达的或者未送达指定地点的竞争性谈判响应文件，采购人不予受理。</w:t>
      </w:r>
    </w:p>
    <w:p w14:paraId="20ECD4F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竞争性谈判时间：同谈判响应文件递交截止时间。</w:t>
      </w:r>
    </w:p>
    <w:p w14:paraId="263CEB3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竞争性谈判地点：同谈判响应文件递交地点。</w:t>
      </w:r>
    </w:p>
    <w:p w14:paraId="64D901E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竞争性谈判方式：线上、线下两种方式均可，具体视情况</w:t>
      </w:r>
      <w:r>
        <w:rPr>
          <w:rFonts w:hint="eastAsia" w:ascii="宋体" w:hAnsi="宋体" w:cs="宋体"/>
          <w:color w:val="auto"/>
          <w:kern w:val="0"/>
          <w:sz w:val="24"/>
          <w:szCs w:val="24"/>
          <w:highlight w:val="none"/>
          <w:lang w:val="en-US" w:eastAsia="zh-CN" w:bidi="ar"/>
        </w:rPr>
        <w:t>提前通知</w:t>
      </w:r>
      <w:r>
        <w:rPr>
          <w:rFonts w:hint="eastAsia" w:ascii="宋体" w:hAnsi="宋体" w:eastAsia="宋体" w:cs="宋体"/>
          <w:color w:val="auto"/>
          <w:kern w:val="0"/>
          <w:sz w:val="24"/>
          <w:szCs w:val="24"/>
          <w:highlight w:val="none"/>
          <w:lang w:val="en-US" w:eastAsia="zh-CN" w:bidi="ar"/>
        </w:rPr>
        <w:t>。</w:t>
      </w:r>
    </w:p>
    <w:p w14:paraId="138176D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val="en-US" w:eastAsia="zh-CN" w:bidi="ar"/>
        </w:rPr>
        <w:t>5 响应文件</w:t>
      </w:r>
      <w:r>
        <w:rPr>
          <w:rFonts w:hint="eastAsia" w:ascii="宋体" w:hAnsi="宋体" w:eastAsia="宋体" w:cs="宋体"/>
          <w:color w:val="auto"/>
          <w:kern w:val="0"/>
          <w:sz w:val="24"/>
          <w:szCs w:val="24"/>
          <w:highlight w:val="none"/>
          <w:lang w:val="en-US" w:eastAsia="zh-CN" w:bidi="ar"/>
        </w:rPr>
        <w:t>要求：份数及要求详见“第二章供应商须知及前附表”</w:t>
      </w:r>
      <w:r>
        <w:rPr>
          <w:rFonts w:hint="eastAsia" w:ascii="宋体" w:hAnsi="宋体" w:cs="宋体"/>
          <w:color w:val="auto"/>
          <w:kern w:val="0"/>
          <w:sz w:val="24"/>
          <w:szCs w:val="24"/>
          <w:highlight w:val="none"/>
          <w:lang w:val="en-US" w:eastAsia="zh-CN" w:bidi="ar"/>
        </w:rPr>
        <w:t>，不按要求编制的文件有可能导致其谈判响应文件被拒绝。</w:t>
      </w:r>
    </w:p>
    <w:p w14:paraId="5B054FF7">
      <w:pPr>
        <w:pStyle w:val="4"/>
        <w:spacing w:before="0" w:after="0"/>
        <w:outlineLvl w:val="1"/>
        <w:rPr>
          <w:rFonts w:hint="eastAsia" w:ascii="宋体" w:hAnsi="宋体" w:eastAsia="宋体" w:cs="宋体"/>
          <w:color w:val="auto"/>
          <w:sz w:val="28"/>
          <w:szCs w:val="28"/>
          <w:highlight w:val="none"/>
          <w:lang w:val="en-US" w:eastAsia="zh-CN"/>
        </w:rPr>
      </w:pPr>
      <w:bookmarkStart w:id="117" w:name="_Toc12910"/>
      <w:bookmarkStart w:id="118" w:name="_Toc17769"/>
      <w:bookmarkStart w:id="119" w:name="_Toc207162630"/>
      <w:bookmarkStart w:id="120" w:name="_Toc905068575"/>
      <w:bookmarkStart w:id="121" w:name="_Toc955575"/>
      <w:bookmarkStart w:id="122" w:name="_Toc1601506238"/>
      <w:bookmarkStart w:id="123" w:name="_Toc501307372"/>
      <w:r>
        <w:rPr>
          <w:rFonts w:hint="eastAsia" w:ascii="宋体" w:hAnsi="宋体" w:eastAsia="宋体" w:cs="宋体"/>
          <w:color w:val="auto"/>
          <w:sz w:val="28"/>
          <w:szCs w:val="28"/>
          <w:highlight w:val="none"/>
        </w:rPr>
        <w:t>六、</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Fonts w:hint="eastAsia" w:ascii="宋体" w:hAnsi="宋体" w:eastAsia="宋体" w:cs="宋体"/>
          <w:color w:val="auto"/>
          <w:sz w:val="28"/>
          <w:szCs w:val="28"/>
          <w:highlight w:val="none"/>
          <w:lang w:val="en-US" w:eastAsia="zh-CN"/>
        </w:rPr>
        <w:t>其他相关事宜</w:t>
      </w:r>
      <w:bookmarkEnd w:id="117"/>
      <w:bookmarkEnd w:id="118"/>
      <w:bookmarkEnd w:id="119"/>
      <w:bookmarkEnd w:id="120"/>
      <w:bookmarkEnd w:id="121"/>
      <w:bookmarkEnd w:id="122"/>
      <w:bookmarkEnd w:id="123"/>
    </w:p>
    <w:p w14:paraId="058D60F1">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6.1 </w:t>
      </w:r>
      <w:r>
        <w:rPr>
          <w:rFonts w:hint="eastAsia" w:ascii="宋体" w:hAnsi="宋体" w:cs="宋体"/>
          <w:color w:val="auto"/>
          <w:sz w:val="24"/>
          <w:szCs w:val="24"/>
          <w:highlight w:val="none"/>
        </w:rPr>
        <w:t>本次评审以所报密封资料为依据。</w:t>
      </w:r>
    </w:p>
    <w:p w14:paraId="5EE7ACE3">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6.2 </w:t>
      </w:r>
      <w:r>
        <w:rPr>
          <w:rFonts w:hint="eastAsia" w:ascii="宋体" w:hAnsi="宋体" w:cs="宋体"/>
          <w:color w:val="auto"/>
          <w:sz w:val="24"/>
          <w:szCs w:val="24"/>
          <w:highlight w:val="none"/>
        </w:rPr>
        <w:t>如果</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未能在规定时间提交材料，视为放弃参与此次竞争性谈判。</w:t>
      </w:r>
    </w:p>
    <w:p w14:paraId="23D58997">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6.3 </w:t>
      </w:r>
      <w:r>
        <w:rPr>
          <w:rFonts w:hint="eastAsia" w:ascii="宋体" w:hAnsi="宋体" w:cs="宋体"/>
          <w:color w:val="auto"/>
          <w:sz w:val="24"/>
          <w:szCs w:val="24"/>
          <w:highlight w:val="none"/>
        </w:rPr>
        <w:t>参与此次竞争性谈判的费用</w:t>
      </w:r>
      <w:r>
        <w:rPr>
          <w:rFonts w:hint="eastAsia" w:ascii="宋体" w:hAnsi="宋体" w:cs="宋体"/>
          <w:color w:val="auto"/>
          <w:sz w:val="24"/>
          <w:szCs w:val="24"/>
          <w:highlight w:val="none"/>
          <w:lang w:val="en-US" w:eastAsia="zh-CN"/>
        </w:rPr>
        <w:t>由供应商</w:t>
      </w:r>
      <w:r>
        <w:rPr>
          <w:rFonts w:hint="eastAsia" w:ascii="宋体" w:hAnsi="宋体" w:cs="宋体"/>
          <w:color w:val="auto"/>
          <w:sz w:val="24"/>
          <w:szCs w:val="24"/>
          <w:highlight w:val="none"/>
        </w:rPr>
        <w:t>自理。</w:t>
      </w:r>
    </w:p>
    <w:p w14:paraId="2A02652E">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6.4 </w:t>
      </w:r>
      <w:r>
        <w:rPr>
          <w:rFonts w:hint="eastAsia" w:ascii="宋体" w:hAnsi="宋体" w:cs="宋体"/>
          <w:color w:val="auto"/>
          <w:sz w:val="24"/>
          <w:szCs w:val="24"/>
          <w:highlight w:val="none"/>
        </w:rPr>
        <w:t>其他未尽事宜请及时联系</w:t>
      </w:r>
      <w:r>
        <w:rPr>
          <w:rFonts w:hint="eastAsia" w:ascii="宋体" w:hAnsi="宋体" w:cs="宋体"/>
          <w:color w:val="auto"/>
          <w:sz w:val="24"/>
          <w:szCs w:val="24"/>
          <w:highlight w:val="none"/>
          <w:lang w:val="en-US" w:eastAsia="zh-CN"/>
        </w:rPr>
        <w:t>采购人</w:t>
      </w:r>
      <w:r>
        <w:rPr>
          <w:rFonts w:hint="eastAsia" w:ascii="宋体" w:hAnsi="宋体" w:cs="宋体"/>
          <w:color w:val="auto"/>
          <w:sz w:val="24"/>
          <w:szCs w:val="24"/>
          <w:highlight w:val="none"/>
        </w:rPr>
        <w:t>。</w:t>
      </w:r>
    </w:p>
    <w:p w14:paraId="2E9A2647">
      <w:pPr>
        <w:pStyle w:val="4"/>
        <w:spacing w:before="0" w:after="0"/>
        <w:outlineLvl w:val="1"/>
        <w:rPr>
          <w:rFonts w:hint="eastAsia" w:ascii="宋体" w:hAnsi="宋体" w:eastAsia="宋体" w:cs="宋体"/>
          <w:color w:val="auto"/>
          <w:sz w:val="28"/>
          <w:szCs w:val="28"/>
          <w:highlight w:val="none"/>
        </w:rPr>
      </w:pPr>
      <w:bookmarkStart w:id="124" w:name="_Toc27384"/>
      <w:bookmarkStart w:id="125" w:name="_Toc1850573490"/>
      <w:bookmarkStart w:id="126" w:name="_Toc909"/>
      <w:bookmarkStart w:id="127" w:name="_Toc1805825367"/>
      <w:bookmarkStart w:id="128" w:name="_Toc755192189"/>
      <w:bookmarkStart w:id="129" w:name="_Toc1719487414"/>
      <w:bookmarkStart w:id="130" w:name="_Toc2114120071"/>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联系方式</w:t>
      </w:r>
      <w:bookmarkEnd w:id="116"/>
      <w:bookmarkEnd w:id="124"/>
      <w:bookmarkEnd w:id="125"/>
      <w:bookmarkEnd w:id="126"/>
      <w:bookmarkEnd w:id="127"/>
      <w:bookmarkEnd w:id="128"/>
      <w:bookmarkEnd w:id="129"/>
      <w:bookmarkEnd w:id="130"/>
    </w:p>
    <w:p w14:paraId="3BD1A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购</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华宁云能投新能源开发有限公司 </w:t>
      </w:r>
    </w:p>
    <w:p w14:paraId="74DFC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址：</w:t>
      </w:r>
      <w:r>
        <w:rPr>
          <w:rFonts w:hint="eastAsia" w:ascii="宋体" w:hAnsi="宋体" w:cs="宋体"/>
          <w:color w:val="auto"/>
          <w:sz w:val="24"/>
          <w:szCs w:val="24"/>
          <w:highlight w:val="none"/>
          <w:u w:val="single"/>
          <w:lang w:eastAsia="zh-CN"/>
        </w:rPr>
        <w:t>云南省玉溪市华宁县盘溪镇新村村民委员会山后村</w:t>
      </w:r>
    </w:p>
    <w:p w14:paraId="389350FC">
      <w:pPr>
        <w:spacing w:line="360" w:lineRule="auto"/>
        <w:ind w:firstLine="480" w:firstLineChars="200"/>
        <w:outlineLvl w:val="1"/>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联系人：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蒋圳超 </w:t>
      </w:r>
    </w:p>
    <w:p w14:paraId="67E2D0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17842224980 </w:t>
      </w:r>
    </w:p>
    <w:p w14:paraId="3F5F2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邮箱：</w:t>
      </w:r>
      <w:r>
        <w:rPr>
          <w:rFonts w:hint="eastAsia" w:ascii="宋体" w:hAnsi="宋体" w:cs="宋体"/>
          <w:color w:val="auto"/>
          <w:sz w:val="24"/>
          <w:szCs w:val="24"/>
          <w:highlight w:val="none"/>
          <w:u w:val="single"/>
          <w:lang w:eastAsia="zh-CN"/>
        </w:rPr>
        <w:t>2906486069@qq.com</w:t>
      </w:r>
    </w:p>
    <w:p w14:paraId="2FB997F5">
      <w:pPr>
        <w:spacing w:line="360" w:lineRule="auto"/>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采购人监督部门：供应商对本次采购过程中发现的违法、违纪问题可以向云南能源投资股份有限公司纪委办公室反映，电话0871-63135805。</w:t>
      </w:r>
    </w:p>
    <w:p w14:paraId="61796E6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附件：竞争性谈判参与确</w:t>
      </w:r>
      <w:r>
        <w:rPr>
          <w:rFonts w:hint="eastAsia" w:ascii="宋体" w:hAnsi="宋体" w:cs="宋体"/>
          <w:color w:val="auto"/>
          <w:kern w:val="0"/>
          <w:sz w:val="24"/>
          <w:szCs w:val="24"/>
          <w:highlight w:val="none"/>
          <w:lang w:val="en-US" w:eastAsia="zh-CN" w:bidi="ar"/>
        </w:rPr>
        <w:t>认</w:t>
      </w:r>
      <w:r>
        <w:rPr>
          <w:rFonts w:hint="eastAsia" w:ascii="宋体" w:hAnsi="宋体" w:eastAsia="宋体" w:cs="宋体"/>
          <w:color w:val="auto"/>
          <w:kern w:val="0"/>
          <w:sz w:val="24"/>
          <w:szCs w:val="24"/>
          <w:highlight w:val="none"/>
          <w:lang w:val="en-US" w:eastAsia="zh-CN" w:bidi="ar"/>
        </w:rPr>
        <w:t>函</w:t>
      </w:r>
    </w:p>
    <w:p w14:paraId="6839F0B3">
      <w:pPr>
        <w:spacing w:line="360" w:lineRule="auto"/>
        <w:ind w:firstLine="460" w:firstLineChars="192"/>
        <w:outlineLvl w:val="1"/>
        <w:rPr>
          <w:rFonts w:hint="eastAsia" w:ascii="宋体" w:hAnsi="宋体" w:cs="宋体"/>
          <w:color w:val="auto"/>
          <w:sz w:val="24"/>
          <w:szCs w:val="24"/>
          <w:highlight w:val="none"/>
        </w:rPr>
      </w:pPr>
    </w:p>
    <w:p w14:paraId="6761844E">
      <w:pPr>
        <w:spacing w:line="360" w:lineRule="auto"/>
        <w:ind w:right="240" w:firstLine="460" w:firstLineChars="192"/>
        <w:jc w:val="right"/>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华宁云能投新能源开发有限公司 </w:t>
      </w:r>
      <w:r>
        <w:rPr>
          <w:rFonts w:hint="eastAsia" w:ascii="宋体" w:hAnsi="宋体" w:cs="宋体"/>
          <w:color w:val="auto"/>
          <w:sz w:val="24"/>
          <w:szCs w:val="24"/>
          <w:highlight w:val="none"/>
          <w:lang w:val="en-US" w:eastAsia="zh-CN"/>
        </w:rPr>
        <w:t xml:space="preserve"> </w:t>
      </w:r>
    </w:p>
    <w:p w14:paraId="4C36C1E1">
      <w:pPr>
        <w:spacing w:line="360" w:lineRule="auto"/>
        <w:jc w:val="center"/>
        <w:outlineLvl w:val="1"/>
        <w:rPr>
          <w:rFonts w:hint="eastAsia" w:ascii="宋体" w:hAnsi="宋体" w:cs="宋体"/>
          <w:color w:val="auto"/>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2026</w:t>
      </w:r>
      <w:r>
        <w:rPr>
          <w:rFonts w:hint="eastAsia" w:ascii="宋体" w:hAnsi="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 xml:space="preserve"> 11 </w:t>
      </w:r>
      <w:r>
        <w:rPr>
          <w:rFonts w:hint="eastAsia" w:ascii="宋体" w:hAnsi="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 xml:space="preserve"> 1 </w:t>
      </w:r>
      <w:r>
        <w:rPr>
          <w:rFonts w:hint="eastAsia" w:ascii="宋体" w:hAnsi="宋体" w:cs="宋体"/>
          <w:color w:val="auto"/>
          <w:sz w:val="24"/>
          <w:szCs w:val="24"/>
          <w:highlight w:val="none"/>
          <w:u w:val="single"/>
        </w:rPr>
        <w:t>日</w:t>
      </w:r>
    </w:p>
    <w:p w14:paraId="1079D0F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highlight w:val="none"/>
        </w:rPr>
        <w:br w:type="page"/>
      </w:r>
      <w:r>
        <w:rPr>
          <w:rFonts w:hint="eastAsia" w:ascii="宋体" w:hAnsi="宋体" w:eastAsia="宋体" w:cs="宋体"/>
          <w:color w:val="auto"/>
          <w:kern w:val="0"/>
          <w:sz w:val="24"/>
          <w:szCs w:val="24"/>
          <w:highlight w:val="none"/>
          <w:lang w:val="en-US" w:eastAsia="zh-CN" w:bidi="ar"/>
        </w:rPr>
        <w:t>*附件：(报名者请按以下格式要求将确认函以</w:t>
      </w:r>
      <w:r>
        <w:rPr>
          <w:rFonts w:hint="eastAsia" w:ascii="宋体" w:hAnsi="宋体" w:cs="宋体"/>
          <w:color w:val="auto"/>
          <w:kern w:val="0"/>
          <w:sz w:val="24"/>
          <w:szCs w:val="24"/>
          <w:highlight w:val="none"/>
          <w:lang w:val="en-US" w:eastAsia="zh-CN" w:bidi="ar"/>
        </w:rPr>
        <w:t>单位</w:t>
      </w:r>
      <w:r>
        <w:rPr>
          <w:rFonts w:hint="eastAsia" w:ascii="宋体" w:hAnsi="宋体" w:eastAsia="宋体" w:cs="宋体"/>
          <w:color w:val="auto"/>
          <w:kern w:val="0"/>
          <w:sz w:val="24"/>
          <w:szCs w:val="24"/>
          <w:highlight w:val="none"/>
          <w:lang w:val="en-US" w:eastAsia="zh-CN" w:bidi="ar"/>
        </w:rPr>
        <w:t>名称＋项目名称命名发送电子邮件至指定邮箱：</w:t>
      </w:r>
      <w:r>
        <w:rPr>
          <w:rFonts w:hint="eastAsia" w:ascii="宋体" w:hAnsi="宋体" w:cs="宋体"/>
          <w:color w:val="auto"/>
          <w:sz w:val="24"/>
          <w:szCs w:val="24"/>
          <w:highlight w:val="none"/>
          <w:u w:val="single"/>
          <w:lang w:eastAsia="zh-CN"/>
        </w:rPr>
        <w:t>2906486069@qq.com</w:t>
      </w:r>
      <w:r>
        <w:rPr>
          <w:rFonts w:hint="eastAsia" w:ascii="宋体" w:hAnsi="宋体" w:eastAsia="宋体" w:cs="宋体"/>
          <w:color w:val="auto"/>
          <w:kern w:val="0"/>
          <w:sz w:val="24"/>
          <w:szCs w:val="24"/>
          <w:highlight w:val="none"/>
          <w:lang w:val="en-US" w:eastAsia="zh-CN" w:bidi="ar"/>
        </w:rPr>
        <w:t>)</w:t>
      </w:r>
    </w:p>
    <w:p w14:paraId="598ECB5F">
      <w:pPr>
        <w:pStyle w:val="2"/>
        <w:outlineLvl w:val="1"/>
        <w:rPr>
          <w:rFonts w:hint="eastAsia"/>
          <w:highlight w:val="none"/>
        </w:rPr>
      </w:pPr>
    </w:p>
    <w:p w14:paraId="052104D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8"/>
          <w:szCs w:val="28"/>
          <w:highlight w:val="none"/>
        </w:rPr>
      </w:pPr>
      <w:r>
        <w:rPr>
          <w:rStyle w:val="52"/>
          <w:rFonts w:hint="eastAsia" w:ascii="宋体" w:hAnsi="宋体" w:eastAsia="宋体" w:cs="宋体"/>
          <w:color w:val="auto"/>
          <w:kern w:val="0"/>
          <w:sz w:val="28"/>
          <w:szCs w:val="28"/>
          <w:highlight w:val="none"/>
          <w:lang w:val="en-US" w:eastAsia="zh-CN" w:bidi="ar"/>
        </w:rPr>
        <w:t>竞争性谈判参与确认函</w:t>
      </w:r>
    </w:p>
    <w:p w14:paraId="599B5DC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华宁云能投新能源开发有限公司</w:t>
      </w:r>
      <w:r>
        <w:rPr>
          <w:rFonts w:hint="eastAsia" w:ascii="宋体" w:hAnsi="宋体" w:eastAsia="宋体" w:cs="宋体"/>
          <w:color w:val="auto"/>
          <w:kern w:val="0"/>
          <w:sz w:val="24"/>
          <w:szCs w:val="24"/>
          <w:highlight w:val="none"/>
          <w:lang w:val="en-US" w:eastAsia="zh-CN" w:bidi="ar"/>
        </w:rPr>
        <w:t>：</w:t>
      </w:r>
    </w:p>
    <w:p w14:paraId="3F76416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我单位对贵公司</w:t>
      </w:r>
      <w:r>
        <w:rPr>
          <w:rFonts w:hint="eastAsia" w:ascii="宋体" w:hAnsi="宋体" w:cs="宋体"/>
          <w:color w:val="auto"/>
          <w:sz w:val="24"/>
          <w:szCs w:val="24"/>
          <w:highlight w:val="none"/>
          <w:u w:val="single"/>
          <w:lang w:val="en-US" w:eastAsia="zh-CN"/>
        </w:rPr>
        <w:t>大龙山风电场（二期）项目工程招标控制价编制及全过程造价控制咨询服务</w:t>
      </w:r>
      <w:r>
        <w:rPr>
          <w:rFonts w:hint="eastAsia" w:ascii="宋体" w:hAnsi="宋体" w:eastAsia="宋体" w:cs="宋体"/>
          <w:color w:val="auto"/>
          <w:kern w:val="0"/>
          <w:sz w:val="24"/>
          <w:szCs w:val="24"/>
          <w:highlight w:val="none"/>
          <w:lang w:val="en-US" w:eastAsia="zh-CN" w:bidi="ar"/>
        </w:rPr>
        <w:t>的竞争性谈判公告已知悉，我单位将按公告要求参加贵公司此项采购活动，并作出以下承诺：</w:t>
      </w:r>
    </w:p>
    <w:p w14:paraId="756023E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EB994F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2.我单位不属于与采购人存在利害关系可能影响采购公正性的法人、其他组织或者个人。</w:t>
      </w:r>
    </w:p>
    <w:p w14:paraId="4C315C6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3.如最终未能成为此项目的成交人，响应本项目产生的所有费用（包括但不限于差旅费、响应文件制作费用）均由我公司自行承担。</w:t>
      </w:r>
    </w:p>
    <w:p w14:paraId="064FE10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XX单位（单位</w:t>
      </w:r>
      <w:r>
        <w:rPr>
          <w:rFonts w:hint="eastAsia" w:ascii="宋体" w:hAnsi="宋体" w:cs="宋体"/>
          <w:color w:val="auto"/>
          <w:kern w:val="0"/>
          <w:sz w:val="24"/>
          <w:szCs w:val="24"/>
          <w:highlight w:val="none"/>
          <w:lang w:val="en-US" w:eastAsia="zh-CN" w:bidi="ar"/>
        </w:rPr>
        <w:t>公章</w:t>
      </w:r>
      <w:r>
        <w:rPr>
          <w:rFonts w:hint="eastAsia" w:ascii="宋体" w:hAnsi="宋体" w:eastAsia="宋体" w:cs="宋体"/>
          <w:color w:val="auto"/>
          <w:kern w:val="0"/>
          <w:sz w:val="24"/>
          <w:szCs w:val="24"/>
          <w:highlight w:val="none"/>
          <w:lang w:val="en-US" w:eastAsia="zh-CN" w:bidi="ar"/>
        </w:rPr>
        <w:t>）</w:t>
      </w:r>
    </w:p>
    <w:p w14:paraId="39D5C91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法定代表人或委托代理人（签字</w:t>
      </w:r>
      <w:r>
        <w:rPr>
          <w:rFonts w:hint="eastAsia" w:ascii="宋体" w:hAnsi="宋体" w:cs="宋体"/>
          <w:color w:val="auto"/>
          <w:sz w:val="24"/>
          <w:szCs w:val="24"/>
          <w:highlight w:val="none"/>
          <w:lang w:val="en-US" w:eastAsia="zh-CN"/>
        </w:rPr>
        <w:t>或签章</w:t>
      </w:r>
      <w:r>
        <w:rPr>
          <w:rFonts w:hint="eastAsia" w:ascii="宋体" w:hAnsi="宋体" w:eastAsia="宋体" w:cs="宋体"/>
          <w:color w:val="auto"/>
          <w:sz w:val="24"/>
          <w:szCs w:val="24"/>
          <w:highlight w:val="none"/>
          <w:lang w:val="en-US" w:eastAsia="zh-CN"/>
        </w:rPr>
        <w:t>）：</w:t>
      </w:r>
    </w:p>
    <w:p w14:paraId="2E23990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联系电话：</w:t>
      </w:r>
    </w:p>
    <w:p w14:paraId="088411E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cs="宋体"/>
          <w:color w:val="auto"/>
          <w:highlight w:val="none"/>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kern w:val="0"/>
          <w:sz w:val="24"/>
          <w:szCs w:val="24"/>
          <w:highlight w:val="none"/>
          <w:lang w:val="en-US" w:eastAsia="zh-CN" w:bidi="ar"/>
        </w:rPr>
        <w:t>202X年X月X日</w:t>
      </w:r>
    </w:p>
    <w:p w14:paraId="4C6D5F1F">
      <w:pPr>
        <w:pStyle w:val="45"/>
        <w:rPr>
          <w:rFonts w:hint="eastAsia" w:ascii="宋体" w:hAnsi="宋体" w:eastAsia="宋体" w:cs="宋体"/>
          <w:highlight w:val="none"/>
        </w:rPr>
      </w:pPr>
      <w:bookmarkStart w:id="131" w:name="_Toc434355496"/>
      <w:bookmarkStart w:id="132" w:name="_Toc1197334358"/>
      <w:bookmarkStart w:id="133" w:name="_Toc1786171541"/>
      <w:bookmarkStart w:id="134" w:name="_Toc1500721988"/>
      <w:bookmarkStart w:id="135" w:name="_Toc194729403"/>
      <w:r>
        <w:rPr>
          <w:rFonts w:hint="eastAsia" w:ascii="宋体" w:hAnsi="宋体" w:eastAsia="宋体" w:cs="宋体"/>
          <w:highlight w:val="none"/>
        </w:rPr>
        <w:t xml:space="preserve">第二章  </w:t>
      </w:r>
      <w:bookmarkEnd w:id="69"/>
      <w:bookmarkEnd w:id="70"/>
      <w:bookmarkEnd w:id="71"/>
      <w:bookmarkEnd w:id="72"/>
      <w:bookmarkEnd w:id="73"/>
      <w:bookmarkEnd w:id="74"/>
      <w:bookmarkEnd w:id="75"/>
      <w:bookmarkEnd w:id="76"/>
      <w:r>
        <w:rPr>
          <w:rFonts w:hint="eastAsia" w:ascii="宋体" w:hAnsi="宋体" w:eastAsia="宋体" w:cs="宋体"/>
          <w:highlight w:val="none"/>
        </w:rPr>
        <w:t>供应商须知及前附表</w:t>
      </w:r>
      <w:bookmarkEnd w:id="77"/>
      <w:bookmarkEnd w:id="131"/>
      <w:bookmarkEnd w:id="132"/>
      <w:bookmarkEnd w:id="133"/>
      <w:bookmarkEnd w:id="134"/>
      <w:bookmarkEnd w:id="135"/>
    </w:p>
    <w:p w14:paraId="58EBFF90">
      <w:pPr>
        <w:jc w:val="center"/>
        <w:outlineLvl w:val="9"/>
        <w:rPr>
          <w:rFonts w:ascii="宋体" w:hAnsi="宋体" w:eastAsia="宋体" w:cs="宋体"/>
          <w:highlight w:val="none"/>
        </w:rPr>
      </w:pPr>
      <w:bookmarkStart w:id="136" w:name="_Toc1131315258"/>
      <w:bookmarkStart w:id="137" w:name="_Toc20064"/>
      <w:bookmarkStart w:id="138" w:name="_Toc8041"/>
      <w:bookmarkStart w:id="139" w:name="_Toc334847610"/>
      <w:r>
        <w:rPr>
          <w:rFonts w:hint="default" w:ascii="宋体" w:hAnsi="宋体" w:cs="宋体"/>
          <w:highlight w:val="none"/>
        </w:rPr>
        <w:t xml:space="preserve">                                  </w:t>
      </w:r>
      <w:r>
        <w:rPr>
          <w:rFonts w:hint="eastAsia" w:ascii="宋体" w:hAnsi="宋体" w:eastAsia="宋体" w:cs="宋体"/>
          <w:b/>
          <w:sz w:val="24"/>
          <w:highlight w:val="none"/>
        </w:rPr>
        <w:t>供应商须知前附表</w:t>
      </w:r>
      <w:bookmarkEnd w:id="136"/>
      <w:bookmarkEnd w:id="137"/>
      <w:bookmarkEnd w:id="138"/>
      <w:bookmarkEnd w:id="139"/>
    </w:p>
    <w:tbl>
      <w:tblPr>
        <w:tblStyle w:val="49"/>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490F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7A49931">
            <w:pPr>
              <w:jc w:val="center"/>
              <w:outlineLvl w:val="9"/>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25FD7F2E">
            <w:pPr>
              <w:jc w:val="center"/>
              <w:outlineLvl w:val="9"/>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1B2A74AB">
            <w:pPr>
              <w:jc w:val="center"/>
              <w:outlineLvl w:val="9"/>
              <w:rPr>
                <w:rFonts w:ascii="宋体" w:hAnsi="宋体" w:cs="宋体"/>
                <w:b/>
                <w:bCs/>
                <w:szCs w:val="21"/>
                <w:highlight w:val="none"/>
              </w:rPr>
            </w:pPr>
            <w:r>
              <w:rPr>
                <w:rFonts w:hint="eastAsia" w:ascii="宋体" w:hAnsi="宋体" w:cs="宋体"/>
                <w:b/>
                <w:bCs/>
                <w:szCs w:val="21"/>
                <w:highlight w:val="none"/>
              </w:rPr>
              <w:t>编列内容</w:t>
            </w:r>
          </w:p>
        </w:tc>
      </w:tr>
      <w:tr w14:paraId="081D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B384A8">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000A9A08">
            <w:pPr>
              <w:outlineLvl w:val="9"/>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6C36BC54">
            <w:pPr>
              <w:outlineLvl w:val="9"/>
              <w:rPr>
                <w:rFonts w:ascii="宋体" w:hAnsi="宋体" w:cs="宋体"/>
                <w:szCs w:val="21"/>
                <w:highlight w:val="none"/>
              </w:rPr>
            </w:pPr>
            <w:r>
              <w:rPr>
                <w:rFonts w:hint="eastAsia" w:ascii="宋体" w:hAnsi="宋体" w:cs="宋体"/>
                <w:szCs w:val="21"/>
                <w:highlight w:val="none"/>
              </w:rPr>
              <w:t>详见第一章采购公告</w:t>
            </w:r>
          </w:p>
        </w:tc>
      </w:tr>
      <w:tr w14:paraId="2F61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A55360">
            <w:pPr>
              <w:jc w:val="center"/>
              <w:outlineLvl w:val="9"/>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772BD743">
            <w:pPr>
              <w:outlineLvl w:val="9"/>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26951AE4">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47D1D156">
            <w:pPr>
              <w:outlineLvl w:val="9"/>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4037466A">
            <w:pPr>
              <w:outlineLvl w:val="9"/>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E0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F27287F">
            <w:pPr>
              <w:jc w:val="center"/>
              <w:outlineLvl w:val="9"/>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7F6ABFDA">
            <w:pPr>
              <w:outlineLvl w:val="9"/>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F71648A">
            <w:pPr>
              <w:outlineLvl w:val="9"/>
              <w:rPr>
                <w:rFonts w:ascii="宋体" w:hAnsi="宋体" w:cs="宋体"/>
                <w:szCs w:val="21"/>
                <w:highlight w:val="none"/>
              </w:rPr>
            </w:pPr>
            <w:r>
              <w:rPr>
                <w:rFonts w:hint="eastAsia" w:ascii="宋体" w:hAnsi="宋体" w:cs="宋体"/>
                <w:szCs w:val="21"/>
                <w:highlight w:val="none"/>
              </w:rPr>
              <w:t>供应商需在</w:t>
            </w:r>
            <w:r>
              <w:rPr>
                <w:rFonts w:hint="eastAsia" w:ascii="宋体" w:hAnsi="宋体" w:cs="宋体"/>
                <w:color w:val="auto"/>
                <w:sz w:val="21"/>
                <w:szCs w:val="21"/>
                <w:highlight w:val="none"/>
                <w:u w:val="single"/>
                <w:lang w:eastAsia="zh-CN"/>
              </w:rPr>
              <w:t xml:space="preserve"> </w:t>
            </w:r>
            <w:r>
              <w:rPr>
                <w:rFonts w:hint="eastAsia" w:ascii="宋体" w:hAnsi="宋体" w:cs="宋体"/>
                <w:color w:val="auto"/>
                <w:sz w:val="21"/>
                <w:szCs w:val="21"/>
                <w:highlight w:val="none"/>
                <w:u w:val="single"/>
                <w:lang w:val="en-US" w:eastAsia="zh-CN"/>
              </w:rPr>
              <w:t xml:space="preserve">2026 </w:t>
            </w:r>
            <w:r>
              <w:rPr>
                <w:rFonts w:hint="eastAsia" w:ascii="宋体" w:hAnsi="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 xml:space="preserve"> 11 </w:t>
            </w:r>
            <w:r>
              <w:rPr>
                <w:rFonts w:hint="eastAsia" w:ascii="宋体" w:hAnsi="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 xml:space="preserve"> 12 </w:t>
            </w:r>
            <w:r>
              <w:rPr>
                <w:rFonts w:hint="eastAsia" w:ascii="宋体" w:hAnsi="宋体" w:cs="宋体"/>
                <w:color w:val="auto"/>
                <w:sz w:val="21"/>
                <w:szCs w:val="21"/>
                <w:highlight w:val="none"/>
                <w:u w:val="single"/>
              </w:rPr>
              <w:t>日</w:t>
            </w:r>
            <w:r>
              <w:rPr>
                <w:rFonts w:hint="eastAsia" w:ascii="宋体" w:hAnsi="宋体" w:cs="宋体"/>
                <w:szCs w:val="21"/>
                <w:highlight w:val="none"/>
              </w:rPr>
              <w:t>前发出澄清问题，采购人将在收到澄清后24小时内回复。</w:t>
            </w:r>
          </w:p>
        </w:tc>
      </w:tr>
      <w:tr w14:paraId="5022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2A69B77">
            <w:pPr>
              <w:jc w:val="center"/>
              <w:outlineLvl w:val="9"/>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vAlign w:val="center"/>
          </w:tcPr>
          <w:p w14:paraId="0C47E0FB">
            <w:pPr>
              <w:outlineLvl w:val="9"/>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570816F8">
            <w:pPr>
              <w:jc w:val="left"/>
              <w:outlineLvl w:val="9"/>
              <w:rPr>
                <w:rFonts w:ascii="宋体" w:hAnsi="宋体" w:cs="宋体"/>
                <w:bCs/>
                <w:highlight w:val="none"/>
              </w:rPr>
            </w:pPr>
            <w:r>
              <w:rPr>
                <w:rFonts w:hint="eastAsia" w:ascii="宋体" w:hAnsi="宋体" w:cs="宋体"/>
                <w:bCs/>
                <w:highlight w:val="none"/>
              </w:rPr>
              <w:t>1.本项目的报价采用包干价（含税）的形式。</w:t>
            </w:r>
          </w:p>
          <w:p w14:paraId="65855E14">
            <w:pPr>
              <w:outlineLvl w:val="9"/>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的报价应包含为完成本项目范围的所有工作的全部费用，包括但不限于人</w:t>
            </w:r>
            <w:r>
              <w:rPr>
                <w:rFonts w:hint="eastAsia" w:ascii="宋体" w:hAnsi="宋体" w:cs="宋体"/>
                <w:bCs/>
                <w:szCs w:val="22"/>
                <w:highlight w:val="none"/>
                <w:lang w:val="en-US" w:eastAsia="zh-CN"/>
              </w:rPr>
              <w:t>工</w:t>
            </w:r>
            <w:r>
              <w:rPr>
                <w:rFonts w:hint="eastAsia" w:ascii="宋体" w:hAnsi="宋体" w:cs="宋体"/>
                <w:bCs/>
                <w:szCs w:val="22"/>
                <w:highlight w:val="none"/>
              </w:rPr>
              <w:t>、材料、工器具、车辆、运费、利润、保险、</w:t>
            </w:r>
            <w:r>
              <w:rPr>
                <w:rFonts w:hint="eastAsia" w:ascii="宋体" w:hAnsi="宋体" w:cs="宋体"/>
                <w:bCs/>
                <w:szCs w:val="22"/>
                <w:highlight w:val="none"/>
                <w:lang w:eastAsia="zh-CN"/>
              </w:rPr>
              <w:t>税率</w:t>
            </w:r>
            <w:r>
              <w:rPr>
                <w:rFonts w:hint="eastAsia" w:ascii="宋体" w:hAnsi="宋体" w:cs="宋体"/>
                <w:bCs/>
                <w:szCs w:val="22"/>
                <w:highlight w:val="none"/>
              </w:rPr>
              <w:t>及其他与此相关的所有费用。在采购范围内不得以任何理由予以重复报价。成交后，在采购范围内采购人不再支付与本项目有关的其他任何费用。</w:t>
            </w:r>
          </w:p>
        </w:tc>
      </w:tr>
      <w:tr w14:paraId="5007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5705D2">
            <w:pPr>
              <w:jc w:val="center"/>
              <w:outlineLvl w:val="9"/>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0C34929B">
            <w:pPr>
              <w:outlineLvl w:val="9"/>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1915A5A5">
            <w:pPr>
              <w:outlineLvl w:val="9"/>
              <w:rPr>
                <w:rFonts w:ascii="宋体" w:hAnsi="宋体" w:cs="宋体"/>
                <w:kern w:val="0"/>
                <w:sz w:val="22"/>
                <w:szCs w:val="22"/>
                <w:highlight w:val="none"/>
              </w:rPr>
            </w:pPr>
            <w:r>
              <w:rPr>
                <w:rFonts w:hint="eastAsia" w:ascii="宋体" w:hAnsi="宋体" w:cs="宋体"/>
                <w:szCs w:val="22"/>
                <w:highlight w:val="none"/>
                <w:lang w:eastAsia="zh-CN"/>
              </w:rPr>
              <w:t>☑</w:t>
            </w:r>
            <w:r>
              <w:rPr>
                <w:rFonts w:hint="eastAsia" w:ascii="宋体" w:hAnsi="宋体" w:cs="宋体"/>
                <w:szCs w:val="22"/>
                <w:highlight w:val="none"/>
              </w:rPr>
              <w:t>无</w:t>
            </w:r>
          </w:p>
          <w:p w14:paraId="2D5C2979">
            <w:pPr>
              <w:outlineLvl w:val="9"/>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的投标总报价不得超过此最高投标限价，若超过则其投标文件作否决投标处理</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p>
        </w:tc>
      </w:tr>
      <w:tr w14:paraId="0B88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B0B25E1">
            <w:pPr>
              <w:jc w:val="center"/>
              <w:outlineLvl w:val="9"/>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4EE10E76">
            <w:pPr>
              <w:outlineLvl w:val="9"/>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3F06C5BB">
            <w:pPr>
              <w:outlineLvl w:val="9"/>
              <w:rPr>
                <w:rFonts w:ascii="宋体" w:hAnsi="宋体" w:cs="宋体"/>
                <w:szCs w:val="21"/>
                <w:highlight w:val="none"/>
              </w:rPr>
            </w:pPr>
            <w:r>
              <w:rPr>
                <w:rFonts w:hint="eastAsia" w:ascii="宋体" w:hAnsi="宋体" w:cs="宋体"/>
                <w:szCs w:val="21"/>
                <w:highlight w:val="none"/>
              </w:rPr>
              <w:t>人民币</w:t>
            </w:r>
          </w:p>
        </w:tc>
      </w:tr>
      <w:tr w14:paraId="3A6C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A2900C6">
            <w:pPr>
              <w:jc w:val="center"/>
              <w:outlineLvl w:val="9"/>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48DD76AC">
            <w:pPr>
              <w:outlineLvl w:val="9"/>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1FD9A2DA">
            <w:pPr>
              <w:outlineLvl w:val="9"/>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18715771">
            <w:pPr>
              <w:outlineLvl w:val="9"/>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27651999">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A12462E">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248DD6A4">
            <w:pPr>
              <w:outlineLvl w:val="9"/>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42CBA43A">
            <w:pPr>
              <w:outlineLvl w:val="9"/>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3035A419">
            <w:pPr>
              <w:outlineLvl w:val="9"/>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1B99EC53">
            <w:pPr>
              <w:outlineLvl w:val="9"/>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13044CE">
            <w:pPr>
              <w:outlineLvl w:val="9"/>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5B69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3B0E9E0">
            <w:pPr>
              <w:jc w:val="center"/>
              <w:outlineLvl w:val="9"/>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1998C456">
            <w:pPr>
              <w:outlineLvl w:val="9"/>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2FDC6522">
            <w:pPr>
              <w:outlineLvl w:val="9"/>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553A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DF32B7">
            <w:pPr>
              <w:jc w:val="center"/>
              <w:outlineLvl w:val="9"/>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2D47F3B1">
            <w:pPr>
              <w:outlineLvl w:val="9"/>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5454A04F">
            <w:pPr>
              <w:outlineLvl w:val="9"/>
              <w:rPr>
                <w:highlight w:val="none"/>
              </w:rPr>
            </w:pPr>
            <w:r>
              <w:rPr>
                <w:rFonts w:hint="eastAsia"/>
                <w:highlight w:val="none"/>
              </w:rPr>
              <w:t>响应文件递交截止时间：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12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cs="宋体"/>
                <w:highlight w:val="none"/>
                <w:u w:val="single"/>
                <w:lang w:val="en-US" w:eastAsia="zh-CN"/>
              </w:rPr>
              <w:t xml:space="preserve"> 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00 </w:t>
            </w:r>
            <w:r>
              <w:rPr>
                <w:rFonts w:hint="eastAsia" w:ascii="宋体" w:hAnsi="宋体" w:eastAsia="宋体" w:cs="宋体"/>
                <w:highlight w:val="none"/>
                <w:u w:val="single"/>
              </w:rPr>
              <w:t xml:space="preserve"> </w:t>
            </w:r>
            <w:r>
              <w:rPr>
                <w:rFonts w:hint="eastAsia" w:ascii="宋体" w:hAnsi="宋体" w:eastAsia="宋体" w:cs="宋体"/>
                <w:highlight w:val="none"/>
              </w:rPr>
              <w:t>分</w:t>
            </w:r>
          </w:p>
        </w:tc>
      </w:tr>
      <w:tr w14:paraId="5825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BD54EB0">
            <w:pPr>
              <w:jc w:val="center"/>
              <w:outlineLvl w:val="9"/>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5D03F69A">
            <w:pPr>
              <w:outlineLvl w:val="9"/>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63195DA0">
            <w:pPr>
              <w:outlineLvl w:val="9"/>
              <w:rPr>
                <w:rFonts w:ascii="宋体" w:hAnsi="宋体" w:cs="宋体"/>
                <w:szCs w:val="21"/>
                <w:highlight w:val="none"/>
              </w:rPr>
            </w:pPr>
            <w:r>
              <w:rPr>
                <w:rFonts w:hint="eastAsia" w:ascii="宋体" w:hAnsi="宋体" w:cs="宋体"/>
                <w:szCs w:val="21"/>
                <w:highlight w:val="none"/>
              </w:rPr>
              <w:t>谈判小组为</w:t>
            </w:r>
            <w:r>
              <w:rPr>
                <w:rFonts w:hint="eastAsia" w:ascii="宋体" w:hAnsi="宋体" w:cs="宋体"/>
                <w:szCs w:val="21"/>
                <w:highlight w:val="none"/>
                <w:lang w:val="en-US" w:eastAsia="zh-CN"/>
              </w:rPr>
              <w:t>3</w:t>
            </w:r>
            <w:r>
              <w:rPr>
                <w:rFonts w:hint="eastAsia" w:ascii="宋体" w:hAnsi="宋体" w:cs="宋体"/>
                <w:szCs w:val="21"/>
                <w:highlight w:val="none"/>
              </w:rPr>
              <w:t>人及以上单数组成。</w:t>
            </w:r>
          </w:p>
        </w:tc>
      </w:tr>
      <w:tr w14:paraId="2751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34" w:type="dxa"/>
            <w:tcBorders>
              <w:top w:val="single" w:color="auto" w:sz="4" w:space="0"/>
              <w:left w:val="single" w:color="auto" w:sz="4" w:space="0"/>
              <w:bottom w:val="single" w:color="auto" w:sz="4" w:space="0"/>
              <w:right w:val="single" w:color="auto" w:sz="4" w:space="0"/>
            </w:tcBorders>
            <w:vAlign w:val="center"/>
          </w:tcPr>
          <w:p w14:paraId="53D20011">
            <w:pPr>
              <w:jc w:val="center"/>
              <w:outlineLvl w:val="9"/>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0252A1DB">
            <w:pPr>
              <w:outlineLvl w:val="9"/>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799D4FF5">
            <w:pPr>
              <w:outlineLvl w:val="9"/>
              <w:rPr>
                <w:rFonts w:ascii="宋体" w:hAnsi="宋体" w:cs="宋体"/>
                <w:szCs w:val="21"/>
                <w:highlight w:val="none"/>
              </w:rPr>
            </w:pPr>
            <w:r>
              <w:rPr>
                <w:rFonts w:hint="eastAsia" w:ascii="宋体" w:hAnsi="宋体" w:cs="宋体"/>
                <w:szCs w:val="21"/>
                <w:highlight w:val="none"/>
              </w:rPr>
              <w:t>开启响应文件开始时间：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11 </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cs="宋体"/>
                <w:highlight w:val="none"/>
                <w:u w:val="single"/>
                <w:lang w:val="en-US" w:eastAsia="zh-CN"/>
              </w:rPr>
              <w:t xml:space="preserve"> 12 </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10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00 </w:t>
            </w:r>
            <w:r>
              <w:rPr>
                <w:rFonts w:hint="eastAsia" w:ascii="宋体" w:hAnsi="宋体" w:eastAsia="宋体" w:cs="宋体"/>
                <w:highlight w:val="none"/>
                <w:u w:val="single"/>
              </w:rPr>
              <w:t xml:space="preserve"> </w:t>
            </w:r>
            <w:r>
              <w:rPr>
                <w:rFonts w:hint="eastAsia" w:ascii="宋体" w:hAnsi="宋体" w:eastAsia="宋体" w:cs="宋体"/>
                <w:highlight w:val="none"/>
              </w:rPr>
              <w:t>分</w:t>
            </w:r>
          </w:p>
          <w:p w14:paraId="1162AD8C">
            <w:pPr>
              <w:outlineLvl w:val="9"/>
              <w:rPr>
                <w:rFonts w:ascii="宋体" w:hAnsi="宋体" w:cs="宋体"/>
                <w:szCs w:val="21"/>
                <w:highlight w:val="none"/>
              </w:rPr>
            </w:pPr>
            <w:r>
              <w:rPr>
                <w:rFonts w:hint="eastAsia" w:ascii="宋体" w:hAnsi="宋体" w:cs="宋体"/>
                <w:szCs w:val="21"/>
                <w:highlight w:val="none"/>
              </w:rPr>
              <w:t>地点：</w:t>
            </w:r>
            <w:r>
              <w:rPr>
                <w:rFonts w:hint="eastAsia" w:ascii="宋体" w:hAnsi="宋体" w:cs="宋体"/>
                <w:color w:val="auto"/>
                <w:sz w:val="24"/>
                <w:szCs w:val="24"/>
                <w:highlight w:val="none"/>
                <w:u w:val="single"/>
                <w:lang w:val="en-US" w:eastAsia="zh-CN"/>
              </w:rPr>
              <w:t xml:space="preserve">  玉溪市华宁县青龙镇小平宾馆三楼会议室    </w:t>
            </w:r>
          </w:p>
        </w:tc>
      </w:tr>
      <w:tr w14:paraId="1C9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1FB45BA">
            <w:pPr>
              <w:jc w:val="center"/>
              <w:outlineLvl w:val="9"/>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02C855B6">
            <w:pPr>
              <w:jc w:val="left"/>
              <w:outlineLvl w:val="9"/>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7705809A">
            <w:pPr>
              <w:outlineLvl w:val="9"/>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第一轮为密封报价；经谈判小组评审通过资格评审和符合性评审的供应商将进入到下一轮与采购人进行谈判、报价。</w:t>
            </w:r>
          </w:p>
        </w:tc>
      </w:tr>
      <w:tr w14:paraId="1CD6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0562C34">
            <w:pPr>
              <w:jc w:val="center"/>
              <w:outlineLvl w:val="9"/>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313FA39C">
            <w:pPr>
              <w:jc w:val="left"/>
              <w:outlineLvl w:val="9"/>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275FC37A">
            <w:pPr>
              <w:outlineLvl w:val="9"/>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1.谈判小组根据所有供应商提交的响应文件及第一轮报价情况进行初步评审，只有通过初步评审的供应商才能进入到下一轮谈判、报价阶段。</w:t>
            </w:r>
          </w:p>
          <w:p w14:paraId="3D677E4D">
            <w:pPr>
              <w:outlineLvl w:val="9"/>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w:t>
            </w:r>
          </w:p>
          <w:p w14:paraId="7E841115">
            <w:pPr>
              <w:outlineLvl w:val="9"/>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057AB399">
            <w:pPr>
              <w:outlineLvl w:val="9"/>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679F7355">
            <w:pPr>
              <w:outlineLvl w:val="9"/>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4FDA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8BC5B35">
            <w:pPr>
              <w:jc w:val="center"/>
              <w:outlineLvl w:val="9"/>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660123DD">
            <w:pPr>
              <w:outlineLvl w:val="9"/>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7FB208EA">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43F2CFDF">
            <w:pPr>
              <w:outlineLvl w:val="9"/>
              <w:rPr>
                <w:rFonts w:ascii="宋体" w:hAnsi="宋体" w:cs="宋体"/>
                <w:color w:val="000000"/>
                <w:szCs w:val="22"/>
                <w:highlight w:val="none"/>
              </w:rPr>
            </w:pPr>
            <w:r>
              <w:rPr>
                <w:rFonts w:hint="eastAsia" w:ascii="宋体" w:hAnsi="宋体" w:cs="宋体"/>
                <w:color w:val="000000"/>
                <w:szCs w:val="22"/>
                <w:highlight w:val="none"/>
                <w:lang w:eastAsia="zh-CN"/>
              </w:rPr>
              <w:t>□</w:t>
            </w: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合同价格10%</w:t>
            </w:r>
          </w:p>
          <w:p w14:paraId="1C99FDC0">
            <w:pPr>
              <w:outlineLvl w:val="9"/>
              <w:rPr>
                <w:rFonts w:hint="default" w:ascii="宋体" w:hAnsi="宋体" w:cs="宋体"/>
                <w:szCs w:val="21"/>
                <w:highlight w:val="none"/>
              </w:rPr>
            </w:pPr>
            <w:r>
              <w:rPr>
                <w:rFonts w:hint="eastAsia" w:ascii="宋体" w:hAnsi="宋体" w:cs="宋体"/>
                <w:color w:val="000000"/>
                <w:szCs w:val="22"/>
                <w:highlight w:val="none"/>
              </w:rPr>
              <w:t>履约担保形式：</w:t>
            </w:r>
            <w:r>
              <w:rPr>
                <w:rFonts w:hint="default" w:ascii="宋体" w:hAnsi="宋体" w:cs="宋体"/>
                <w:color w:val="000000"/>
                <w:szCs w:val="22"/>
                <w:highlight w:val="none"/>
                <w:u w:val="single"/>
              </w:rPr>
              <w:t>银行保函</w:t>
            </w:r>
          </w:p>
        </w:tc>
      </w:tr>
      <w:tr w14:paraId="150E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8A4965F">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5A209AB8">
            <w:pPr>
              <w:outlineLvl w:val="9"/>
              <w:rPr>
                <w:rFonts w:ascii="宋体" w:hAnsi="宋体" w:cs="宋体"/>
                <w:b/>
                <w:bCs/>
                <w:szCs w:val="21"/>
                <w:highlight w:val="none"/>
              </w:rPr>
            </w:pPr>
            <w:r>
              <w:rPr>
                <w:rFonts w:hint="eastAsia" w:ascii="宋体" w:hAnsi="宋体" w:cs="宋体"/>
                <w:b/>
                <w:bCs/>
                <w:szCs w:val="21"/>
                <w:highlight w:val="none"/>
              </w:rPr>
              <w:t>其他需要补充的内容</w:t>
            </w:r>
          </w:p>
        </w:tc>
      </w:tr>
      <w:tr w14:paraId="757A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ED348B4">
            <w:pPr>
              <w:jc w:val="center"/>
              <w:outlineLvl w:val="9"/>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6A554A5B">
            <w:pPr>
              <w:widowControl w:val="0"/>
              <w:jc w:val="both"/>
              <w:outlineLvl w:val="9"/>
              <w:rPr>
                <w:rFonts w:ascii="宋体" w:hAnsi="宋体" w:cs="宋体"/>
                <w:b/>
                <w:bCs/>
                <w:szCs w:val="21"/>
                <w:highlight w:val="none"/>
              </w:rPr>
            </w:pPr>
            <w:r>
              <w:rPr>
                <w:rFonts w:hint="eastAsia" w:ascii="宋体" w:hAnsi="宋体" w:eastAsia="宋体" w:cs="宋体"/>
                <w:b/>
                <w:bCs/>
                <w:color w:val="auto"/>
                <w:kern w:val="2"/>
                <w:sz w:val="21"/>
                <w:szCs w:val="21"/>
                <w:highlight w:val="none"/>
                <w:lang w:val="en-US" w:eastAsia="zh-CN" w:bidi="ar-SA"/>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352A1F8B">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1.谈判响应文件的提交及份数：纸质正本1份，纸质副本</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份，电子版本1份（</w:t>
            </w:r>
            <w:r>
              <w:rPr>
                <w:rFonts w:hint="eastAsia" w:ascii="宋体" w:hAnsi="宋体" w:cs="宋体"/>
                <w:color w:val="auto"/>
                <w:kern w:val="2"/>
                <w:sz w:val="21"/>
                <w:szCs w:val="21"/>
                <w:highlight w:val="none"/>
                <w:lang w:val="en-US" w:eastAsia="zh-CN" w:bidi="ar-SA"/>
              </w:rPr>
              <w:t>商务部分、技术/商务偏离表</w:t>
            </w:r>
            <w:r>
              <w:rPr>
                <w:rFonts w:hint="eastAsia" w:ascii="宋体" w:hAnsi="宋体" w:eastAsia="宋体" w:cs="宋体"/>
                <w:color w:val="auto"/>
                <w:kern w:val="2"/>
                <w:sz w:val="21"/>
                <w:szCs w:val="21"/>
                <w:highlight w:val="none"/>
                <w:lang w:val="en-US" w:eastAsia="zh-CN" w:bidi="ar-SA"/>
              </w:rPr>
              <w:t>必须是签字盖章齐全的PDF格式扫描件，</w:t>
            </w:r>
            <w:r>
              <w:rPr>
                <w:rFonts w:hint="eastAsia" w:ascii="宋体" w:hAnsi="宋体" w:cs="宋体"/>
                <w:color w:val="auto"/>
                <w:kern w:val="2"/>
                <w:sz w:val="21"/>
                <w:szCs w:val="21"/>
                <w:highlight w:val="none"/>
                <w:lang w:val="en-US" w:eastAsia="zh-CN" w:bidi="ar-SA"/>
              </w:rPr>
              <w:t>技术部分</w:t>
            </w:r>
            <w:r>
              <w:rPr>
                <w:rFonts w:hint="eastAsia" w:ascii="宋体" w:hAnsi="宋体" w:eastAsia="宋体" w:cs="宋体"/>
                <w:color w:val="auto"/>
                <w:kern w:val="2"/>
                <w:sz w:val="21"/>
                <w:szCs w:val="21"/>
                <w:highlight w:val="none"/>
                <w:lang w:val="en-US" w:eastAsia="zh-CN" w:bidi="ar-SA"/>
              </w:rPr>
              <w:t>可以采用word或PPT格式，采用U盘存储），统一密封在一个封包内，封口处均应加盖“密封”章或公章，密封袋上应写明：</w:t>
            </w:r>
          </w:p>
          <w:p w14:paraId="0F0358EE">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项目名称：</w:t>
            </w:r>
            <w:r>
              <w:rPr>
                <w:rFonts w:hint="eastAsia" w:ascii="宋体" w:hAnsi="宋体" w:cs="宋体"/>
                <w:color w:val="auto"/>
                <w:kern w:val="2"/>
                <w:sz w:val="24"/>
                <w:szCs w:val="24"/>
                <w:highlight w:val="none"/>
                <w:u w:val="single"/>
                <w:lang w:val="en-US" w:eastAsia="zh-CN" w:bidi="ar-SA"/>
              </w:rPr>
              <w:t>大龙山风电场（二期）项目工程招标控制价编制及全过程造价控制咨询服务</w:t>
            </w:r>
          </w:p>
          <w:p w14:paraId="72C3F518">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谈判申请文件在</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11</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12</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10</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color w:val="auto"/>
                <w:kern w:val="2"/>
                <w:sz w:val="21"/>
                <w:szCs w:val="21"/>
                <w:highlight w:val="none"/>
                <w:lang w:val="en-US" w:eastAsia="zh-CN" w:bidi="ar-SA"/>
              </w:rPr>
              <w:t>（开标时间）前不得开启。</w:t>
            </w:r>
          </w:p>
          <w:p w14:paraId="2A28972F">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2.谈判响应文件用A4幅面出版，竖向左侧热熔胶装方式装订，文件装订应牢固，</w:t>
            </w:r>
            <w:r>
              <w:rPr>
                <w:rFonts w:hint="eastAsia" w:ascii="宋体" w:hAnsi="宋体" w:eastAsia="宋体" w:cs="宋体"/>
                <w:color w:val="auto"/>
                <w:szCs w:val="22"/>
                <w:highlight w:val="none"/>
              </w:rPr>
              <w:t>不得活页装订，否则该</w:t>
            </w:r>
            <w:r>
              <w:rPr>
                <w:rFonts w:hint="eastAsia" w:ascii="宋体" w:hAnsi="宋体" w:eastAsia="宋体" w:cs="宋体"/>
                <w:color w:val="auto"/>
                <w:szCs w:val="21"/>
                <w:highlight w:val="none"/>
              </w:rPr>
              <w:t>纸质响应</w:t>
            </w:r>
            <w:r>
              <w:rPr>
                <w:rFonts w:hint="eastAsia" w:ascii="宋体" w:hAnsi="宋体" w:eastAsia="宋体" w:cs="宋体"/>
                <w:color w:val="auto"/>
                <w:szCs w:val="22"/>
                <w:highlight w:val="none"/>
              </w:rPr>
              <w:t>文件将被拒绝</w:t>
            </w:r>
            <w:r>
              <w:rPr>
                <w:rFonts w:hint="eastAsia" w:ascii="宋体" w:hAnsi="宋体" w:eastAsia="宋体" w:cs="宋体"/>
                <w:color w:val="auto"/>
                <w:kern w:val="2"/>
                <w:sz w:val="21"/>
                <w:szCs w:val="21"/>
                <w:highlight w:val="none"/>
                <w:lang w:val="en-US" w:eastAsia="zh-CN" w:bidi="ar-SA"/>
              </w:rPr>
              <w:t>，采购人对于谈判响应文件装订松散而造成的丢失或其他后果不承担任何责任。</w:t>
            </w:r>
          </w:p>
          <w:p w14:paraId="087D3116">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3.谈判响应文件应编制目录并逐页标注连续页码，建议采用双面打印；</w:t>
            </w:r>
          </w:p>
          <w:p w14:paraId="3B8F58E6">
            <w:pPr>
              <w:widowControl w:val="0"/>
              <w:jc w:val="both"/>
              <w:outlineLvl w:val="9"/>
              <w:rPr>
                <w:rFonts w:ascii="宋体" w:hAnsi="宋体" w:cs="宋体"/>
                <w:szCs w:val="22"/>
                <w:highlight w:val="none"/>
              </w:rPr>
            </w:pPr>
            <w:r>
              <w:rPr>
                <w:rFonts w:hint="eastAsia" w:ascii="宋体" w:hAnsi="宋体" w:eastAsia="宋体" w:cs="宋体"/>
                <w:color w:val="auto"/>
                <w:kern w:val="2"/>
                <w:sz w:val="21"/>
                <w:szCs w:val="21"/>
                <w:highlight w:val="none"/>
                <w:lang w:val="en-US" w:eastAsia="zh-CN" w:bidi="ar-SA"/>
              </w:rPr>
              <w:t>4.最终报价无需装订，需单独密封送达谈判现场。</w:t>
            </w:r>
          </w:p>
        </w:tc>
      </w:tr>
      <w:tr w14:paraId="667D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6C2F30D">
            <w:pPr>
              <w:jc w:val="center"/>
              <w:outlineLvl w:val="9"/>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54E35EC2">
            <w:pPr>
              <w:outlineLvl w:val="9"/>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5AFAC1D5">
            <w:pPr>
              <w:outlineLvl w:val="9"/>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0861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D6BBC82">
            <w:pPr>
              <w:jc w:val="center"/>
              <w:outlineLvl w:val="9"/>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647C7F2D">
            <w:pPr>
              <w:jc w:val="left"/>
              <w:outlineLvl w:val="9"/>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404857D7">
            <w:pPr>
              <w:jc w:val="left"/>
              <w:outlineLvl w:val="9"/>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429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AB9F3B6">
            <w:pPr>
              <w:jc w:val="center"/>
              <w:outlineLvl w:val="9"/>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77423DFD">
            <w:pPr>
              <w:jc w:val="left"/>
              <w:outlineLvl w:val="9"/>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0B8DC687">
            <w:pPr>
              <w:jc w:val="left"/>
              <w:outlineLvl w:val="9"/>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7BD6B308">
            <w:pPr>
              <w:jc w:val="left"/>
              <w:outlineLvl w:val="9"/>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4AA21D10">
            <w:pPr>
              <w:jc w:val="left"/>
              <w:outlineLvl w:val="9"/>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小组成员不得收受他人的财物或者其他好处，不得向他人透漏对报价文件的评审和比较、成交候选人的推荐情况以及竞谈有关的其他情况。在竞谈活动中，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5701E06D">
            <w:pPr>
              <w:jc w:val="left"/>
              <w:outlineLvl w:val="9"/>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7F379F0E">
            <w:pPr>
              <w:jc w:val="left"/>
              <w:outlineLvl w:val="9"/>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13C81480">
      <w:pPr>
        <w:pStyle w:val="142"/>
        <w:numPr>
          <w:ilvl w:val="255"/>
          <w:numId w:val="0"/>
        </w:numPr>
        <w:tabs>
          <w:tab w:val="left" w:pos="3005"/>
        </w:tabs>
        <w:spacing w:line="360" w:lineRule="auto"/>
        <w:ind w:left="316"/>
        <w:outlineLvl w:val="2"/>
        <w:rPr>
          <w:rFonts w:ascii="宋体" w:hAnsi="宋体" w:cs="宋体"/>
          <w:highlight w:val="none"/>
        </w:rPr>
      </w:pPr>
      <w:r>
        <w:rPr>
          <w:rFonts w:hint="eastAsia" w:ascii="宋体" w:hAnsi="宋体" w:cs="宋体"/>
          <w:highlight w:val="none"/>
        </w:rPr>
        <w:br w:type="page"/>
      </w:r>
    </w:p>
    <w:p w14:paraId="2678A328">
      <w:pPr>
        <w:spacing w:line="360" w:lineRule="auto"/>
        <w:outlineLvl w:val="1"/>
        <w:rPr>
          <w:rFonts w:ascii="宋体" w:hAnsi="宋体" w:cs="宋体"/>
          <w:sz w:val="28"/>
          <w:szCs w:val="28"/>
          <w:highlight w:val="none"/>
        </w:rPr>
      </w:pPr>
      <w:bookmarkStart w:id="140" w:name="_Toc36460118"/>
      <w:r>
        <w:rPr>
          <w:rFonts w:hint="eastAsia" w:ascii="宋体" w:hAnsi="宋体" w:cs="宋体"/>
          <w:b/>
          <w:sz w:val="24"/>
          <w:highlight w:val="none"/>
        </w:rPr>
        <w:t>1.适用范围</w:t>
      </w:r>
      <w:bookmarkEnd w:id="140"/>
    </w:p>
    <w:p w14:paraId="71167F0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66AC5BE4">
      <w:pPr>
        <w:spacing w:line="360" w:lineRule="auto"/>
        <w:outlineLvl w:val="1"/>
        <w:rPr>
          <w:rFonts w:ascii="宋体" w:hAnsi="宋体" w:cs="宋体"/>
          <w:b/>
          <w:sz w:val="24"/>
          <w:highlight w:val="none"/>
        </w:rPr>
      </w:pPr>
      <w:bookmarkStart w:id="141" w:name="_Toc36460119"/>
      <w:r>
        <w:rPr>
          <w:rFonts w:hint="eastAsia" w:ascii="宋体" w:hAnsi="宋体" w:cs="宋体"/>
          <w:b/>
          <w:sz w:val="24"/>
          <w:highlight w:val="none"/>
        </w:rPr>
        <w:t>2.定义</w:t>
      </w:r>
      <w:bookmarkEnd w:id="141"/>
    </w:p>
    <w:p w14:paraId="1E697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1AEFA9B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56DE660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79CEAF1A">
      <w:pPr>
        <w:spacing w:line="360" w:lineRule="auto"/>
        <w:outlineLvl w:val="1"/>
        <w:rPr>
          <w:rFonts w:ascii="宋体" w:hAnsi="宋体" w:cs="宋体"/>
          <w:b/>
          <w:sz w:val="24"/>
          <w:highlight w:val="none"/>
        </w:rPr>
      </w:pPr>
      <w:bookmarkStart w:id="142" w:name="_Toc36460120"/>
      <w:r>
        <w:rPr>
          <w:rFonts w:hint="eastAsia" w:ascii="宋体" w:hAnsi="宋体" w:cs="宋体"/>
          <w:b/>
          <w:sz w:val="24"/>
          <w:highlight w:val="none"/>
        </w:rPr>
        <w:t>3.竞争性谈判费用</w:t>
      </w:r>
      <w:bookmarkEnd w:id="142"/>
    </w:p>
    <w:p w14:paraId="7887078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783354C3">
      <w:pPr>
        <w:spacing w:line="360" w:lineRule="auto"/>
        <w:outlineLvl w:val="1"/>
        <w:rPr>
          <w:rFonts w:ascii="宋体" w:hAnsi="宋体" w:cs="宋体"/>
          <w:b/>
          <w:sz w:val="24"/>
          <w:highlight w:val="none"/>
        </w:rPr>
      </w:pPr>
      <w:bookmarkStart w:id="143" w:name="_Toc36460121"/>
      <w:r>
        <w:rPr>
          <w:rFonts w:hint="eastAsia" w:ascii="宋体" w:hAnsi="宋体" w:cs="宋体"/>
          <w:b/>
          <w:sz w:val="24"/>
          <w:highlight w:val="none"/>
        </w:rPr>
        <w:t>4.现场踏勘</w:t>
      </w:r>
      <w:bookmarkEnd w:id="143"/>
    </w:p>
    <w:p w14:paraId="46EE89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4.1 供应商须知前附表规定组织踏勘现场的，采购人按供应商须知前附表规定的时间、地点组织供应商踏勘项目现场。</w:t>
      </w:r>
    </w:p>
    <w:p w14:paraId="5776633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1EFBBC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13E8CD1">
      <w:pPr>
        <w:spacing w:line="360" w:lineRule="auto"/>
        <w:outlineLvl w:val="1"/>
        <w:rPr>
          <w:rFonts w:ascii="宋体" w:hAnsi="宋体" w:cs="宋体"/>
          <w:b/>
          <w:sz w:val="24"/>
          <w:highlight w:val="none"/>
        </w:rPr>
      </w:pPr>
      <w:bookmarkStart w:id="144" w:name="_Toc36460122"/>
      <w:r>
        <w:rPr>
          <w:rFonts w:hint="eastAsia" w:ascii="宋体" w:hAnsi="宋体" w:cs="宋体"/>
          <w:b/>
          <w:sz w:val="24"/>
          <w:highlight w:val="none"/>
        </w:rPr>
        <w:t>5.采购文件的构成</w:t>
      </w:r>
      <w:bookmarkEnd w:id="144"/>
    </w:p>
    <w:p w14:paraId="4C60EBD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1742D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第一章 采购公告</w:t>
      </w:r>
    </w:p>
    <w:p w14:paraId="5B410ED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第二章 供应商须知及前附表</w:t>
      </w:r>
    </w:p>
    <w:p w14:paraId="6929598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第三章 评审办法</w:t>
      </w:r>
    </w:p>
    <w:p w14:paraId="791E1727">
      <w:pPr>
        <w:spacing w:line="360" w:lineRule="auto"/>
        <w:ind w:firstLine="480" w:firstLineChars="200"/>
        <w:outlineLvl w:val="9"/>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第四章 合同</w:t>
      </w:r>
      <w:r>
        <w:rPr>
          <w:rFonts w:hint="eastAsia" w:ascii="宋体" w:hAnsi="宋体" w:cs="宋体"/>
          <w:sz w:val="24"/>
          <w:szCs w:val="24"/>
          <w:highlight w:val="none"/>
          <w:lang w:val="en-US" w:eastAsia="zh-CN"/>
        </w:rPr>
        <w:t>条款及格式</w:t>
      </w:r>
    </w:p>
    <w:p w14:paraId="5A0823F1">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采购人要求</w:t>
      </w:r>
    </w:p>
    <w:p w14:paraId="743010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第六章 响应文件格式</w:t>
      </w:r>
    </w:p>
    <w:p w14:paraId="430786F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80CCF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响应文件一经递交成功即表示供应商确认采购文件的法律效力，并对此采购文件提出的要求做出相应的响应，承担与采购文件要求相适应的民事、经济和法律责任。</w:t>
      </w:r>
    </w:p>
    <w:p w14:paraId="6139BD7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5C390465">
      <w:pPr>
        <w:spacing w:line="360" w:lineRule="auto"/>
        <w:outlineLvl w:val="1"/>
        <w:rPr>
          <w:rFonts w:ascii="宋体" w:hAnsi="宋体" w:cs="宋体"/>
          <w:b/>
          <w:sz w:val="24"/>
          <w:highlight w:val="none"/>
        </w:rPr>
      </w:pPr>
      <w:bookmarkStart w:id="145" w:name="_Toc36460123"/>
      <w:r>
        <w:rPr>
          <w:rFonts w:hint="eastAsia" w:ascii="宋体" w:hAnsi="宋体" w:cs="宋体"/>
          <w:b/>
          <w:sz w:val="24"/>
          <w:highlight w:val="none"/>
        </w:rPr>
        <w:t>6.采购文件的澄清、修改、补充</w:t>
      </w:r>
      <w:bookmarkEnd w:id="145"/>
    </w:p>
    <w:p w14:paraId="53167B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34A3BC4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3371B7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0F3839EB">
      <w:pPr>
        <w:spacing w:line="360" w:lineRule="auto"/>
        <w:outlineLvl w:val="1"/>
        <w:rPr>
          <w:rFonts w:ascii="宋体" w:hAnsi="宋体" w:cs="宋体"/>
          <w:b/>
          <w:sz w:val="24"/>
          <w:highlight w:val="none"/>
        </w:rPr>
      </w:pPr>
      <w:bookmarkStart w:id="146" w:name="_Toc36460124"/>
      <w:r>
        <w:rPr>
          <w:rFonts w:hint="eastAsia" w:ascii="宋体" w:hAnsi="宋体" w:cs="宋体"/>
          <w:b/>
          <w:sz w:val="24"/>
          <w:highlight w:val="none"/>
        </w:rPr>
        <w:t>7.编制基本要求</w:t>
      </w:r>
      <w:bookmarkEnd w:id="146"/>
    </w:p>
    <w:p w14:paraId="536A292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6742DCF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6BA701A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6ADA15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0863092D">
      <w:pPr>
        <w:spacing w:line="360" w:lineRule="auto"/>
        <w:outlineLvl w:val="1"/>
        <w:rPr>
          <w:rFonts w:ascii="宋体" w:hAnsi="宋体" w:cs="宋体"/>
          <w:b/>
          <w:sz w:val="24"/>
          <w:highlight w:val="none"/>
        </w:rPr>
      </w:pPr>
      <w:bookmarkStart w:id="147" w:name="_Toc36460125"/>
      <w:r>
        <w:rPr>
          <w:rFonts w:hint="eastAsia" w:ascii="宋体" w:hAnsi="宋体" w:cs="宋体"/>
          <w:b/>
          <w:sz w:val="24"/>
          <w:highlight w:val="none"/>
        </w:rPr>
        <w:t>8.语言和计量单位</w:t>
      </w:r>
      <w:bookmarkEnd w:id="147"/>
    </w:p>
    <w:p w14:paraId="54877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响应文件及供应商与采购人之间的凡与采购有关的来往信函和文件均使用中文，若其中有其它语言的书面材料，则应附有中文译文，并以中文译文为准。</w:t>
      </w:r>
    </w:p>
    <w:p w14:paraId="4316A1D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66A1A8F4">
      <w:pPr>
        <w:spacing w:line="360" w:lineRule="auto"/>
        <w:outlineLvl w:val="1"/>
        <w:rPr>
          <w:rFonts w:ascii="宋体" w:hAnsi="宋体" w:cs="宋体"/>
          <w:b/>
          <w:sz w:val="24"/>
          <w:highlight w:val="none"/>
        </w:rPr>
      </w:pPr>
      <w:bookmarkStart w:id="148" w:name="_Toc36460126"/>
      <w:r>
        <w:rPr>
          <w:rFonts w:hint="eastAsia" w:ascii="宋体" w:hAnsi="宋体" w:cs="宋体"/>
          <w:b/>
          <w:sz w:val="24"/>
          <w:highlight w:val="none"/>
        </w:rPr>
        <w:t>9.报价</w:t>
      </w:r>
      <w:bookmarkEnd w:id="148"/>
    </w:p>
    <w:p w14:paraId="63DCEEE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5F5814A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700ED26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605EDB4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5913B8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0758D1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7CDBCA10">
      <w:pPr>
        <w:spacing w:line="360" w:lineRule="auto"/>
        <w:outlineLvl w:val="1"/>
        <w:rPr>
          <w:rFonts w:ascii="宋体" w:hAnsi="宋体" w:cs="宋体"/>
          <w:b/>
          <w:sz w:val="24"/>
          <w:highlight w:val="none"/>
        </w:rPr>
      </w:pPr>
      <w:bookmarkStart w:id="149" w:name="_Toc36460127"/>
      <w:r>
        <w:rPr>
          <w:rFonts w:hint="eastAsia" w:ascii="宋体" w:hAnsi="宋体" w:cs="宋体"/>
          <w:b/>
          <w:sz w:val="24"/>
          <w:highlight w:val="none"/>
        </w:rPr>
        <w:t>10.报价货币</w:t>
      </w:r>
      <w:bookmarkEnd w:id="149"/>
    </w:p>
    <w:p w14:paraId="7B3045B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472CB1DB">
      <w:pPr>
        <w:spacing w:line="360" w:lineRule="auto"/>
        <w:outlineLvl w:val="1"/>
        <w:rPr>
          <w:rFonts w:ascii="宋体" w:hAnsi="宋体" w:cs="宋体"/>
          <w:b/>
          <w:sz w:val="24"/>
          <w:highlight w:val="none"/>
        </w:rPr>
      </w:pPr>
      <w:bookmarkStart w:id="150" w:name="_Toc36460128"/>
      <w:r>
        <w:rPr>
          <w:rFonts w:hint="eastAsia" w:ascii="宋体" w:hAnsi="宋体" w:cs="宋体"/>
          <w:b/>
          <w:sz w:val="24"/>
          <w:highlight w:val="none"/>
        </w:rPr>
        <w:t>11.响应保证金</w:t>
      </w:r>
      <w:bookmarkEnd w:id="150"/>
    </w:p>
    <w:p w14:paraId="491ED2A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C08E02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195121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DE0F28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4F1BE63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4F6149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11.4 响应保证金的退还</w:t>
      </w:r>
    </w:p>
    <w:p w14:paraId="24B13C7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58165B6A">
      <w:pPr>
        <w:spacing w:line="360" w:lineRule="auto"/>
        <w:outlineLvl w:val="1"/>
        <w:rPr>
          <w:rFonts w:ascii="宋体" w:hAnsi="宋体" w:cs="宋体"/>
          <w:b/>
          <w:sz w:val="24"/>
          <w:highlight w:val="none"/>
        </w:rPr>
      </w:pPr>
      <w:bookmarkStart w:id="151" w:name="_Toc36460129"/>
      <w:r>
        <w:rPr>
          <w:rFonts w:hint="eastAsia" w:ascii="宋体" w:hAnsi="宋体" w:cs="宋体"/>
          <w:b/>
          <w:sz w:val="24"/>
          <w:highlight w:val="none"/>
        </w:rPr>
        <w:t>12.采购有效期</w:t>
      </w:r>
      <w:bookmarkEnd w:id="151"/>
    </w:p>
    <w:p w14:paraId="20BD81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3C3E72A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311B03A4">
      <w:pPr>
        <w:spacing w:line="360" w:lineRule="auto"/>
        <w:outlineLvl w:val="1"/>
        <w:rPr>
          <w:rFonts w:ascii="宋体" w:hAnsi="宋体" w:cs="宋体"/>
          <w:b/>
          <w:sz w:val="24"/>
          <w:highlight w:val="none"/>
        </w:rPr>
      </w:pPr>
      <w:bookmarkStart w:id="152" w:name="_Toc36460130"/>
      <w:r>
        <w:rPr>
          <w:rFonts w:hint="eastAsia" w:ascii="宋体" w:hAnsi="宋体" w:cs="宋体"/>
          <w:b/>
          <w:sz w:val="24"/>
          <w:highlight w:val="none"/>
        </w:rPr>
        <w:t>13.响应文件递交截止时间及地点</w:t>
      </w:r>
      <w:bookmarkEnd w:id="152"/>
    </w:p>
    <w:p w14:paraId="674B83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6914A0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5DB9B3CE">
      <w:pPr>
        <w:spacing w:line="360" w:lineRule="auto"/>
        <w:outlineLvl w:val="1"/>
        <w:rPr>
          <w:rFonts w:ascii="宋体" w:hAnsi="宋体" w:cs="宋体"/>
          <w:b/>
          <w:sz w:val="24"/>
          <w:highlight w:val="none"/>
        </w:rPr>
      </w:pPr>
      <w:bookmarkStart w:id="153" w:name="_Toc36460131"/>
      <w:r>
        <w:rPr>
          <w:rFonts w:hint="eastAsia" w:ascii="宋体" w:hAnsi="宋体" w:cs="宋体"/>
          <w:b/>
          <w:sz w:val="24"/>
          <w:highlight w:val="none"/>
        </w:rPr>
        <w:t>14.响应文件的修改和撤销</w:t>
      </w:r>
      <w:bookmarkEnd w:id="153"/>
    </w:p>
    <w:p w14:paraId="0C0060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2C447F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74742296">
      <w:pPr>
        <w:spacing w:line="360" w:lineRule="auto"/>
        <w:outlineLvl w:val="1"/>
        <w:rPr>
          <w:rFonts w:ascii="宋体" w:hAnsi="宋体" w:cs="宋体"/>
          <w:b/>
          <w:sz w:val="24"/>
          <w:highlight w:val="none"/>
        </w:rPr>
      </w:pPr>
      <w:bookmarkStart w:id="154" w:name="_Toc36460132"/>
      <w:r>
        <w:rPr>
          <w:rFonts w:hint="eastAsia" w:ascii="宋体" w:hAnsi="宋体" w:cs="宋体"/>
          <w:b/>
          <w:sz w:val="24"/>
          <w:highlight w:val="none"/>
        </w:rPr>
        <w:t>15.谈判小组</w:t>
      </w:r>
      <w:bookmarkEnd w:id="154"/>
    </w:p>
    <w:p w14:paraId="1BE3BD4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有限公司采购管理制度》及有关法律、法规的规定组建谈判小组。</w:t>
      </w:r>
    </w:p>
    <w:p w14:paraId="48BD685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1A6A04AB">
      <w:pPr>
        <w:spacing w:line="360" w:lineRule="auto"/>
        <w:outlineLvl w:val="1"/>
        <w:rPr>
          <w:rFonts w:ascii="宋体" w:hAnsi="宋体" w:cs="宋体"/>
          <w:b/>
          <w:sz w:val="24"/>
          <w:highlight w:val="none"/>
        </w:rPr>
      </w:pPr>
      <w:bookmarkStart w:id="155" w:name="_Toc36460133"/>
      <w:r>
        <w:rPr>
          <w:rFonts w:hint="eastAsia" w:ascii="宋体" w:hAnsi="宋体" w:cs="宋体"/>
          <w:b/>
          <w:sz w:val="24"/>
          <w:highlight w:val="none"/>
        </w:rPr>
        <w:t>16.开启响应文件</w:t>
      </w:r>
      <w:bookmarkEnd w:id="155"/>
    </w:p>
    <w:p w14:paraId="45F669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00F51F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3E5F88A2">
      <w:pPr>
        <w:spacing w:line="360" w:lineRule="auto"/>
        <w:outlineLvl w:val="1"/>
        <w:rPr>
          <w:rFonts w:ascii="宋体" w:hAnsi="宋体" w:cs="宋体"/>
          <w:b/>
          <w:sz w:val="24"/>
          <w:highlight w:val="none"/>
        </w:rPr>
      </w:pPr>
      <w:bookmarkStart w:id="156" w:name="_Toc36460134"/>
      <w:r>
        <w:rPr>
          <w:rFonts w:hint="eastAsia" w:ascii="宋体" w:hAnsi="宋体" w:cs="宋体"/>
          <w:b/>
          <w:sz w:val="24"/>
          <w:highlight w:val="none"/>
        </w:rPr>
        <w:t>17</w:t>
      </w:r>
      <w:bookmarkEnd w:id="156"/>
      <w:r>
        <w:rPr>
          <w:rFonts w:hint="eastAsia" w:ascii="宋体" w:hAnsi="宋体" w:cs="宋体"/>
          <w:b/>
          <w:sz w:val="24"/>
          <w:highlight w:val="none"/>
        </w:rPr>
        <w:t>.</w:t>
      </w:r>
      <w:r>
        <w:rPr>
          <w:rFonts w:hint="eastAsia" w:ascii="宋体" w:hAnsi="宋体" w:cs="宋体"/>
          <w:b/>
          <w:kern w:val="0"/>
          <w:sz w:val="24"/>
          <w:highlight w:val="none"/>
        </w:rPr>
        <w:t>谈判与评审</w:t>
      </w:r>
    </w:p>
    <w:p w14:paraId="49C819C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4F4F61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2D5E1CC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27772FFA">
      <w:pPr>
        <w:spacing w:line="360" w:lineRule="auto"/>
        <w:outlineLvl w:val="1"/>
        <w:rPr>
          <w:rFonts w:ascii="宋体" w:hAnsi="宋体" w:cs="宋体"/>
          <w:b/>
          <w:sz w:val="24"/>
          <w:highlight w:val="none"/>
        </w:rPr>
      </w:pPr>
      <w:bookmarkStart w:id="157" w:name="_Toc36460135"/>
      <w:r>
        <w:rPr>
          <w:rFonts w:hint="eastAsia" w:ascii="宋体" w:hAnsi="宋体" w:cs="宋体"/>
          <w:b/>
          <w:sz w:val="24"/>
          <w:highlight w:val="none"/>
        </w:rPr>
        <w:t>18.确定成交供应商</w:t>
      </w:r>
      <w:bookmarkEnd w:id="157"/>
    </w:p>
    <w:p w14:paraId="52082BD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4A58E971">
      <w:pPr>
        <w:spacing w:line="360" w:lineRule="auto"/>
        <w:outlineLvl w:val="1"/>
        <w:rPr>
          <w:rFonts w:ascii="宋体" w:hAnsi="宋体" w:cs="宋体"/>
          <w:b/>
          <w:sz w:val="24"/>
          <w:highlight w:val="none"/>
        </w:rPr>
      </w:pPr>
      <w:bookmarkStart w:id="158" w:name="_Toc36460137"/>
      <w:r>
        <w:rPr>
          <w:rFonts w:hint="eastAsia" w:ascii="宋体" w:hAnsi="宋体" w:cs="宋体"/>
          <w:b/>
          <w:sz w:val="24"/>
          <w:highlight w:val="none"/>
        </w:rPr>
        <w:t>19.成交通知</w:t>
      </w:r>
      <w:bookmarkEnd w:id="158"/>
    </w:p>
    <w:p w14:paraId="35715C9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72BF2BC2">
      <w:pPr>
        <w:spacing w:line="360" w:lineRule="auto"/>
        <w:ind w:firstLine="480" w:firstLineChars="200"/>
        <w:outlineLvl w:val="9"/>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34C2B180">
      <w:pPr>
        <w:spacing w:line="360" w:lineRule="auto"/>
        <w:outlineLvl w:val="1"/>
        <w:rPr>
          <w:rFonts w:ascii="宋体" w:hAnsi="宋体" w:cs="宋体"/>
          <w:b/>
          <w:sz w:val="24"/>
          <w:highlight w:val="none"/>
        </w:rPr>
      </w:pPr>
      <w:bookmarkStart w:id="159" w:name="_Toc36460138"/>
      <w:r>
        <w:rPr>
          <w:rFonts w:hint="eastAsia" w:ascii="宋体" w:hAnsi="宋体" w:cs="宋体"/>
          <w:b/>
          <w:sz w:val="24"/>
          <w:highlight w:val="none"/>
        </w:rPr>
        <w:t>20.签订合同</w:t>
      </w:r>
      <w:bookmarkEnd w:id="159"/>
    </w:p>
    <w:p w14:paraId="1044F5E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已在采购文件中明确的实质性内容不可调整）</w:t>
      </w:r>
      <w:r>
        <w:rPr>
          <w:rFonts w:hint="eastAsia" w:ascii="宋体" w:hAnsi="宋体" w:cs="宋体"/>
          <w:sz w:val="24"/>
          <w:szCs w:val="24"/>
          <w:highlight w:val="none"/>
        </w:rPr>
        <w:t>。</w:t>
      </w:r>
    </w:p>
    <w:p w14:paraId="312D0A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F59699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33610F44">
      <w:pPr>
        <w:pStyle w:val="45"/>
        <w:jc w:val="left"/>
        <w:rPr>
          <w:rFonts w:hint="eastAsia" w:ascii="宋体" w:hAnsi="宋体" w:cs="宋体"/>
          <w:sz w:val="24"/>
          <w:szCs w:val="24"/>
          <w:highlight w:val="none"/>
        </w:rPr>
      </w:pPr>
      <w:bookmarkStart w:id="160" w:name="_Toc36460139"/>
      <w:r>
        <w:rPr>
          <w:rFonts w:hint="eastAsia" w:ascii="宋体" w:hAnsi="宋体" w:cs="宋体"/>
          <w:b/>
          <w:sz w:val="24"/>
          <w:highlight w:val="none"/>
        </w:rPr>
        <w:t>21.其他需要补充的内容</w:t>
      </w:r>
      <w:bookmarkEnd w:id="160"/>
      <w:r>
        <w:rPr>
          <w:rFonts w:hint="eastAsia" w:ascii="宋体" w:hAnsi="宋体" w:cs="宋体"/>
          <w:sz w:val="24"/>
          <w:szCs w:val="24"/>
          <w:highlight w:val="none"/>
        </w:rPr>
        <w:t>详见“供应商须知前附表”。</w:t>
      </w:r>
      <w:bookmarkStart w:id="161" w:name="_Toc16379"/>
      <w:bookmarkStart w:id="162" w:name="_Toc55310065"/>
      <w:bookmarkStart w:id="163" w:name="_Toc8114"/>
      <w:bookmarkStart w:id="164" w:name="_Toc22748"/>
      <w:bookmarkStart w:id="165" w:name="_Toc24083"/>
      <w:bookmarkStart w:id="166" w:name="_Toc12050"/>
      <w:bookmarkStart w:id="167" w:name="_Toc12133"/>
      <w:bookmarkStart w:id="168" w:name="_Toc764417141"/>
      <w:bookmarkStart w:id="169" w:name="_Toc1185556289"/>
      <w:bookmarkStart w:id="170" w:name="_Toc1279875118"/>
      <w:bookmarkStart w:id="171" w:name="_Toc1433109407"/>
      <w:bookmarkStart w:id="172" w:name="_Toc1566044170"/>
      <w:bookmarkStart w:id="173" w:name="_Toc26045"/>
      <w:bookmarkStart w:id="174" w:name="_Toc58941269"/>
    </w:p>
    <w:p w14:paraId="168515D3">
      <w:pPr>
        <w:rPr>
          <w:rFonts w:hint="eastAsia" w:ascii="宋体" w:hAnsi="宋体" w:eastAsia="宋体" w:cs="宋体"/>
          <w:highlight w:val="none"/>
        </w:rPr>
      </w:pPr>
      <w:r>
        <w:rPr>
          <w:rFonts w:hint="eastAsia" w:ascii="宋体" w:hAnsi="宋体" w:eastAsia="宋体" w:cs="宋体"/>
          <w:highlight w:val="none"/>
        </w:rPr>
        <w:br w:type="page"/>
      </w:r>
    </w:p>
    <w:p w14:paraId="702F86AC">
      <w:pPr>
        <w:pStyle w:val="45"/>
        <w:rPr>
          <w:rFonts w:ascii="宋体" w:hAnsi="宋体" w:eastAsia="宋体" w:cs="宋体"/>
          <w:highlight w:val="none"/>
        </w:rPr>
      </w:pPr>
      <w:r>
        <w:rPr>
          <w:rFonts w:hint="eastAsia" w:ascii="宋体" w:hAnsi="宋体" w:eastAsia="宋体" w:cs="宋体"/>
          <w:highlight w:val="none"/>
        </w:rPr>
        <w:t xml:space="preserve">第三章  </w:t>
      </w:r>
      <w:bookmarkEnd w:id="161"/>
      <w:bookmarkEnd w:id="162"/>
      <w:bookmarkEnd w:id="163"/>
      <w:bookmarkEnd w:id="164"/>
      <w:bookmarkEnd w:id="165"/>
      <w:bookmarkEnd w:id="166"/>
      <w:bookmarkEnd w:id="167"/>
      <w:r>
        <w:rPr>
          <w:rFonts w:hint="eastAsia" w:ascii="宋体" w:hAnsi="宋体" w:eastAsia="宋体" w:cs="宋体"/>
          <w:highlight w:val="none"/>
        </w:rPr>
        <w:t>评审办法</w:t>
      </w:r>
      <w:bookmarkEnd w:id="168"/>
      <w:bookmarkEnd w:id="169"/>
      <w:bookmarkEnd w:id="170"/>
      <w:bookmarkEnd w:id="171"/>
      <w:bookmarkEnd w:id="172"/>
      <w:bookmarkEnd w:id="173"/>
    </w:p>
    <w:p w14:paraId="1A65ABD6">
      <w:pPr>
        <w:jc w:val="center"/>
        <w:outlineLvl w:val="9"/>
        <w:rPr>
          <w:rFonts w:hint="eastAsia" w:ascii="宋体" w:hAnsi="宋体" w:cs="宋体"/>
          <w:b/>
          <w:sz w:val="24"/>
          <w:highlight w:val="none"/>
        </w:rPr>
      </w:pPr>
      <w:r>
        <w:rPr>
          <w:rFonts w:hint="eastAsia" w:ascii="宋体" w:hAnsi="宋体" w:cs="宋体"/>
          <w:b/>
          <w:sz w:val="24"/>
          <w:highlight w:val="none"/>
        </w:rPr>
        <w:t>评审办法前附表</w:t>
      </w:r>
    </w:p>
    <w:tbl>
      <w:tblPr>
        <w:tblStyle w:val="49"/>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C5D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32" w:type="dxa"/>
            <w:gridSpan w:val="2"/>
            <w:vAlign w:val="center"/>
          </w:tcPr>
          <w:p w14:paraId="4AB0CB97">
            <w:pPr>
              <w:pStyle w:val="237"/>
              <w:jc w:val="center"/>
              <w:outlineLvl w:val="9"/>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21BC9BF8">
            <w:pPr>
              <w:pStyle w:val="237"/>
              <w:jc w:val="center"/>
              <w:outlineLvl w:val="9"/>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7E6CAC31">
            <w:pPr>
              <w:pStyle w:val="237"/>
              <w:jc w:val="center"/>
              <w:outlineLvl w:val="9"/>
              <w:rPr>
                <w:rFonts w:ascii="宋体" w:hAnsi="宋体" w:cs="宋体"/>
                <w:szCs w:val="21"/>
                <w:highlight w:val="none"/>
              </w:rPr>
            </w:pPr>
            <w:r>
              <w:rPr>
                <w:rFonts w:hint="eastAsia" w:ascii="宋体" w:hAnsi="宋体" w:cs="宋体"/>
                <w:szCs w:val="21"/>
                <w:highlight w:val="none"/>
              </w:rPr>
              <w:t>审 查 标 准</w:t>
            </w:r>
          </w:p>
        </w:tc>
      </w:tr>
      <w:tr w14:paraId="440E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03DC752">
            <w:pPr>
              <w:pStyle w:val="237"/>
              <w:jc w:val="center"/>
              <w:outlineLvl w:val="9"/>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7F00002E">
            <w:pPr>
              <w:pStyle w:val="237"/>
              <w:jc w:val="center"/>
              <w:outlineLvl w:val="9"/>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45D80563">
            <w:pPr>
              <w:pStyle w:val="237"/>
              <w:jc w:val="center"/>
              <w:outlineLvl w:val="9"/>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31E61646">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198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B2C6E91">
            <w:pPr>
              <w:pStyle w:val="237"/>
              <w:jc w:val="center"/>
              <w:outlineLvl w:val="9"/>
              <w:rPr>
                <w:rFonts w:ascii="宋体" w:hAnsi="宋体" w:cs="宋体"/>
                <w:szCs w:val="21"/>
                <w:highlight w:val="none"/>
              </w:rPr>
            </w:pPr>
          </w:p>
        </w:tc>
        <w:tc>
          <w:tcPr>
            <w:tcW w:w="807" w:type="dxa"/>
            <w:vMerge w:val="continue"/>
            <w:vAlign w:val="center"/>
          </w:tcPr>
          <w:p w14:paraId="50069863">
            <w:pPr>
              <w:pStyle w:val="237"/>
              <w:jc w:val="center"/>
              <w:outlineLvl w:val="9"/>
              <w:rPr>
                <w:rFonts w:ascii="宋体" w:hAnsi="宋体" w:cs="宋体"/>
                <w:szCs w:val="21"/>
                <w:highlight w:val="none"/>
              </w:rPr>
            </w:pPr>
          </w:p>
        </w:tc>
        <w:tc>
          <w:tcPr>
            <w:tcW w:w="1969" w:type="dxa"/>
            <w:vAlign w:val="center"/>
          </w:tcPr>
          <w:p w14:paraId="2000EFD0">
            <w:pPr>
              <w:pStyle w:val="237"/>
              <w:jc w:val="center"/>
              <w:outlineLvl w:val="9"/>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2157B03C">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4D13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57CB3F4">
            <w:pPr>
              <w:pStyle w:val="237"/>
              <w:jc w:val="center"/>
              <w:outlineLvl w:val="9"/>
              <w:rPr>
                <w:rFonts w:ascii="宋体" w:hAnsi="宋体" w:cs="宋体"/>
                <w:szCs w:val="21"/>
                <w:highlight w:val="none"/>
              </w:rPr>
            </w:pPr>
          </w:p>
        </w:tc>
        <w:tc>
          <w:tcPr>
            <w:tcW w:w="807" w:type="dxa"/>
            <w:vMerge w:val="continue"/>
            <w:vAlign w:val="center"/>
          </w:tcPr>
          <w:p w14:paraId="4924E13B">
            <w:pPr>
              <w:pStyle w:val="237"/>
              <w:jc w:val="center"/>
              <w:outlineLvl w:val="9"/>
              <w:rPr>
                <w:rFonts w:ascii="宋体" w:hAnsi="宋体" w:cs="宋体"/>
                <w:szCs w:val="21"/>
                <w:highlight w:val="none"/>
              </w:rPr>
            </w:pPr>
          </w:p>
        </w:tc>
        <w:tc>
          <w:tcPr>
            <w:tcW w:w="1969" w:type="dxa"/>
            <w:vAlign w:val="center"/>
          </w:tcPr>
          <w:p w14:paraId="75A415CC">
            <w:pPr>
              <w:pStyle w:val="237"/>
              <w:jc w:val="center"/>
              <w:outlineLvl w:val="9"/>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39EE5FC1">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617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FB8AD5D">
            <w:pPr>
              <w:pStyle w:val="237"/>
              <w:jc w:val="center"/>
              <w:outlineLvl w:val="9"/>
              <w:rPr>
                <w:rFonts w:ascii="宋体" w:hAnsi="宋体" w:cs="宋体"/>
                <w:szCs w:val="21"/>
                <w:highlight w:val="none"/>
              </w:rPr>
            </w:pPr>
          </w:p>
        </w:tc>
        <w:tc>
          <w:tcPr>
            <w:tcW w:w="807" w:type="dxa"/>
            <w:vMerge w:val="continue"/>
            <w:vAlign w:val="center"/>
          </w:tcPr>
          <w:p w14:paraId="1BAB1356">
            <w:pPr>
              <w:pStyle w:val="237"/>
              <w:jc w:val="center"/>
              <w:outlineLvl w:val="9"/>
              <w:rPr>
                <w:rFonts w:ascii="宋体" w:hAnsi="宋体" w:cs="宋体"/>
                <w:szCs w:val="21"/>
                <w:highlight w:val="none"/>
              </w:rPr>
            </w:pPr>
          </w:p>
        </w:tc>
        <w:tc>
          <w:tcPr>
            <w:tcW w:w="1969" w:type="dxa"/>
            <w:vAlign w:val="center"/>
          </w:tcPr>
          <w:p w14:paraId="34111106">
            <w:pPr>
              <w:pStyle w:val="237"/>
              <w:jc w:val="center"/>
              <w:outlineLvl w:val="9"/>
              <w:rPr>
                <w:rFonts w:ascii="宋体" w:hAnsi="宋体" w:cs="宋体"/>
                <w:szCs w:val="21"/>
                <w:highlight w:val="none"/>
              </w:rPr>
            </w:pPr>
            <w:r>
              <w:rPr>
                <w:rFonts w:hint="eastAsia" w:ascii="宋体" w:hAnsi="宋体" w:cs="宋体"/>
                <w:szCs w:val="21"/>
                <w:highlight w:val="none"/>
              </w:rPr>
              <w:t>业绩要求</w:t>
            </w:r>
          </w:p>
        </w:tc>
        <w:tc>
          <w:tcPr>
            <w:tcW w:w="6066" w:type="dxa"/>
            <w:vAlign w:val="center"/>
          </w:tcPr>
          <w:p w14:paraId="623C41AB">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BF7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D413397">
            <w:pPr>
              <w:pStyle w:val="237"/>
              <w:jc w:val="center"/>
              <w:outlineLvl w:val="9"/>
              <w:rPr>
                <w:rFonts w:ascii="宋体" w:hAnsi="宋体" w:cs="宋体"/>
                <w:szCs w:val="21"/>
                <w:highlight w:val="none"/>
              </w:rPr>
            </w:pPr>
          </w:p>
        </w:tc>
        <w:tc>
          <w:tcPr>
            <w:tcW w:w="807" w:type="dxa"/>
            <w:vMerge w:val="continue"/>
            <w:vAlign w:val="center"/>
          </w:tcPr>
          <w:p w14:paraId="39D85FF4">
            <w:pPr>
              <w:pStyle w:val="237"/>
              <w:jc w:val="center"/>
              <w:outlineLvl w:val="9"/>
              <w:rPr>
                <w:rFonts w:ascii="宋体" w:hAnsi="宋体" w:cs="宋体"/>
                <w:szCs w:val="21"/>
                <w:highlight w:val="none"/>
              </w:rPr>
            </w:pPr>
          </w:p>
        </w:tc>
        <w:tc>
          <w:tcPr>
            <w:tcW w:w="1969" w:type="dxa"/>
            <w:vAlign w:val="center"/>
          </w:tcPr>
          <w:p w14:paraId="0814DE60">
            <w:pPr>
              <w:pStyle w:val="237"/>
              <w:jc w:val="center"/>
              <w:outlineLvl w:val="9"/>
              <w:rPr>
                <w:rFonts w:ascii="宋体" w:hAnsi="宋体" w:cs="宋体"/>
                <w:szCs w:val="21"/>
                <w:highlight w:val="none"/>
              </w:rPr>
            </w:pPr>
            <w:r>
              <w:rPr>
                <w:rFonts w:hint="eastAsia" w:ascii="宋体" w:hAnsi="宋体" w:cs="宋体"/>
                <w:szCs w:val="21"/>
                <w:highlight w:val="none"/>
              </w:rPr>
              <w:t>其它要求</w:t>
            </w:r>
          </w:p>
        </w:tc>
        <w:tc>
          <w:tcPr>
            <w:tcW w:w="6066" w:type="dxa"/>
            <w:vAlign w:val="center"/>
          </w:tcPr>
          <w:p w14:paraId="04256574">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DCB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CD6BE74">
            <w:pPr>
              <w:pStyle w:val="237"/>
              <w:jc w:val="center"/>
              <w:outlineLvl w:val="9"/>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0E95EC34">
            <w:pPr>
              <w:pStyle w:val="237"/>
              <w:jc w:val="center"/>
              <w:outlineLvl w:val="9"/>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85AFF45">
            <w:pPr>
              <w:pStyle w:val="237"/>
              <w:jc w:val="center"/>
              <w:outlineLvl w:val="9"/>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47A3C595">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符合响应文件规定的格式，有法定代表人或其委托代理人签字或签章</w:t>
            </w:r>
          </w:p>
        </w:tc>
      </w:tr>
      <w:tr w14:paraId="4E88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C88DA54">
            <w:pPr>
              <w:pStyle w:val="237"/>
              <w:jc w:val="center"/>
              <w:outlineLvl w:val="9"/>
              <w:rPr>
                <w:rFonts w:ascii="宋体" w:hAnsi="宋体" w:cs="宋体"/>
                <w:szCs w:val="21"/>
                <w:highlight w:val="none"/>
              </w:rPr>
            </w:pPr>
          </w:p>
        </w:tc>
        <w:tc>
          <w:tcPr>
            <w:tcW w:w="807" w:type="dxa"/>
            <w:vMerge w:val="continue"/>
            <w:vAlign w:val="center"/>
          </w:tcPr>
          <w:p w14:paraId="7519AF37">
            <w:pPr>
              <w:pStyle w:val="237"/>
              <w:jc w:val="center"/>
              <w:outlineLvl w:val="9"/>
              <w:rPr>
                <w:rFonts w:ascii="宋体" w:hAnsi="宋体" w:cs="宋体"/>
                <w:szCs w:val="21"/>
                <w:highlight w:val="none"/>
              </w:rPr>
            </w:pPr>
          </w:p>
        </w:tc>
        <w:tc>
          <w:tcPr>
            <w:tcW w:w="1969" w:type="dxa"/>
            <w:vAlign w:val="center"/>
          </w:tcPr>
          <w:p w14:paraId="7F9E576E">
            <w:pPr>
              <w:pStyle w:val="237"/>
              <w:jc w:val="center"/>
              <w:outlineLvl w:val="9"/>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54934A11">
            <w:pPr>
              <w:pStyle w:val="237"/>
              <w:jc w:val="left"/>
              <w:outlineLvl w:val="9"/>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6001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E4BBF0D">
            <w:pPr>
              <w:pStyle w:val="237"/>
              <w:jc w:val="center"/>
              <w:outlineLvl w:val="9"/>
              <w:rPr>
                <w:rFonts w:ascii="宋体" w:hAnsi="宋体" w:cs="宋体"/>
                <w:szCs w:val="21"/>
                <w:highlight w:val="none"/>
              </w:rPr>
            </w:pPr>
          </w:p>
        </w:tc>
        <w:tc>
          <w:tcPr>
            <w:tcW w:w="807" w:type="dxa"/>
            <w:vMerge w:val="continue"/>
            <w:vAlign w:val="center"/>
          </w:tcPr>
          <w:p w14:paraId="491282BA">
            <w:pPr>
              <w:pStyle w:val="237"/>
              <w:jc w:val="center"/>
              <w:outlineLvl w:val="9"/>
              <w:rPr>
                <w:rFonts w:ascii="宋体" w:hAnsi="宋体" w:cs="宋体"/>
                <w:szCs w:val="21"/>
                <w:highlight w:val="none"/>
              </w:rPr>
            </w:pPr>
          </w:p>
        </w:tc>
        <w:tc>
          <w:tcPr>
            <w:tcW w:w="1969" w:type="dxa"/>
            <w:vAlign w:val="center"/>
          </w:tcPr>
          <w:p w14:paraId="6C4CAF11">
            <w:pPr>
              <w:pStyle w:val="237"/>
              <w:jc w:val="center"/>
              <w:outlineLvl w:val="9"/>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7327697C">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符合响应文件规定的格式及内容，并盖单位章；响应文件正本中法定代表人身份证明书为原件</w:t>
            </w:r>
          </w:p>
        </w:tc>
      </w:tr>
      <w:tr w14:paraId="0B9D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CC1FF7E">
            <w:pPr>
              <w:pStyle w:val="237"/>
              <w:jc w:val="center"/>
              <w:outlineLvl w:val="9"/>
              <w:rPr>
                <w:rFonts w:ascii="宋体" w:hAnsi="宋体" w:cs="宋体"/>
                <w:szCs w:val="21"/>
                <w:highlight w:val="none"/>
              </w:rPr>
            </w:pPr>
          </w:p>
        </w:tc>
        <w:tc>
          <w:tcPr>
            <w:tcW w:w="807" w:type="dxa"/>
            <w:vMerge w:val="continue"/>
            <w:vAlign w:val="center"/>
          </w:tcPr>
          <w:p w14:paraId="1432ED04">
            <w:pPr>
              <w:pStyle w:val="237"/>
              <w:jc w:val="center"/>
              <w:outlineLvl w:val="9"/>
              <w:rPr>
                <w:rFonts w:ascii="宋体" w:hAnsi="宋体" w:cs="宋体"/>
                <w:szCs w:val="21"/>
                <w:highlight w:val="none"/>
              </w:rPr>
            </w:pPr>
          </w:p>
        </w:tc>
        <w:tc>
          <w:tcPr>
            <w:tcW w:w="1969" w:type="dxa"/>
            <w:vAlign w:val="center"/>
          </w:tcPr>
          <w:p w14:paraId="74B638CA">
            <w:pPr>
              <w:pStyle w:val="237"/>
              <w:jc w:val="center"/>
              <w:outlineLvl w:val="9"/>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777803BE">
            <w:pPr>
              <w:pStyle w:val="237"/>
              <w:jc w:val="left"/>
              <w:outlineLvl w:val="9"/>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241D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AFDB21B">
            <w:pPr>
              <w:pStyle w:val="237"/>
              <w:jc w:val="center"/>
              <w:outlineLvl w:val="9"/>
              <w:rPr>
                <w:rFonts w:ascii="宋体" w:hAnsi="宋体" w:cs="宋体"/>
                <w:szCs w:val="21"/>
                <w:highlight w:val="none"/>
              </w:rPr>
            </w:pPr>
          </w:p>
        </w:tc>
        <w:tc>
          <w:tcPr>
            <w:tcW w:w="807" w:type="dxa"/>
            <w:vMerge w:val="continue"/>
            <w:vAlign w:val="center"/>
          </w:tcPr>
          <w:p w14:paraId="65FBCB6C">
            <w:pPr>
              <w:pStyle w:val="237"/>
              <w:jc w:val="center"/>
              <w:outlineLvl w:val="9"/>
              <w:rPr>
                <w:rFonts w:ascii="宋体" w:hAnsi="宋体" w:cs="宋体"/>
                <w:szCs w:val="21"/>
                <w:highlight w:val="none"/>
              </w:rPr>
            </w:pPr>
          </w:p>
        </w:tc>
        <w:tc>
          <w:tcPr>
            <w:tcW w:w="1969" w:type="dxa"/>
            <w:vAlign w:val="center"/>
          </w:tcPr>
          <w:p w14:paraId="34F3B5AC">
            <w:pPr>
              <w:pStyle w:val="237"/>
              <w:jc w:val="center"/>
              <w:outlineLvl w:val="9"/>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02113BF0">
            <w:pPr>
              <w:pStyle w:val="237"/>
              <w:jc w:val="left"/>
              <w:outlineLvl w:val="9"/>
              <w:rPr>
                <w:rFonts w:ascii="宋体" w:hAnsi="宋体" w:cs="宋体"/>
                <w:szCs w:val="21"/>
                <w:highlight w:val="none"/>
              </w:rPr>
            </w:pPr>
            <w:r>
              <w:rPr>
                <w:rFonts w:hint="eastAsia" w:ascii="宋体" w:hAnsi="宋体" w:cs="宋体"/>
                <w:szCs w:val="21"/>
                <w:highlight w:val="none"/>
              </w:rPr>
              <w:t>报价完整且仅有一个报价方案</w:t>
            </w:r>
          </w:p>
        </w:tc>
      </w:tr>
      <w:tr w14:paraId="6787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64AA6B90">
            <w:pPr>
              <w:pStyle w:val="237"/>
              <w:jc w:val="center"/>
              <w:outlineLvl w:val="9"/>
              <w:rPr>
                <w:rFonts w:ascii="宋体" w:hAnsi="宋体" w:cs="宋体"/>
                <w:szCs w:val="21"/>
                <w:highlight w:val="none"/>
              </w:rPr>
            </w:pPr>
          </w:p>
        </w:tc>
        <w:tc>
          <w:tcPr>
            <w:tcW w:w="807" w:type="dxa"/>
            <w:vMerge w:val="continue"/>
            <w:vAlign w:val="center"/>
          </w:tcPr>
          <w:p w14:paraId="27F06621">
            <w:pPr>
              <w:pStyle w:val="237"/>
              <w:jc w:val="center"/>
              <w:outlineLvl w:val="9"/>
              <w:rPr>
                <w:rFonts w:ascii="宋体" w:hAnsi="宋体" w:cs="宋体"/>
                <w:szCs w:val="21"/>
                <w:highlight w:val="none"/>
              </w:rPr>
            </w:pPr>
          </w:p>
        </w:tc>
        <w:tc>
          <w:tcPr>
            <w:tcW w:w="1969" w:type="dxa"/>
            <w:vAlign w:val="center"/>
          </w:tcPr>
          <w:p w14:paraId="2BEAD91A">
            <w:pPr>
              <w:pStyle w:val="237"/>
              <w:jc w:val="center"/>
              <w:outlineLvl w:val="9"/>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3B462CBA">
            <w:pPr>
              <w:pStyle w:val="237"/>
              <w:jc w:val="left"/>
              <w:outlineLvl w:val="9"/>
              <w:rPr>
                <w:rFonts w:ascii="宋体" w:hAnsi="宋体" w:cs="宋体"/>
                <w:szCs w:val="21"/>
                <w:highlight w:val="none"/>
              </w:rPr>
            </w:pPr>
            <w:r>
              <w:rPr>
                <w:rFonts w:hint="eastAsia" w:ascii="宋体" w:hAnsi="宋体" w:cs="宋体"/>
                <w:szCs w:val="21"/>
                <w:highlight w:val="none"/>
              </w:rPr>
              <w:t>符合项目服务期限要求</w:t>
            </w:r>
          </w:p>
        </w:tc>
      </w:tr>
      <w:tr w14:paraId="6896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89C15CD">
            <w:pPr>
              <w:pStyle w:val="237"/>
              <w:jc w:val="center"/>
              <w:outlineLvl w:val="9"/>
              <w:rPr>
                <w:rFonts w:ascii="宋体" w:hAnsi="宋体" w:cs="宋体"/>
                <w:szCs w:val="21"/>
                <w:highlight w:val="none"/>
              </w:rPr>
            </w:pPr>
          </w:p>
        </w:tc>
        <w:tc>
          <w:tcPr>
            <w:tcW w:w="807" w:type="dxa"/>
            <w:vMerge w:val="continue"/>
            <w:vAlign w:val="center"/>
          </w:tcPr>
          <w:p w14:paraId="26D8305C">
            <w:pPr>
              <w:pStyle w:val="237"/>
              <w:jc w:val="center"/>
              <w:outlineLvl w:val="9"/>
              <w:rPr>
                <w:rFonts w:ascii="宋体" w:hAnsi="宋体" w:cs="宋体"/>
                <w:szCs w:val="21"/>
                <w:highlight w:val="none"/>
              </w:rPr>
            </w:pPr>
          </w:p>
        </w:tc>
        <w:tc>
          <w:tcPr>
            <w:tcW w:w="1969" w:type="dxa"/>
            <w:vMerge w:val="restart"/>
            <w:vAlign w:val="center"/>
          </w:tcPr>
          <w:p w14:paraId="1C442F67">
            <w:pPr>
              <w:pStyle w:val="237"/>
              <w:jc w:val="center"/>
              <w:outlineLvl w:val="9"/>
              <w:rPr>
                <w:rFonts w:ascii="宋体" w:hAnsi="宋体" w:cs="宋体"/>
                <w:szCs w:val="21"/>
                <w:highlight w:val="none"/>
              </w:rPr>
            </w:pPr>
            <w:r>
              <w:rPr>
                <w:rFonts w:hint="eastAsia" w:ascii="宋体" w:hAnsi="宋体" w:cs="宋体"/>
                <w:szCs w:val="21"/>
                <w:highlight w:val="none"/>
              </w:rPr>
              <w:t>实质性条否决件</w:t>
            </w:r>
          </w:p>
        </w:tc>
        <w:tc>
          <w:tcPr>
            <w:tcW w:w="6066" w:type="dxa"/>
            <w:vAlign w:val="center"/>
          </w:tcPr>
          <w:p w14:paraId="57FCC371">
            <w:pPr>
              <w:pStyle w:val="237"/>
              <w:jc w:val="left"/>
              <w:outlineLvl w:val="9"/>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761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A59B0A2">
            <w:pPr>
              <w:pStyle w:val="237"/>
              <w:jc w:val="center"/>
              <w:outlineLvl w:val="9"/>
              <w:rPr>
                <w:rFonts w:ascii="宋体" w:hAnsi="宋体" w:cs="宋体"/>
                <w:szCs w:val="21"/>
                <w:highlight w:val="none"/>
              </w:rPr>
            </w:pPr>
          </w:p>
        </w:tc>
        <w:tc>
          <w:tcPr>
            <w:tcW w:w="807" w:type="dxa"/>
            <w:vMerge w:val="continue"/>
            <w:vAlign w:val="center"/>
          </w:tcPr>
          <w:p w14:paraId="2611C702">
            <w:pPr>
              <w:pStyle w:val="237"/>
              <w:jc w:val="center"/>
              <w:outlineLvl w:val="9"/>
              <w:rPr>
                <w:rFonts w:ascii="宋体" w:hAnsi="宋体" w:cs="宋体"/>
                <w:szCs w:val="21"/>
                <w:highlight w:val="none"/>
              </w:rPr>
            </w:pPr>
          </w:p>
        </w:tc>
        <w:tc>
          <w:tcPr>
            <w:tcW w:w="1969" w:type="dxa"/>
            <w:vMerge w:val="continue"/>
            <w:vAlign w:val="center"/>
          </w:tcPr>
          <w:p w14:paraId="71BB884A">
            <w:pPr>
              <w:pStyle w:val="237"/>
              <w:jc w:val="center"/>
              <w:outlineLvl w:val="9"/>
              <w:rPr>
                <w:rFonts w:ascii="宋体" w:hAnsi="宋体" w:cs="宋体"/>
                <w:szCs w:val="21"/>
                <w:highlight w:val="none"/>
              </w:rPr>
            </w:pPr>
          </w:p>
        </w:tc>
        <w:tc>
          <w:tcPr>
            <w:tcW w:w="6066" w:type="dxa"/>
            <w:vAlign w:val="center"/>
          </w:tcPr>
          <w:p w14:paraId="3C7B1317">
            <w:pPr>
              <w:pStyle w:val="237"/>
              <w:jc w:val="left"/>
              <w:outlineLvl w:val="9"/>
              <w:rPr>
                <w:rFonts w:ascii="宋体" w:hAnsi="宋体" w:cs="宋体"/>
                <w:szCs w:val="21"/>
                <w:highlight w:val="none"/>
              </w:rPr>
            </w:pPr>
            <w:r>
              <w:rPr>
                <w:rFonts w:hint="eastAsia" w:ascii="宋体" w:hAnsi="宋体" w:cs="宋体"/>
                <w:szCs w:val="21"/>
                <w:highlight w:val="none"/>
              </w:rPr>
              <w:t>未响应其它采购文件中规定的实质性内容的</w:t>
            </w:r>
          </w:p>
        </w:tc>
      </w:tr>
      <w:tr w14:paraId="7B71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29BE2689">
            <w:pPr>
              <w:pStyle w:val="237"/>
              <w:jc w:val="center"/>
              <w:outlineLvl w:val="9"/>
              <w:rPr>
                <w:rFonts w:ascii="宋体" w:hAnsi="宋体" w:cs="宋体"/>
                <w:szCs w:val="21"/>
                <w:highlight w:val="none"/>
              </w:rPr>
            </w:pPr>
          </w:p>
        </w:tc>
        <w:tc>
          <w:tcPr>
            <w:tcW w:w="807" w:type="dxa"/>
            <w:vMerge w:val="continue"/>
            <w:vAlign w:val="center"/>
          </w:tcPr>
          <w:p w14:paraId="6DE012BB">
            <w:pPr>
              <w:pStyle w:val="237"/>
              <w:jc w:val="center"/>
              <w:outlineLvl w:val="9"/>
              <w:rPr>
                <w:rFonts w:ascii="宋体" w:hAnsi="宋体" w:cs="宋体"/>
                <w:szCs w:val="21"/>
                <w:highlight w:val="none"/>
              </w:rPr>
            </w:pPr>
          </w:p>
        </w:tc>
        <w:tc>
          <w:tcPr>
            <w:tcW w:w="1969" w:type="dxa"/>
            <w:vAlign w:val="center"/>
          </w:tcPr>
          <w:p w14:paraId="129D7638">
            <w:pPr>
              <w:pStyle w:val="237"/>
              <w:jc w:val="center"/>
              <w:outlineLvl w:val="9"/>
              <w:rPr>
                <w:rFonts w:ascii="宋体" w:hAnsi="宋体" w:cs="宋体"/>
                <w:szCs w:val="21"/>
                <w:highlight w:val="none"/>
              </w:rPr>
            </w:pPr>
            <w:r>
              <w:rPr>
                <w:rFonts w:hint="eastAsia" w:ascii="宋体" w:hAnsi="宋体" w:cs="宋体"/>
                <w:szCs w:val="21"/>
                <w:highlight w:val="none"/>
              </w:rPr>
              <w:t>其它否决条件</w:t>
            </w:r>
          </w:p>
        </w:tc>
        <w:tc>
          <w:tcPr>
            <w:tcW w:w="6066" w:type="dxa"/>
            <w:vAlign w:val="center"/>
          </w:tcPr>
          <w:p w14:paraId="366F961E">
            <w:pPr>
              <w:pStyle w:val="237"/>
              <w:jc w:val="left"/>
              <w:outlineLvl w:val="9"/>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927607F">
            <w:pPr>
              <w:pStyle w:val="237"/>
              <w:jc w:val="left"/>
              <w:outlineLvl w:val="9"/>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402BE20C">
            <w:pPr>
              <w:pStyle w:val="237"/>
              <w:jc w:val="left"/>
              <w:outlineLvl w:val="9"/>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1B2DD710">
            <w:pPr>
              <w:pStyle w:val="237"/>
              <w:jc w:val="left"/>
              <w:outlineLvl w:val="9"/>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68AFAABE">
            <w:pPr>
              <w:pStyle w:val="237"/>
              <w:jc w:val="left"/>
              <w:outlineLvl w:val="9"/>
              <w:rPr>
                <w:rFonts w:ascii="宋体" w:hAnsi="宋体" w:cs="宋体"/>
                <w:szCs w:val="21"/>
                <w:highlight w:val="none"/>
              </w:rPr>
            </w:pPr>
            <w:r>
              <w:rPr>
                <w:rFonts w:hint="eastAsia" w:ascii="宋体" w:hAnsi="宋体" w:cs="宋体"/>
                <w:szCs w:val="21"/>
                <w:highlight w:val="none"/>
              </w:rPr>
              <w:t>5.不同供应商的响应文件相互混装；</w:t>
            </w:r>
          </w:p>
          <w:p w14:paraId="322754D2">
            <w:pPr>
              <w:pStyle w:val="237"/>
              <w:jc w:val="left"/>
              <w:outlineLvl w:val="9"/>
              <w:rPr>
                <w:rFonts w:ascii="宋体" w:hAnsi="宋体" w:cs="宋体"/>
                <w:szCs w:val="21"/>
                <w:highlight w:val="none"/>
              </w:rPr>
            </w:pPr>
            <w:r>
              <w:rPr>
                <w:rFonts w:hint="eastAsia" w:ascii="宋体" w:hAnsi="宋体" w:cs="宋体"/>
                <w:szCs w:val="21"/>
                <w:highlight w:val="none"/>
              </w:rPr>
              <w:t>6.法律、法规和采购文件规定的其他无效情形。</w:t>
            </w:r>
          </w:p>
        </w:tc>
      </w:tr>
      <w:tr w14:paraId="6CAA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025" w:type="dxa"/>
            <w:vAlign w:val="center"/>
          </w:tcPr>
          <w:p w14:paraId="60D928FD">
            <w:pPr>
              <w:pStyle w:val="237"/>
              <w:jc w:val="center"/>
              <w:outlineLvl w:val="9"/>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0C4052A5">
            <w:pPr>
              <w:pStyle w:val="237"/>
              <w:jc w:val="center"/>
              <w:outlineLvl w:val="9"/>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2F1AF10E">
            <w:pPr>
              <w:pStyle w:val="237"/>
              <w:jc w:val="center"/>
              <w:outlineLvl w:val="9"/>
              <w:rPr>
                <w:rFonts w:ascii="宋体" w:hAnsi="宋体" w:cs="宋体"/>
                <w:szCs w:val="21"/>
                <w:highlight w:val="none"/>
              </w:rPr>
            </w:pPr>
            <w:r>
              <w:rPr>
                <w:rFonts w:hint="eastAsia" w:ascii="宋体" w:hAnsi="宋体" w:cs="宋体"/>
                <w:szCs w:val="21"/>
                <w:highlight w:val="none"/>
              </w:rPr>
              <w:t>评分分值组成</w:t>
            </w:r>
          </w:p>
          <w:p w14:paraId="1C0CB3C2">
            <w:pPr>
              <w:pStyle w:val="237"/>
              <w:jc w:val="center"/>
              <w:outlineLvl w:val="9"/>
              <w:rPr>
                <w:rFonts w:hint="default" w:ascii="宋体" w:hAnsi="宋体" w:eastAsia="宋体" w:cs="宋体"/>
                <w:szCs w:val="21"/>
                <w:highlight w:val="none"/>
                <w:lang w:val="en-US" w:eastAsia="zh-CN"/>
              </w:rPr>
            </w:pPr>
            <w:r>
              <w:rPr>
                <w:rFonts w:hint="eastAsia" w:ascii="宋体" w:hAnsi="宋体" w:cs="宋体"/>
                <w:szCs w:val="21"/>
                <w:highlight w:val="none"/>
              </w:rPr>
              <w:t>（总分100分）</w:t>
            </w:r>
          </w:p>
        </w:tc>
        <w:tc>
          <w:tcPr>
            <w:tcW w:w="6066" w:type="dxa"/>
            <w:vAlign w:val="center"/>
          </w:tcPr>
          <w:p w14:paraId="06B036E6">
            <w:pPr>
              <w:pStyle w:val="237"/>
              <w:jc w:val="left"/>
              <w:outlineLvl w:val="9"/>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2963DE9A">
            <w:pPr>
              <w:pStyle w:val="237"/>
              <w:jc w:val="left"/>
              <w:outlineLvl w:val="9"/>
              <w:rPr>
                <w:rFonts w:ascii="宋体" w:hAnsi="宋体" w:cs="宋体"/>
                <w:szCs w:val="21"/>
                <w:highlight w:val="none"/>
              </w:rPr>
            </w:pPr>
            <w:r>
              <w:rPr>
                <w:rFonts w:hint="eastAsia" w:ascii="宋体" w:hAnsi="宋体" w:cs="宋体"/>
                <w:szCs w:val="21"/>
                <w:highlight w:val="none"/>
              </w:rPr>
              <w:t>A=商务部分评分×10%，</w:t>
            </w:r>
          </w:p>
          <w:p w14:paraId="04EA11E6">
            <w:pPr>
              <w:pStyle w:val="237"/>
              <w:jc w:val="left"/>
              <w:outlineLvl w:val="9"/>
              <w:rPr>
                <w:rFonts w:ascii="宋体" w:hAnsi="宋体" w:cs="宋体"/>
                <w:szCs w:val="21"/>
                <w:highlight w:val="none"/>
              </w:rPr>
            </w:pPr>
            <w:r>
              <w:rPr>
                <w:rFonts w:hint="eastAsia" w:ascii="宋体" w:hAnsi="宋体" w:cs="宋体"/>
                <w:szCs w:val="21"/>
                <w:highlight w:val="none"/>
              </w:rPr>
              <w:t>B=技术部分评分×40%，</w:t>
            </w:r>
          </w:p>
          <w:p w14:paraId="6B377D0E">
            <w:pPr>
              <w:pStyle w:val="237"/>
              <w:jc w:val="left"/>
              <w:outlineLvl w:val="9"/>
              <w:rPr>
                <w:rFonts w:ascii="宋体" w:hAnsi="宋体" w:cs="宋体"/>
                <w:szCs w:val="21"/>
                <w:highlight w:val="none"/>
              </w:rPr>
            </w:pPr>
            <w:r>
              <w:rPr>
                <w:rFonts w:hint="eastAsia" w:ascii="宋体" w:hAnsi="宋体" w:cs="宋体"/>
                <w:szCs w:val="21"/>
                <w:highlight w:val="none"/>
              </w:rPr>
              <w:t>C=最终报价部分评分×50%。</w:t>
            </w:r>
          </w:p>
        </w:tc>
      </w:tr>
    </w:tbl>
    <w:p w14:paraId="65DD2697">
      <w:pPr>
        <w:outlineLvl w:val="9"/>
        <w:rPr>
          <w:rFonts w:ascii="宋体" w:hAnsi="宋体" w:cs="宋体"/>
          <w:highlight w:val="none"/>
        </w:rPr>
      </w:pPr>
      <w:r>
        <w:rPr>
          <w:rFonts w:hint="eastAsia" w:ascii="宋体" w:hAnsi="宋体" w:cs="宋体"/>
          <w:highlight w:val="none"/>
        </w:rPr>
        <w:br w:type="page"/>
      </w:r>
    </w:p>
    <w:p w14:paraId="28D4247E">
      <w:pPr>
        <w:spacing w:line="360" w:lineRule="auto"/>
        <w:outlineLvl w:val="9"/>
        <w:rPr>
          <w:rFonts w:ascii="宋体" w:hAnsi="宋体" w:cs="宋体"/>
          <w:b/>
          <w:sz w:val="24"/>
          <w:highlight w:val="none"/>
        </w:rPr>
      </w:pPr>
      <w:r>
        <w:rPr>
          <w:rFonts w:hint="eastAsia" w:ascii="宋体" w:hAnsi="宋体" w:cs="宋体"/>
          <w:b/>
          <w:sz w:val="24"/>
          <w:highlight w:val="none"/>
        </w:rPr>
        <w:t>一、总则</w:t>
      </w:r>
    </w:p>
    <w:p w14:paraId="63B6DA8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1.评审依据</w:t>
      </w:r>
    </w:p>
    <w:p w14:paraId="74F753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有限公司采购管理制度》及相关法律法规；</w:t>
      </w:r>
    </w:p>
    <w:p w14:paraId="6F09061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568700F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2.评审原则</w:t>
      </w:r>
    </w:p>
    <w:p w14:paraId="1FAE469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2B6A4907">
      <w:pPr>
        <w:spacing w:line="360" w:lineRule="auto"/>
        <w:outlineLvl w:val="9"/>
        <w:rPr>
          <w:rFonts w:ascii="宋体" w:hAnsi="宋体" w:cs="宋体"/>
          <w:b/>
          <w:sz w:val="24"/>
          <w:highlight w:val="none"/>
        </w:rPr>
      </w:pPr>
      <w:bookmarkStart w:id="175" w:name="_Toc36460142"/>
      <w:r>
        <w:rPr>
          <w:rFonts w:hint="eastAsia" w:ascii="宋体" w:hAnsi="宋体" w:cs="宋体"/>
          <w:b/>
          <w:sz w:val="24"/>
          <w:highlight w:val="none"/>
        </w:rPr>
        <w:t>二、评审方法</w:t>
      </w:r>
      <w:bookmarkEnd w:id="175"/>
    </w:p>
    <w:p w14:paraId="78569740">
      <w:pPr>
        <w:spacing w:line="360" w:lineRule="auto"/>
        <w:ind w:firstLine="480" w:firstLineChars="200"/>
        <w:outlineLvl w:val="9"/>
        <w:rPr>
          <w:rFonts w:ascii="宋体" w:hAnsi="宋体" w:cs="宋体"/>
          <w:sz w:val="24"/>
          <w:szCs w:val="24"/>
          <w:highlight w:val="none"/>
        </w:rPr>
      </w:pPr>
      <w:bookmarkStart w:id="176" w:name="_Toc36460143"/>
      <w:r>
        <w:rPr>
          <w:rFonts w:hint="eastAsia" w:ascii="宋体" w:hAnsi="宋体" w:cs="宋体"/>
          <w:sz w:val="24"/>
          <w:szCs w:val="24"/>
          <w:highlight w:val="none"/>
        </w:rPr>
        <w:t>本项目采用综合评分法。</w:t>
      </w:r>
    </w:p>
    <w:p w14:paraId="32ECD823">
      <w:pPr>
        <w:spacing w:line="360" w:lineRule="auto"/>
        <w:outlineLvl w:val="9"/>
        <w:rPr>
          <w:rFonts w:ascii="宋体" w:hAnsi="宋体" w:cs="宋体"/>
          <w:b/>
          <w:sz w:val="24"/>
          <w:highlight w:val="none"/>
        </w:rPr>
      </w:pPr>
      <w:r>
        <w:rPr>
          <w:rFonts w:hint="eastAsia" w:ascii="宋体" w:hAnsi="宋体" w:cs="宋体"/>
          <w:b/>
          <w:sz w:val="24"/>
          <w:highlight w:val="none"/>
        </w:rPr>
        <w:t>三、评审程序</w:t>
      </w:r>
      <w:bookmarkEnd w:id="176"/>
    </w:p>
    <w:p w14:paraId="706A23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201F7B9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6A8CD5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0B2B0D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FF2E7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0287241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8B6CC4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2.谈判过程</w:t>
      </w:r>
    </w:p>
    <w:p w14:paraId="709392C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17AA686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398F378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68C8353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2.4 为有助于对响应文件的详细审查、评价和比较，谈判小组可要求对供应商分别进行技术询问、澄清，有关要求和答复均现场进行。</w:t>
      </w:r>
    </w:p>
    <w:p w14:paraId="0F7F6D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77FC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2.6 进入第二轮谈判的供应商代表按谈判申请文件递交顺序进行单独谈判。</w:t>
      </w:r>
    </w:p>
    <w:p w14:paraId="1EC7099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3F111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0FA958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2E0A61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6FC9AB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1E042388">
      <w:pPr>
        <w:spacing w:line="360" w:lineRule="auto"/>
        <w:ind w:firstLine="480" w:firstLineChars="200"/>
        <w:outlineLvl w:val="9"/>
        <w:rPr>
          <w:rFonts w:ascii="宋体" w:hAnsi="宋体" w:cs="宋体"/>
          <w:sz w:val="24"/>
          <w:szCs w:val="24"/>
          <w:highlight w:val="none"/>
        </w:rPr>
      </w:pPr>
      <w:bookmarkStart w:id="177" w:name="_Toc386046234"/>
      <w:bookmarkStart w:id="178" w:name="_Toc386358396"/>
      <w:r>
        <w:rPr>
          <w:rFonts w:hint="eastAsia" w:ascii="宋体" w:hAnsi="宋体" w:cs="宋体"/>
          <w:sz w:val="24"/>
          <w:szCs w:val="24"/>
          <w:highlight w:val="none"/>
        </w:rPr>
        <w:t>综合得分按下面公式计算</w:t>
      </w:r>
      <w:bookmarkEnd w:id="177"/>
      <w:r>
        <w:rPr>
          <w:rFonts w:hint="eastAsia" w:ascii="宋体" w:hAnsi="宋体" w:cs="宋体"/>
          <w:sz w:val="24"/>
          <w:szCs w:val="24"/>
          <w:highlight w:val="none"/>
        </w:rPr>
        <w:t>。</w:t>
      </w:r>
      <w:bookmarkEnd w:id="178"/>
    </w:p>
    <w:p w14:paraId="42071A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54A0DC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2DA3B0C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7C310E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5A0DF12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4.评审报告</w:t>
      </w:r>
    </w:p>
    <w:p w14:paraId="633DFE7C">
      <w:pPr>
        <w:spacing w:line="360" w:lineRule="auto"/>
        <w:ind w:firstLine="480" w:firstLineChars="200"/>
        <w:outlineLvl w:val="9"/>
        <w:rPr>
          <w:rFonts w:ascii="宋体" w:hAnsi="宋体" w:cs="宋体"/>
          <w:sz w:val="24"/>
          <w:szCs w:val="24"/>
          <w:highlight w:val="none"/>
        </w:rPr>
      </w:pPr>
      <w:bookmarkStart w:id="179" w:name="_Toc36460144"/>
      <w:r>
        <w:rPr>
          <w:rFonts w:hint="eastAsia" w:ascii="宋体" w:hAnsi="宋体" w:cs="宋体"/>
          <w:sz w:val="24"/>
          <w:szCs w:val="24"/>
          <w:highlight w:val="none"/>
        </w:rPr>
        <w:t>4.1 在评审各阶段的结论，如评委有不同意见，按少数服从多数的原则得出最终评审结论。</w:t>
      </w:r>
    </w:p>
    <w:p w14:paraId="16ED96B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如果有效投标不足三个，谈判小组认为剩余有效投标具有竞争性的，则谈判继续。如果因有效投标不足三个使得投标明显缺乏竞争的，谈判小组可以建议采购人重新采购。</w:t>
      </w:r>
    </w:p>
    <w:p w14:paraId="5B54FD3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47BC5188">
      <w:pPr>
        <w:spacing w:line="360" w:lineRule="auto"/>
        <w:outlineLvl w:val="9"/>
        <w:rPr>
          <w:rFonts w:ascii="宋体" w:hAnsi="宋体" w:cs="宋体"/>
          <w:b/>
          <w:sz w:val="24"/>
          <w:highlight w:val="none"/>
        </w:rPr>
      </w:pPr>
      <w:r>
        <w:rPr>
          <w:rFonts w:hint="eastAsia" w:ascii="宋体" w:hAnsi="宋体" w:cs="宋体"/>
          <w:b/>
          <w:sz w:val="24"/>
          <w:highlight w:val="none"/>
        </w:rPr>
        <w:t>四、推荐成交供应商</w:t>
      </w:r>
      <w:bookmarkEnd w:id="179"/>
    </w:p>
    <w:p w14:paraId="24A584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w:t>
      </w:r>
      <w:r>
        <w:rPr>
          <w:rFonts w:hint="eastAsia" w:ascii="宋体" w:hAnsi="宋体" w:cs="宋体"/>
          <w:sz w:val="24"/>
          <w:szCs w:val="24"/>
          <w:highlight w:val="none"/>
          <w:lang w:val="en-US" w:eastAsia="zh-CN"/>
        </w:rPr>
        <w:t>2</w:t>
      </w:r>
      <w:r>
        <w:rPr>
          <w:rFonts w:hint="eastAsia" w:ascii="宋体" w:hAnsi="宋体" w:cs="宋体"/>
          <w:sz w:val="24"/>
          <w:szCs w:val="24"/>
          <w:highlight w:val="none"/>
        </w:rPr>
        <w:t>至3名候选成交供应商。若</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候选人出现综合评分相等时，以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报价低的优先；若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报价也相等，以技术得分高的优先；若技术得分也相等，则由评标委员会投票决定，票数多者优先。</w:t>
      </w:r>
    </w:p>
    <w:p w14:paraId="7908410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附表1：商务部分评审表</w:t>
      </w:r>
    </w:p>
    <w:p w14:paraId="6D0B88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附表2：技术部分评审表</w:t>
      </w:r>
    </w:p>
    <w:p w14:paraId="206B006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附表3：最终报价部分评审表</w:t>
      </w:r>
    </w:p>
    <w:p w14:paraId="15FDBF98">
      <w:pPr>
        <w:spacing w:line="440" w:lineRule="exact"/>
        <w:ind w:firstLine="420" w:firstLineChars="200"/>
        <w:outlineLvl w:val="9"/>
        <w:rPr>
          <w:rFonts w:ascii="宋体" w:hAnsi="宋体" w:cs="宋体"/>
          <w:highlight w:val="none"/>
        </w:rPr>
      </w:pPr>
      <w:r>
        <w:rPr>
          <w:rFonts w:hint="eastAsia" w:ascii="宋体" w:hAnsi="宋体" w:cs="宋体"/>
          <w:highlight w:val="none"/>
        </w:rPr>
        <w:br w:type="page"/>
      </w:r>
    </w:p>
    <w:p w14:paraId="05BDF6F3">
      <w:pPr>
        <w:jc w:val="center"/>
        <w:outlineLvl w:val="9"/>
        <w:rPr>
          <w:rFonts w:ascii="宋体" w:hAnsi="宋体" w:cs="宋体"/>
          <w:b/>
          <w:sz w:val="24"/>
          <w:highlight w:val="none"/>
        </w:rPr>
      </w:pPr>
      <w:r>
        <w:rPr>
          <w:rFonts w:hint="eastAsia" w:ascii="宋体" w:hAnsi="宋体" w:cs="宋体"/>
          <w:b/>
          <w:sz w:val="24"/>
          <w:highlight w:val="none"/>
        </w:rPr>
        <w:t>附表1：商务部分评审表（满分：100分，权重 10 %）</w:t>
      </w:r>
    </w:p>
    <w:tbl>
      <w:tblPr>
        <w:tblStyle w:val="49"/>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
        <w:gridCol w:w="1288"/>
        <w:gridCol w:w="856"/>
        <w:gridCol w:w="7569"/>
      </w:tblGrid>
      <w:tr w14:paraId="2AB0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tblHeader/>
          <w:jc w:val="center"/>
        </w:trPr>
        <w:tc>
          <w:tcPr>
            <w:tcW w:w="49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56E46EDF">
            <w:pPr>
              <w:pStyle w:val="290"/>
              <w:keepNext w:val="0"/>
              <w:keepLines w:val="0"/>
              <w:pageBreakBefore w:val="0"/>
              <w:wordWrap/>
              <w:topLinePunct w:val="0"/>
              <w:autoSpaceDE/>
              <w:autoSpaceDN/>
              <w:bidi w:val="0"/>
              <w:adjustRightInd/>
              <w:snapToGrid/>
              <w:spacing w:line="240" w:lineRule="auto"/>
              <w:ind w:left="0" w:right="0"/>
              <w:jc w:val="center"/>
              <w:rPr>
                <w:rFonts w:ascii="宋体" w:hAnsi="宋体" w:cs="宋体"/>
                <w:b/>
                <w:sz w:val="21"/>
                <w:szCs w:val="21"/>
                <w:highlight w:val="none"/>
              </w:rPr>
            </w:pPr>
            <w:r>
              <w:rPr>
                <w:rFonts w:hint="eastAsia" w:ascii="宋体" w:hAnsi="宋体" w:cs="宋体"/>
                <w:b/>
                <w:sz w:val="21"/>
                <w:szCs w:val="21"/>
                <w:highlight w:val="none"/>
              </w:rPr>
              <w:t>序号</w:t>
            </w:r>
          </w:p>
        </w:tc>
        <w:tc>
          <w:tcPr>
            <w:tcW w:w="1288"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4501F188">
            <w:pPr>
              <w:pStyle w:val="290"/>
              <w:keepNext w:val="0"/>
              <w:keepLines w:val="0"/>
              <w:pageBreakBefore w:val="0"/>
              <w:wordWrap/>
              <w:topLinePunct w:val="0"/>
              <w:autoSpaceDE/>
              <w:autoSpaceDN/>
              <w:bidi w:val="0"/>
              <w:adjustRightInd/>
              <w:snapToGrid/>
              <w:spacing w:line="240" w:lineRule="auto"/>
              <w:ind w:left="0" w:right="0"/>
              <w:jc w:val="center"/>
              <w:rPr>
                <w:rFonts w:ascii="宋体" w:hAnsi="宋体" w:cs="宋体"/>
                <w:b/>
                <w:sz w:val="21"/>
                <w:szCs w:val="21"/>
                <w:highlight w:val="none"/>
              </w:rPr>
            </w:pPr>
            <w:r>
              <w:rPr>
                <w:rFonts w:hint="eastAsia" w:ascii="宋体" w:hAnsi="宋体" w:cs="宋体"/>
                <w:b/>
                <w:sz w:val="21"/>
                <w:szCs w:val="21"/>
                <w:highlight w:val="none"/>
              </w:rPr>
              <w:t>评标项目</w:t>
            </w:r>
          </w:p>
        </w:tc>
        <w:tc>
          <w:tcPr>
            <w:tcW w:w="856"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086B0567">
            <w:pPr>
              <w:pStyle w:val="290"/>
              <w:keepNext w:val="0"/>
              <w:keepLines w:val="0"/>
              <w:pageBreakBefore w:val="0"/>
              <w:wordWrap/>
              <w:topLinePunct w:val="0"/>
              <w:autoSpaceDE/>
              <w:autoSpaceDN/>
              <w:bidi w:val="0"/>
              <w:adjustRightInd/>
              <w:snapToGrid/>
              <w:spacing w:line="240" w:lineRule="auto"/>
              <w:ind w:left="0" w:right="0"/>
              <w:jc w:val="center"/>
              <w:rPr>
                <w:rFonts w:ascii="宋体" w:hAnsi="宋体" w:cs="宋体"/>
                <w:b/>
                <w:sz w:val="21"/>
                <w:szCs w:val="21"/>
                <w:highlight w:val="none"/>
              </w:rPr>
            </w:pPr>
            <w:r>
              <w:rPr>
                <w:rFonts w:hint="eastAsia" w:ascii="宋体" w:hAnsi="宋体" w:cs="宋体"/>
                <w:b/>
                <w:sz w:val="21"/>
                <w:szCs w:val="21"/>
                <w:highlight w:val="none"/>
              </w:rPr>
              <w:t>分值</w:t>
            </w:r>
          </w:p>
        </w:tc>
        <w:tc>
          <w:tcPr>
            <w:tcW w:w="7569"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77066525">
            <w:pPr>
              <w:pStyle w:val="290"/>
              <w:keepNext w:val="0"/>
              <w:keepLines w:val="0"/>
              <w:pageBreakBefore w:val="0"/>
              <w:wordWrap/>
              <w:topLinePunct w:val="0"/>
              <w:autoSpaceDE/>
              <w:autoSpaceDN/>
              <w:bidi w:val="0"/>
              <w:adjustRightInd/>
              <w:snapToGrid/>
              <w:spacing w:line="240" w:lineRule="auto"/>
              <w:ind w:left="0" w:right="0"/>
              <w:jc w:val="center"/>
              <w:rPr>
                <w:rFonts w:ascii="宋体" w:hAnsi="宋体" w:cs="宋体"/>
                <w:b/>
                <w:sz w:val="21"/>
                <w:szCs w:val="21"/>
                <w:highlight w:val="none"/>
              </w:rPr>
            </w:pPr>
            <w:r>
              <w:rPr>
                <w:rFonts w:hint="eastAsia" w:ascii="宋体" w:hAnsi="宋体" w:cs="宋体"/>
                <w:b/>
                <w:sz w:val="21"/>
                <w:szCs w:val="21"/>
                <w:highlight w:val="none"/>
              </w:rPr>
              <w:t>评分标准</w:t>
            </w:r>
          </w:p>
        </w:tc>
      </w:tr>
      <w:tr w14:paraId="5EB0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280" w:hRule="atLeast"/>
          <w:jc w:val="center"/>
        </w:trPr>
        <w:tc>
          <w:tcPr>
            <w:tcW w:w="49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0E3C7942">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rFonts w:hint="default" w:eastAsia="宋体"/>
                <w:sz w:val="21"/>
                <w:szCs w:val="21"/>
                <w:highlight w:val="none"/>
                <w:lang w:val="en-US" w:eastAsia="zh-CN"/>
              </w:rPr>
            </w:pPr>
            <w:r>
              <w:rPr>
                <w:rFonts w:hint="eastAsia"/>
                <w:sz w:val="21"/>
                <w:szCs w:val="21"/>
                <w:highlight w:val="none"/>
                <w:lang w:val="en-US" w:eastAsia="zh-CN"/>
              </w:rPr>
              <w:t>2.1</w:t>
            </w:r>
          </w:p>
        </w:tc>
        <w:tc>
          <w:tcPr>
            <w:tcW w:w="1288"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75808FE8">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lang w:eastAsia="zh-CN"/>
              </w:rPr>
            </w:pPr>
            <w:r>
              <w:rPr>
                <w:rFonts w:hint="eastAsia"/>
                <w:sz w:val="21"/>
                <w:szCs w:val="21"/>
                <w:highlight w:val="none"/>
              </w:rPr>
              <w:t>谈判申请</w:t>
            </w:r>
            <w:r>
              <w:rPr>
                <w:rFonts w:hint="eastAsia"/>
                <w:sz w:val="21"/>
                <w:szCs w:val="21"/>
                <w:highlight w:val="none"/>
                <w:lang w:eastAsia="zh-CN"/>
              </w:rPr>
              <w:t>人的类似项目业绩</w:t>
            </w:r>
          </w:p>
        </w:tc>
        <w:tc>
          <w:tcPr>
            <w:tcW w:w="856"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12EE9726">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rPr>
            </w:pPr>
            <w:r>
              <w:rPr>
                <w:rFonts w:hint="eastAsia"/>
                <w:sz w:val="21"/>
                <w:szCs w:val="21"/>
                <w:highlight w:val="none"/>
                <w:lang w:eastAsia="zh-CN"/>
              </w:rPr>
              <w:t>3</w:t>
            </w:r>
            <w:r>
              <w:rPr>
                <w:rFonts w:hint="eastAsia"/>
                <w:sz w:val="21"/>
                <w:szCs w:val="21"/>
                <w:highlight w:val="none"/>
                <w:lang w:val="en-US" w:eastAsia="zh-CN"/>
              </w:rPr>
              <w:t>5</w:t>
            </w:r>
            <w:r>
              <w:rPr>
                <w:rFonts w:hint="eastAsia"/>
                <w:sz w:val="21"/>
                <w:szCs w:val="21"/>
                <w:highlight w:val="none"/>
                <w:lang w:eastAsia="zh-CN"/>
              </w:rPr>
              <w:t>分</w:t>
            </w:r>
          </w:p>
        </w:tc>
        <w:tc>
          <w:tcPr>
            <w:tcW w:w="7569"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40F52806">
            <w:pPr>
              <w:keepNext w:val="0"/>
              <w:keepLines w:val="0"/>
              <w:pageBreakBefore w:val="0"/>
              <w:wordWrap/>
              <w:topLinePunct w:val="0"/>
              <w:autoSpaceDE/>
              <w:autoSpaceDN/>
              <w:bidi w:val="0"/>
              <w:adjustRightInd/>
              <w:snapToGrid/>
              <w:spacing w:line="240" w:lineRule="auto"/>
              <w:ind w:left="0" w:right="0"/>
              <w:rPr>
                <w:rFonts w:hint="eastAsia" w:ascii="宋体" w:hAnsi="宋体"/>
                <w:sz w:val="21"/>
                <w:szCs w:val="21"/>
                <w:highlight w:val="none"/>
              </w:rPr>
            </w:pPr>
            <w:r>
              <w:rPr>
                <w:rFonts w:hint="eastAsia"/>
                <w:sz w:val="21"/>
                <w:szCs w:val="21"/>
                <w:highlight w:val="none"/>
              </w:rPr>
              <w:t>谈判申请</w:t>
            </w:r>
            <w:r>
              <w:rPr>
                <w:rFonts w:hint="eastAsia" w:ascii="宋体" w:hAnsi="宋体"/>
                <w:sz w:val="21"/>
                <w:szCs w:val="21"/>
                <w:highlight w:val="none"/>
              </w:rPr>
              <w:t>人满足</w:t>
            </w:r>
            <w:r>
              <w:rPr>
                <w:rFonts w:hint="eastAsia" w:ascii="宋体" w:hAnsi="宋体"/>
                <w:sz w:val="21"/>
                <w:szCs w:val="21"/>
                <w:highlight w:val="none"/>
                <w:lang w:val="en-US" w:eastAsia="zh-CN"/>
              </w:rPr>
              <w:t>基本</w:t>
            </w:r>
            <w:r>
              <w:rPr>
                <w:rFonts w:hint="eastAsia" w:ascii="宋体" w:hAnsi="宋体"/>
                <w:sz w:val="21"/>
                <w:szCs w:val="21"/>
                <w:highlight w:val="none"/>
              </w:rPr>
              <w:t>资格条件</w:t>
            </w:r>
            <w:r>
              <w:rPr>
                <w:rFonts w:hint="eastAsia" w:ascii="宋体" w:hAnsi="宋体"/>
                <w:sz w:val="21"/>
                <w:szCs w:val="21"/>
                <w:highlight w:val="none"/>
                <w:lang w:val="en-US" w:eastAsia="zh-CN"/>
              </w:rPr>
              <w:t>得20分。</w:t>
            </w:r>
          </w:p>
          <w:p w14:paraId="36F9067A">
            <w:pPr>
              <w:keepNext w:val="0"/>
              <w:keepLines w:val="0"/>
              <w:pageBreakBefore w:val="0"/>
              <w:wordWrap/>
              <w:topLinePunct w:val="0"/>
              <w:autoSpaceDE/>
              <w:autoSpaceDN/>
              <w:bidi w:val="0"/>
              <w:adjustRightInd/>
              <w:snapToGrid/>
              <w:spacing w:line="240" w:lineRule="auto"/>
              <w:ind w:left="0" w:right="0"/>
              <w:rPr>
                <w:rFonts w:hint="default" w:eastAsia="宋体"/>
                <w:sz w:val="21"/>
                <w:szCs w:val="21"/>
                <w:highlight w:val="none"/>
                <w:lang w:val="en-US" w:eastAsia="zh-CN"/>
              </w:rPr>
            </w:pPr>
            <w:r>
              <w:rPr>
                <w:rFonts w:hint="eastAsia" w:ascii="宋体" w:hAnsi="宋体"/>
                <w:sz w:val="21"/>
                <w:szCs w:val="21"/>
                <w:highlight w:val="none"/>
              </w:rPr>
              <w:t>①每增加</w:t>
            </w:r>
            <w:r>
              <w:rPr>
                <w:rFonts w:hint="eastAsia" w:ascii="宋体" w:hAnsi="宋体"/>
                <w:sz w:val="21"/>
                <w:szCs w:val="21"/>
                <w:highlight w:val="none"/>
                <w:lang w:val="en-US" w:eastAsia="zh-CN"/>
              </w:rPr>
              <w:t>1</w:t>
            </w:r>
            <w:r>
              <w:rPr>
                <w:rFonts w:hint="eastAsia" w:ascii="宋体" w:hAnsi="宋体"/>
                <w:sz w:val="21"/>
                <w:szCs w:val="21"/>
                <w:highlight w:val="none"/>
              </w:rPr>
              <w:t>个项目投资金额在</w:t>
            </w:r>
            <w:r>
              <w:rPr>
                <w:rFonts w:hint="eastAsia" w:ascii="宋体" w:hAnsi="宋体"/>
                <w:sz w:val="21"/>
                <w:szCs w:val="21"/>
                <w:highlight w:val="none"/>
                <w:lang w:val="en-US" w:eastAsia="zh-CN"/>
              </w:rPr>
              <w:t>2000万</w:t>
            </w:r>
            <w:r>
              <w:rPr>
                <w:rFonts w:hint="eastAsia" w:ascii="宋体" w:hAnsi="宋体"/>
                <w:sz w:val="21"/>
                <w:szCs w:val="21"/>
                <w:highlight w:val="none"/>
              </w:rPr>
              <w:t>元及以上的</w:t>
            </w:r>
            <w:r>
              <w:rPr>
                <w:rFonts w:hint="eastAsia" w:ascii="宋体" w:hAnsi="宋体"/>
                <w:sz w:val="21"/>
                <w:szCs w:val="21"/>
                <w:highlight w:val="none"/>
                <w:lang w:val="en-US" w:eastAsia="zh-CN"/>
              </w:rPr>
              <w:t>新能源行业工程建设造价控制</w:t>
            </w:r>
            <w:r>
              <w:rPr>
                <w:rFonts w:hint="eastAsia" w:ascii="宋体" w:hAnsi="宋体"/>
                <w:sz w:val="21"/>
                <w:szCs w:val="21"/>
                <w:highlight w:val="none"/>
              </w:rPr>
              <w:t>（包括施工过程造价和竣工结算造价</w:t>
            </w:r>
            <w:r>
              <w:rPr>
                <w:rFonts w:hint="eastAsia" w:ascii="宋体" w:hAnsi="宋体"/>
                <w:sz w:val="21"/>
                <w:szCs w:val="21"/>
                <w:highlight w:val="none"/>
                <w:lang w:eastAsia="zh-CN"/>
              </w:rPr>
              <w:t>，</w:t>
            </w:r>
            <w:r>
              <w:rPr>
                <w:rFonts w:hint="eastAsia" w:ascii="宋体" w:hAnsi="宋体"/>
                <w:sz w:val="21"/>
                <w:szCs w:val="21"/>
                <w:highlight w:val="none"/>
                <w:lang w:val="en-US" w:eastAsia="zh-CN"/>
              </w:rPr>
              <w:t>在建或完工</w:t>
            </w:r>
            <w:r>
              <w:rPr>
                <w:rFonts w:hint="eastAsia" w:ascii="宋体" w:hAnsi="宋体"/>
                <w:sz w:val="21"/>
                <w:szCs w:val="21"/>
                <w:highlight w:val="none"/>
              </w:rPr>
              <w:t>）</w:t>
            </w:r>
            <w:r>
              <w:rPr>
                <w:rFonts w:hint="eastAsia" w:ascii="宋体" w:hAnsi="宋体"/>
                <w:sz w:val="21"/>
                <w:szCs w:val="21"/>
                <w:highlight w:val="none"/>
                <w:lang w:val="en-US" w:eastAsia="zh-CN"/>
              </w:rPr>
              <w:t>的服务业绩加3分，本项最多加15分。</w:t>
            </w:r>
          </w:p>
          <w:p w14:paraId="04C81D1B">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注：提供合同和业主证明复印件，证明材料所能承载的证明内容应符合业绩要求的具体表述，否则还需提供项目其他辅助证明材料等。</w:t>
            </w:r>
          </w:p>
        </w:tc>
      </w:tr>
      <w:tr w14:paraId="52B6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jc w:val="center"/>
        </w:trPr>
        <w:tc>
          <w:tcPr>
            <w:tcW w:w="492"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14:paraId="409D9597">
            <w:pPr>
              <w:keepNext w:val="0"/>
              <w:keepLines w:val="0"/>
              <w:pageBreakBefore w:val="0"/>
              <w:wordWrap/>
              <w:topLinePunct w:val="0"/>
              <w:autoSpaceDE/>
              <w:autoSpaceDN/>
              <w:bidi w:val="0"/>
              <w:adjustRightInd/>
              <w:snapToGrid/>
              <w:spacing w:line="240" w:lineRule="auto"/>
              <w:ind w:left="0" w:right="0"/>
              <w:jc w:val="center"/>
              <w:textAlignment w:val="center"/>
              <w:rPr>
                <w:rFonts w:hint="default" w:eastAsia="宋体"/>
                <w:sz w:val="21"/>
                <w:szCs w:val="21"/>
                <w:highlight w:val="none"/>
                <w:lang w:val="en-US" w:eastAsia="zh-CN"/>
              </w:rPr>
            </w:pPr>
            <w:r>
              <w:rPr>
                <w:rFonts w:hint="eastAsia"/>
                <w:sz w:val="21"/>
                <w:szCs w:val="21"/>
                <w:highlight w:val="none"/>
                <w:lang w:val="en-US" w:eastAsia="zh-CN"/>
              </w:rPr>
              <w:t>2.2</w:t>
            </w:r>
          </w:p>
        </w:tc>
        <w:tc>
          <w:tcPr>
            <w:tcW w:w="1288"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14:paraId="1AB352C0">
            <w:pPr>
              <w:keepNext w:val="0"/>
              <w:keepLines w:val="0"/>
              <w:pageBreakBefore w:val="0"/>
              <w:wordWrap/>
              <w:topLinePunct w:val="0"/>
              <w:autoSpaceDE/>
              <w:autoSpaceDN/>
              <w:bidi w:val="0"/>
              <w:adjustRightInd/>
              <w:snapToGrid/>
              <w:spacing w:line="240" w:lineRule="auto"/>
              <w:ind w:left="0" w:right="0"/>
              <w:jc w:val="center"/>
              <w:textAlignment w:val="center"/>
              <w:rPr>
                <w:sz w:val="21"/>
                <w:szCs w:val="21"/>
                <w:highlight w:val="none"/>
              </w:rPr>
            </w:pPr>
            <w:r>
              <w:rPr>
                <w:rFonts w:hint="eastAsia" w:ascii="宋体" w:hAnsi="宋体" w:cs="宋体"/>
                <w:sz w:val="21"/>
                <w:szCs w:val="21"/>
                <w:highlight w:val="none"/>
              </w:rPr>
              <w:t>项目负责人类似业绩</w:t>
            </w:r>
          </w:p>
        </w:tc>
        <w:tc>
          <w:tcPr>
            <w:tcW w:w="856" w:type="dxa"/>
            <w:tcBorders>
              <w:top w:val="single" w:color="auto" w:sz="4" w:space="0"/>
              <w:left w:val="single" w:color="auto" w:sz="4" w:space="0"/>
              <w:right w:val="single" w:color="auto" w:sz="4" w:space="0"/>
            </w:tcBorders>
            <w:tcMar>
              <w:top w:w="57" w:type="dxa"/>
              <w:left w:w="57" w:type="dxa"/>
              <w:bottom w:w="57" w:type="dxa"/>
              <w:right w:w="57" w:type="dxa"/>
            </w:tcMar>
            <w:vAlign w:val="center"/>
          </w:tcPr>
          <w:p w14:paraId="77EFE662">
            <w:pPr>
              <w:keepNext w:val="0"/>
              <w:keepLines w:val="0"/>
              <w:pageBreakBefore w:val="0"/>
              <w:wordWrap/>
              <w:topLinePunct w:val="0"/>
              <w:autoSpaceDE/>
              <w:autoSpaceDN/>
              <w:bidi w:val="0"/>
              <w:adjustRightInd/>
              <w:snapToGrid/>
              <w:spacing w:line="240" w:lineRule="auto"/>
              <w:ind w:left="0" w:right="0"/>
              <w:jc w:val="center"/>
              <w:rPr>
                <w:rFonts w:ascii="宋体" w:hAnsi="宋体"/>
                <w:sz w:val="21"/>
                <w:szCs w:val="21"/>
                <w:highlight w:val="none"/>
              </w:rPr>
            </w:pPr>
            <w:r>
              <w:rPr>
                <w:rFonts w:hint="eastAsia" w:ascii="宋体" w:hAnsi="宋体"/>
                <w:sz w:val="21"/>
                <w:szCs w:val="21"/>
                <w:highlight w:val="none"/>
              </w:rPr>
              <w:t>3</w:t>
            </w:r>
            <w:r>
              <w:rPr>
                <w:rFonts w:hint="eastAsia" w:ascii="宋体" w:hAnsi="宋体"/>
                <w:sz w:val="21"/>
                <w:szCs w:val="21"/>
                <w:highlight w:val="none"/>
                <w:lang w:val="en-US" w:eastAsia="zh-CN"/>
              </w:rPr>
              <w:t>0</w:t>
            </w:r>
            <w:r>
              <w:rPr>
                <w:rFonts w:hint="eastAsia" w:ascii="宋体" w:hAnsi="宋体"/>
                <w:sz w:val="21"/>
                <w:szCs w:val="21"/>
                <w:highlight w:val="none"/>
              </w:rPr>
              <w:t>分</w:t>
            </w:r>
          </w:p>
        </w:tc>
        <w:tc>
          <w:tcPr>
            <w:tcW w:w="7569"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14AD7FFD">
            <w:pPr>
              <w:keepNext w:val="0"/>
              <w:keepLines w:val="0"/>
              <w:pageBreakBefore w:val="0"/>
              <w:numPr>
                <w:ilvl w:val="0"/>
                <w:numId w:val="0"/>
              </w:numPr>
              <w:wordWrap/>
              <w:topLinePunct w:val="0"/>
              <w:autoSpaceDE/>
              <w:autoSpaceDN/>
              <w:bidi w:val="0"/>
              <w:adjustRightInd/>
              <w:snapToGrid/>
              <w:spacing w:line="240" w:lineRule="auto"/>
              <w:ind w:right="0" w:rightChars="0"/>
              <w:rPr>
                <w:rFonts w:ascii="宋体" w:hAnsi="宋体"/>
                <w:sz w:val="21"/>
                <w:szCs w:val="21"/>
                <w:highlight w:val="none"/>
              </w:rPr>
            </w:pPr>
            <w:r>
              <w:rPr>
                <w:rFonts w:hint="eastAsia" w:ascii="宋体" w:hAnsi="宋体"/>
                <w:sz w:val="21"/>
                <w:szCs w:val="21"/>
                <w:highlight w:val="none"/>
                <w:lang w:eastAsia="zh-CN"/>
              </w:rPr>
              <w:t>项目</w:t>
            </w:r>
            <w:r>
              <w:rPr>
                <w:rFonts w:hint="eastAsia" w:ascii="宋体" w:hAnsi="宋体"/>
                <w:sz w:val="21"/>
                <w:szCs w:val="21"/>
                <w:highlight w:val="none"/>
              </w:rPr>
              <w:t>负责人业绩：满足资格审查业绩要求</w:t>
            </w:r>
            <w:r>
              <w:rPr>
                <w:rFonts w:hint="eastAsia" w:ascii="宋体" w:hAnsi="宋体"/>
                <w:sz w:val="21"/>
                <w:szCs w:val="21"/>
                <w:highlight w:val="none"/>
                <w:lang w:val="en-US" w:eastAsia="zh-CN"/>
              </w:rPr>
              <w:t>得15分。</w:t>
            </w:r>
          </w:p>
          <w:p w14:paraId="5CA37753">
            <w:pPr>
              <w:keepNext w:val="0"/>
              <w:keepLines w:val="0"/>
              <w:pageBreakBefore w:val="0"/>
              <w:numPr>
                <w:ilvl w:val="255"/>
                <w:numId w:val="0"/>
              </w:numPr>
              <w:wordWrap/>
              <w:topLinePunct w:val="0"/>
              <w:autoSpaceDE/>
              <w:autoSpaceDN/>
              <w:bidi w:val="0"/>
              <w:adjustRightInd/>
              <w:snapToGrid/>
              <w:spacing w:line="240" w:lineRule="auto"/>
              <w:ind w:left="0" w:right="0"/>
              <w:rPr>
                <w:rFonts w:hint="eastAsia" w:eastAsia="宋体"/>
                <w:sz w:val="21"/>
                <w:szCs w:val="21"/>
                <w:highlight w:val="none"/>
                <w:lang w:eastAsia="zh-CN"/>
              </w:rPr>
            </w:pPr>
            <w:r>
              <w:rPr>
                <w:rFonts w:hint="eastAsia" w:ascii="宋体" w:hAnsi="宋体"/>
                <w:sz w:val="21"/>
                <w:szCs w:val="21"/>
                <w:highlight w:val="none"/>
              </w:rPr>
              <w:t>①</w:t>
            </w:r>
            <w:r>
              <w:rPr>
                <w:rFonts w:hint="eastAsia" w:ascii="宋体" w:hAnsi="宋体"/>
                <w:sz w:val="21"/>
                <w:szCs w:val="21"/>
                <w:highlight w:val="none"/>
                <w:lang w:val="en-US" w:eastAsia="zh-CN"/>
              </w:rPr>
              <w:t>近三年来：</w:t>
            </w:r>
            <w:r>
              <w:rPr>
                <w:rFonts w:hint="eastAsia" w:ascii="宋体" w:hAnsi="宋体"/>
                <w:sz w:val="21"/>
                <w:szCs w:val="21"/>
                <w:highlight w:val="none"/>
              </w:rPr>
              <w:t>每增加一个</w:t>
            </w:r>
            <w:r>
              <w:rPr>
                <w:rFonts w:hint="eastAsia" w:ascii="宋体" w:hAnsi="宋体"/>
                <w:sz w:val="21"/>
                <w:szCs w:val="21"/>
                <w:highlight w:val="none"/>
                <w:lang w:val="en-US" w:eastAsia="zh-CN"/>
              </w:rPr>
              <w:t>2000万</w:t>
            </w:r>
            <w:r>
              <w:rPr>
                <w:rFonts w:hint="eastAsia" w:ascii="宋体" w:hAnsi="宋体"/>
                <w:sz w:val="21"/>
                <w:szCs w:val="21"/>
                <w:highlight w:val="none"/>
              </w:rPr>
              <w:t>元及以上</w:t>
            </w:r>
            <w:r>
              <w:rPr>
                <w:rFonts w:hint="eastAsia" w:ascii="宋体" w:hAnsi="宋体"/>
                <w:sz w:val="21"/>
                <w:szCs w:val="21"/>
                <w:highlight w:val="none"/>
                <w:lang w:val="en-US" w:eastAsia="zh-CN"/>
              </w:rPr>
              <w:t>工程项目</w:t>
            </w:r>
            <w:r>
              <w:rPr>
                <w:rFonts w:hint="eastAsia" w:ascii="宋体" w:hAnsi="宋体"/>
                <w:sz w:val="21"/>
                <w:szCs w:val="21"/>
                <w:highlight w:val="none"/>
              </w:rPr>
              <w:t>造价咨询服务业绩加</w:t>
            </w:r>
            <w:r>
              <w:rPr>
                <w:rFonts w:hint="eastAsia" w:ascii="宋体" w:hAnsi="宋体"/>
                <w:sz w:val="21"/>
                <w:szCs w:val="21"/>
                <w:highlight w:val="none"/>
                <w:lang w:val="en-US" w:eastAsia="zh-CN"/>
              </w:rPr>
              <w:t>3</w:t>
            </w:r>
            <w:r>
              <w:rPr>
                <w:rFonts w:hint="eastAsia" w:ascii="宋体" w:hAnsi="宋体"/>
                <w:sz w:val="21"/>
                <w:szCs w:val="21"/>
                <w:highlight w:val="none"/>
              </w:rPr>
              <w:t>分</w:t>
            </w:r>
            <w:r>
              <w:rPr>
                <w:rFonts w:hint="eastAsia" w:ascii="宋体" w:hAnsi="宋体"/>
                <w:sz w:val="21"/>
                <w:szCs w:val="21"/>
                <w:highlight w:val="none"/>
                <w:lang w:eastAsia="zh-CN"/>
              </w:rPr>
              <w:t>，</w:t>
            </w:r>
            <w:r>
              <w:rPr>
                <w:rFonts w:hint="eastAsia" w:ascii="宋体" w:hAnsi="宋体"/>
                <w:sz w:val="21"/>
                <w:szCs w:val="21"/>
                <w:highlight w:val="none"/>
              </w:rPr>
              <w:t>本项最高</w:t>
            </w:r>
            <w:r>
              <w:rPr>
                <w:rFonts w:hint="eastAsia" w:ascii="宋体" w:hAnsi="宋体"/>
                <w:sz w:val="21"/>
                <w:szCs w:val="21"/>
                <w:highlight w:val="none"/>
                <w:lang w:val="en-US" w:eastAsia="zh-CN"/>
              </w:rPr>
              <w:t>加15</w:t>
            </w:r>
            <w:r>
              <w:rPr>
                <w:rFonts w:hint="eastAsia" w:ascii="宋体" w:hAnsi="宋体"/>
                <w:sz w:val="21"/>
                <w:szCs w:val="21"/>
                <w:highlight w:val="none"/>
              </w:rPr>
              <w:t>分。</w:t>
            </w:r>
          </w:p>
          <w:p w14:paraId="4F8D4D02">
            <w:pPr>
              <w:keepNext w:val="0"/>
              <w:keepLines w:val="0"/>
              <w:pageBreakBefore w:val="0"/>
              <w:wordWrap/>
              <w:topLinePunct w:val="0"/>
              <w:autoSpaceDE/>
              <w:autoSpaceDN/>
              <w:bidi w:val="0"/>
              <w:adjustRightInd/>
              <w:snapToGrid/>
              <w:spacing w:line="240" w:lineRule="auto"/>
              <w:ind w:left="0" w:right="0"/>
              <w:rPr>
                <w:rFonts w:ascii="宋体" w:hAnsi="宋体"/>
                <w:sz w:val="21"/>
                <w:szCs w:val="21"/>
                <w:highlight w:val="none"/>
              </w:rPr>
            </w:pPr>
            <w:r>
              <w:rPr>
                <w:rFonts w:hint="eastAsia" w:ascii="宋体" w:hAnsi="宋体"/>
                <w:sz w:val="21"/>
                <w:szCs w:val="21"/>
                <w:highlight w:val="none"/>
              </w:rPr>
              <w:t>（需提供能体现项目负责人姓名的合同复印件，含合同首页、范围页、签字盖章页）</w:t>
            </w:r>
          </w:p>
        </w:tc>
      </w:tr>
      <w:tr w14:paraId="6D82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50" w:hRule="atLeast"/>
          <w:jc w:val="center"/>
        </w:trPr>
        <w:tc>
          <w:tcPr>
            <w:tcW w:w="49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17FB03D5">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rFonts w:hint="default"/>
                <w:sz w:val="21"/>
                <w:szCs w:val="21"/>
                <w:highlight w:val="none"/>
                <w:lang w:val="en-US" w:eastAsia="zh-CN"/>
              </w:rPr>
            </w:pPr>
            <w:r>
              <w:rPr>
                <w:rFonts w:hint="eastAsia"/>
                <w:sz w:val="21"/>
                <w:szCs w:val="21"/>
                <w:highlight w:val="none"/>
                <w:lang w:val="en-US" w:eastAsia="zh-CN"/>
              </w:rPr>
              <w:t>2.3</w:t>
            </w:r>
          </w:p>
        </w:tc>
        <w:tc>
          <w:tcPr>
            <w:tcW w:w="1288"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5AC43EED">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rPr>
            </w:pPr>
            <w:r>
              <w:rPr>
                <w:rFonts w:hint="eastAsia"/>
                <w:sz w:val="21"/>
                <w:szCs w:val="21"/>
                <w:highlight w:val="none"/>
              </w:rPr>
              <w:t>财务及现金流状况</w:t>
            </w:r>
          </w:p>
        </w:tc>
        <w:tc>
          <w:tcPr>
            <w:tcW w:w="856"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56B887CB">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lang w:eastAsia="zh-CN"/>
              </w:rPr>
            </w:pPr>
            <w:r>
              <w:rPr>
                <w:rFonts w:hint="eastAsia"/>
                <w:sz w:val="21"/>
                <w:szCs w:val="21"/>
                <w:highlight w:val="none"/>
                <w:lang w:val="en-US" w:eastAsia="zh-CN"/>
              </w:rPr>
              <w:t>20</w:t>
            </w:r>
            <w:r>
              <w:rPr>
                <w:rFonts w:hint="eastAsia"/>
                <w:sz w:val="21"/>
                <w:szCs w:val="21"/>
                <w:highlight w:val="none"/>
                <w:lang w:eastAsia="zh-CN"/>
              </w:rPr>
              <w:t>分</w:t>
            </w:r>
          </w:p>
        </w:tc>
        <w:tc>
          <w:tcPr>
            <w:tcW w:w="7569"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37631A49">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根据</w:t>
            </w:r>
            <w:r>
              <w:rPr>
                <w:rFonts w:hint="eastAsia"/>
                <w:sz w:val="21"/>
                <w:szCs w:val="21"/>
                <w:highlight w:val="none"/>
              </w:rPr>
              <w:t>谈判申请</w:t>
            </w:r>
            <w:r>
              <w:rPr>
                <w:rFonts w:hint="eastAsia"/>
                <w:sz w:val="21"/>
                <w:szCs w:val="21"/>
                <w:highlight w:val="none"/>
                <w:lang w:eastAsia="zh-CN"/>
              </w:rPr>
              <w:t>人提供的近三年（2</w:t>
            </w:r>
            <w:r>
              <w:rPr>
                <w:rFonts w:hint="eastAsia"/>
                <w:sz w:val="21"/>
                <w:szCs w:val="21"/>
                <w:highlight w:val="none"/>
                <w:lang w:val="en-US" w:eastAsia="zh-CN"/>
              </w:rPr>
              <w:t>023</w:t>
            </w:r>
            <w:r>
              <w:rPr>
                <w:rFonts w:hint="eastAsia"/>
                <w:sz w:val="21"/>
                <w:szCs w:val="21"/>
                <w:highlight w:val="none"/>
                <w:lang w:eastAsia="zh-CN"/>
              </w:rPr>
              <w:t>～202</w:t>
            </w:r>
            <w:r>
              <w:rPr>
                <w:rFonts w:hint="eastAsia"/>
                <w:sz w:val="21"/>
                <w:szCs w:val="21"/>
                <w:highlight w:val="none"/>
                <w:lang w:val="en-US" w:eastAsia="zh-CN"/>
              </w:rPr>
              <w:t>5的三年</w:t>
            </w:r>
            <w:r>
              <w:rPr>
                <w:rFonts w:hint="eastAsia"/>
                <w:sz w:val="21"/>
                <w:szCs w:val="21"/>
                <w:highlight w:val="none"/>
                <w:lang w:eastAsia="zh-CN"/>
              </w:rPr>
              <w:t>）财务报表，分别从总资产、营业收入、利润和经营现金净现流四个方面进行综合对比：</w:t>
            </w:r>
          </w:p>
          <w:p w14:paraId="33B4403E">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第一档次（</w:t>
            </w:r>
            <w:r>
              <w:rPr>
                <w:rFonts w:hint="eastAsia"/>
                <w:sz w:val="21"/>
                <w:szCs w:val="21"/>
                <w:highlight w:val="none"/>
                <w:lang w:val="en-US" w:eastAsia="zh-CN"/>
              </w:rPr>
              <w:t>15</w:t>
            </w:r>
            <w:r>
              <w:rPr>
                <w:rFonts w:hint="eastAsia"/>
                <w:sz w:val="21"/>
                <w:szCs w:val="21"/>
                <w:highlight w:val="none"/>
                <w:lang w:eastAsia="zh-CN"/>
              </w:rPr>
              <w:t>-</w:t>
            </w:r>
            <w:r>
              <w:rPr>
                <w:rFonts w:hint="eastAsia"/>
                <w:sz w:val="21"/>
                <w:szCs w:val="21"/>
                <w:highlight w:val="none"/>
                <w:lang w:val="en-US" w:eastAsia="zh-CN"/>
              </w:rPr>
              <w:t>20</w:t>
            </w:r>
            <w:r>
              <w:rPr>
                <w:rFonts w:hint="eastAsia"/>
                <w:sz w:val="21"/>
                <w:szCs w:val="21"/>
                <w:highlight w:val="none"/>
                <w:lang w:eastAsia="zh-CN"/>
              </w:rPr>
              <w:t>分）：总资产、营业收入、利润和经营现金净现流四个方面综合对比，财务及现金流状况好；</w:t>
            </w:r>
          </w:p>
          <w:p w14:paraId="48CC8D62">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第二档次（</w:t>
            </w:r>
            <w:r>
              <w:rPr>
                <w:rFonts w:hint="eastAsia"/>
                <w:sz w:val="21"/>
                <w:szCs w:val="21"/>
                <w:highlight w:val="none"/>
                <w:lang w:val="en-US" w:eastAsia="zh-CN"/>
              </w:rPr>
              <w:t>11</w:t>
            </w:r>
            <w:r>
              <w:rPr>
                <w:rFonts w:hint="eastAsia"/>
                <w:sz w:val="21"/>
                <w:szCs w:val="21"/>
                <w:highlight w:val="none"/>
                <w:lang w:eastAsia="zh-CN"/>
              </w:rPr>
              <w:t>-</w:t>
            </w:r>
            <w:r>
              <w:rPr>
                <w:rFonts w:hint="eastAsia"/>
                <w:sz w:val="21"/>
                <w:szCs w:val="21"/>
                <w:highlight w:val="none"/>
                <w:lang w:val="en-US" w:eastAsia="zh-CN"/>
              </w:rPr>
              <w:t>15</w:t>
            </w:r>
            <w:r>
              <w:rPr>
                <w:rFonts w:hint="eastAsia"/>
                <w:sz w:val="21"/>
                <w:szCs w:val="21"/>
                <w:highlight w:val="none"/>
                <w:lang w:eastAsia="zh-CN"/>
              </w:rPr>
              <w:t>分）：总资产、营业收入、利润和经营现金净现流四个方面综合对比，财务及现金流状况较好；</w:t>
            </w:r>
          </w:p>
          <w:p w14:paraId="146B8FF5">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第三档次（</w:t>
            </w:r>
            <w:r>
              <w:rPr>
                <w:rFonts w:hint="eastAsia"/>
                <w:sz w:val="21"/>
                <w:szCs w:val="21"/>
                <w:highlight w:val="none"/>
                <w:lang w:val="en-US" w:eastAsia="zh-CN"/>
              </w:rPr>
              <w:t>6</w:t>
            </w:r>
            <w:r>
              <w:rPr>
                <w:rFonts w:hint="eastAsia"/>
                <w:sz w:val="21"/>
                <w:szCs w:val="21"/>
                <w:highlight w:val="none"/>
                <w:lang w:eastAsia="zh-CN"/>
              </w:rPr>
              <w:t>-</w:t>
            </w:r>
            <w:r>
              <w:rPr>
                <w:rFonts w:hint="eastAsia"/>
                <w:sz w:val="21"/>
                <w:szCs w:val="21"/>
                <w:highlight w:val="none"/>
                <w:lang w:val="en-US" w:eastAsia="zh-CN"/>
              </w:rPr>
              <w:t>11</w:t>
            </w:r>
            <w:r>
              <w:rPr>
                <w:rFonts w:hint="eastAsia"/>
                <w:sz w:val="21"/>
                <w:szCs w:val="21"/>
                <w:highlight w:val="none"/>
                <w:lang w:eastAsia="zh-CN"/>
              </w:rPr>
              <w:t>分）：总资产、营业收入、利润和经营现金净现流四个方面综合对比，财务及现金流状况一般；</w:t>
            </w:r>
          </w:p>
          <w:p w14:paraId="01BEF12F">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第四档次（0-</w:t>
            </w:r>
            <w:r>
              <w:rPr>
                <w:rFonts w:hint="eastAsia"/>
                <w:sz w:val="21"/>
                <w:szCs w:val="21"/>
                <w:highlight w:val="none"/>
                <w:lang w:val="en-US" w:eastAsia="zh-CN"/>
              </w:rPr>
              <w:t>6</w:t>
            </w:r>
            <w:r>
              <w:rPr>
                <w:rFonts w:hint="eastAsia"/>
                <w:sz w:val="21"/>
                <w:szCs w:val="21"/>
                <w:highlight w:val="none"/>
                <w:lang w:eastAsia="zh-CN"/>
              </w:rPr>
              <w:t>分）：总资产、营业收入、利润和经营现金净现流四个方面综合对比，财务及现金流状况差。</w:t>
            </w:r>
          </w:p>
        </w:tc>
      </w:tr>
      <w:tr w14:paraId="6B98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49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7D838BF3">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rFonts w:hint="default"/>
                <w:sz w:val="21"/>
                <w:szCs w:val="21"/>
                <w:highlight w:val="none"/>
                <w:lang w:val="en-US" w:eastAsia="zh-CN"/>
              </w:rPr>
            </w:pPr>
            <w:r>
              <w:rPr>
                <w:rFonts w:hint="eastAsia"/>
                <w:sz w:val="21"/>
                <w:szCs w:val="21"/>
                <w:highlight w:val="none"/>
                <w:lang w:val="en-US" w:eastAsia="zh-CN"/>
              </w:rPr>
              <w:t>2.4</w:t>
            </w:r>
          </w:p>
        </w:tc>
        <w:tc>
          <w:tcPr>
            <w:tcW w:w="1288"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4554153B">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rPr>
            </w:pPr>
            <w:r>
              <w:rPr>
                <w:rFonts w:hint="eastAsia"/>
                <w:sz w:val="21"/>
                <w:szCs w:val="21"/>
                <w:highlight w:val="none"/>
              </w:rPr>
              <w:t>企业总体综合实力</w:t>
            </w:r>
          </w:p>
        </w:tc>
        <w:tc>
          <w:tcPr>
            <w:tcW w:w="856"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014B5B64">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lang w:eastAsia="zh-CN"/>
              </w:rPr>
            </w:pPr>
            <w:r>
              <w:rPr>
                <w:rFonts w:hint="eastAsia"/>
                <w:sz w:val="21"/>
                <w:szCs w:val="21"/>
                <w:highlight w:val="none"/>
                <w:lang w:val="en-US" w:eastAsia="zh-CN"/>
              </w:rPr>
              <w:t>15</w:t>
            </w:r>
            <w:r>
              <w:rPr>
                <w:rFonts w:hint="eastAsia"/>
                <w:sz w:val="21"/>
                <w:szCs w:val="21"/>
                <w:highlight w:val="none"/>
                <w:lang w:eastAsia="zh-CN"/>
              </w:rPr>
              <w:t>分</w:t>
            </w:r>
          </w:p>
        </w:tc>
        <w:tc>
          <w:tcPr>
            <w:tcW w:w="7569"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7889F1A4">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根据</w:t>
            </w:r>
            <w:r>
              <w:rPr>
                <w:rFonts w:hint="eastAsia"/>
                <w:sz w:val="21"/>
                <w:szCs w:val="21"/>
                <w:highlight w:val="none"/>
              </w:rPr>
              <w:t>谈判申请</w:t>
            </w:r>
            <w:r>
              <w:rPr>
                <w:rFonts w:hint="eastAsia"/>
                <w:sz w:val="21"/>
                <w:szCs w:val="21"/>
                <w:highlight w:val="none"/>
                <w:lang w:eastAsia="zh-CN"/>
              </w:rPr>
              <w:t>人基本情况、固定资产、人员数量以及其他等可以证明综合实力的材料进行综合对比判断：</w:t>
            </w:r>
          </w:p>
          <w:p w14:paraId="50F67B6B">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第一档次（12-15分）：企业总体综合实力好；</w:t>
            </w:r>
          </w:p>
          <w:p w14:paraId="18B3881B">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第二档次（8-11分）：企业总体综合实力较好；</w:t>
            </w:r>
          </w:p>
          <w:p w14:paraId="0207367F">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第三档次（5-7分）：企业总体综合实力一般；</w:t>
            </w:r>
          </w:p>
          <w:p w14:paraId="7CADAFA4">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第四档次（0-4分）：企业总体综合实力差；</w:t>
            </w:r>
          </w:p>
          <w:p w14:paraId="37C550CB">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lang w:eastAsia="zh-CN"/>
              </w:rPr>
            </w:pPr>
            <w:r>
              <w:rPr>
                <w:rFonts w:hint="eastAsia"/>
                <w:sz w:val="21"/>
                <w:szCs w:val="21"/>
                <w:highlight w:val="none"/>
                <w:lang w:eastAsia="zh-CN"/>
              </w:rPr>
              <w:t>企业总体综合实力相关证明材料未提供的不得分。</w:t>
            </w:r>
          </w:p>
        </w:tc>
      </w:tr>
      <w:tr w14:paraId="545F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1780" w:type="dxa"/>
            <w:gridSpan w:val="2"/>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01ED24F0">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rPr>
            </w:pPr>
            <w:r>
              <w:rPr>
                <w:rFonts w:hint="eastAsia"/>
                <w:sz w:val="21"/>
                <w:szCs w:val="21"/>
                <w:highlight w:val="none"/>
              </w:rPr>
              <w:t>合计</w:t>
            </w:r>
          </w:p>
        </w:tc>
        <w:tc>
          <w:tcPr>
            <w:tcW w:w="856"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4712591B">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lang w:eastAsia="zh-CN"/>
              </w:rPr>
            </w:pPr>
            <w:r>
              <w:rPr>
                <w:rFonts w:hint="eastAsia"/>
                <w:sz w:val="21"/>
                <w:szCs w:val="21"/>
                <w:highlight w:val="none"/>
              </w:rPr>
              <w:t>100分</w:t>
            </w:r>
          </w:p>
        </w:tc>
        <w:tc>
          <w:tcPr>
            <w:tcW w:w="7569"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1CCA6694">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rPr>
            </w:pPr>
          </w:p>
        </w:tc>
      </w:tr>
    </w:tbl>
    <w:p w14:paraId="5C292ADE">
      <w:pPr>
        <w:pStyle w:val="29"/>
        <w:outlineLvl w:val="9"/>
        <w:rPr>
          <w:rFonts w:hAnsi="宋体" w:eastAsia="宋体" w:cs="宋体"/>
          <w:b/>
          <w:bCs/>
          <w:sz w:val="32"/>
          <w:szCs w:val="32"/>
          <w:highlight w:val="none"/>
        </w:rPr>
      </w:pPr>
      <w:r>
        <w:rPr>
          <w:rFonts w:hint="eastAsia" w:hAnsi="宋体" w:eastAsia="宋体" w:cs="宋体"/>
          <w:szCs w:val="20"/>
          <w:highlight w:val="none"/>
        </w:rPr>
        <w:br w:type="page"/>
      </w:r>
    </w:p>
    <w:p w14:paraId="0393FA94">
      <w:pPr>
        <w:spacing w:line="360" w:lineRule="auto"/>
        <w:jc w:val="center"/>
        <w:outlineLvl w:val="9"/>
        <w:rPr>
          <w:rFonts w:hint="eastAsia" w:ascii="宋体" w:hAnsi="宋体" w:eastAsia="宋体" w:cs="宋体"/>
          <w:b/>
          <w:sz w:val="24"/>
          <w:highlight w:val="none"/>
        </w:rPr>
      </w:pPr>
      <w:r>
        <w:rPr>
          <w:rFonts w:hint="eastAsia" w:ascii="宋体" w:hAnsi="宋体" w:eastAsia="宋体" w:cs="宋体"/>
          <w:b/>
          <w:sz w:val="24"/>
          <w:highlight w:val="none"/>
        </w:rPr>
        <w:t>附表2：技术部分评审表（满分：100分，权重 40 %）</w:t>
      </w:r>
    </w:p>
    <w:tbl>
      <w:tblPr>
        <w:tblStyle w:val="49"/>
        <w:tblW w:w="9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1202"/>
        <w:gridCol w:w="1"/>
        <w:gridCol w:w="705"/>
        <w:gridCol w:w="6942"/>
      </w:tblGrid>
      <w:tr w14:paraId="0059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92" w:hRule="atLeast"/>
          <w:tblHeader/>
          <w:jc w:val="center"/>
        </w:trPr>
        <w:tc>
          <w:tcPr>
            <w:tcW w:w="578" w:type="dxa"/>
            <w:tcBorders>
              <w:top w:val="single" w:color="auto" w:sz="4" w:space="0"/>
              <w:left w:val="single" w:color="auto" w:sz="4" w:space="0"/>
              <w:bottom w:val="single" w:color="auto" w:sz="4" w:space="0"/>
              <w:right w:val="single" w:color="auto" w:sz="4" w:space="0"/>
            </w:tcBorders>
            <w:vAlign w:val="center"/>
          </w:tcPr>
          <w:p w14:paraId="74CAEB0C">
            <w:pPr>
              <w:pStyle w:val="290"/>
              <w:keepNext w:val="0"/>
              <w:keepLines w:val="0"/>
              <w:pageBreakBefore w:val="0"/>
              <w:wordWrap/>
              <w:topLinePunct w:val="0"/>
              <w:autoSpaceDE/>
              <w:autoSpaceDN/>
              <w:bidi w:val="0"/>
              <w:adjustRightInd/>
              <w:spacing w:line="240" w:lineRule="auto"/>
              <w:ind w:right="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2322F1F6">
            <w:pPr>
              <w:pStyle w:val="290"/>
              <w:keepNext w:val="0"/>
              <w:keepLines w:val="0"/>
              <w:pageBreakBefore w:val="0"/>
              <w:wordWrap/>
              <w:topLinePunct w:val="0"/>
              <w:autoSpaceDE/>
              <w:autoSpaceDN/>
              <w:bidi w:val="0"/>
              <w:adjustRightInd/>
              <w:spacing w:line="240" w:lineRule="auto"/>
              <w:ind w:right="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评标项目</w:t>
            </w:r>
          </w:p>
        </w:tc>
        <w:tc>
          <w:tcPr>
            <w:tcW w:w="705" w:type="dxa"/>
            <w:tcBorders>
              <w:top w:val="single" w:color="auto" w:sz="4" w:space="0"/>
              <w:left w:val="single" w:color="auto" w:sz="4" w:space="0"/>
              <w:bottom w:val="single" w:color="auto" w:sz="4" w:space="0"/>
              <w:right w:val="single" w:color="auto" w:sz="4" w:space="0"/>
            </w:tcBorders>
            <w:vAlign w:val="center"/>
          </w:tcPr>
          <w:p w14:paraId="34CF78BD">
            <w:pPr>
              <w:pStyle w:val="290"/>
              <w:keepNext w:val="0"/>
              <w:keepLines w:val="0"/>
              <w:pageBreakBefore w:val="0"/>
              <w:wordWrap/>
              <w:topLinePunct w:val="0"/>
              <w:autoSpaceDE/>
              <w:autoSpaceDN/>
              <w:bidi w:val="0"/>
              <w:adjustRightInd/>
              <w:spacing w:line="240" w:lineRule="auto"/>
              <w:ind w:right="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分值</w:t>
            </w:r>
          </w:p>
        </w:tc>
        <w:tc>
          <w:tcPr>
            <w:tcW w:w="6942" w:type="dxa"/>
            <w:tcBorders>
              <w:top w:val="single" w:color="auto" w:sz="4" w:space="0"/>
              <w:left w:val="single" w:color="auto" w:sz="4" w:space="0"/>
              <w:bottom w:val="single" w:color="auto" w:sz="4" w:space="0"/>
              <w:right w:val="single" w:color="auto" w:sz="4" w:space="0"/>
            </w:tcBorders>
            <w:vAlign w:val="center"/>
          </w:tcPr>
          <w:p w14:paraId="2C1B15AA">
            <w:pPr>
              <w:pStyle w:val="290"/>
              <w:keepNext w:val="0"/>
              <w:keepLines w:val="0"/>
              <w:pageBreakBefore w:val="0"/>
              <w:wordWrap/>
              <w:topLinePunct w:val="0"/>
              <w:autoSpaceDE/>
              <w:autoSpaceDN/>
              <w:bidi w:val="0"/>
              <w:adjustRightInd/>
              <w:spacing w:line="240" w:lineRule="auto"/>
              <w:ind w:right="0"/>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评分标准</w:t>
            </w:r>
          </w:p>
        </w:tc>
      </w:tr>
      <w:tr w14:paraId="5820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407"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68DAEF8A">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b/>
                <w:sz w:val="21"/>
                <w:szCs w:val="21"/>
                <w:highlight w:val="none"/>
                <w:lang w:val="en-US" w:eastAsia="zh-CN"/>
              </w:rPr>
            </w:pPr>
            <w:r>
              <w:rPr>
                <w:rFonts w:hint="eastAsia" w:ascii="宋体" w:hAnsi="宋体" w:eastAsia="宋体" w:cs="宋体"/>
                <w:sz w:val="21"/>
                <w:szCs w:val="21"/>
                <w:highlight w:val="none"/>
                <w:lang w:val="en-US" w:eastAsia="zh-CN"/>
              </w:rPr>
              <w:t>3.1</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527E2804">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全过程造价控制</w:t>
            </w:r>
          </w:p>
          <w:p w14:paraId="6E7FE546">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服务方案</w:t>
            </w:r>
          </w:p>
        </w:tc>
        <w:tc>
          <w:tcPr>
            <w:tcW w:w="705" w:type="dxa"/>
            <w:tcBorders>
              <w:top w:val="single" w:color="auto" w:sz="4" w:space="0"/>
              <w:left w:val="single" w:color="auto" w:sz="4" w:space="0"/>
              <w:bottom w:val="single" w:color="auto" w:sz="4" w:space="0"/>
              <w:right w:val="single" w:color="auto" w:sz="4" w:space="0"/>
            </w:tcBorders>
            <w:vAlign w:val="center"/>
          </w:tcPr>
          <w:p w14:paraId="53231878">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40</w:t>
            </w:r>
            <w:r>
              <w:rPr>
                <w:rFonts w:hint="eastAsia" w:ascii="宋体" w:hAnsi="宋体" w:eastAsia="宋体" w:cs="宋体"/>
                <w:sz w:val="21"/>
                <w:szCs w:val="21"/>
                <w:highlight w:val="none"/>
              </w:rPr>
              <w:t>分</w:t>
            </w:r>
          </w:p>
        </w:tc>
        <w:tc>
          <w:tcPr>
            <w:tcW w:w="6942" w:type="dxa"/>
            <w:tcBorders>
              <w:top w:val="single" w:color="auto" w:sz="4" w:space="0"/>
              <w:left w:val="single" w:color="auto" w:sz="4" w:space="0"/>
              <w:bottom w:val="single" w:color="auto" w:sz="4" w:space="0"/>
              <w:right w:val="single" w:color="auto" w:sz="4" w:space="0"/>
            </w:tcBorders>
            <w:vAlign w:val="center"/>
          </w:tcPr>
          <w:p w14:paraId="65B66B8B">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w:t>
            </w:r>
            <w:r>
              <w:rPr>
                <w:rFonts w:hint="eastAsia" w:ascii="宋体" w:hAnsi="宋体" w:cs="宋体"/>
                <w:sz w:val="21"/>
                <w:szCs w:val="21"/>
                <w:highlight w:val="none"/>
                <w:lang w:val="en-US" w:eastAsia="zh-CN"/>
              </w:rPr>
              <w:t>30</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40</w:t>
            </w:r>
            <w:r>
              <w:rPr>
                <w:rFonts w:hint="eastAsia" w:ascii="宋体" w:hAnsi="宋体" w:eastAsia="宋体" w:cs="宋体"/>
                <w:sz w:val="21"/>
                <w:szCs w:val="21"/>
                <w:highlight w:val="none"/>
              </w:rPr>
              <w:t>分）：对项目的分析理解深入，</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全过程咨询服务方案详细、内容具体、针对性强，对项目的特点分析到位，咨询服务计划安排详细、合理、可行；</w:t>
            </w:r>
          </w:p>
          <w:p w14:paraId="51B8D743">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w:t>
            </w:r>
            <w:r>
              <w:rPr>
                <w:rFonts w:hint="eastAsia" w:ascii="宋体" w:hAnsi="宋体" w:cs="宋体"/>
                <w:sz w:val="21"/>
                <w:szCs w:val="21"/>
                <w:highlight w:val="none"/>
                <w:lang w:val="en-US" w:eastAsia="zh-CN"/>
              </w:rPr>
              <w:t>20</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30</w:t>
            </w:r>
            <w:r>
              <w:rPr>
                <w:rFonts w:hint="eastAsia" w:ascii="宋体" w:hAnsi="宋体" w:eastAsia="宋体" w:cs="宋体"/>
                <w:sz w:val="21"/>
                <w:szCs w:val="21"/>
                <w:highlight w:val="none"/>
              </w:rPr>
              <w:t>分）：对项目的分析理解一般，</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全过程咨询服务方案及内容基本完整，有一定的针对性，有合理的咨询服务计划的；</w:t>
            </w:r>
          </w:p>
          <w:p w14:paraId="54BC0B24">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第三档次（</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2</w:t>
            </w:r>
            <w:r>
              <w:rPr>
                <w:rFonts w:hint="eastAsia" w:ascii="宋体" w:hAnsi="宋体" w:eastAsia="宋体" w:cs="宋体"/>
                <w:sz w:val="21"/>
                <w:szCs w:val="21"/>
                <w:highlight w:val="none"/>
              </w:rPr>
              <w:t>0分）：对项目有基本的分析理解，</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全过程咨询服务方案内容不完整，针对性一般，咨询服务计划安排不合理；</w:t>
            </w:r>
          </w:p>
          <w:p w14:paraId="47175058">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第四档次（</w:t>
            </w:r>
            <w:r>
              <w:rPr>
                <w:rFonts w:hint="eastAsia" w:ascii="宋体" w:hAnsi="宋体" w:cs="宋体"/>
                <w:sz w:val="21"/>
                <w:szCs w:val="21"/>
                <w:highlight w:val="none"/>
                <w:lang w:val="en-US" w:eastAsia="zh-CN"/>
              </w:rPr>
              <w:t>0</w:t>
            </w:r>
            <w:r>
              <w:rPr>
                <w:rFonts w:hint="eastAsia" w:ascii="宋体" w:hAnsi="宋体" w:eastAsia="宋体" w:cs="宋体"/>
                <w:sz w:val="21"/>
                <w:szCs w:val="21"/>
                <w:highlight w:val="none"/>
              </w:rPr>
              <w:t>-</w:t>
            </w: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rPr>
              <w:t>分）：方案针对性差或未提供咨询服务方案。</w:t>
            </w:r>
          </w:p>
        </w:tc>
      </w:tr>
      <w:tr w14:paraId="7BC30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102"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410D7320">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22F39FA7">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重难点分析处理</w:t>
            </w:r>
          </w:p>
          <w:p w14:paraId="5D550285">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措施</w:t>
            </w:r>
          </w:p>
        </w:tc>
        <w:tc>
          <w:tcPr>
            <w:tcW w:w="705" w:type="dxa"/>
            <w:tcBorders>
              <w:top w:val="single" w:color="auto" w:sz="4" w:space="0"/>
              <w:left w:val="single" w:color="auto" w:sz="4" w:space="0"/>
              <w:bottom w:val="single" w:color="auto" w:sz="4" w:space="0"/>
              <w:right w:val="single" w:color="auto" w:sz="4" w:space="0"/>
            </w:tcBorders>
            <w:vAlign w:val="center"/>
          </w:tcPr>
          <w:p w14:paraId="30FD9D8C">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w:t>
            </w:r>
          </w:p>
        </w:tc>
        <w:tc>
          <w:tcPr>
            <w:tcW w:w="6942" w:type="dxa"/>
            <w:tcBorders>
              <w:top w:val="single" w:color="auto" w:sz="4" w:space="0"/>
              <w:left w:val="single" w:color="auto" w:sz="4" w:space="0"/>
              <w:bottom w:val="single" w:color="auto" w:sz="4" w:space="0"/>
              <w:right w:val="single" w:color="auto" w:sz="4" w:space="0"/>
            </w:tcBorders>
            <w:vAlign w:val="center"/>
          </w:tcPr>
          <w:p w14:paraId="694A5924">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根据项目建设模式，对</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全过程服务内容的难度、重点论述是否全面、合理、实际，并提供对策等进行综合评审：</w:t>
            </w:r>
          </w:p>
          <w:p w14:paraId="51BDD3DA">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第一档次（10-15分）：对</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全过程服务内容的难度、重点论述全面合理，符合项目的实际特点，针对性强，处理措施科学合理；</w:t>
            </w:r>
          </w:p>
          <w:p w14:paraId="11635A6A">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第二档次（7-9分）：对</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全过程服务过程的难度、重点论述较合理，符合项目的实际特点，针对性一般，处理措施合理；</w:t>
            </w:r>
          </w:p>
          <w:p w14:paraId="01DF8B4C">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第三档次（4-6分）：对</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全过程服务内容的难度、重点论述较简单，部分符合项目的实际特点，针对性一般，处理措施基本合理；</w:t>
            </w:r>
          </w:p>
          <w:p w14:paraId="01A3255B">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第四档次（0-3分）：对</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全过程服务内容的难度、重点论述较差，不符合项目的实际特点，无针对性或处理措施。</w:t>
            </w:r>
          </w:p>
        </w:tc>
      </w:tr>
      <w:tr w14:paraId="730B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361"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473D7DD2">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63E95288">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项目投资控制措施</w:t>
            </w:r>
          </w:p>
        </w:tc>
        <w:tc>
          <w:tcPr>
            <w:tcW w:w="705" w:type="dxa"/>
            <w:tcBorders>
              <w:top w:val="single" w:color="auto" w:sz="4" w:space="0"/>
              <w:left w:val="single" w:color="auto" w:sz="4" w:space="0"/>
              <w:bottom w:val="single" w:color="auto" w:sz="4" w:space="0"/>
              <w:right w:val="single" w:color="auto" w:sz="4" w:space="0"/>
            </w:tcBorders>
            <w:vAlign w:val="center"/>
          </w:tcPr>
          <w:p w14:paraId="6BAD8970">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10分</w:t>
            </w:r>
          </w:p>
        </w:tc>
        <w:tc>
          <w:tcPr>
            <w:tcW w:w="6942" w:type="dxa"/>
            <w:tcBorders>
              <w:top w:val="single" w:color="auto" w:sz="4" w:space="0"/>
              <w:left w:val="single" w:color="auto" w:sz="4" w:space="0"/>
              <w:bottom w:val="single" w:color="auto" w:sz="4" w:space="0"/>
              <w:right w:val="single" w:color="auto" w:sz="4" w:space="0"/>
            </w:tcBorders>
            <w:vAlign w:val="center"/>
          </w:tcPr>
          <w:p w14:paraId="63D8E23B">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根据项目建设模式，分别从概算控制、合同管理、资金结算等方面提出项目的投资成本控制方案。</w:t>
            </w:r>
          </w:p>
          <w:p w14:paraId="255B8033">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第一档次（8-10分）：对本项目的投资控制措施详细、合理，符合项目特点、切实可行的；</w:t>
            </w:r>
          </w:p>
          <w:p w14:paraId="26372A9E">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第二档次（4-7分）：对本项目的投资控制措施基本详细、合理，但不符合项目特点，缺乏可行性；</w:t>
            </w:r>
          </w:p>
          <w:p w14:paraId="38261C03">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第三档次（0-3分）：对本项目的投资控制措施简单，不符合项目特点、不可行。</w:t>
            </w:r>
          </w:p>
        </w:tc>
      </w:tr>
      <w:tr w14:paraId="6B62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0109CE4A">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3.4</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35E1E2B8">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项目合规性控制</w:t>
            </w:r>
          </w:p>
          <w:p w14:paraId="4A00F189">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措施</w:t>
            </w:r>
          </w:p>
        </w:tc>
        <w:tc>
          <w:tcPr>
            <w:tcW w:w="705" w:type="dxa"/>
            <w:tcBorders>
              <w:top w:val="single" w:color="auto" w:sz="4" w:space="0"/>
              <w:left w:val="single" w:color="auto" w:sz="4" w:space="0"/>
              <w:bottom w:val="single" w:color="auto" w:sz="4" w:space="0"/>
              <w:right w:val="single" w:color="auto" w:sz="4" w:space="0"/>
            </w:tcBorders>
            <w:vAlign w:val="center"/>
          </w:tcPr>
          <w:p w14:paraId="74EEE531">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10分</w:t>
            </w:r>
          </w:p>
        </w:tc>
        <w:tc>
          <w:tcPr>
            <w:tcW w:w="6942" w:type="dxa"/>
            <w:tcBorders>
              <w:top w:val="single" w:color="auto" w:sz="4" w:space="0"/>
              <w:left w:val="single" w:color="auto" w:sz="4" w:space="0"/>
              <w:bottom w:val="single" w:color="auto" w:sz="4" w:space="0"/>
              <w:right w:val="single" w:color="auto" w:sz="4" w:space="0"/>
            </w:tcBorders>
            <w:vAlign w:val="center"/>
          </w:tcPr>
          <w:p w14:paraId="05FEE5B7">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根据项目建设模式，依据造价</w:t>
            </w:r>
            <w:r>
              <w:rPr>
                <w:rFonts w:hint="eastAsia" w:ascii="宋体" w:hAnsi="宋体" w:eastAsia="宋体" w:cs="宋体"/>
                <w:sz w:val="21"/>
                <w:szCs w:val="21"/>
                <w:highlight w:val="none"/>
                <w:lang w:val="en-US" w:eastAsia="zh-CN"/>
              </w:rPr>
              <w:t>咨询的</w:t>
            </w:r>
            <w:r>
              <w:rPr>
                <w:rFonts w:hint="eastAsia" w:ascii="宋体" w:hAnsi="宋体" w:eastAsia="宋体" w:cs="宋体"/>
                <w:sz w:val="21"/>
                <w:szCs w:val="21"/>
                <w:highlight w:val="none"/>
              </w:rPr>
              <w:t>程序及措施，分别从建设程序、合同管理、资金支付等方面提出项目全过程的合规性控制方案。</w:t>
            </w:r>
          </w:p>
          <w:p w14:paraId="4EA3538A">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第一档次（8-10分）：</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全过程合规性控制方案详细、合理，符合项目特点、切实可行的；</w:t>
            </w:r>
          </w:p>
          <w:p w14:paraId="1B669AEB">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第二档次（4-7分）：</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全过程合规性控制方案基本详细、合理，但不符合项目特点，缺乏可行性；</w:t>
            </w:r>
          </w:p>
          <w:p w14:paraId="05EA314D">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第三档次（0-3分）：</w:t>
            </w:r>
            <w:r>
              <w:rPr>
                <w:rFonts w:hint="eastAsia" w:ascii="宋体" w:hAnsi="宋体" w:cs="宋体"/>
                <w:sz w:val="21"/>
                <w:szCs w:val="21"/>
                <w:highlight w:val="none"/>
                <w:lang w:val="en-US" w:eastAsia="zh-CN"/>
              </w:rPr>
              <w:t>招标控制价编制及</w:t>
            </w:r>
            <w:r>
              <w:rPr>
                <w:rFonts w:hint="eastAsia" w:ascii="宋体" w:hAnsi="宋体" w:eastAsia="宋体" w:cs="宋体"/>
                <w:sz w:val="21"/>
                <w:szCs w:val="21"/>
                <w:highlight w:val="none"/>
              </w:rPr>
              <w:t>全过程合规性控制方案简单，不符合项目特点、不可行。</w:t>
            </w:r>
          </w:p>
        </w:tc>
      </w:tr>
      <w:tr w14:paraId="6C65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6B0041A9">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3.5</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68908A72">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质量控制及保障</w:t>
            </w:r>
          </w:p>
          <w:p w14:paraId="129033AE">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措施</w:t>
            </w:r>
          </w:p>
        </w:tc>
        <w:tc>
          <w:tcPr>
            <w:tcW w:w="705" w:type="dxa"/>
            <w:tcBorders>
              <w:top w:val="single" w:color="auto" w:sz="4" w:space="0"/>
              <w:left w:val="single" w:color="auto" w:sz="4" w:space="0"/>
              <w:bottom w:val="single" w:color="auto" w:sz="4" w:space="0"/>
              <w:right w:val="single" w:color="auto" w:sz="4" w:space="0"/>
            </w:tcBorders>
            <w:vAlign w:val="center"/>
          </w:tcPr>
          <w:p w14:paraId="26BB86DE">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10分</w:t>
            </w:r>
          </w:p>
        </w:tc>
        <w:tc>
          <w:tcPr>
            <w:tcW w:w="6942" w:type="dxa"/>
            <w:tcBorders>
              <w:top w:val="single" w:color="auto" w:sz="4" w:space="0"/>
              <w:left w:val="single" w:color="auto" w:sz="4" w:space="0"/>
              <w:bottom w:val="single" w:color="auto" w:sz="4" w:space="0"/>
              <w:right w:val="single" w:color="auto" w:sz="4" w:space="0"/>
            </w:tcBorders>
            <w:vAlign w:val="center"/>
          </w:tcPr>
          <w:p w14:paraId="3A3139EF">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第一档次（8-10分）</w:t>
            </w:r>
            <w:r>
              <w:rPr>
                <w:rFonts w:hint="eastAsia" w:ascii="宋体" w:hAnsi="宋体" w:eastAsia="宋体" w:cs="宋体"/>
                <w:sz w:val="21"/>
                <w:szCs w:val="21"/>
                <w:highlight w:val="none"/>
                <w:lang w:eastAsia="zh-CN"/>
              </w:rPr>
              <w:t>：</w:t>
            </w:r>
            <w:r>
              <w:rPr>
                <w:rFonts w:hint="eastAsia" w:ascii="宋体" w:hAnsi="宋体" w:cs="宋体"/>
                <w:sz w:val="21"/>
                <w:szCs w:val="21"/>
                <w:highlight w:val="none"/>
                <w:lang w:eastAsia="zh-CN"/>
              </w:rPr>
              <w:t>谈判申请</w:t>
            </w:r>
            <w:r>
              <w:rPr>
                <w:rFonts w:hint="eastAsia" w:ascii="宋体" w:hAnsi="宋体" w:eastAsia="宋体" w:cs="宋体"/>
                <w:sz w:val="21"/>
                <w:szCs w:val="21"/>
                <w:highlight w:val="none"/>
              </w:rPr>
              <w:t>人企业内部质量管理体系健全，对服务过程的质量控制措施全面，执行效果好，具备成果审核审定制度及质量管理持续改进制度；结合本工程的项目特点及建设模式，提出有</w:t>
            </w:r>
            <w:r>
              <w:rPr>
                <w:rFonts w:hint="eastAsia" w:ascii="宋体" w:hAnsi="宋体" w:cs="宋体"/>
                <w:sz w:val="21"/>
                <w:szCs w:val="21"/>
                <w:highlight w:val="none"/>
                <w:lang w:eastAsia="zh-CN"/>
              </w:rPr>
              <w:t>很强</w:t>
            </w:r>
            <w:r>
              <w:rPr>
                <w:rFonts w:hint="eastAsia" w:ascii="宋体" w:hAnsi="宋体" w:eastAsia="宋体" w:cs="宋体"/>
                <w:sz w:val="21"/>
                <w:szCs w:val="21"/>
                <w:highlight w:val="none"/>
              </w:rPr>
              <w:t>针对性的计划方案、过程控制及工作成果质量保障措施；</w:t>
            </w:r>
          </w:p>
          <w:p w14:paraId="6D2DF66C">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第二档次（4-7分）</w:t>
            </w:r>
            <w:r>
              <w:rPr>
                <w:rFonts w:hint="eastAsia" w:ascii="宋体" w:hAnsi="宋体" w:eastAsia="宋体" w:cs="宋体"/>
                <w:sz w:val="21"/>
                <w:szCs w:val="21"/>
                <w:highlight w:val="none"/>
                <w:lang w:eastAsia="zh-CN"/>
              </w:rPr>
              <w:t>：</w:t>
            </w:r>
            <w:r>
              <w:rPr>
                <w:rFonts w:hint="eastAsia" w:ascii="宋体" w:hAnsi="宋体" w:cs="宋体"/>
                <w:sz w:val="21"/>
                <w:szCs w:val="21"/>
                <w:highlight w:val="none"/>
                <w:lang w:eastAsia="zh-CN"/>
              </w:rPr>
              <w:t>谈判申请</w:t>
            </w:r>
            <w:r>
              <w:rPr>
                <w:rFonts w:hint="eastAsia" w:ascii="宋体" w:hAnsi="宋体" w:eastAsia="宋体" w:cs="宋体"/>
                <w:sz w:val="21"/>
                <w:szCs w:val="21"/>
                <w:highlight w:val="none"/>
              </w:rPr>
              <w:t>人企业内部质量管理体系</w:t>
            </w:r>
            <w:r>
              <w:rPr>
                <w:rFonts w:hint="eastAsia" w:ascii="宋体" w:hAnsi="宋体" w:cs="宋体"/>
                <w:sz w:val="21"/>
                <w:szCs w:val="21"/>
                <w:highlight w:val="none"/>
                <w:lang w:eastAsia="zh-CN"/>
              </w:rPr>
              <w:t>较</w:t>
            </w:r>
            <w:r>
              <w:rPr>
                <w:rFonts w:hint="eastAsia" w:ascii="宋体" w:hAnsi="宋体" w:eastAsia="宋体" w:cs="宋体"/>
                <w:sz w:val="21"/>
                <w:szCs w:val="21"/>
                <w:highlight w:val="none"/>
              </w:rPr>
              <w:t>全，对服务过程的质量控制措施</w:t>
            </w:r>
            <w:r>
              <w:rPr>
                <w:rFonts w:hint="eastAsia" w:ascii="宋体" w:hAnsi="宋体" w:cs="宋体"/>
                <w:sz w:val="21"/>
                <w:szCs w:val="21"/>
                <w:highlight w:val="none"/>
                <w:lang w:eastAsia="zh-CN"/>
              </w:rPr>
              <w:t>尚可</w:t>
            </w:r>
            <w:r>
              <w:rPr>
                <w:rFonts w:hint="eastAsia" w:ascii="宋体" w:hAnsi="宋体" w:eastAsia="宋体" w:cs="宋体"/>
                <w:sz w:val="21"/>
                <w:szCs w:val="21"/>
                <w:highlight w:val="none"/>
              </w:rPr>
              <w:t>，执行效果较好，</w:t>
            </w:r>
            <w:r>
              <w:rPr>
                <w:rFonts w:hint="eastAsia" w:ascii="宋体" w:hAnsi="宋体" w:cs="宋体"/>
                <w:sz w:val="21"/>
                <w:szCs w:val="21"/>
                <w:highlight w:val="none"/>
                <w:lang w:eastAsia="zh-CN"/>
              </w:rPr>
              <w:t>基本</w:t>
            </w:r>
            <w:r>
              <w:rPr>
                <w:rFonts w:hint="eastAsia" w:ascii="宋体" w:hAnsi="宋体" w:eastAsia="宋体" w:cs="宋体"/>
                <w:sz w:val="21"/>
                <w:szCs w:val="21"/>
                <w:highlight w:val="none"/>
              </w:rPr>
              <w:t>具备成果审核审定制度及质量管理持续改进制度；结合本工程的项目特点及建设模式，提出有</w:t>
            </w:r>
            <w:r>
              <w:rPr>
                <w:rFonts w:hint="eastAsia" w:ascii="宋体" w:hAnsi="宋体" w:cs="宋体"/>
                <w:sz w:val="21"/>
                <w:szCs w:val="21"/>
                <w:highlight w:val="none"/>
                <w:lang w:eastAsia="zh-CN"/>
              </w:rPr>
              <w:t>一定</w:t>
            </w:r>
            <w:r>
              <w:rPr>
                <w:rFonts w:hint="eastAsia" w:ascii="宋体" w:hAnsi="宋体" w:eastAsia="宋体" w:cs="宋体"/>
                <w:sz w:val="21"/>
                <w:szCs w:val="21"/>
                <w:highlight w:val="none"/>
              </w:rPr>
              <w:t>针对性的计划方案、过程控制及工作成果质量保障措施；</w:t>
            </w:r>
          </w:p>
          <w:p w14:paraId="3C4E4D80">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第三档次（0-3分）：</w:t>
            </w:r>
            <w:r>
              <w:rPr>
                <w:rFonts w:hint="eastAsia" w:ascii="宋体" w:hAnsi="宋体" w:cs="宋体"/>
                <w:sz w:val="21"/>
                <w:szCs w:val="21"/>
                <w:highlight w:val="none"/>
                <w:lang w:eastAsia="zh-CN"/>
              </w:rPr>
              <w:t>谈判申请</w:t>
            </w:r>
            <w:r>
              <w:rPr>
                <w:rFonts w:hint="eastAsia" w:ascii="宋体" w:hAnsi="宋体" w:eastAsia="宋体" w:cs="宋体"/>
                <w:sz w:val="21"/>
                <w:szCs w:val="21"/>
                <w:highlight w:val="none"/>
              </w:rPr>
              <w:t>人企业内部</w:t>
            </w:r>
            <w:r>
              <w:rPr>
                <w:rFonts w:hint="eastAsia" w:ascii="宋体" w:hAnsi="宋体" w:cs="宋体"/>
                <w:sz w:val="21"/>
                <w:szCs w:val="21"/>
                <w:highlight w:val="none"/>
                <w:lang w:eastAsia="zh-CN"/>
              </w:rPr>
              <w:t>无</w:t>
            </w:r>
            <w:r>
              <w:rPr>
                <w:rFonts w:hint="eastAsia" w:ascii="宋体" w:hAnsi="宋体" w:eastAsia="宋体" w:cs="宋体"/>
                <w:sz w:val="21"/>
                <w:szCs w:val="21"/>
                <w:highlight w:val="none"/>
              </w:rPr>
              <w:t>质量管理体系</w:t>
            </w:r>
            <w:r>
              <w:rPr>
                <w:rFonts w:hint="eastAsia" w:ascii="宋体" w:hAnsi="宋体" w:cs="宋体"/>
                <w:sz w:val="21"/>
                <w:szCs w:val="21"/>
                <w:highlight w:val="none"/>
                <w:lang w:eastAsia="zh-CN"/>
              </w:rPr>
              <w:t>或明显欠缺</w:t>
            </w:r>
            <w:r>
              <w:rPr>
                <w:rFonts w:hint="eastAsia" w:ascii="宋体" w:hAnsi="宋体" w:eastAsia="宋体" w:cs="宋体"/>
                <w:sz w:val="21"/>
                <w:szCs w:val="21"/>
                <w:highlight w:val="none"/>
              </w:rPr>
              <w:t>，对服务过程的质量</w:t>
            </w:r>
            <w:r>
              <w:rPr>
                <w:rFonts w:hint="eastAsia" w:ascii="宋体" w:hAnsi="宋体" w:cs="宋体"/>
                <w:sz w:val="21"/>
                <w:szCs w:val="21"/>
                <w:highlight w:val="none"/>
                <w:lang w:eastAsia="zh-CN"/>
              </w:rPr>
              <w:t>无</w:t>
            </w:r>
            <w:r>
              <w:rPr>
                <w:rFonts w:hint="eastAsia" w:ascii="宋体" w:hAnsi="宋体" w:eastAsia="宋体" w:cs="宋体"/>
                <w:sz w:val="21"/>
                <w:szCs w:val="21"/>
                <w:highlight w:val="none"/>
              </w:rPr>
              <w:t>控制措施</w:t>
            </w:r>
            <w:r>
              <w:rPr>
                <w:rFonts w:hint="eastAsia" w:ascii="宋体" w:hAnsi="宋体" w:cs="宋体"/>
                <w:sz w:val="21"/>
                <w:szCs w:val="21"/>
                <w:highlight w:val="none"/>
                <w:lang w:eastAsia="zh-CN"/>
              </w:rPr>
              <w:t>或措施简单</w:t>
            </w:r>
            <w:r>
              <w:rPr>
                <w:rFonts w:hint="eastAsia" w:ascii="宋体" w:hAnsi="宋体" w:eastAsia="宋体" w:cs="宋体"/>
                <w:sz w:val="21"/>
                <w:szCs w:val="21"/>
                <w:highlight w:val="none"/>
              </w:rPr>
              <w:t>，执行效果</w:t>
            </w:r>
            <w:r>
              <w:rPr>
                <w:rFonts w:hint="eastAsia" w:ascii="宋体" w:hAnsi="宋体" w:cs="宋体"/>
                <w:sz w:val="21"/>
                <w:szCs w:val="21"/>
                <w:highlight w:val="none"/>
                <w:lang w:eastAsia="zh-CN"/>
              </w:rPr>
              <w:t>差</w:t>
            </w:r>
            <w:r>
              <w:rPr>
                <w:rFonts w:hint="eastAsia" w:ascii="宋体" w:hAnsi="宋体" w:eastAsia="宋体" w:cs="宋体"/>
                <w:sz w:val="21"/>
                <w:szCs w:val="21"/>
                <w:highlight w:val="none"/>
              </w:rPr>
              <w:t>，</w:t>
            </w:r>
            <w:r>
              <w:rPr>
                <w:rFonts w:hint="eastAsia" w:ascii="宋体" w:hAnsi="宋体" w:cs="宋体"/>
                <w:sz w:val="21"/>
                <w:szCs w:val="21"/>
                <w:highlight w:val="none"/>
                <w:lang w:eastAsia="zh-CN"/>
              </w:rPr>
              <w:t>不</w:t>
            </w:r>
            <w:r>
              <w:rPr>
                <w:rFonts w:hint="eastAsia" w:ascii="宋体" w:hAnsi="宋体" w:eastAsia="宋体" w:cs="宋体"/>
                <w:sz w:val="21"/>
                <w:szCs w:val="21"/>
                <w:highlight w:val="none"/>
              </w:rPr>
              <w:t>具备成果审核审定制度及质量管理持续改进制度；结合本工程的项目特点及建设模式，计划方案、过程控制及工作成果质量保障措施</w:t>
            </w:r>
            <w:r>
              <w:rPr>
                <w:rFonts w:hint="eastAsia" w:ascii="宋体" w:hAnsi="宋体" w:cs="宋体"/>
                <w:sz w:val="21"/>
                <w:szCs w:val="21"/>
                <w:highlight w:val="none"/>
                <w:lang w:eastAsia="zh-CN"/>
              </w:rPr>
              <w:t>未</w:t>
            </w:r>
            <w:r>
              <w:rPr>
                <w:rFonts w:hint="eastAsia" w:ascii="宋体" w:hAnsi="宋体" w:eastAsia="宋体" w:cs="宋体"/>
                <w:sz w:val="21"/>
                <w:szCs w:val="21"/>
                <w:highlight w:val="none"/>
              </w:rPr>
              <w:t>提出</w:t>
            </w:r>
            <w:r>
              <w:rPr>
                <w:rFonts w:hint="eastAsia" w:ascii="宋体" w:hAnsi="宋体" w:cs="宋体"/>
                <w:sz w:val="21"/>
                <w:szCs w:val="21"/>
                <w:highlight w:val="none"/>
                <w:lang w:eastAsia="zh-CN"/>
              </w:rPr>
              <w:t>或</w:t>
            </w:r>
            <w:r>
              <w:rPr>
                <w:rFonts w:hint="eastAsia" w:ascii="宋体" w:hAnsi="宋体" w:eastAsia="宋体" w:cs="宋体"/>
                <w:sz w:val="21"/>
                <w:szCs w:val="21"/>
                <w:highlight w:val="none"/>
              </w:rPr>
              <w:t>针对性</w:t>
            </w:r>
            <w:r>
              <w:rPr>
                <w:rFonts w:hint="eastAsia" w:ascii="宋体" w:hAnsi="宋体" w:cs="宋体"/>
                <w:sz w:val="21"/>
                <w:szCs w:val="21"/>
                <w:highlight w:val="none"/>
                <w:lang w:eastAsia="zh-CN"/>
              </w:rPr>
              <w:t>较差。</w:t>
            </w:r>
          </w:p>
        </w:tc>
      </w:tr>
      <w:tr w14:paraId="22A3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3A6F9418">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3.6</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5EA35487">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服务质量及承诺</w:t>
            </w:r>
          </w:p>
        </w:tc>
        <w:tc>
          <w:tcPr>
            <w:tcW w:w="705" w:type="dxa"/>
            <w:tcBorders>
              <w:top w:val="single" w:color="auto" w:sz="4" w:space="0"/>
              <w:left w:val="single" w:color="auto" w:sz="4" w:space="0"/>
              <w:bottom w:val="single" w:color="auto" w:sz="4" w:space="0"/>
              <w:right w:val="single" w:color="auto" w:sz="4" w:space="0"/>
            </w:tcBorders>
            <w:vAlign w:val="center"/>
          </w:tcPr>
          <w:p w14:paraId="599BCA29">
            <w:pPr>
              <w:keepNext w:val="0"/>
              <w:keepLines w:val="0"/>
              <w:pageBreakBefore w:val="0"/>
              <w:wordWrap/>
              <w:topLinePunct w:val="0"/>
              <w:autoSpaceDE/>
              <w:autoSpaceDN/>
              <w:bidi w:val="0"/>
              <w:adjustRightInd/>
              <w:spacing w:line="240" w:lineRule="auto"/>
              <w:ind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5分</w:t>
            </w:r>
          </w:p>
        </w:tc>
        <w:tc>
          <w:tcPr>
            <w:tcW w:w="6942" w:type="dxa"/>
            <w:tcBorders>
              <w:top w:val="single" w:color="auto" w:sz="4" w:space="0"/>
              <w:left w:val="single" w:color="auto" w:sz="4" w:space="0"/>
              <w:bottom w:val="single" w:color="auto" w:sz="4" w:space="0"/>
              <w:right w:val="single" w:color="auto" w:sz="4" w:space="0"/>
            </w:tcBorders>
            <w:vAlign w:val="center"/>
          </w:tcPr>
          <w:p w14:paraId="5E880A49">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第一档次（5分）：服务质量、服务周期承诺内容具体，切实可行，并附有具体违约承诺；</w:t>
            </w:r>
          </w:p>
          <w:p w14:paraId="028A3C74">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第二档次（3-4分）：服务质量、服务周期承诺内容空洞，且无具体违约承诺；</w:t>
            </w:r>
          </w:p>
          <w:p w14:paraId="60ECAF8D">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第三档次（0-2分）：服务质量、服务周期承诺有错误或无服务质量承诺。</w:t>
            </w:r>
          </w:p>
        </w:tc>
      </w:tr>
      <w:tr w14:paraId="4993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578" w:type="dxa"/>
            <w:tcBorders>
              <w:top w:val="single" w:color="auto" w:sz="4" w:space="0"/>
              <w:left w:val="single" w:color="auto" w:sz="4" w:space="0"/>
              <w:bottom w:val="single" w:color="auto" w:sz="4" w:space="0"/>
              <w:right w:val="single" w:color="auto" w:sz="4" w:space="0"/>
            </w:tcBorders>
            <w:vAlign w:val="center"/>
          </w:tcPr>
          <w:p w14:paraId="0399B29B">
            <w:pPr>
              <w:keepNext w:val="0"/>
              <w:keepLines w:val="0"/>
              <w:pageBreakBefore w:val="0"/>
              <w:wordWrap/>
              <w:topLinePunct w:val="0"/>
              <w:autoSpaceDE/>
              <w:autoSpaceDN/>
              <w:bidi w:val="0"/>
              <w:adjustRightInd/>
              <w:spacing w:line="240" w:lineRule="auto"/>
              <w:ind w:right="0"/>
              <w:jc w:val="center"/>
              <w:textAlignment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3.7</w:t>
            </w:r>
          </w:p>
        </w:tc>
        <w:tc>
          <w:tcPr>
            <w:tcW w:w="1203" w:type="dxa"/>
            <w:gridSpan w:val="2"/>
            <w:tcBorders>
              <w:top w:val="single" w:color="auto" w:sz="4" w:space="0"/>
              <w:left w:val="single" w:color="auto" w:sz="4" w:space="0"/>
              <w:bottom w:val="single" w:color="auto" w:sz="4" w:space="0"/>
              <w:right w:val="single" w:color="auto" w:sz="4" w:space="0"/>
            </w:tcBorders>
            <w:vAlign w:val="center"/>
          </w:tcPr>
          <w:p w14:paraId="4E327150">
            <w:pPr>
              <w:keepNext w:val="0"/>
              <w:keepLines w:val="0"/>
              <w:pageBreakBefore w:val="0"/>
              <w:wordWrap/>
              <w:topLinePunct w:val="0"/>
              <w:autoSpaceDE/>
              <w:autoSpaceDN/>
              <w:bidi w:val="0"/>
              <w:adjustRightInd/>
              <w:spacing w:line="240" w:lineRule="auto"/>
              <w:ind w:right="0"/>
              <w:jc w:val="center"/>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服务团队人员配置情况</w:t>
            </w:r>
          </w:p>
        </w:tc>
        <w:tc>
          <w:tcPr>
            <w:tcW w:w="705" w:type="dxa"/>
            <w:tcBorders>
              <w:top w:val="single" w:color="auto" w:sz="4" w:space="0"/>
              <w:left w:val="single" w:color="auto" w:sz="4" w:space="0"/>
              <w:bottom w:val="single" w:color="auto" w:sz="4" w:space="0"/>
              <w:right w:val="single" w:color="auto" w:sz="4" w:space="0"/>
            </w:tcBorders>
            <w:vAlign w:val="center"/>
          </w:tcPr>
          <w:p w14:paraId="4BBAEEB6">
            <w:pPr>
              <w:keepNext w:val="0"/>
              <w:keepLines w:val="0"/>
              <w:pageBreakBefore w:val="0"/>
              <w:wordWrap/>
              <w:topLinePunct w:val="0"/>
              <w:autoSpaceDE/>
              <w:autoSpaceDN/>
              <w:bidi w:val="0"/>
              <w:adjustRightInd/>
              <w:spacing w:line="240" w:lineRule="auto"/>
              <w:ind w:right="0"/>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10</w:t>
            </w:r>
            <w:r>
              <w:rPr>
                <w:rFonts w:hint="eastAsia" w:ascii="宋体" w:hAnsi="宋体" w:eastAsia="宋体" w:cs="宋体"/>
                <w:sz w:val="21"/>
                <w:szCs w:val="21"/>
                <w:highlight w:val="none"/>
                <w:lang w:eastAsia="zh-CN"/>
              </w:rPr>
              <w:t>分</w:t>
            </w:r>
          </w:p>
        </w:tc>
        <w:tc>
          <w:tcPr>
            <w:tcW w:w="6942" w:type="dxa"/>
            <w:tcBorders>
              <w:top w:val="single" w:color="auto" w:sz="4" w:space="0"/>
              <w:left w:val="single" w:color="auto" w:sz="4" w:space="0"/>
              <w:bottom w:val="single" w:color="auto" w:sz="4" w:space="0"/>
              <w:right w:val="single" w:color="auto" w:sz="4" w:space="0"/>
            </w:tcBorders>
            <w:vAlign w:val="center"/>
          </w:tcPr>
          <w:p w14:paraId="7411794D">
            <w:pPr>
              <w:keepNext w:val="0"/>
              <w:keepLines w:val="0"/>
              <w:pageBreakBefore w:val="0"/>
              <w:wordWrap/>
              <w:topLinePunct w:val="0"/>
              <w:autoSpaceDE/>
              <w:autoSpaceDN/>
              <w:bidi w:val="0"/>
              <w:adjustRightInd/>
              <w:snapToGrid/>
              <w:spacing w:line="240" w:lineRule="auto"/>
              <w:ind w:left="0" w:right="0"/>
              <w:rPr>
                <w:rFonts w:hint="eastAsia" w:ascii="宋体" w:hAnsi="宋体"/>
                <w:sz w:val="21"/>
                <w:szCs w:val="21"/>
                <w:highlight w:val="none"/>
              </w:rPr>
            </w:pPr>
            <w:r>
              <w:rPr>
                <w:rFonts w:hint="eastAsia"/>
                <w:sz w:val="21"/>
                <w:szCs w:val="21"/>
                <w:highlight w:val="none"/>
              </w:rPr>
              <w:t>谈判申请</w:t>
            </w:r>
            <w:r>
              <w:rPr>
                <w:rFonts w:hint="eastAsia" w:ascii="宋体" w:hAnsi="宋体"/>
                <w:sz w:val="21"/>
                <w:szCs w:val="21"/>
                <w:highlight w:val="none"/>
              </w:rPr>
              <w:t>人满足</w:t>
            </w:r>
            <w:r>
              <w:rPr>
                <w:rFonts w:hint="eastAsia" w:ascii="宋体" w:hAnsi="宋体"/>
                <w:sz w:val="21"/>
                <w:szCs w:val="21"/>
                <w:highlight w:val="none"/>
                <w:lang w:val="en-US" w:eastAsia="zh-CN"/>
              </w:rPr>
              <w:t>服务团队最低要求得3分。</w:t>
            </w:r>
          </w:p>
          <w:p w14:paraId="58CA5864">
            <w:pPr>
              <w:pStyle w:val="291"/>
              <w:keepNext w:val="0"/>
              <w:keepLines w:val="0"/>
              <w:pageBreakBefore w:val="0"/>
              <w:kinsoku w:val="0"/>
              <w:wordWrap/>
              <w:overflowPunct w:val="0"/>
              <w:topLinePunct w:val="0"/>
              <w:autoSpaceDE/>
              <w:autoSpaceDN/>
              <w:bidi w:val="0"/>
              <w:adjustRightInd/>
              <w:spacing w:line="240" w:lineRule="auto"/>
              <w:ind w:right="0"/>
              <w:rPr>
                <w:rFonts w:hint="eastAsia" w:ascii="宋体" w:hAnsi="宋体" w:eastAsia="宋体" w:cs="宋体"/>
                <w:sz w:val="21"/>
                <w:szCs w:val="21"/>
                <w:highlight w:val="none"/>
                <w:lang w:eastAsia="zh-CN"/>
              </w:rPr>
            </w:pPr>
            <w:r>
              <w:rPr>
                <w:rFonts w:hint="eastAsia" w:ascii="宋体" w:hAnsi="宋体"/>
                <w:sz w:val="21"/>
                <w:szCs w:val="21"/>
                <w:highlight w:val="none"/>
              </w:rPr>
              <w:t>①</w:t>
            </w:r>
            <w:r>
              <w:rPr>
                <w:rFonts w:hint="eastAsia" w:ascii="宋体" w:hAnsi="宋体" w:eastAsia="宋体" w:cs="宋体"/>
                <w:sz w:val="21"/>
                <w:szCs w:val="21"/>
                <w:highlight w:val="none"/>
                <w:lang w:eastAsia="zh-CN"/>
              </w:rPr>
              <w:t>项目组成员中除项目负责人外每有1名一级注册造价工程师的加1分，本项满分</w:t>
            </w:r>
            <w:r>
              <w:rPr>
                <w:rFonts w:hint="eastAsia" w:cs="宋体"/>
                <w:sz w:val="21"/>
                <w:szCs w:val="21"/>
                <w:highlight w:val="none"/>
                <w:lang w:val="en-US" w:eastAsia="zh-CN"/>
              </w:rPr>
              <w:t>1</w:t>
            </w:r>
            <w:r>
              <w:rPr>
                <w:rFonts w:hint="eastAsia" w:ascii="宋体" w:hAnsi="宋体" w:eastAsia="宋体" w:cs="宋体"/>
                <w:sz w:val="21"/>
                <w:szCs w:val="21"/>
                <w:highlight w:val="none"/>
                <w:lang w:eastAsia="zh-CN"/>
              </w:rPr>
              <w:t>分（加满为止）。</w:t>
            </w:r>
          </w:p>
          <w:p w14:paraId="186AD686">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sz w:val="21"/>
                <w:szCs w:val="21"/>
                <w:highlight w:val="none"/>
              </w:rPr>
              <w:t>②</w:t>
            </w:r>
            <w:r>
              <w:rPr>
                <w:rFonts w:hint="eastAsia" w:ascii="宋体" w:hAnsi="宋体" w:eastAsia="宋体" w:cs="宋体"/>
                <w:sz w:val="21"/>
                <w:szCs w:val="21"/>
                <w:highlight w:val="none"/>
              </w:rPr>
              <w:t>项目组成员专业配置情况（</w:t>
            </w:r>
            <w:r>
              <w:rPr>
                <w:rFonts w:hint="eastAsia" w:ascii="宋体" w:hAnsi="宋体" w:cs="宋体"/>
                <w:sz w:val="21"/>
                <w:szCs w:val="21"/>
                <w:highlight w:val="none"/>
                <w:lang w:val="en-US" w:eastAsia="zh-CN"/>
              </w:rPr>
              <w:t>5</w:t>
            </w:r>
            <w:r>
              <w:rPr>
                <w:rFonts w:hint="eastAsia" w:ascii="宋体" w:hAnsi="宋体" w:eastAsia="宋体" w:cs="宋体"/>
                <w:sz w:val="21"/>
                <w:szCs w:val="21"/>
                <w:highlight w:val="none"/>
              </w:rPr>
              <w:t>分）：</w:t>
            </w:r>
          </w:p>
          <w:p w14:paraId="2E7D7BE6">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根据拟派本项目的人员结构、数量、资格及能力、专业搭配、年龄结构、从业经历等与本项目匹配度</w:t>
            </w:r>
          </w:p>
          <w:p w14:paraId="2B3AC96B">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第一档次（</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分）</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人员配置合理，能很好地满足本项目服务需要；</w:t>
            </w:r>
          </w:p>
          <w:p w14:paraId="46421264">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第二档次（</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分）：人员配置合理，能较好地满足本项目服务需求；</w:t>
            </w:r>
          </w:p>
          <w:p w14:paraId="4D8A0C14">
            <w:pPr>
              <w:keepNext w:val="0"/>
              <w:keepLines w:val="0"/>
              <w:pageBreakBefore w:val="0"/>
              <w:tabs>
                <w:tab w:val="left" w:pos="1980"/>
              </w:tabs>
              <w:wordWrap/>
              <w:topLinePunct w:val="0"/>
              <w:autoSpaceDE/>
              <w:autoSpaceDN/>
              <w:bidi w:val="0"/>
              <w:adjustRightInd/>
              <w:spacing w:line="240" w:lineRule="auto"/>
              <w:ind w:right="0"/>
              <w:rPr>
                <w:rFonts w:hint="eastAsia" w:ascii="宋体" w:hAnsi="宋体" w:eastAsia="宋体" w:cs="宋体"/>
                <w:sz w:val="21"/>
                <w:szCs w:val="21"/>
                <w:highlight w:val="none"/>
              </w:rPr>
            </w:pPr>
            <w:r>
              <w:rPr>
                <w:rFonts w:hint="eastAsia" w:ascii="宋体" w:hAnsi="宋体" w:eastAsia="宋体" w:cs="宋体"/>
                <w:sz w:val="21"/>
                <w:szCs w:val="21"/>
                <w:highlight w:val="none"/>
              </w:rPr>
              <w:t>第三档次（</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分）：人员配置一般</w:t>
            </w:r>
            <w:r>
              <w:rPr>
                <w:rFonts w:hint="eastAsia" w:ascii="宋体" w:hAnsi="宋体" w:eastAsia="宋体" w:cs="宋体"/>
                <w:sz w:val="21"/>
                <w:szCs w:val="21"/>
                <w:highlight w:val="none"/>
                <w:lang w:eastAsia="zh-CN"/>
              </w:rPr>
              <w:t>或不合理</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不能</w:t>
            </w:r>
            <w:r>
              <w:rPr>
                <w:rFonts w:hint="eastAsia" w:ascii="宋体" w:hAnsi="宋体" w:eastAsia="宋体" w:cs="宋体"/>
                <w:sz w:val="21"/>
                <w:szCs w:val="21"/>
                <w:highlight w:val="none"/>
              </w:rPr>
              <w:t>满本项目服务需求</w:t>
            </w:r>
            <w:r>
              <w:rPr>
                <w:rFonts w:hint="eastAsia" w:ascii="宋体" w:hAnsi="宋体" w:eastAsia="宋体" w:cs="宋体"/>
                <w:sz w:val="21"/>
                <w:szCs w:val="21"/>
                <w:highlight w:val="none"/>
                <w:lang w:eastAsia="zh-CN"/>
              </w:rPr>
              <w:t>。</w:t>
            </w:r>
          </w:p>
        </w:tc>
      </w:tr>
      <w:tr w14:paraId="36C1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jc w:val="center"/>
        </w:trPr>
        <w:tc>
          <w:tcPr>
            <w:tcW w:w="1780" w:type="dxa"/>
            <w:gridSpan w:val="2"/>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00236727">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rPr>
            </w:pPr>
            <w:r>
              <w:rPr>
                <w:rFonts w:hint="eastAsia"/>
                <w:sz w:val="21"/>
                <w:szCs w:val="21"/>
                <w:highlight w:val="none"/>
              </w:rPr>
              <w:t>合计</w:t>
            </w:r>
          </w:p>
        </w:tc>
        <w:tc>
          <w:tcPr>
            <w:tcW w:w="706" w:type="dxa"/>
            <w:gridSpan w:val="2"/>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72F37A54">
            <w:pPr>
              <w:pStyle w:val="291"/>
              <w:keepNext w:val="0"/>
              <w:keepLines w:val="0"/>
              <w:pageBreakBefore w:val="0"/>
              <w:kinsoku w:val="0"/>
              <w:wordWrap/>
              <w:overflowPunct w:val="0"/>
              <w:topLinePunct w:val="0"/>
              <w:autoSpaceDE/>
              <w:autoSpaceDN/>
              <w:bidi w:val="0"/>
              <w:adjustRightInd/>
              <w:snapToGrid/>
              <w:spacing w:line="240" w:lineRule="auto"/>
              <w:ind w:left="0" w:right="0"/>
              <w:jc w:val="center"/>
              <w:rPr>
                <w:sz w:val="21"/>
                <w:szCs w:val="21"/>
                <w:highlight w:val="none"/>
                <w:lang w:eastAsia="zh-CN"/>
              </w:rPr>
            </w:pPr>
            <w:r>
              <w:rPr>
                <w:rFonts w:hint="eastAsia"/>
                <w:sz w:val="21"/>
                <w:szCs w:val="21"/>
                <w:highlight w:val="none"/>
              </w:rPr>
              <w:t>100分</w:t>
            </w:r>
          </w:p>
        </w:tc>
        <w:tc>
          <w:tcPr>
            <w:tcW w:w="6942" w:type="dxa"/>
            <w:tcBorders>
              <w:top w:val="single" w:color="auto" w:sz="4" w:space="0"/>
              <w:left w:val="single" w:color="auto" w:sz="4" w:space="0"/>
              <w:bottom w:val="single" w:color="auto" w:sz="4" w:space="0"/>
              <w:right w:val="single" w:color="auto" w:sz="4" w:space="0"/>
            </w:tcBorders>
            <w:tcMar>
              <w:top w:w="57" w:type="dxa"/>
              <w:left w:w="57" w:type="dxa"/>
              <w:bottom w:w="57" w:type="dxa"/>
              <w:right w:w="57" w:type="dxa"/>
            </w:tcMar>
            <w:vAlign w:val="center"/>
          </w:tcPr>
          <w:p w14:paraId="56430A27">
            <w:pPr>
              <w:pStyle w:val="291"/>
              <w:keepNext w:val="0"/>
              <w:keepLines w:val="0"/>
              <w:pageBreakBefore w:val="0"/>
              <w:kinsoku w:val="0"/>
              <w:wordWrap/>
              <w:overflowPunct w:val="0"/>
              <w:topLinePunct w:val="0"/>
              <w:autoSpaceDE/>
              <w:autoSpaceDN/>
              <w:bidi w:val="0"/>
              <w:adjustRightInd/>
              <w:snapToGrid/>
              <w:spacing w:line="240" w:lineRule="auto"/>
              <w:ind w:left="0" w:right="0"/>
              <w:rPr>
                <w:sz w:val="21"/>
                <w:szCs w:val="21"/>
                <w:highlight w:val="none"/>
              </w:rPr>
            </w:pPr>
          </w:p>
        </w:tc>
      </w:tr>
    </w:tbl>
    <w:p w14:paraId="6A0A6F02">
      <w:pPr>
        <w:widowControl/>
        <w:jc w:val="left"/>
        <w:outlineLvl w:val="9"/>
        <w:rPr>
          <w:highlight w:val="none"/>
        </w:rPr>
      </w:pPr>
    </w:p>
    <w:p w14:paraId="271D13F2">
      <w:pPr>
        <w:pStyle w:val="29"/>
        <w:outlineLvl w:val="9"/>
        <w:rPr>
          <w:rFonts w:hAnsi="宋体" w:eastAsia="宋体" w:cs="宋体"/>
          <w:b/>
          <w:bCs/>
          <w:sz w:val="32"/>
          <w:szCs w:val="32"/>
          <w:highlight w:val="none"/>
        </w:rPr>
      </w:pPr>
      <w:r>
        <w:rPr>
          <w:rFonts w:hint="eastAsia" w:hAnsi="宋体" w:eastAsia="宋体" w:cs="宋体"/>
          <w:szCs w:val="20"/>
          <w:highlight w:val="none"/>
        </w:rPr>
        <w:br w:type="page"/>
      </w:r>
    </w:p>
    <w:p w14:paraId="048C8CF9">
      <w:pPr>
        <w:spacing w:line="360" w:lineRule="auto"/>
        <w:jc w:val="center"/>
        <w:outlineLvl w:val="9"/>
        <w:rPr>
          <w:rFonts w:ascii="宋体" w:hAnsi="宋体" w:cs="宋体"/>
          <w:highlight w:val="none"/>
        </w:rPr>
      </w:pPr>
      <w:bookmarkStart w:id="180" w:name="_Toc5710542"/>
      <w:r>
        <w:rPr>
          <w:rFonts w:hint="eastAsia" w:ascii="宋体" w:hAnsi="宋体" w:cs="宋体"/>
          <w:b/>
          <w:sz w:val="24"/>
          <w:highlight w:val="none"/>
        </w:rPr>
        <w:t>附表3：最终报价部分评审表（满分：100分，权重 50%  ）</w:t>
      </w:r>
      <w:bookmarkEnd w:id="180"/>
    </w:p>
    <w:tbl>
      <w:tblPr>
        <w:tblStyle w:val="49"/>
        <w:tblW w:w="9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8"/>
        <w:gridCol w:w="2060"/>
        <w:gridCol w:w="6501"/>
      </w:tblGrid>
      <w:tr w14:paraId="2D048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 w:hRule="atLeast"/>
          <w:jc w:val="center"/>
        </w:trPr>
        <w:tc>
          <w:tcPr>
            <w:tcW w:w="978"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76DE593C">
            <w:pPr>
              <w:keepNext w:val="0"/>
              <w:keepLines w:val="0"/>
              <w:pageBreakBefore w:val="0"/>
              <w:wordWrap/>
              <w:topLinePunct w:val="0"/>
              <w:autoSpaceDE/>
              <w:autoSpaceDN/>
              <w:bidi w:val="0"/>
              <w:adjustRightInd/>
              <w:spacing w:line="240" w:lineRule="auto"/>
              <w:ind w:left="0" w:right="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序号</w:t>
            </w:r>
          </w:p>
        </w:tc>
        <w:tc>
          <w:tcPr>
            <w:tcW w:w="206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BB8E20F">
            <w:pPr>
              <w:keepNext w:val="0"/>
              <w:keepLines w:val="0"/>
              <w:pageBreakBefore w:val="0"/>
              <w:wordWrap/>
              <w:topLinePunct w:val="0"/>
              <w:autoSpaceDE/>
              <w:autoSpaceDN/>
              <w:bidi w:val="0"/>
              <w:adjustRightInd/>
              <w:spacing w:line="240" w:lineRule="auto"/>
              <w:ind w:left="0" w:right="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评分因素</w:t>
            </w:r>
          </w:p>
        </w:tc>
        <w:tc>
          <w:tcPr>
            <w:tcW w:w="6501"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007DCE98">
            <w:pPr>
              <w:keepNext w:val="0"/>
              <w:keepLines w:val="0"/>
              <w:pageBreakBefore w:val="0"/>
              <w:wordWrap/>
              <w:topLinePunct w:val="0"/>
              <w:autoSpaceDE/>
              <w:autoSpaceDN/>
              <w:bidi w:val="0"/>
              <w:adjustRightInd/>
              <w:spacing w:line="240" w:lineRule="auto"/>
              <w:ind w:left="0" w:right="0"/>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评分标准</w:t>
            </w:r>
          </w:p>
        </w:tc>
      </w:tr>
      <w:tr w14:paraId="5BEA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 w:hRule="atLeast"/>
          <w:jc w:val="center"/>
        </w:trPr>
        <w:tc>
          <w:tcPr>
            <w:tcW w:w="978"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4C1AAA08">
            <w:pPr>
              <w:pStyle w:val="290"/>
              <w:keepNext w:val="0"/>
              <w:keepLines w:val="0"/>
              <w:pageBreakBefore w:val="0"/>
              <w:wordWrap/>
              <w:topLinePunct w:val="0"/>
              <w:autoSpaceDE/>
              <w:autoSpaceDN/>
              <w:bidi w:val="0"/>
              <w:adjustRightInd/>
              <w:spacing w:line="240" w:lineRule="auto"/>
              <w:ind w:left="0" w:right="0"/>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4.1</w:t>
            </w:r>
          </w:p>
        </w:tc>
        <w:tc>
          <w:tcPr>
            <w:tcW w:w="206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6C591007">
            <w:pPr>
              <w:pStyle w:val="290"/>
              <w:keepNext w:val="0"/>
              <w:keepLines w:val="0"/>
              <w:pageBreakBefore w:val="0"/>
              <w:wordWrap/>
              <w:topLinePunct w:val="0"/>
              <w:autoSpaceDE/>
              <w:autoSpaceDN/>
              <w:bidi w:val="0"/>
              <w:adjustRightInd/>
              <w:spacing w:line="240" w:lineRule="auto"/>
              <w:ind w:left="0" w:right="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基准价及偏差率计算方法</w:t>
            </w:r>
          </w:p>
        </w:tc>
        <w:tc>
          <w:tcPr>
            <w:tcW w:w="6501"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bottom"/>
          </w:tcPr>
          <w:p w14:paraId="0E31F02A">
            <w:pPr>
              <w:pStyle w:val="290"/>
              <w:keepNext w:val="0"/>
              <w:keepLines w:val="0"/>
              <w:pageBreakBefore w:val="0"/>
              <w:wordWrap/>
              <w:topLinePunct w:val="0"/>
              <w:autoSpaceDE/>
              <w:autoSpaceDN/>
              <w:bidi w:val="0"/>
              <w:adjustRightInd/>
              <w:spacing w:line="240" w:lineRule="auto"/>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基准价：</w:t>
            </w:r>
          </w:p>
          <w:p w14:paraId="41479DED">
            <w:pPr>
              <w:pStyle w:val="290"/>
              <w:keepNext w:val="0"/>
              <w:keepLines w:val="0"/>
              <w:pageBreakBefore w:val="0"/>
              <w:wordWrap/>
              <w:topLinePunct w:val="0"/>
              <w:autoSpaceDE/>
              <w:autoSpaceDN/>
              <w:bidi w:val="0"/>
              <w:adjustRightInd/>
              <w:spacing w:line="240" w:lineRule="auto"/>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（1）合格</w:t>
            </w:r>
            <w:r>
              <w:rPr>
                <w:rFonts w:hint="eastAsia" w:ascii="宋体" w:hAnsi="宋体" w:eastAsia="宋体" w:cs="宋体"/>
                <w:sz w:val="21"/>
                <w:szCs w:val="21"/>
                <w:highlight w:val="none"/>
                <w:lang w:eastAsia="zh-CN"/>
              </w:rPr>
              <w:t>谈判申请</w:t>
            </w:r>
            <w:r>
              <w:rPr>
                <w:rFonts w:hint="eastAsia" w:ascii="宋体" w:hAnsi="宋体" w:eastAsia="宋体" w:cs="宋体"/>
                <w:sz w:val="21"/>
                <w:szCs w:val="21"/>
                <w:highlight w:val="none"/>
              </w:rPr>
              <w:t>人数大于 5 家（含 5 家）时，</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基准价为去掉</w:t>
            </w:r>
            <w:r>
              <w:rPr>
                <w:rFonts w:hint="eastAsia" w:ascii="宋体" w:hAnsi="宋体" w:cs="宋体"/>
                <w:sz w:val="21"/>
                <w:szCs w:val="21"/>
                <w:highlight w:val="none"/>
                <w:lang w:val="en-US" w:eastAsia="zh-CN"/>
              </w:rPr>
              <w:t>1个</w:t>
            </w:r>
            <w:r>
              <w:rPr>
                <w:rFonts w:hint="eastAsia" w:ascii="宋体" w:hAnsi="宋体" w:eastAsia="宋体" w:cs="宋体"/>
                <w:sz w:val="21"/>
                <w:szCs w:val="21"/>
                <w:highlight w:val="none"/>
              </w:rPr>
              <w:t>最高报价和</w:t>
            </w:r>
            <w:r>
              <w:rPr>
                <w:rFonts w:hint="eastAsia" w:ascii="宋体" w:hAnsi="宋体" w:cs="宋体"/>
                <w:sz w:val="21"/>
                <w:szCs w:val="21"/>
                <w:highlight w:val="none"/>
                <w:lang w:val="en-US" w:eastAsia="zh-CN"/>
              </w:rPr>
              <w:t>1个</w:t>
            </w:r>
            <w:r>
              <w:rPr>
                <w:rFonts w:hint="eastAsia" w:ascii="宋体" w:hAnsi="宋体" w:eastAsia="宋体" w:cs="宋体"/>
                <w:sz w:val="21"/>
                <w:szCs w:val="21"/>
                <w:highlight w:val="none"/>
              </w:rPr>
              <w:t>最低报价后，</w:t>
            </w:r>
            <w:r>
              <w:rPr>
                <w:rFonts w:hint="eastAsia" w:ascii="宋体" w:hAnsi="宋体" w:eastAsia="宋体" w:cs="宋体"/>
                <w:sz w:val="21"/>
                <w:szCs w:val="21"/>
                <w:highlight w:val="none"/>
                <w:lang w:eastAsia="zh-CN"/>
              </w:rPr>
              <w:t>剩余谈判申请</w:t>
            </w:r>
            <w:r>
              <w:rPr>
                <w:rFonts w:hint="eastAsia" w:ascii="宋体" w:hAnsi="宋体" w:eastAsia="宋体" w:cs="宋体"/>
                <w:sz w:val="21"/>
                <w:szCs w:val="21"/>
                <w:highlight w:val="none"/>
              </w:rPr>
              <w:t>人报价的算术平均值；合格</w:t>
            </w:r>
            <w:r>
              <w:rPr>
                <w:rFonts w:hint="eastAsia" w:ascii="宋体" w:hAnsi="宋体" w:eastAsia="宋体" w:cs="宋体"/>
                <w:sz w:val="21"/>
                <w:szCs w:val="21"/>
                <w:highlight w:val="none"/>
                <w:lang w:eastAsia="zh-CN"/>
              </w:rPr>
              <w:t>谈判申请</w:t>
            </w:r>
            <w:r>
              <w:rPr>
                <w:rFonts w:hint="eastAsia" w:ascii="宋体" w:hAnsi="宋体" w:eastAsia="宋体" w:cs="宋体"/>
                <w:sz w:val="21"/>
                <w:szCs w:val="21"/>
                <w:highlight w:val="none"/>
              </w:rPr>
              <w:t>人数少于 5 家时，</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基准价为所有有效</w:t>
            </w:r>
            <w:r>
              <w:rPr>
                <w:rFonts w:hint="eastAsia" w:ascii="宋体" w:hAnsi="宋体" w:eastAsia="宋体" w:cs="宋体"/>
                <w:sz w:val="21"/>
                <w:szCs w:val="21"/>
                <w:highlight w:val="none"/>
                <w:lang w:eastAsia="zh-CN"/>
              </w:rPr>
              <w:t>谈判申请</w:t>
            </w:r>
            <w:r>
              <w:rPr>
                <w:rFonts w:hint="eastAsia" w:ascii="宋体" w:hAnsi="宋体" w:eastAsia="宋体" w:cs="宋体"/>
                <w:sz w:val="21"/>
                <w:szCs w:val="21"/>
                <w:highlight w:val="none"/>
              </w:rPr>
              <w:t>人报价的算术平均值。</w:t>
            </w:r>
          </w:p>
          <w:p w14:paraId="6FD369AC">
            <w:pPr>
              <w:pStyle w:val="290"/>
              <w:keepNext w:val="0"/>
              <w:keepLines w:val="0"/>
              <w:pageBreakBefore w:val="0"/>
              <w:wordWrap/>
              <w:topLinePunct w:val="0"/>
              <w:autoSpaceDE/>
              <w:autoSpaceDN/>
              <w:bidi w:val="0"/>
              <w:adjustRightInd/>
              <w:spacing w:line="240" w:lineRule="auto"/>
              <w:ind w:left="0" w:right="0"/>
              <w:textAlignment w:val="auto"/>
              <w:rPr>
                <w:rFonts w:hint="eastAsia" w:ascii="宋体" w:hAnsi="宋体" w:eastAsia="宋体" w:cs="宋体"/>
                <w:kern w:val="2"/>
                <w:sz w:val="21"/>
                <w:szCs w:val="21"/>
                <w:highlight w:val="none"/>
              </w:rPr>
            </w:pPr>
            <w:r>
              <w:rPr>
                <w:rFonts w:hint="eastAsia" w:ascii="宋体" w:hAnsi="宋体" w:eastAsia="宋体" w:cs="宋体"/>
                <w:sz w:val="21"/>
                <w:szCs w:val="21"/>
                <w:highlight w:val="none"/>
              </w:rPr>
              <w:t>（2）偏差率：（</w:t>
            </w:r>
            <w:r>
              <w:rPr>
                <w:rFonts w:hint="eastAsia" w:ascii="宋体" w:hAnsi="宋体" w:eastAsia="宋体" w:cs="宋体"/>
                <w:sz w:val="21"/>
                <w:szCs w:val="21"/>
                <w:highlight w:val="none"/>
                <w:lang w:eastAsia="zh-CN"/>
              </w:rPr>
              <w:t>谈判申请</w:t>
            </w:r>
            <w:r>
              <w:rPr>
                <w:rFonts w:hint="eastAsia" w:ascii="宋体" w:hAnsi="宋体" w:eastAsia="宋体" w:cs="宋体"/>
                <w:sz w:val="21"/>
                <w:szCs w:val="21"/>
                <w:highlight w:val="none"/>
              </w:rPr>
              <w:t>人报价-</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基准价）÷</w:t>
            </w:r>
            <w:r>
              <w:rPr>
                <w:rFonts w:hint="eastAsia" w:ascii="宋体" w:hAnsi="宋体" w:eastAsia="宋体" w:cs="宋体"/>
                <w:sz w:val="21"/>
                <w:szCs w:val="21"/>
                <w:highlight w:val="none"/>
                <w:lang w:eastAsia="zh-CN"/>
              </w:rPr>
              <w:t>评审</w:t>
            </w:r>
            <w:r>
              <w:rPr>
                <w:rFonts w:hint="eastAsia" w:ascii="宋体" w:hAnsi="宋体" w:eastAsia="宋体" w:cs="宋体"/>
                <w:sz w:val="21"/>
                <w:szCs w:val="21"/>
                <w:highlight w:val="none"/>
              </w:rPr>
              <w:t>基准价×100%。</w:t>
            </w:r>
          </w:p>
        </w:tc>
      </w:tr>
      <w:tr w14:paraId="35429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76" w:hRule="atLeast"/>
          <w:jc w:val="center"/>
        </w:trPr>
        <w:tc>
          <w:tcPr>
            <w:tcW w:w="978"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34E8D880">
            <w:pPr>
              <w:pStyle w:val="290"/>
              <w:keepNext w:val="0"/>
              <w:keepLines w:val="0"/>
              <w:pageBreakBefore w:val="0"/>
              <w:wordWrap/>
              <w:topLinePunct w:val="0"/>
              <w:autoSpaceDE/>
              <w:autoSpaceDN/>
              <w:bidi w:val="0"/>
              <w:adjustRightInd/>
              <w:spacing w:line="240" w:lineRule="auto"/>
              <w:ind w:left="0" w:right="0"/>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4.2</w:t>
            </w:r>
          </w:p>
        </w:tc>
        <w:tc>
          <w:tcPr>
            <w:tcW w:w="2060"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center"/>
          </w:tcPr>
          <w:p w14:paraId="20D306BE">
            <w:pPr>
              <w:pStyle w:val="290"/>
              <w:keepNext w:val="0"/>
              <w:keepLines w:val="0"/>
              <w:pageBreakBefore w:val="0"/>
              <w:wordWrap/>
              <w:topLinePunct w:val="0"/>
              <w:autoSpaceDE/>
              <w:autoSpaceDN/>
              <w:bidi w:val="0"/>
              <w:adjustRightInd/>
              <w:spacing w:line="240" w:lineRule="auto"/>
              <w:ind w:left="0" w:right="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报价评分计算</w:t>
            </w:r>
          </w:p>
          <w:p w14:paraId="43089F12">
            <w:pPr>
              <w:pStyle w:val="290"/>
              <w:keepNext w:val="0"/>
              <w:keepLines w:val="0"/>
              <w:pageBreakBefore w:val="0"/>
              <w:wordWrap/>
              <w:topLinePunct w:val="0"/>
              <w:autoSpaceDE/>
              <w:autoSpaceDN/>
              <w:bidi w:val="0"/>
              <w:adjustRightInd/>
              <w:spacing w:line="240" w:lineRule="auto"/>
              <w:ind w:left="0" w:right="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（100分）</w:t>
            </w:r>
          </w:p>
        </w:tc>
        <w:tc>
          <w:tcPr>
            <w:tcW w:w="6501" w:type="dxa"/>
            <w:tcBorders>
              <w:top w:val="single" w:color="auto" w:sz="4" w:space="0"/>
              <w:left w:val="single" w:color="auto" w:sz="4" w:space="0"/>
              <w:bottom w:val="single" w:color="auto" w:sz="4" w:space="0"/>
              <w:right w:val="single" w:color="auto" w:sz="4" w:space="0"/>
            </w:tcBorders>
            <w:tcMar>
              <w:top w:w="28" w:type="dxa"/>
              <w:left w:w="28" w:type="dxa"/>
              <w:bottom w:w="28" w:type="dxa"/>
              <w:right w:w="28" w:type="dxa"/>
            </w:tcMar>
            <w:vAlign w:val="bottom"/>
          </w:tcPr>
          <w:p w14:paraId="2C5E7E0F">
            <w:pPr>
              <w:pStyle w:val="290"/>
              <w:keepNext w:val="0"/>
              <w:keepLines w:val="0"/>
              <w:pageBreakBefore w:val="0"/>
              <w:wordWrap/>
              <w:topLinePunct w:val="0"/>
              <w:autoSpaceDE/>
              <w:autoSpaceDN/>
              <w:bidi w:val="0"/>
              <w:adjustRightInd/>
              <w:spacing w:line="240" w:lineRule="auto"/>
              <w:ind w:left="0" w:right="0"/>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rPr>
              <w:t>报价分计算办法：</w:t>
            </w:r>
          </w:p>
          <w:p w14:paraId="1C4060E9">
            <w:pPr>
              <w:pStyle w:val="291"/>
              <w:keepNext w:val="0"/>
              <w:keepLines w:val="0"/>
              <w:pageBreakBefore w:val="0"/>
              <w:kinsoku w:val="0"/>
              <w:wordWrap/>
              <w:overflowPunct w:val="0"/>
              <w:topLinePunct w:val="0"/>
              <w:autoSpaceDE/>
              <w:autoSpaceDN/>
              <w:bidi w:val="0"/>
              <w:adjustRightInd/>
              <w:spacing w:line="240" w:lineRule="auto"/>
              <w:ind w:left="0" w:right="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当报价等于评审基准价时得报价基本分90分；低于评审基准价 10%（含 10%）（差值）以内，每低于评标基准价1%（差值）加1分，最多得满分100分；低于评审基准价10%（差值）以外，从满分100分起扣，每超1%（差值）扣1分，扣完为止；高于基准价，从基本分90分起扣，每高于评审基准价1%（差值）扣1分，扣完为止。</w:t>
            </w:r>
            <w:r>
              <w:rPr>
                <w:rFonts w:hint="eastAsia" w:ascii="宋体" w:hAnsi="宋体" w:eastAsia="宋体" w:cs="宋体"/>
                <w:sz w:val="21"/>
                <w:szCs w:val="21"/>
                <w:highlight w:val="none"/>
              </w:rPr>
              <w:t>按内插法计算。</w:t>
            </w:r>
          </w:p>
        </w:tc>
      </w:tr>
    </w:tbl>
    <w:p w14:paraId="22C75274">
      <w:pPr>
        <w:outlineLvl w:val="9"/>
        <w:rPr>
          <w:rFonts w:ascii="宋体" w:hAnsi="宋体" w:cs="宋体"/>
          <w:highlight w:val="none"/>
        </w:rPr>
      </w:pPr>
    </w:p>
    <w:p w14:paraId="74A24CA9">
      <w:pPr>
        <w:pStyle w:val="29"/>
        <w:outlineLvl w:val="9"/>
        <w:rPr>
          <w:rFonts w:hAnsi="宋体" w:eastAsia="宋体" w:cs="宋体"/>
          <w:szCs w:val="20"/>
          <w:highlight w:val="none"/>
        </w:rPr>
      </w:pPr>
    </w:p>
    <w:p w14:paraId="3D43BDD2">
      <w:pPr>
        <w:widowControl/>
        <w:jc w:val="left"/>
        <w:outlineLvl w:val="9"/>
        <w:rPr>
          <w:rFonts w:ascii="宋体" w:hAnsi="宋体" w:cs="宋体"/>
          <w:b/>
          <w:bCs/>
          <w:sz w:val="32"/>
          <w:szCs w:val="32"/>
          <w:highlight w:val="none"/>
        </w:rPr>
        <w:sectPr>
          <w:footerReference r:id="rId4"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p>
    <w:p w14:paraId="0FDBC34B">
      <w:pPr>
        <w:pStyle w:val="45"/>
        <w:rPr>
          <w:rFonts w:ascii="宋体" w:hAnsi="宋体" w:eastAsia="宋体" w:cs="宋体"/>
          <w:highlight w:val="none"/>
        </w:rPr>
      </w:pPr>
      <w:bookmarkStart w:id="181" w:name="_Toc11768"/>
      <w:bookmarkStart w:id="182" w:name="_Toc1638203663"/>
      <w:bookmarkStart w:id="183" w:name="_Toc1147281322"/>
      <w:bookmarkStart w:id="184" w:name="_Toc1938972028"/>
      <w:bookmarkStart w:id="185" w:name="_Toc711475705"/>
      <w:bookmarkStart w:id="186" w:name="_Toc1251320955"/>
      <w:r>
        <w:rPr>
          <w:rFonts w:hint="eastAsia" w:ascii="宋体" w:hAnsi="宋体" w:eastAsia="宋体" w:cs="宋体"/>
          <w:highlight w:val="none"/>
        </w:rPr>
        <w:t>第四章  合同条款及格式</w:t>
      </w:r>
      <w:bookmarkEnd w:id="181"/>
      <w:bookmarkEnd w:id="182"/>
      <w:bookmarkEnd w:id="183"/>
      <w:bookmarkEnd w:id="184"/>
      <w:bookmarkEnd w:id="185"/>
      <w:bookmarkEnd w:id="186"/>
    </w:p>
    <w:bookmarkEnd w:id="174"/>
    <w:p w14:paraId="649CD198">
      <w:pPr>
        <w:rPr>
          <w:rFonts w:hint="eastAsia" w:ascii="宋体" w:hAnsi="宋体" w:eastAsia="宋体" w:cs="宋体"/>
          <w:szCs w:val="20"/>
          <w:highlight w:val="none"/>
        </w:rPr>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4841E2B3">
      <w:pPr>
        <w:rPr>
          <w:rFonts w:hint="eastAsia" w:ascii="宋体" w:hAnsi="宋体" w:eastAsia="宋体" w:cs="宋体"/>
          <w:color w:val="auto"/>
          <w:sz w:val="24"/>
          <w:szCs w:val="24"/>
          <w:highlight w:val="none"/>
        </w:rPr>
      </w:pPr>
    </w:p>
    <w:p w14:paraId="227120AB">
      <w:pPr>
        <w:pStyle w:val="48"/>
        <w:rPr>
          <w:rFonts w:hint="eastAsia" w:ascii="宋体" w:hAnsi="宋体" w:eastAsia="宋体" w:cs="宋体"/>
          <w:color w:val="auto"/>
          <w:sz w:val="24"/>
          <w:highlight w:val="none"/>
        </w:rPr>
      </w:pPr>
    </w:p>
    <w:p w14:paraId="3CA4F5E1">
      <w:pPr>
        <w:pStyle w:val="48"/>
        <w:rPr>
          <w:rFonts w:hint="eastAsia" w:ascii="宋体" w:hAnsi="宋体" w:eastAsia="宋体" w:cs="宋体"/>
          <w:color w:val="auto"/>
          <w:sz w:val="24"/>
          <w:highlight w:val="none"/>
        </w:rPr>
      </w:pPr>
    </w:p>
    <w:p w14:paraId="330E6822">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60681202">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126B223D">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5A8C817D">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32A42ECF">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3CA18C70">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3E4481C6">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6E8A09C7">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44AC07C0">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2D04E3D4">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743772C6">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7A5128CF">
      <w:pPr>
        <w:pStyle w:val="2"/>
        <w:overflowPunct w:val="0"/>
        <w:spacing w:before="15" w:line="360" w:lineRule="auto"/>
        <w:ind w:right="116"/>
        <w:jc w:val="center"/>
        <w:rPr>
          <w:rFonts w:hint="default" w:ascii="Cambria" w:hAnsi="宋体" w:eastAsia="宋体" w:cs="Times New Roman"/>
          <w:b/>
          <w:bCs/>
          <w:kern w:val="0"/>
          <w:sz w:val="32"/>
          <w:szCs w:val="24"/>
          <w:highlight w:val="none"/>
        </w:rPr>
      </w:pPr>
    </w:p>
    <w:p w14:paraId="16F8EF76">
      <w:pPr>
        <w:keepNext/>
        <w:keepLines/>
        <w:widowControl w:val="0"/>
        <w:numPr>
          <w:ilvl w:val="0"/>
          <w:numId w:val="0"/>
        </w:numPr>
        <w:adjustRightInd w:val="0"/>
        <w:snapToGrid w:val="0"/>
        <w:spacing w:before="100" w:beforeAutospacing="1" w:after="100" w:afterAutospacing="1" w:line="360" w:lineRule="auto"/>
        <w:ind w:leftChars="0"/>
        <w:jc w:val="center"/>
        <w:outlineLvl w:val="1"/>
        <w:rPr>
          <w:rFonts w:ascii="宋体" w:hAnsi="宋体" w:cs="宋体"/>
          <w:b/>
          <w:bCs/>
          <w:kern w:val="44"/>
          <w:sz w:val="32"/>
          <w:szCs w:val="48"/>
          <w:highlight w:val="none"/>
        </w:rPr>
      </w:pPr>
      <w:bookmarkStart w:id="187" w:name="bookmark172"/>
      <w:bookmarkEnd w:id="187"/>
      <w:bookmarkStart w:id="188" w:name="_Toc10719"/>
      <w:bookmarkStart w:id="189" w:name="_Toc28628"/>
      <w:bookmarkStart w:id="190" w:name="_Toc2024"/>
      <w:bookmarkStart w:id="191" w:name="_Toc6495"/>
      <w:bookmarkStart w:id="192" w:name="_Toc2231"/>
      <w:bookmarkStart w:id="193" w:name="_Toc5423"/>
      <w:bookmarkStart w:id="194" w:name="_Toc30693"/>
      <w:bookmarkStart w:id="195" w:name="_Toc89441266"/>
      <w:bookmarkStart w:id="196" w:name="_Toc7471"/>
      <w:bookmarkStart w:id="197" w:name="_Toc30692"/>
      <w:bookmarkStart w:id="198" w:name="_Toc19437"/>
      <w:bookmarkStart w:id="199" w:name="_Toc441336768"/>
      <w:bookmarkStart w:id="200" w:name="_Toc21855"/>
      <w:bookmarkStart w:id="201" w:name="_Toc29997"/>
      <w:bookmarkStart w:id="202" w:name="_Toc4196"/>
      <w:bookmarkStart w:id="203" w:name="_Toc17469"/>
      <w:bookmarkStart w:id="204" w:name="_Toc25446"/>
      <w:bookmarkStart w:id="205" w:name="_Toc24716"/>
      <w:bookmarkStart w:id="206" w:name="_Toc531797768"/>
      <w:bookmarkStart w:id="207" w:name="_Toc13572"/>
      <w:bookmarkStart w:id="208" w:name="_Toc15179"/>
      <w:bookmarkStart w:id="209" w:name="_Toc531884894"/>
      <w:bookmarkStart w:id="210" w:name="_Toc55310067"/>
      <w:r>
        <w:rPr>
          <w:rFonts w:hint="eastAsia" w:ascii="宋体" w:hAnsi="宋体" w:cs="宋体"/>
          <w:b/>
          <w:bCs/>
          <w:kern w:val="44"/>
          <w:sz w:val="32"/>
          <w:szCs w:val="48"/>
          <w:highlight w:val="none"/>
        </w:rPr>
        <w:t>第一部分</w:t>
      </w:r>
      <w:r>
        <w:rPr>
          <w:rFonts w:hint="eastAsia" w:ascii="宋体" w:hAnsi="宋体" w:cs="宋体"/>
          <w:b/>
          <w:bCs/>
          <w:kern w:val="44"/>
          <w:sz w:val="32"/>
          <w:szCs w:val="48"/>
          <w:highlight w:val="none"/>
          <w:lang w:val="en-US" w:eastAsia="zh-CN"/>
        </w:rPr>
        <w:t xml:space="preserve">  </w:t>
      </w:r>
      <w:r>
        <w:rPr>
          <w:rFonts w:hint="eastAsia" w:ascii="宋体" w:hAnsi="宋体" w:cs="宋体"/>
          <w:b/>
          <w:bCs/>
          <w:kern w:val="44"/>
          <w:sz w:val="32"/>
          <w:szCs w:val="48"/>
          <w:highlight w:val="none"/>
        </w:rPr>
        <w:t>协议书</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14:paraId="5B2F793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hint="eastAsia" w:ascii="宋体" w:hAnsi="宋体" w:eastAsia="宋体" w:cs="宋体"/>
          <w:kern w:val="2"/>
          <w:sz w:val="24"/>
          <w:szCs w:val="24"/>
          <w:highlight w:val="none"/>
          <w:u w:val="single"/>
          <w:lang w:eastAsia="zh-CN"/>
        </w:rPr>
      </w:pPr>
      <w:r>
        <w:rPr>
          <w:rFonts w:hint="eastAsia" w:ascii="宋体" w:hAnsi="宋体" w:cs="宋体"/>
          <w:kern w:val="2"/>
          <w:sz w:val="24"/>
          <w:szCs w:val="24"/>
          <w:highlight w:val="none"/>
        </w:rPr>
        <w:t>甲方：</w:t>
      </w:r>
      <w:r>
        <w:rPr>
          <w:rFonts w:hint="eastAsia" w:ascii="宋体" w:hAnsi="宋体" w:cs="宋体"/>
          <w:kern w:val="2"/>
          <w:sz w:val="24"/>
          <w:szCs w:val="24"/>
          <w:highlight w:val="none"/>
          <w:lang w:val="en-US" w:eastAsia="zh-CN"/>
        </w:rPr>
        <w:t>华宁云能投新能源开发有限公司</w:t>
      </w:r>
    </w:p>
    <w:p w14:paraId="6685634C">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both"/>
        <w:textAlignment w:val="auto"/>
        <w:rPr>
          <w:rFonts w:ascii="宋体" w:hAnsi="宋体" w:cs="宋体"/>
          <w:kern w:val="2"/>
          <w:sz w:val="24"/>
          <w:szCs w:val="24"/>
          <w:highlight w:val="none"/>
        </w:rPr>
      </w:pPr>
      <w:r>
        <w:rPr>
          <w:rFonts w:hint="eastAsia" w:ascii="宋体" w:hAnsi="宋体" w:cs="宋体"/>
          <w:kern w:val="2"/>
          <w:sz w:val="24"/>
          <w:szCs w:val="24"/>
          <w:highlight w:val="none"/>
        </w:rPr>
        <w:t>乙方：</w:t>
      </w:r>
    </w:p>
    <w:p w14:paraId="71C81D42">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根据《中华人民共和国民法典》及其他有关法律、法规，遵循平等、自愿、公平和诚实信用的原则，双方就下述建设工程委托造价咨询与其他服务事项协商一致，订立本合同。</w:t>
      </w:r>
    </w:p>
    <w:p w14:paraId="1B7D401A">
      <w:pPr>
        <w:keepNext/>
        <w:keepLines/>
        <w:pageBreakBefore w:val="0"/>
        <w:widowControl w:val="0"/>
        <w:tabs>
          <w:tab w:val="left" w:pos="-567"/>
        </w:tabs>
        <w:kinsoku/>
        <w:wordWrap/>
        <w:overflowPunct/>
        <w:topLinePunct w:val="0"/>
        <w:autoSpaceDE/>
        <w:autoSpaceDN/>
        <w:bidi w:val="0"/>
        <w:adjustRightInd w:val="0"/>
        <w:snapToGrid w:val="0"/>
        <w:spacing w:line="360" w:lineRule="auto"/>
        <w:jc w:val="both"/>
        <w:textAlignment w:val="auto"/>
        <w:outlineLvl w:val="2"/>
        <w:rPr>
          <w:rFonts w:ascii="宋体" w:hAnsi="宋体" w:cs="宋体"/>
          <w:b/>
          <w:bCs/>
          <w:sz w:val="24"/>
          <w:szCs w:val="24"/>
          <w:highlight w:val="none"/>
        </w:rPr>
      </w:pPr>
      <w:bookmarkStart w:id="211" w:name="_Toc531884895"/>
      <w:bookmarkStart w:id="212" w:name="_Toc19945"/>
      <w:bookmarkStart w:id="213" w:name="_Toc7916"/>
      <w:bookmarkStart w:id="214" w:name="_Toc531797769"/>
      <w:bookmarkStart w:id="215" w:name="_Toc441336769"/>
      <w:bookmarkStart w:id="216" w:name="_Toc7249"/>
      <w:bookmarkStart w:id="217" w:name="_Toc23759"/>
      <w:bookmarkStart w:id="218" w:name="_Toc14015"/>
      <w:bookmarkStart w:id="219" w:name="_Toc27405"/>
      <w:bookmarkStart w:id="220" w:name="_Toc19540"/>
      <w:bookmarkStart w:id="221" w:name="_Toc8980"/>
      <w:bookmarkStart w:id="222" w:name="_Toc9011"/>
      <w:bookmarkStart w:id="223" w:name="_Toc5550"/>
      <w:bookmarkStart w:id="224" w:name="_Toc8484"/>
      <w:bookmarkStart w:id="225" w:name="_Toc5582"/>
      <w:bookmarkStart w:id="226" w:name="_Toc15539"/>
      <w:bookmarkStart w:id="227" w:name="_Toc10903"/>
      <w:bookmarkStart w:id="228" w:name="_Toc22217"/>
      <w:bookmarkStart w:id="229" w:name="_Toc89441267"/>
      <w:bookmarkStart w:id="230" w:name="_Toc3808"/>
      <w:bookmarkStart w:id="231" w:name="_Toc3155"/>
      <w:bookmarkStart w:id="232" w:name="_Toc15857"/>
      <w:r>
        <w:rPr>
          <w:rFonts w:hint="eastAsia" w:ascii="宋体" w:hAnsi="宋体" w:cs="宋体"/>
          <w:b/>
          <w:bCs/>
          <w:sz w:val="24"/>
          <w:szCs w:val="24"/>
          <w:highlight w:val="none"/>
        </w:rPr>
        <w:t>一、工程概况</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5E541D2F">
      <w:pPr>
        <w:widowControl w:val="0"/>
        <w:adjustRightInd w:val="0"/>
        <w:snapToGrid w:val="0"/>
        <w:spacing w:line="360" w:lineRule="auto"/>
        <w:ind w:firstLine="480" w:firstLineChars="200"/>
        <w:jc w:val="both"/>
        <w:rPr>
          <w:rFonts w:ascii="宋体" w:hAnsi="宋体" w:cs="宋体"/>
          <w:bCs/>
          <w:color w:val="0000FF"/>
          <w:kern w:val="2"/>
          <w:sz w:val="24"/>
          <w:szCs w:val="24"/>
          <w:highlight w:val="none"/>
        </w:rPr>
      </w:pPr>
      <w:r>
        <w:rPr>
          <w:rFonts w:hint="eastAsia" w:ascii="宋体" w:hAnsi="宋体" w:cs="宋体"/>
          <w:kern w:val="2"/>
          <w:sz w:val="24"/>
          <w:szCs w:val="24"/>
          <w:highlight w:val="none"/>
        </w:rPr>
        <w:t>1.工程名称</w:t>
      </w:r>
      <w:r>
        <w:rPr>
          <w:rFonts w:hint="eastAsia" w:ascii="宋体" w:hAnsi="宋体" w:cs="宋体"/>
          <w:bCs/>
          <w:kern w:val="2"/>
          <w:sz w:val="24"/>
          <w:szCs w:val="24"/>
          <w:highlight w:val="none"/>
        </w:rPr>
        <w:t>：</w:t>
      </w:r>
      <w:r>
        <w:rPr>
          <w:rFonts w:hint="eastAsia" w:ascii="宋体" w:hAnsi="宋体" w:cs="宋体"/>
          <w:bCs/>
          <w:kern w:val="2"/>
          <w:sz w:val="24"/>
          <w:szCs w:val="24"/>
          <w:highlight w:val="none"/>
          <w:lang w:val="en-US" w:eastAsia="zh-CN"/>
        </w:rPr>
        <w:t>大龙山风电场（二期）项目招标控制价编制及</w:t>
      </w:r>
      <w:r>
        <w:rPr>
          <w:rFonts w:hint="eastAsia" w:ascii="宋体" w:hAnsi="宋体" w:cs="宋体"/>
          <w:bCs/>
          <w:kern w:val="2"/>
          <w:sz w:val="24"/>
          <w:szCs w:val="24"/>
          <w:highlight w:val="none"/>
          <w:lang w:eastAsia="zh-CN"/>
        </w:rPr>
        <w:t>全过程造价控制咨询服务</w:t>
      </w:r>
    </w:p>
    <w:p w14:paraId="1F7AFC4A">
      <w:pPr>
        <w:widowControl w:val="0"/>
        <w:adjustRightInd w:val="0"/>
        <w:snapToGrid w:val="0"/>
        <w:spacing w:line="360"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rPr>
        <w:t>2.工程地点：</w:t>
      </w:r>
      <w:r>
        <w:rPr>
          <w:rFonts w:hint="eastAsia" w:ascii="宋体" w:hAnsi="宋体" w:cs="宋体"/>
          <w:kern w:val="2"/>
          <w:sz w:val="24"/>
          <w:szCs w:val="24"/>
          <w:highlight w:val="none"/>
          <w:lang w:eastAsia="zh-CN"/>
        </w:rPr>
        <w:t>云南省玉溪市</w:t>
      </w:r>
    </w:p>
    <w:p w14:paraId="0A5BB3AF">
      <w:pPr>
        <w:widowControl w:val="0"/>
        <w:adjustRightInd w:val="0"/>
        <w:snapToGrid w:val="0"/>
        <w:spacing w:line="360"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rPr>
        <w:t>3.工程规模概况：</w:t>
      </w:r>
    </w:p>
    <w:p w14:paraId="27F99534">
      <w:pPr>
        <w:pStyle w:val="2"/>
        <w:keepNext w:val="0"/>
        <w:keepLines w:val="0"/>
        <w:pageBreakBefore w:val="0"/>
        <w:kinsoku/>
        <w:wordWrap/>
        <w:overflowPunct/>
        <w:topLinePunct w:val="0"/>
        <w:autoSpaceDE/>
        <w:autoSpaceDN/>
        <w:bidi w:val="0"/>
        <w:spacing w:line="560" w:lineRule="exact"/>
        <w:ind w:firstLine="480" w:firstLineChars="200"/>
        <w:textAlignment w:val="auto"/>
        <w:rPr>
          <w:rFonts w:hint="eastAsia" w:asciiTheme="minorEastAsia" w:hAnsiTheme="minorEastAsia" w:eastAsiaTheme="minorEastAsia" w:cstheme="minorEastAsia"/>
          <w:color w:val="000000"/>
          <w:sz w:val="24"/>
          <w:szCs w:val="24"/>
          <w:highlight w:val="none"/>
          <w:lang w:eastAsia="zh-CN"/>
        </w:rPr>
      </w:pPr>
      <w:bookmarkStart w:id="233" w:name="_Toc16059"/>
      <w:bookmarkStart w:id="234" w:name="_Toc10101"/>
      <w:bookmarkStart w:id="235" w:name="_Toc12146"/>
      <w:bookmarkStart w:id="236" w:name="_Toc441336771"/>
      <w:bookmarkStart w:id="237" w:name="_Toc17749"/>
      <w:bookmarkStart w:id="238" w:name="_Toc28199"/>
      <w:bookmarkStart w:id="239" w:name="_Toc7373"/>
      <w:bookmarkStart w:id="240" w:name="_Toc22606"/>
      <w:bookmarkStart w:id="241" w:name="_Toc2742"/>
      <w:bookmarkStart w:id="242" w:name="_Toc12908"/>
      <w:bookmarkStart w:id="243" w:name="_Toc18471"/>
      <w:bookmarkStart w:id="244" w:name="_Toc30464"/>
      <w:bookmarkStart w:id="245" w:name="_Toc89441269"/>
      <w:bookmarkStart w:id="246" w:name="_Toc1352"/>
      <w:bookmarkStart w:id="247" w:name="_Toc30358"/>
      <w:r>
        <w:rPr>
          <w:rFonts w:hint="eastAsia" w:ascii="宋体" w:hAnsi="宋体" w:eastAsia="宋体" w:cs="宋体"/>
          <w:color w:val="auto"/>
          <w:kern w:val="2"/>
          <w:sz w:val="24"/>
          <w:szCs w:val="24"/>
          <w:highlight w:val="none"/>
          <w:lang w:val="en-US" w:eastAsia="zh-CN" w:bidi="ar-SA"/>
        </w:rPr>
        <w:t>大龙山风电场（二期）项目已列入“云南省2025年第三批新能源项目开发建设清单”，项目位于玉溪市华宁县青龙镇东北部的山脊及山顶台地上，地理坐标介于北纬 24°27′08"～24°31′09"、东经 103°00′58"～103°02′57"之间，场址高程在 1700m~2100m 之间。此为大龙山风电场的扩建项目，</w:t>
      </w:r>
      <w:r>
        <w:rPr>
          <w:rFonts w:hint="default" w:ascii="宋体" w:hAnsi="宋体" w:eastAsia="宋体" w:cs="宋体"/>
          <w:color w:val="auto"/>
          <w:kern w:val="2"/>
          <w:sz w:val="24"/>
          <w:szCs w:val="24"/>
          <w:highlight w:val="none"/>
          <w:lang w:val="en-US" w:eastAsia="zh-CN" w:bidi="ar-SA"/>
        </w:rPr>
        <w:t>不安装升压站，与大龙山风电场项目共用一座</w:t>
      </w:r>
      <w:r>
        <w:rPr>
          <w:rFonts w:hint="eastAsia" w:ascii="宋体" w:hAnsi="宋体" w:eastAsia="宋体" w:cs="宋体"/>
          <w:color w:val="auto"/>
          <w:kern w:val="2"/>
          <w:sz w:val="24"/>
          <w:szCs w:val="24"/>
          <w:highlight w:val="none"/>
          <w:lang w:val="en-US" w:eastAsia="zh-CN" w:bidi="ar-SA"/>
        </w:rPr>
        <w:t>，装机容量为30MW，拟安装6台5.0MW-220m风电机组，</w:t>
      </w:r>
      <w:r>
        <w:rPr>
          <w:rFonts w:hint="default" w:ascii="宋体" w:hAnsi="宋体" w:eastAsia="宋体" w:cs="宋体"/>
          <w:color w:val="auto"/>
          <w:kern w:val="2"/>
          <w:sz w:val="24"/>
          <w:szCs w:val="24"/>
          <w:highlight w:val="none"/>
          <w:lang w:val="en-US" w:eastAsia="zh-CN" w:bidi="ar-SA"/>
        </w:rPr>
        <w:t>6台箱变</w:t>
      </w:r>
      <w:r>
        <w:rPr>
          <w:rFonts w:hint="eastAsia" w:ascii="宋体" w:hAnsi="宋体" w:eastAsia="宋体" w:cs="宋体"/>
          <w:color w:val="auto"/>
          <w:kern w:val="2"/>
          <w:sz w:val="24"/>
          <w:szCs w:val="24"/>
          <w:highlight w:val="none"/>
          <w:lang w:val="en-US" w:eastAsia="zh-CN" w:bidi="ar-SA"/>
        </w:rPr>
        <w:t>。</w:t>
      </w:r>
    </w:p>
    <w:p w14:paraId="04B57D99">
      <w:pPr>
        <w:pStyle w:val="3"/>
        <w:numPr>
          <w:ilvl w:val="0"/>
          <w:numId w:val="0"/>
        </w:numPr>
        <w:rPr>
          <w:sz w:val="24"/>
          <w:szCs w:val="24"/>
          <w:highlight w:val="none"/>
        </w:rPr>
      </w:pPr>
      <w:r>
        <w:rPr>
          <w:rFonts w:hint="eastAsia" w:cs="Times New Roman"/>
          <w:b/>
          <w:bCs/>
          <w:color w:val="000000"/>
          <w:kern w:val="0"/>
          <w:sz w:val="24"/>
          <w:szCs w:val="24"/>
          <w:highlight w:val="none"/>
          <w:lang w:val="en-US" w:eastAsia="zh-CN" w:bidi="ar-SA"/>
        </w:rPr>
        <w:t>二</w:t>
      </w:r>
      <w:r>
        <w:rPr>
          <w:rFonts w:hint="eastAsia" w:ascii="仿宋_GB2312" w:hAnsi="MyriadMM_700_300_" w:eastAsia="宋体" w:cs="Times New Roman"/>
          <w:b/>
          <w:bCs/>
          <w:color w:val="000000"/>
          <w:kern w:val="0"/>
          <w:sz w:val="24"/>
          <w:szCs w:val="24"/>
          <w:highlight w:val="none"/>
          <w:lang w:val="en-US" w:eastAsia="zh-CN" w:bidi="ar-SA"/>
        </w:rPr>
        <w:t>、</w:t>
      </w:r>
      <w:r>
        <w:rPr>
          <w:rFonts w:hint="eastAsia"/>
          <w:sz w:val="24"/>
          <w:szCs w:val="24"/>
          <w:highlight w:val="none"/>
        </w:rPr>
        <w:t>采购范围及相关要求</w:t>
      </w:r>
    </w:p>
    <w:p w14:paraId="0F82AC57">
      <w:pPr>
        <w:spacing w:line="360" w:lineRule="auto"/>
        <w:ind w:firstLine="463" w:firstLineChars="192"/>
        <w:rPr>
          <w:rFonts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2.1 采购范围：</w:t>
      </w:r>
    </w:p>
    <w:p w14:paraId="33A1AFD5">
      <w:pPr>
        <w:spacing w:line="360" w:lineRule="auto"/>
        <w:ind w:firstLine="480" w:firstLineChars="200"/>
        <w:jc w:val="left"/>
        <w:rPr>
          <w:rFonts w:hint="eastAsia" w:ascii="宋体" w:hAnsi="宋体" w:cs="宋体"/>
          <w:color w:val="000000" w:themeColor="text1"/>
          <w:spacing w:val="0"/>
          <w:sz w:val="24"/>
          <w:szCs w:val="24"/>
          <w:highlight w:val="none"/>
          <w:u w:val="none"/>
          <w:lang w:eastAsia="zh-CN"/>
          <w14:textFill>
            <w14:solidFill>
              <w14:schemeClr w14:val="tx1"/>
            </w14:solidFill>
          </w14:textFill>
        </w:rPr>
      </w:pPr>
      <w:r>
        <w:rPr>
          <w:rFonts w:hint="eastAsia" w:ascii="宋体" w:hAnsi="宋体" w:cs="宋体"/>
          <w:color w:val="000000" w:themeColor="text1"/>
          <w:spacing w:val="0"/>
          <w:sz w:val="24"/>
          <w:szCs w:val="24"/>
          <w:highlight w:val="none"/>
          <w:u w:val="none"/>
          <w:lang w:eastAsia="zh-CN"/>
          <w14:textFill>
            <w14:solidFill>
              <w14:schemeClr w14:val="tx1"/>
            </w14:solidFill>
          </w14:textFill>
        </w:rPr>
        <w:t>为做好</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本项目</w:t>
      </w:r>
      <w:r>
        <w:rPr>
          <w:rFonts w:hint="eastAsia" w:ascii="宋体" w:hAnsi="宋体" w:cs="宋体"/>
          <w:color w:val="000000" w:themeColor="text1"/>
          <w:spacing w:val="0"/>
          <w:sz w:val="24"/>
          <w:szCs w:val="24"/>
          <w:highlight w:val="none"/>
          <w:u w:val="none"/>
          <w:lang w:eastAsia="zh-CN"/>
          <w14:textFill>
            <w14:solidFill>
              <w14:schemeClr w14:val="tx1"/>
            </w14:solidFill>
          </w14:textFill>
        </w:rPr>
        <w:t>的建设，</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成交</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人应当以造价控制及合规性为核心，综合运用多种学科知识、工程实践经验、经济管理方法，采用一系列工程管理、造价</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管理</w:t>
      </w:r>
      <w:r>
        <w:rPr>
          <w:rFonts w:hint="eastAsia" w:ascii="宋体" w:hAnsi="宋体" w:cs="宋体"/>
          <w:color w:val="000000" w:themeColor="text1"/>
          <w:spacing w:val="0"/>
          <w:sz w:val="24"/>
          <w:szCs w:val="24"/>
          <w:highlight w:val="none"/>
          <w:u w:val="none"/>
          <w:lang w:eastAsia="zh-CN"/>
          <w14:textFill>
            <w14:solidFill>
              <w14:schemeClr w14:val="tx1"/>
            </w14:solidFill>
          </w14:textFill>
        </w:rPr>
        <w:t>等服务方式，为</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人提供招标控制价编制服务以</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及</w:t>
      </w:r>
      <w:r>
        <w:rPr>
          <w:rFonts w:hint="eastAsia" w:ascii="宋体" w:hAnsi="宋体" w:cs="宋体"/>
          <w:color w:val="000000" w:themeColor="text1"/>
          <w:spacing w:val="0"/>
          <w:sz w:val="24"/>
          <w:szCs w:val="24"/>
          <w:highlight w:val="none"/>
          <w:u w:val="none"/>
          <w:lang w:eastAsia="zh-CN"/>
          <w14:textFill>
            <w14:solidFill>
              <w14:schemeClr w14:val="tx1"/>
            </w14:solidFill>
          </w14:textFill>
        </w:rPr>
        <w:t>投资控制为目标的全过程咨询服务。工作范围包括不限于以下内容：</w:t>
      </w:r>
    </w:p>
    <w:p w14:paraId="5010022B">
      <w:pPr>
        <w:spacing w:line="360" w:lineRule="auto"/>
        <w:ind w:firstLine="482" w:firstLineChars="200"/>
        <w:jc w:val="left"/>
        <w:rPr>
          <w:rFonts w:hint="eastAsia" w:asciiTheme="minorEastAsia" w:hAnsiTheme="minorEastAsia" w:eastAsiaTheme="minorEastAsia" w:cstheme="minorEastAsia"/>
          <w:b/>
          <w:bCs/>
          <w:color w:val="000000"/>
          <w:sz w:val="24"/>
          <w:szCs w:val="24"/>
          <w:highlight w:val="none"/>
          <w:lang w:val="en-US" w:eastAsia="zh-CN"/>
        </w:rPr>
      </w:pP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b/>
          <w:bCs/>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.1与项目建设模式相对应的建筑及设备安装造价控制及相关服务</w:t>
      </w:r>
    </w:p>
    <w:p w14:paraId="78322E6C">
      <w:pPr>
        <w:spacing w:line="360" w:lineRule="auto"/>
        <w:ind w:firstLine="480" w:firstLineChars="200"/>
        <w:jc w:val="left"/>
        <w:rPr>
          <w:rFonts w:ascii="Times New Roman Regular" w:hAnsi="Times New Roman Regular" w:cs="Times New Roman Regular"/>
          <w:color w:val="000000" w:themeColor="text1"/>
          <w:sz w:val="24"/>
          <w:szCs w:val="24"/>
          <w:highlight w:val="none"/>
          <w14:textFill>
            <w14:solidFill>
              <w14:schemeClr w14:val="tx1"/>
            </w14:solidFill>
          </w14:textFill>
        </w:rPr>
      </w:pPr>
      <w:r>
        <w:rPr>
          <w:rFonts w:ascii="Times New Roman Regular" w:hAnsi="Times New Roman Regular" w:cs="Times New Roman Regular"/>
          <w:color w:val="000000" w:themeColor="text1"/>
          <w:sz w:val="24"/>
          <w:szCs w:val="24"/>
          <w:highlight w:val="none"/>
          <w:u w:val="single"/>
          <w14:textFill>
            <w14:solidFill>
              <w14:schemeClr w14:val="tx1"/>
            </w14:solidFill>
          </w14:textFill>
        </w:rPr>
        <w:t>与项目建设模式相对应的建筑及设备安装</w:t>
      </w:r>
      <w:r>
        <w:rPr>
          <w:rFonts w:hint="eastAsia" w:ascii="宋体" w:hAnsi="宋体" w:cs="宋体"/>
          <w:color w:val="000000" w:themeColor="text1"/>
          <w:sz w:val="24"/>
          <w:szCs w:val="24"/>
          <w:highlight w:val="none"/>
          <w:u w:val="single"/>
          <w14:textFill>
            <w14:solidFill>
              <w14:schemeClr w14:val="tx1"/>
            </w14:solidFill>
          </w14:textFill>
        </w:rPr>
        <w:t>工程造价控制及相关管理咨询服务</w:t>
      </w:r>
      <w:r>
        <w:rPr>
          <w:rFonts w:ascii="Times New Roman Regular" w:hAnsi="Times New Roman Regular" w:cs="Times New Roman Regular"/>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u w:val="single"/>
          <w14:textFill>
            <w14:solidFill>
              <w14:schemeClr w14:val="tx1"/>
            </w14:solidFill>
          </w14:textFill>
        </w:rPr>
        <w:t>根据现阶段成果，项目</w:t>
      </w:r>
      <w:r>
        <w:rPr>
          <w:rFonts w:hint="eastAsia" w:ascii="宋体" w:hAnsi="宋体" w:cs="宋体"/>
          <w:color w:val="000000" w:themeColor="text1"/>
          <w:sz w:val="24"/>
          <w:szCs w:val="24"/>
          <w:highlight w:val="none"/>
          <w:u w:val="single"/>
          <w:lang w:val="en-US" w:eastAsia="zh-CN"/>
          <w14:textFill>
            <w14:solidFill>
              <w14:schemeClr w14:val="tx1"/>
            </w14:solidFill>
          </w14:textFill>
        </w:rPr>
        <w:t>总投资</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16906.71</w:t>
      </w:r>
      <w:r>
        <w:rPr>
          <w:rFonts w:hint="eastAsia" w:ascii="宋体" w:hAnsi="宋体" w:eastAsia="宋体" w:cs="宋体"/>
          <w:color w:val="000000" w:themeColor="text1"/>
          <w:spacing w:val="0"/>
          <w:sz w:val="24"/>
          <w:szCs w:val="24"/>
          <w:highlight w:val="none"/>
          <w:u w:val="single"/>
          <w:lang w:val="en-US" w:eastAsia="zh-CN"/>
          <w14:textFill>
            <w14:solidFill>
              <w14:schemeClr w14:val="tx1"/>
            </w14:solidFill>
          </w14:textFill>
        </w:rPr>
        <w:t>万元</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，其中</w:t>
      </w:r>
      <w:r>
        <w:rPr>
          <w:rFonts w:hint="eastAsia" w:ascii="宋体" w:hAnsi="宋体" w:cs="宋体"/>
          <w:color w:val="000000" w:themeColor="text1"/>
          <w:sz w:val="24"/>
          <w:szCs w:val="24"/>
          <w:highlight w:val="none"/>
          <w:u w:val="single"/>
          <w14:textFill>
            <w14:solidFill>
              <w14:schemeClr w14:val="tx1"/>
            </w14:solidFill>
          </w14:textFill>
        </w:rPr>
        <w:t>建筑安装工程费</w:t>
      </w:r>
      <w:r>
        <w:rPr>
          <w:rFonts w:hint="eastAsia" w:ascii="宋体" w:hAnsi="宋体" w:cs="宋体"/>
          <w:color w:val="000000" w:themeColor="text1"/>
          <w:sz w:val="24"/>
          <w:szCs w:val="24"/>
          <w:highlight w:val="none"/>
          <w:u w:val="single"/>
          <w:lang w:val="en-US" w:eastAsia="zh-CN"/>
          <w14:textFill>
            <w14:solidFill>
              <w14:schemeClr w14:val="tx1"/>
            </w14:solidFill>
          </w14:textFill>
        </w:rPr>
        <w:t>10143.26万元</w:t>
      </w:r>
      <w:r>
        <w:rPr>
          <w:rFonts w:hint="eastAsia" w:ascii="宋体" w:hAnsi="宋体" w:cs="宋体"/>
          <w:color w:val="000000" w:themeColor="text1"/>
          <w:sz w:val="24"/>
          <w:szCs w:val="24"/>
          <w:highlight w:val="none"/>
          <w:u w:val="single"/>
          <w14:textFill>
            <w14:solidFill>
              <w14:schemeClr w14:val="tx1"/>
            </w14:solidFill>
          </w14:textFill>
        </w:rPr>
        <w:t>（主要包括：风机安装平台、转运场、供电、供水等施工辅助工程，风电机组及塔筒吊安装、电力电缆、集电线路，风电机组及箱变基础、集电线路土建、风电场场内外道路（含改扩建及路面硬化）施工、环水保等建筑工程等，</w:t>
      </w:r>
      <w:r>
        <w:rPr>
          <w:rFonts w:hint="eastAsia" w:ascii="宋体" w:hAnsi="宋体" w:cs="宋体"/>
          <w:color w:val="000000" w:themeColor="text1"/>
          <w:spacing w:val="0"/>
          <w:sz w:val="24"/>
          <w:szCs w:val="24"/>
          <w:highlight w:val="none"/>
          <w:u w:val="single"/>
          <w:lang w:val="en-US" w:eastAsia="zh-CN"/>
          <w14:textFill>
            <w14:solidFill>
              <w14:schemeClr w14:val="tx1"/>
            </w14:solidFill>
          </w14:textFill>
        </w:rPr>
        <w:t>具体项目以实际为准</w:t>
      </w:r>
      <w:r>
        <w:rPr>
          <w:rFonts w:hint="eastAsia" w:ascii="宋体" w:hAnsi="宋体" w:cs="宋体"/>
          <w:color w:val="000000" w:themeColor="text1"/>
          <w:sz w:val="24"/>
          <w:szCs w:val="24"/>
          <w:highlight w:val="none"/>
          <w:u w:val="singl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r>
        <w:rPr>
          <w:rFonts w:ascii="Times New Roman Regular" w:hAnsi="Times New Roman Regular" w:cs="Times New Roman Regular"/>
          <w:color w:val="000000" w:themeColor="text1"/>
          <w:sz w:val="24"/>
          <w:szCs w:val="24"/>
          <w:highlight w:val="none"/>
          <w14:textFill>
            <w14:solidFill>
              <w14:schemeClr w14:val="tx1"/>
            </w14:solidFill>
          </w14:textFill>
        </w:rPr>
        <w:t>包括但不限于以下内容</w:t>
      </w:r>
      <w:r>
        <w:rPr>
          <w:rFonts w:hint="eastAsia" w:ascii="Times New Roman Regular" w:hAnsi="Times New Roman Regular" w:cs="Times New Roman Regular"/>
          <w:color w:val="000000" w:themeColor="text1"/>
          <w:sz w:val="24"/>
          <w:szCs w:val="24"/>
          <w:highlight w:val="none"/>
          <w14:textFill>
            <w14:solidFill>
              <w14:schemeClr w14:val="tx1"/>
            </w14:solidFill>
          </w14:textFill>
        </w:rPr>
        <w:t>：</w:t>
      </w:r>
    </w:p>
    <w:tbl>
      <w:tblPr>
        <w:tblStyle w:val="5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0"/>
        <w:gridCol w:w="1833"/>
        <w:gridCol w:w="6148"/>
      </w:tblGrid>
      <w:tr w14:paraId="7870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Align w:val="center"/>
          </w:tcPr>
          <w:p w14:paraId="3836085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建设阶段名称</w:t>
            </w:r>
          </w:p>
        </w:tc>
        <w:tc>
          <w:tcPr>
            <w:tcW w:w="1833" w:type="dxa"/>
            <w:vAlign w:val="center"/>
          </w:tcPr>
          <w:p w14:paraId="1B314B8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工作范围</w:t>
            </w:r>
          </w:p>
        </w:tc>
        <w:tc>
          <w:tcPr>
            <w:tcW w:w="6148" w:type="dxa"/>
            <w:vAlign w:val="center"/>
          </w:tcPr>
          <w:p w14:paraId="1B5DD37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工作内容</w:t>
            </w:r>
          </w:p>
        </w:tc>
      </w:tr>
      <w:tr w14:paraId="22E8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Align w:val="center"/>
          </w:tcPr>
          <w:p w14:paraId="5505A84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招标阶段</w:t>
            </w:r>
          </w:p>
        </w:tc>
        <w:tc>
          <w:tcPr>
            <w:tcW w:w="1833" w:type="dxa"/>
            <w:vAlign w:val="center"/>
          </w:tcPr>
          <w:p w14:paraId="08BB655F">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配合做好招标过程造价管理</w:t>
            </w:r>
          </w:p>
        </w:tc>
        <w:tc>
          <w:tcPr>
            <w:tcW w:w="6148" w:type="dxa"/>
            <w:vAlign w:val="center"/>
          </w:tcPr>
          <w:p w14:paraId="1A325C91">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（1）参与工程招标文件编制；根据需要编制工程量清单及招标控制价，出具正式的工程量清单及招标控制价文件；</w:t>
            </w:r>
          </w:p>
          <w:p w14:paraId="62274125">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（2）根据采购人需要配合做好招标过程中施工（采购）合同的相关造价条款的拟定，与造价有关的相关咨询服务工作。</w:t>
            </w:r>
          </w:p>
        </w:tc>
      </w:tr>
      <w:tr w14:paraId="5248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Align w:val="center"/>
          </w:tcPr>
          <w:p w14:paraId="0EC587C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设计阶段</w:t>
            </w:r>
          </w:p>
        </w:tc>
        <w:tc>
          <w:tcPr>
            <w:tcW w:w="1833" w:type="dxa"/>
            <w:vAlign w:val="center"/>
          </w:tcPr>
          <w:p w14:paraId="08F30359">
            <w:pPr>
              <w:jc w:val="center"/>
              <w:rPr>
                <w:rFonts w:hint="eastAsia"/>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技术与经济管理</w:t>
            </w:r>
          </w:p>
        </w:tc>
        <w:tc>
          <w:tcPr>
            <w:tcW w:w="6148" w:type="dxa"/>
            <w:vAlign w:val="center"/>
          </w:tcPr>
          <w:p w14:paraId="224AF82D">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（1）技术指标优化建议、经济指标优化控制等。（2）提出工程设计方案的优化建议，各方案工程造价的编制与比选。</w:t>
            </w:r>
          </w:p>
        </w:tc>
      </w:tr>
      <w:tr w14:paraId="26F5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090" w:type="dxa"/>
            <w:vMerge w:val="restart"/>
            <w:vAlign w:val="center"/>
          </w:tcPr>
          <w:p w14:paraId="6D8BE8B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施工阶段</w:t>
            </w:r>
          </w:p>
        </w:tc>
        <w:tc>
          <w:tcPr>
            <w:tcW w:w="1833" w:type="dxa"/>
            <w:vAlign w:val="center"/>
          </w:tcPr>
          <w:p w14:paraId="718EF516">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1.规范咨询服务工作制度</w:t>
            </w:r>
          </w:p>
        </w:tc>
        <w:tc>
          <w:tcPr>
            <w:tcW w:w="6148" w:type="dxa"/>
            <w:vAlign w:val="center"/>
          </w:tcPr>
          <w:p w14:paraId="483F4D20">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（1）协助采购人做好项目现场的管理制度及流程，配合做好采购人与各参建单位的管理关系；</w:t>
            </w:r>
          </w:p>
          <w:p w14:paraId="172925D3">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（2）制订可行的周报、月报、季报和年报等定期报告制度；建立签证、变更、档案管理等与造价相关的工作制度；</w:t>
            </w:r>
          </w:p>
          <w:p w14:paraId="4789ECE7">
            <w:pPr>
              <w:jc w:val="left"/>
              <w:rPr>
                <w:rFonts w:hint="eastAsia"/>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（3）协助采购人进行全口径成本分析、风险控制，提出税务统筹及融资方案的建议。</w:t>
            </w:r>
          </w:p>
        </w:tc>
      </w:tr>
      <w:tr w14:paraId="1BDBC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4CE0EE31">
            <w:pPr>
              <w:jc w:val="center"/>
              <w:rPr>
                <w:color w:val="000000" w:themeColor="text1"/>
                <w:sz w:val="21"/>
                <w:szCs w:val="21"/>
                <w:highlight w:val="none"/>
                <w14:textFill>
                  <w14:solidFill>
                    <w14:schemeClr w14:val="tx1"/>
                  </w14:solidFill>
                </w14:textFill>
              </w:rPr>
            </w:pPr>
          </w:p>
        </w:tc>
        <w:tc>
          <w:tcPr>
            <w:tcW w:w="1833" w:type="dxa"/>
            <w:vAlign w:val="center"/>
          </w:tcPr>
          <w:p w14:paraId="43C0AE88">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2.工程计量与计价管理</w:t>
            </w:r>
          </w:p>
        </w:tc>
        <w:tc>
          <w:tcPr>
            <w:tcW w:w="6148" w:type="dxa"/>
            <w:vAlign w:val="center"/>
          </w:tcPr>
          <w:p w14:paraId="2FCBFC7B">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（1）工程计量支付的确定，审核工程款支付申请，提出资金使用计划及付款建议，出具支付结算报告；</w:t>
            </w:r>
          </w:p>
          <w:p w14:paraId="30A6CE69">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（2）严格按要求配合做好工程价款的调整处理；</w:t>
            </w:r>
          </w:p>
          <w:p w14:paraId="2F1CC34D">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（3）规范并监督采购人的价款支付，及时整理和留存相关过程资料。</w:t>
            </w:r>
          </w:p>
        </w:tc>
      </w:tr>
      <w:tr w14:paraId="40FD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1D636E54">
            <w:pPr>
              <w:jc w:val="center"/>
              <w:rPr>
                <w:color w:val="000000" w:themeColor="text1"/>
                <w:sz w:val="21"/>
                <w:szCs w:val="21"/>
                <w:highlight w:val="none"/>
                <w14:textFill>
                  <w14:solidFill>
                    <w14:schemeClr w14:val="tx1"/>
                  </w14:solidFill>
                </w14:textFill>
              </w:rPr>
            </w:pPr>
          </w:p>
        </w:tc>
        <w:tc>
          <w:tcPr>
            <w:tcW w:w="1833" w:type="dxa"/>
            <w:vAlign w:val="center"/>
          </w:tcPr>
          <w:p w14:paraId="6712962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3.设计变更控制</w:t>
            </w:r>
          </w:p>
        </w:tc>
        <w:tc>
          <w:tcPr>
            <w:tcW w:w="6148" w:type="dxa"/>
          </w:tcPr>
          <w:p w14:paraId="09F84769">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（1）施工过程的设计变更、工程签证、隐蔽工程 记录签认处理，进行变更源分析和类别划分；</w:t>
            </w:r>
          </w:p>
          <w:p w14:paraId="32CB1081">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（2）审核变更预算，进行总造价影响及成本控制分析；</w:t>
            </w:r>
          </w:p>
          <w:p w14:paraId="7E9E0F02">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（3）配合变更方案比选，提出合理化建议；</w:t>
            </w:r>
          </w:p>
          <w:p w14:paraId="59A3103C">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（4）深入施工现场，积极收集管理第一手资料并汇总归集；对现场签证及新增工程量进行审核；</w:t>
            </w:r>
          </w:p>
          <w:p w14:paraId="30BC73DD">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（5）施工过程中对设计变更、经济签证、非投标工程或合同承包范围外增加工程费用等进行编制和审核，提供相应变化情况的报告，并向采购人提供《造价控制动态分析报告》。</w:t>
            </w:r>
          </w:p>
        </w:tc>
      </w:tr>
      <w:tr w14:paraId="0AD1C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20A71C03">
            <w:pPr>
              <w:jc w:val="center"/>
              <w:rPr>
                <w:color w:val="000000" w:themeColor="text1"/>
                <w:sz w:val="21"/>
                <w:szCs w:val="21"/>
                <w:highlight w:val="none"/>
                <w14:textFill>
                  <w14:solidFill>
                    <w14:schemeClr w14:val="tx1"/>
                  </w14:solidFill>
                </w14:textFill>
              </w:rPr>
            </w:pPr>
          </w:p>
        </w:tc>
        <w:tc>
          <w:tcPr>
            <w:tcW w:w="1833" w:type="dxa"/>
            <w:vAlign w:val="center"/>
          </w:tcPr>
          <w:p w14:paraId="7C1DF86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4.合同及索赔管理</w:t>
            </w:r>
          </w:p>
        </w:tc>
        <w:tc>
          <w:tcPr>
            <w:tcW w:w="6148" w:type="dxa"/>
          </w:tcPr>
          <w:p w14:paraId="6DAFA14B">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（1）建设项目工程造价相关合同履行过程的管理；</w:t>
            </w:r>
          </w:p>
          <w:p w14:paraId="58E67145">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（2）负责处理合同索赔，维护采购人的合法权益；</w:t>
            </w:r>
          </w:p>
          <w:p w14:paraId="60D77E36">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（3）对索赔报告进行审查分析，收集反索赔的理由和证据，复核索赔值，提出反索赔报告；</w:t>
            </w:r>
          </w:p>
          <w:p w14:paraId="282FED8F">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（4）参与调解所有合同争端，负责在仲裁过程中提供理据充分的依据。</w:t>
            </w:r>
          </w:p>
        </w:tc>
      </w:tr>
      <w:tr w14:paraId="4A48D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61" w:hRule="atLeast"/>
          <w:jc w:val="center"/>
        </w:trPr>
        <w:tc>
          <w:tcPr>
            <w:tcW w:w="1090" w:type="dxa"/>
            <w:vMerge w:val="continue"/>
          </w:tcPr>
          <w:p w14:paraId="642C74DC">
            <w:pPr>
              <w:jc w:val="center"/>
              <w:rPr>
                <w:color w:val="000000" w:themeColor="text1"/>
                <w:sz w:val="21"/>
                <w:szCs w:val="21"/>
                <w:highlight w:val="none"/>
                <w14:textFill>
                  <w14:solidFill>
                    <w14:schemeClr w14:val="tx1"/>
                  </w14:solidFill>
                </w14:textFill>
              </w:rPr>
            </w:pPr>
          </w:p>
        </w:tc>
        <w:tc>
          <w:tcPr>
            <w:tcW w:w="1833" w:type="dxa"/>
            <w:vAlign w:val="center"/>
          </w:tcPr>
          <w:p w14:paraId="03EF0525">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5.信息管理</w:t>
            </w:r>
          </w:p>
        </w:tc>
        <w:tc>
          <w:tcPr>
            <w:tcW w:w="6148" w:type="dxa"/>
          </w:tcPr>
          <w:p w14:paraId="25DF66E8">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（1）收集价格信息或编制工程造价管理月报，及时向采购人提供有关工程造价信息资料和成果，其中包括每月的主要材料价格分析、机械、设备等造价信息；</w:t>
            </w:r>
          </w:p>
          <w:p w14:paraId="3C57C56B">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（2）记录重大变更及特殊做法的影像资料，工程完工后整理提供一套完整的工程造价资料。</w:t>
            </w:r>
          </w:p>
        </w:tc>
      </w:tr>
      <w:tr w14:paraId="47E8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27AD303E">
            <w:pPr>
              <w:jc w:val="center"/>
              <w:rPr>
                <w:color w:val="000000" w:themeColor="text1"/>
                <w:sz w:val="21"/>
                <w:szCs w:val="21"/>
                <w:highlight w:val="none"/>
                <w14:textFill>
                  <w14:solidFill>
                    <w14:schemeClr w14:val="tx1"/>
                  </w14:solidFill>
                </w14:textFill>
              </w:rPr>
            </w:pPr>
          </w:p>
        </w:tc>
        <w:tc>
          <w:tcPr>
            <w:tcW w:w="1833" w:type="dxa"/>
            <w:vAlign w:val="center"/>
          </w:tcPr>
          <w:p w14:paraId="78A42FBC">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6.做好重点工作的管理</w:t>
            </w:r>
          </w:p>
        </w:tc>
        <w:tc>
          <w:tcPr>
            <w:tcW w:w="6148" w:type="dxa"/>
          </w:tcPr>
          <w:p w14:paraId="7E988AFC">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（1）做好投资管理：建立及动态更新投资总控表，并与目标投资比对，及时提交项目造价控制意见。</w:t>
            </w:r>
          </w:p>
          <w:p w14:paraId="31A4F153">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（2）加强合同管理：通过合同台账监控项目现场的履约情况，及时做好投资、合同与资金支付的对比分析。加强与工程审计和采购人财务人员的沟通，及时发现合同及资金支付过程中的问题。</w:t>
            </w:r>
          </w:p>
        </w:tc>
      </w:tr>
      <w:tr w14:paraId="43DDE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47364CA1">
            <w:pPr>
              <w:jc w:val="center"/>
              <w:rPr>
                <w:color w:val="000000" w:themeColor="text1"/>
                <w:sz w:val="21"/>
                <w:szCs w:val="21"/>
                <w:highlight w:val="none"/>
                <w14:textFill>
                  <w14:solidFill>
                    <w14:schemeClr w14:val="tx1"/>
                  </w14:solidFill>
                </w14:textFill>
              </w:rPr>
            </w:pPr>
          </w:p>
        </w:tc>
        <w:tc>
          <w:tcPr>
            <w:tcW w:w="1833" w:type="dxa"/>
            <w:vAlign w:val="center"/>
          </w:tcPr>
          <w:p w14:paraId="18169AA4">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7.资料管理</w:t>
            </w:r>
          </w:p>
        </w:tc>
        <w:tc>
          <w:tcPr>
            <w:tcW w:w="6148" w:type="dxa"/>
          </w:tcPr>
          <w:p w14:paraId="2DEF533E">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及时建立与更新合同台帐、支付台账、设计变更和签证台账、资料收发台帐、索赔及反索赔台帐。</w:t>
            </w:r>
          </w:p>
        </w:tc>
      </w:tr>
      <w:tr w14:paraId="23E32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01C32C28">
            <w:pPr>
              <w:jc w:val="center"/>
              <w:rPr>
                <w:color w:val="000000" w:themeColor="text1"/>
                <w:sz w:val="21"/>
                <w:szCs w:val="21"/>
                <w:highlight w:val="none"/>
                <w14:textFill>
                  <w14:solidFill>
                    <w14:schemeClr w14:val="tx1"/>
                  </w14:solidFill>
                </w14:textFill>
              </w:rPr>
            </w:pPr>
          </w:p>
        </w:tc>
        <w:tc>
          <w:tcPr>
            <w:tcW w:w="1833" w:type="dxa"/>
            <w:vAlign w:val="center"/>
          </w:tcPr>
          <w:p w14:paraId="448F7841">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8.现场服务</w:t>
            </w:r>
          </w:p>
        </w:tc>
        <w:tc>
          <w:tcPr>
            <w:tcW w:w="6148" w:type="dxa"/>
          </w:tcPr>
          <w:p w14:paraId="2B2AE51F">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派驻驻场造价工程师现场办公；委派造价人员参与例会，并定期召开造价控制会议，解决施工过程中各类造价问题。</w:t>
            </w:r>
          </w:p>
        </w:tc>
      </w:tr>
      <w:tr w14:paraId="14843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restart"/>
            <w:vAlign w:val="center"/>
          </w:tcPr>
          <w:p w14:paraId="211B2EFE">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竣工阶段</w:t>
            </w:r>
          </w:p>
        </w:tc>
        <w:tc>
          <w:tcPr>
            <w:tcW w:w="1833" w:type="dxa"/>
            <w:vAlign w:val="center"/>
          </w:tcPr>
          <w:p w14:paraId="7778EE5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1.结算审核</w:t>
            </w:r>
          </w:p>
        </w:tc>
        <w:tc>
          <w:tcPr>
            <w:tcW w:w="6148" w:type="dxa"/>
          </w:tcPr>
          <w:p w14:paraId="4E0D7911">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（1）审核资料的完整性和符合性（根据合同及结算资料）</w:t>
            </w:r>
          </w:p>
          <w:p w14:paraId="025B63E7">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（2）根据合同及结算资料，对结算价格进行审核，会同财务管理部门的评审；</w:t>
            </w:r>
          </w:p>
          <w:p w14:paraId="61D5E99C">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（3）审核各类服务、采购及供货合同结算；</w:t>
            </w:r>
          </w:p>
          <w:p w14:paraId="66166BE8">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（4）出具工程竣工结算报告。</w:t>
            </w:r>
          </w:p>
        </w:tc>
      </w:tr>
      <w:tr w14:paraId="05F04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600CAE3D">
            <w:pPr>
              <w:jc w:val="center"/>
              <w:rPr>
                <w:color w:val="000000" w:themeColor="text1"/>
                <w:sz w:val="21"/>
                <w:szCs w:val="21"/>
                <w:highlight w:val="none"/>
                <w14:textFill>
                  <w14:solidFill>
                    <w14:schemeClr w14:val="tx1"/>
                  </w14:solidFill>
                </w14:textFill>
              </w:rPr>
            </w:pPr>
          </w:p>
        </w:tc>
        <w:tc>
          <w:tcPr>
            <w:tcW w:w="1833" w:type="dxa"/>
            <w:vAlign w:val="center"/>
          </w:tcPr>
          <w:p w14:paraId="3785C38A">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2.结算台账</w:t>
            </w:r>
          </w:p>
        </w:tc>
        <w:tc>
          <w:tcPr>
            <w:tcW w:w="6148" w:type="dxa"/>
          </w:tcPr>
          <w:p w14:paraId="42172768">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建立与更新</w:t>
            </w:r>
          </w:p>
        </w:tc>
      </w:tr>
      <w:tr w14:paraId="020DF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2420E151">
            <w:pPr>
              <w:jc w:val="center"/>
              <w:rPr>
                <w:color w:val="000000" w:themeColor="text1"/>
                <w:sz w:val="21"/>
                <w:szCs w:val="21"/>
                <w:highlight w:val="none"/>
                <w14:textFill>
                  <w14:solidFill>
                    <w14:schemeClr w14:val="tx1"/>
                  </w14:solidFill>
                </w14:textFill>
              </w:rPr>
            </w:pPr>
          </w:p>
        </w:tc>
        <w:tc>
          <w:tcPr>
            <w:tcW w:w="1833" w:type="dxa"/>
            <w:vAlign w:val="center"/>
          </w:tcPr>
          <w:p w14:paraId="65C941B9">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3.投资情况分析</w:t>
            </w:r>
          </w:p>
        </w:tc>
        <w:tc>
          <w:tcPr>
            <w:tcW w:w="6148" w:type="dxa"/>
          </w:tcPr>
          <w:p w14:paraId="6DD66286">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编制项目投资情况分析报告</w:t>
            </w:r>
          </w:p>
        </w:tc>
      </w:tr>
      <w:tr w14:paraId="1C74C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90" w:type="dxa"/>
            <w:vMerge w:val="continue"/>
          </w:tcPr>
          <w:p w14:paraId="382AA1BD">
            <w:pPr>
              <w:jc w:val="center"/>
              <w:rPr>
                <w:color w:val="000000" w:themeColor="text1"/>
                <w:sz w:val="21"/>
                <w:szCs w:val="21"/>
                <w:highlight w:val="none"/>
                <w14:textFill>
                  <w14:solidFill>
                    <w14:schemeClr w14:val="tx1"/>
                  </w14:solidFill>
                </w14:textFill>
              </w:rPr>
            </w:pPr>
          </w:p>
        </w:tc>
        <w:tc>
          <w:tcPr>
            <w:tcW w:w="1833" w:type="dxa"/>
            <w:vAlign w:val="center"/>
          </w:tcPr>
          <w:p w14:paraId="37585270">
            <w:pPr>
              <w:jc w:val="center"/>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4.项目审计</w:t>
            </w:r>
          </w:p>
        </w:tc>
        <w:tc>
          <w:tcPr>
            <w:tcW w:w="6148" w:type="dxa"/>
          </w:tcPr>
          <w:p w14:paraId="4EC94B45">
            <w:pPr>
              <w:jc w:val="left"/>
              <w:rPr>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配合项目审计</w:t>
            </w:r>
          </w:p>
        </w:tc>
      </w:t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tbl>
    <w:p w14:paraId="58E99878">
      <w:pPr>
        <w:spacing w:line="360" w:lineRule="auto"/>
        <w:ind w:firstLine="482" w:firstLineChars="200"/>
        <w:jc w:val="left"/>
        <w:rPr>
          <w:rFonts w:hint="eastAsia" w:ascii="宋体" w:hAnsi="宋体" w:cs="宋体"/>
          <w:b/>
          <w:bCs/>
          <w:color w:val="000000" w:themeColor="text1"/>
          <w:spacing w:val="0"/>
          <w:sz w:val="24"/>
          <w:szCs w:val="24"/>
          <w:highlight w:val="none"/>
          <w:u w:val="none"/>
          <w:lang w:eastAsia="zh-CN"/>
          <w14:textFill>
            <w14:solidFill>
              <w14:schemeClr w14:val="tx1"/>
            </w14:solidFill>
          </w14:textFill>
        </w:rPr>
      </w:pPr>
      <w:bookmarkStart w:id="248" w:name="_Toc13722"/>
      <w:bookmarkStart w:id="249" w:name="_Toc25396"/>
      <w:bookmarkStart w:id="250" w:name="_Toc8923"/>
      <w:bookmarkStart w:id="251" w:name="_Toc12018"/>
      <w:bookmarkStart w:id="252" w:name="_Toc3693"/>
      <w:bookmarkStart w:id="253" w:name="_Toc4173"/>
      <w:bookmarkStart w:id="254" w:name="_Toc531884896"/>
      <w:bookmarkStart w:id="255" w:name="_Toc531797770"/>
      <w:bookmarkStart w:id="256" w:name="_Toc14471"/>
      <w:bookmarkStart w:id="257" w:name="_Toc5996"/>
      <w:bookmarkStart w:id="258" w:name="_Toc23221"/>
      <w:bookmarkStart w:id="259" w:name="_Toc26242"/>
      <w:bookmarkStart w:id="260" w:name="_Toc15924"/>
      <w:bookmarkStart w:id="261" w:name="_Toc440"/>
      <w:bookmarkStart w:id="262" w:name="_Toc441336773"/>
      <w:bookmarkStart w:id="263" w:name="_Toc15515"/>
      <w:bookmarkStart w:id="264" w:name="_Toc16959"/>
      <w:bookmarkStart w:id="265" w:name="_Toc832"/>
      <w:bookmarkStart w:id="266" w:name="_Toc11222"/>
      <w:bookmarkStart w:id="267" w:name="_Toc30795"/>
      <w:bookmarkStart w:id="268" w:name="_Toc89441271"/>
      <w:bookmarkStart w:id="269" w:name="_Toc25164"/>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b/>
          <w:bCs/>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b/>
          <w:bCs/>
          <w:color w:val="000000" w:themeColor="text1"/>
          <w:spacing w:val="0"/>
          <w:sz w:val="24"/>
          <w:szCs w:val="24"/>
          <w:highlight w:val="none"/>
          <w:u w:val="none"/>
          <w:lang w:val="en-US" w:eastAsia="zh-CN"/>
          <w14:textFill>
            <w14:solidFill>
              <w14:schemeClr w14:val="tx1"/>
            </w14:solidFill>
          </w14:textFill>
        </w:rPr>
        <w:t>2其他咨询</w:t>
      </w: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服务</w:t>
      </w:r>
    </w:p>
    <w:p w14:paraId="36636F28">
      <w:pPr>
        <w:spacing w:line="360" w:lineRule="auto"/>
        <w:ind w:firstLine="480" w:firstLineChars="200"/>
        <w:rPr>
          <w:rFonts w:hint="default" w:ascii="宋体" w:hAnsi="宋体" w:cs="宋体"/>
          <w:color w:val="000000" w:themeColor="text1"/>
          <w:spacing w:val="0"/>
          <w:sz w:val="24"/>
          <w:szCs w:val="24"/>
          <w:highlight w:val="none"/>
          <w:u w:val="none"/>
          <w:lang w:val="en-US" w:eastAsia="zh-CN"/>
          <w14:textFill>
            <w14:solidFill>
              <w14:schemeClr w14:val="tx1"/>
            </w14:solidFill>
          </w14:textFill>
        </w:rPr>
      </w:pPr>
      <w:r>
        <w:rPr>
          <w:rFonts w:hint="eastAsia" w:ascii="宋体" w:hAnsi="宋体"/>
          <w:sz w:val="24"/>
          <w:szCs w:val="24"/>
          <w:highlight w:val="none"/>
        </w:rPr>
        <w:t>根据云南省国资委关于国有资产监管的相关要求，</w:t>
      </w:r>
      <w:r>
        <w:rPr>
          <w:rFonts w:ascii="Times New Roman Regular" w:hAnsi="Times New Roman Regular" w:cs="Times New Roman Regular"/>
          <w:color w:val="000000" w:themeColor="text1"/>
          <w:sz w:val="24"/>
          <w:szCs w:val="24"/>
          <w:highlight w:val="none"/>
          <w14:textFill>
            <w14:solidFill>
              <w14:schemeClr w14:val="tx1"/>
            </w14:solidFill>
          </w14:textFill>
        </w:rPr>
        <w:t>以及财政部、建设部关于印发《建设工程价款结算暂行办法》的通知（财建〔2004〕369号）；《关于下发〔工程造价咨询单位执业行业准则〕、〔造价工程师职业道德行为准则〕的通知》（中价协〔2002〕第15号）；《建设项目全过程造价咨询规程》（CECA/GC4-2017）；《建设项目工程结算编审规程》（中造协CECA/GC3-2007）；《工程造价咨询业务操作指导规程》《建设工程造价咨询成果文件质量标准》《建设工程价款结算暂行办法》《陆上风电场工程设计概算编制规定及费用标准》等一系列制度及法律法规要求</w:t>
      </w:r>
      <w:r>
        <w:rPr>
          <w:rFonts w:hint="eastAsia" w:ascii="宋体" w:hAnsi="宋体"/>
          <w:sz w:val="24"/>
          <w:szCs w:val="24"/>
          <w:highlight w:val="none"/>
        </w:rPr>
        <w:t>，以项目建设过程的真实性、合法合规性和有效性为目标</w:t>
      </w:r>
      <w:r>
        <w:rPr>
          <w:rFonts w:hint="eastAsia" w:ascii="宋体" w:hAnsi="宋体"/>
          <w:sz w:val="24"/>
          <w:szCs w:val="24"/>
          <w:highlight w:val="none"/>
          <w:lang w:eastAsia="zh-CN"/>
        </w:rPr>
        <w:t>，</w:t>
      </w:r>
      <w:r>
        <w:rPr>
          <w:rFonts w:hint="eastAsia" w:ascii="宋体" w:hAnsi="宋体"/>
          <w:sz w:val="24"/>
          <w:szCs w:val="24"/>
          <w:highlight w:val="none"/>
          <w:lang w:val="en-US" w:eastAsia="zh-CN"/>
        </w:rPr>
        <w:t>对项目的合规性提供咨询服务，</w:t>
      </w:r>
      <w:r>
        <w:rPr>
          <w:rFonts w:hint="eastAsia" w:ascii="宋体" w:hAnsi="宋体"/>
          <w:b w:val="0"/>
          <w:bCs w:val="0"/>
          <w:sz w:val="24"/>
          <w:szCs w:val="24"/>
          <w:highlight w:val="none"/>
          <w:lang w:val="en-US" w:eastAsia="zh-CN"/>
        </w:rPr>
        <w:t>并提出书面的合理化意见和建议；</w:t>
      </w:r>
      <w:r>
        <w:rPr>
          <w:rFonts w:hint="eastAsia" w:ascii="宋体" w:hAnsi="宋体"/>
          <w:sz w:val="24"/>
          <w:szCs w:val="24"/>
          <w:highlight w:val="none"/>
        </w:rPr>
        <w:t>围绕建设管理的各个环节，找出其薄弱环节及存在的问题，及时提出整改意见。</w:t>
      </w:r>
    </w:p>
    <w:p w14:paraId="10E0BCBB">
      <w:pPr>
        <w:spacing w:line="360" w:lineRule="auto"/>
        <w:ind w:firstLine="482" w:firstLineChars="200"/>
        <w:jc w:val="left"/>
        <w:rPr>
          <w:rFonts w:hint="eastAsia" w:ascii="宋体" w:hAnsi="宋体" w:cs="宋体"/>
          <w:b/>
          <w:bCs/>
          <w:color w:val="000000" w:themeColor="text1"/>
          <w:spacing w:val="0"/>
          <w:sz w:val="24"/>
          <w:szCs w:val="24"/>
          <w:highlight w:val="none"/>
          <w:u w:val="none"/>
          <w:lang w:eastAsia="zh-CN"/>
          <w14:textFill>
            <w14:solidFill>
              <w14:schemeClr w14:val="tx1"/>
            </w14:solidFill>
          </w14:textFill>
        </w:rPr>
      </w:pP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b/>
          <w:bCs/>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b/>
          <w:bCs/>
          <w:color w:val="000000" w:themeColor="text1"/>
          <w:spacing w:val="0"/>
          <w:sz w:val="24"/>
          <w:szCs w:val="24"/>
          <w:highlight w:val="none"/>
          <w:u w:val="none"/>
          <w:lang w:val="en-US" w:eastAsia="zh-CN"/>
          <w14:textFill>
            <w14:solidFill>
              <w14:schemeClr w14:val="tx1"/>
            </w14:solidFill>
          </w14:textFill>
        </w:rPr>
        <w:t>3</w:t>
      </w:r>
      <w:r>
        <w:rPr>
          <w:rFonts w:hint="eastAsia" w:ascii="宋体" w:hAnsi="宋体" w:cs="宋体"/>
          <w:b/>
          <w:bCs/>
          <w:color w:val="000000" w:themeColor="text1"/>
          <w:spacing w:val="0"/>
          <w:sz w:val="24"/>
          <w:szCs w:val="24"/>
          <w:highlight w:val="none"/>
          <w:u w:val="none"/>
          <w:lang w:eastAsia="zh-CN"/>
          <w14:textFill>
            <w14:solidFill>
              <w14:schemeClr w14:val="tx1"/>
            </w14:solidFill>
          </w14:textFill>
        </w:rPr>
        <w:t>特别说明</w:t>
      </w:r>
    </w:p>
    <w:p w14:paraId="60136215">
      <w:pPr>
        <w:spacing w:line="360" w:lineRule="auto"/>
        <w:ind w:firstLine="480" w:firstLineChars="200"/>
        <w:jc w:val="left"/>
        <w:rPr>
          <w:rFonts w:hint="eastAsia" w:ascii="宋体" w:hAnsi="宋体" w:cs="宋体"/>
          <w:color w:val="000000" w:themeColor="text1"/>
          <w:spacing w:val="0"/>
          <w:sz w:val="24"/>
          <w:szCs w:val="24"/>
          <w:highlight w:val="none"/>
          <w:u w:val="none"/>
          <w:lang w:eastAsia="zh-CN"/>
          <w14:textFill>
            <w14:solidFill>
              <w14:schemeClr w14:val="tx1"/>
            </w14:solidFill>
          </w14:textFill>
        </w:rPr>
      </w:pPr>
      <w:r>
        <w:rPr>
          <w:rFonts w:hint="eastAsia" w:ascii="宋体" w:hAnsi="宋体" w:cs="宋体"/>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3</w:t>
      </w:r>
      <w:r>
        <w:rPr>
          <w:rFonts w:hint="eastAsia" w:ascii="宋体" w:hAnsi="宋体" w:cs="宋体"/>
          <w:color w:val="000000" w:themeColor="text1"/>
          <w:spacing w:val="0"/>
          <w:sz w:val="24"/>
          <w:szCs w:val="24"/>
          <w:highlight w:val="none"/>
          <w:u w:val="none"/>
          <w:lang w:eastAsia="zh-CN"/>
          <w14:textFill>
            <w14:solidFill>
              <w14:schemeClr w14:val="tx1"/>
            </w14:solidFill>
          </w14:textFill>
        </w:rPr>
        <w:t>.1根据本项目的委托目标及服务原则，</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成交</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人必须在合同生效后30日内，</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提出</w:t>
      </w:r>
      <w:r>
        <w:rPr>
          <w:rFonts w:hint="eastAsia" w:ascii="宋体" w:hAnsi="宋体" w:cs="宋体"/>
          <w:color w:val="000000" w:themeColor="text1"/>
          <w:spacing w:val="0"/>
          <w:sz w:val="24"/>
          <w:szCs w:val="24"/>
          <w:highlight w:val="none"/>
          <w:u w:val="none"/>
          <w:lang w:eastAsia="zh-CN"/>
          <w14:textFill>
            <w14:solidFill>
              <w14:schemeClr w14:val="tx1"/>
            </w14:solidFill>
          </w14:textFill>
        </w:rPr>
        <w:t>本项目建设管理程序及相关内部控制的风险识别，初步完成投资控制体系的建立，提出完整可行的工作计划、过程控制资料或工作底稿、工作制度或沟通协调机制、质量控制方案、工作成果形式等与本次</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none"/>
          <w:lang w:eastAsia="zh-CN"/>
          <w14:textFill>
            <w14:solidFill>
              <w14:schemeClr w14:val="tx1"/>
            </w14:solidFill>
          </w14:textFill>
        </w:rPr>
        <w:t>服务内容有关的过程资料和结果文件，上述资料经</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人审核同意后正式实施。</w:t>
      </w:r>
    </w:p>
    <w:p w14:paraId="46EB2D40">
      <w:pPr>
        <w:spacing w:line="360" w:lineRule="auto"/>
        <w:ind w:firstLine="480" w:firstLineChars="200"/>
        <w:jc w:val="left"/>
        <w:rPr>
          <w:rFonts w:hint="eastAsia" w:asciiTheme="minorEastAsia" w:hAnsiTheme="minorEastAsia" w:eastAsiaTheme="minorEastAsia" w:cstheme="minorEastAsia"/>
          <w:color w:val="000000"/>
          <w:sz w:val="24"/>
          <w:szCs w:val="24"/>
          <w:highlight w:val="none"/>
          <w:lang w:val="en-US" w:eastAsia="zh-CN"/>
        </w:rPr>
      </w:pPr>
      <w:r>
        <w:rPr>
          <w:rFonts w:hint="eastAsia" w:ascii="宋体" w:hAnsi="宋体" w:cs="宋体"/>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1</w:t>
      </w:r>
      <w:r>
        <w:rPr>
          <w:rFonts w:hint="eastAsia" w:ascii="宋体" w:hAnsi="宋体" w:cs="宋体"/>
          <w:color w:val="000000" w:themeColor="text1"/>
          <w:spacing w:val="0"/>
          <w:sz w:val="24"/>
          <w:szCs w:val="24"/>
          <w:highlight w:val="none"/>
          <w:u w:val="none"/>
          <w:lang w:eastAsia="zh-CN"/>
          <w14:textFill>
            <w14:solidFill>
              <w14:schemeClr w14:val="tx1"/>
            </w14:solidFill>
          </w14:textFill>
        </w:rPr>
        <w:t>.</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3</w:t>
      </w:r>
      <w:r>
        <w:rPr>
          <w:rFonts w:hint="eastAsia" w:ascii="宋体" w:hAnsi="宋体" w:cs="宋体"/>
          <w:color w:val="000000" w:themeColor="text1"/>
          <w:spacing w:val="0"/>
          <w:sz w:val="24"/>
          <w:szCs w:val="24"/>
          <w:highlight w:val="none"/>
          <w:u w:val="none"/>
          <w:lang w:eastAsia="zh-CN"/>
          <w14:textFill>
            <w14:solidFill>
              <w14:schemeClr w14:val="tx1"/>
            </w14:solidFill>
          </w14:textFill>
        </w:rPr>
        <w:t>.2</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成交</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人要做好过程控制资料的交底，指导</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采购</w:t>
      </w:r>
      <w:r>
        <w:rPr>
          <w:rFonts w:hint="eastAsia" w:ascii="宋体" w:hAnsi="宋体" w:cs="宋体"/>
          <w:color w:val="000000" w:themeColor="text1"/>
          <w:spacing w:val="0"/>
          <w:sz w:val="24"/>
          <w:szCs w:val="24"/>
          <w:highlight w:val="none"/>
          <w:u w:val="none"/>
          <w:lang w:eastAsia="zh-CN"/>
          <w14:textFill>
            <w14:solidFill>
              <w14:schemeClr w14:val="tx1"/>
            </w14:solidFill>
          </w14:textFill>
        </w:rPr>
        <w:t>人及各参建单位按规定实施。</w:t>
      </w:r>
    </w:p>
    <w:p w14:paraId="59391A46">
      <w:pPr>
        <w:autoSpaceDE w:val="0"/>
        <w:autoSpaceDN w:val="0"/>
        <w:adjustRightInd w:val="0"/>
        <w:spacing w:line="360" w:lineRule="auto"/>
        <w:ind w:firstLine="482" w:firstLineChars="200"/>
        <w:rPr>
          <w:rFonts w:hint="default" w:ascii="宋体" w:hAnsi="宋体" w:cs="宋体"/>
          <w:color w:val="000000" w:themeColor="text1"/>
          <w:spacing w:val="0"/>
          <w:sz w:val="24"/>
          <w:szCs w:val="24"/>
          <w:highlight w:val="none"/>
          <w:u w:val="none"/>
          <w:lang w:val="en-US" w:eastAsia="zh-CN"/>
          <w14:textFill>
            <w14:solidFill>
              <w14:schemeClr w14:val="tx1"/>
            </w14:solidFill>
          </w14:textFill>
        </w:rPr>
      </w:pPr>
      <w:r>
        <w:rPr>
          <w:rFonts w:hint="eastAsia" w:asciiTheme="minorEastAsia" w:hAnsiTheme="minorEastAsia" w:eastAsiaTheme="minorEastAsia" w:cstheme="minorEastAsia"/>
          <w:b/>
          <w:bCs/>
          <w:color w:val="000000"/>
          <w:sz w:val="24"/>
          <w:szCs w:val="24"/>
          <w:highlight w:val="none"/>
        </w:rPr>
        <w:t>2.2 服务期限</w:t>
      </w:r>
      <w:r>
        <w:rPr>
          <w:rFonts w:hint="eastAsia" w:asciiTheme="minorEastAsia" w:hAnsiTheme="minorEastAsia" w:eastAsiaTheme="minorEastAsia" w:cstheme="minorEastAsia"/>
          <w:color w:val="000000"/>
          <w:sz w:val="24"/>
          <w:szCs w:val="24"/>
          <w:highlight w:val="none"/>
        </w:rPr>
        <w:t>：</w:t>
      </w:r>
      <w:r>
        <w:rPr>
          <w:rFonts w:hint="eastAsia" w:ascii="宋体" w:hAnsi="宋体" w:cs="宋体"/>
          <w:color w:val="000000" w:themeColor="text1"/>
          <w:spacing w:val="0"/>
          <w:sz w:val="24"/>
          <w:szCs w:val="24"/>
          <w:highlight w:val="none"/>
          <w:u w:val="none"/>
          <w:lang w:val="zh-CN" w:eastAsia="zh-CN"/>
          <w14:textFill>
            <w14:solidFill>
              <w14:schemeClr w14:val="tx1"/>
            </w14:solidFill>
          </w14:textFill>
        </w:rPr>
        <w:t>根据</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华宁云能投新能源开发有限公司</w:t>
      </w:r>
      <w:r>
        <w:rPr>
          <w:rFonts w:hint="eastAsia" w:ascii="宋体" w:hAnsi="宋体" w:cs="宋体"/>
          <w:color w:val="000000" w:themeColor="text1"/>
          <w:spacing w:val="0"/>
          <w:sz w:val="24"/>
          <w:szCs w:val="24"/>
          <w:highlight w:val="none"/>
          <w:u w:val="none"/>
          <w:lang w:val="zh-CN" w:eastAsia="zh-CN"/>
          <w14:textFill>
            <w14:solidFill>
              <w14:schemeClr w14:val="tx1"/>
            </w14:solidFill>
          </w14:textFill>
        </w:rPr>
        <w:t>的要求，自合同签订之日起至项目全部工程竣工</w:t>
      </w:r>
      <w:r>
        <w:rPr>
          <w:rFonts w:hint="eastAsia" w:ascii="宋体" w:hAnsi="宋体" w:cs="宋体"/>
          <w:color w:val="000000" w:themeColor="text1"/>
          <w:spacing w:val="0"/>
          <w:sz w:val="24"/>
          <w:szCs w:val="24"/>
          <w:highlight w:val="none"/>
          <w:u w:val="none"/>
          <w:lang w:val="en-US" w:eastAsia="zh-CN"/>
          <w14:textFill>
            <w14:solidFill>
              <w14:schemeClr w14:val="tx1"/>
            </w14:solidFill>
          </w14:textFill>
        </w:rPr>
        <w:t>结算</w:t>
      </w:r>
      <w:r>
        <w:rPr>
          <w:rFonts w:hint="eastAsia" w:ascii="宋体" w:hAnsi="宋体" w:cs="宋体"/>
          <w:color w:val="000000" w:themeColor="text1"/>
          <w:spacing w:val="0"/>
          <w:sz w:val="24"/>
          <w:szCs w:val="24"/>
          <w:highlight w:val="none"/>
          <w:u w:val="none"/>
          <w:lang w:val="zh-CN" w:eastAsia="zh-CN"/>
          <w14:textFill>
            <w14:solidFill>
              <w14:schemeClr w14:val="tx1"/>
            </w14:solidFill>
          </w14:textFill>
        </w:rPr>
        <w:t>审核通过并获各方确认。</w:t>
      </w:r>
    </w:p>
    <w:p w14:paraId="5C480BFD">
      <w:pPr>
        <w:spacing w:line="360" w:lineRule="auto"/>
        <w:ind w:firstLine="463" w:firstLineChars="192"/>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b/>
          <w:bCs/>
          <w:color w:val="000000"/>
          <w:sz w:val="24"/>
          <w:szCs w:val="24"/>
          <w:highlight w:val="none"/>
        </w:rPr>
        <w:t>2.3 服务地点：</w:t>
      </w:r>
      <w:r>
        <w:rPr>
          <w:rFonts w:hint="eastAsia" w:asciiTheme="minorEastAsia" w:hAnsiTheme="minorEastAsia" w:eastAsiaTheme="minorEastAsia" w:cstheme="minorEastAsia"/>
          <w:color w:val="000000"/>
          <w:sz w:val="24"/>
          <w:szCs w:val="24"/>
          <w:highlight w:val="none"/>
          <w:lang w:eastAsia="zh-CN"/>
        </w:rPr>
        <w:t>云南省玉溪市</w:t>
      </w:r>
    </w:p>
    <w:p w14:paraId="7F6BBD7A">
      <w:pPr>
        <w:spacing w:line="360" w:lineRule="auto"/>
        <w:ind w:firstLine="482" w:firstLineChars="200"/>
        <w:rPr>
          <w:rFonts w:hint="eastAsia" w:asciiTheme="minorEastAsia" w:hAnsiTheme="minorEastAsia" w:eastAsiaTheme="minorEastAsia" w:cstheme="minorEastAsia"/>
          <w:b/>
          <w:bCs/>
          <w:color w:val="000000"/>
          <w:sz w:val="24"/>
          <w:szCs w:val="24"/>
          <w:highlight w:val="none"/>
        </w:rPr>
      </w:pPr>
      <w:r>
        <w:rPr>
          <w:rFonts w:hint="eastAsia" w:asciiTheme="minorEastAsia" w:hAnsiTheme="minorEastAsia" w:eastAsiaTheme="minorEastAsia" w:cstheme="minorEastAsia"/>
          <w:b/>
          <w:bCs/>
          <w:color w:val="000000"/>
          <w:sz w:val="24"/>
          <w:szCs w:val="24"/>
          <w:highlight w:val="none"/>
        </w:rPr>
        <w:t>2.4 服务要求或服务标准：</w:t>
      </w:r>
    </w:p>
    <w:p w14:paraId="5EB7F466">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w:t>
      </w:r>
      <w:r>
        <w:rPr>
          <w:rFonts w:hint="eastAsia" w:ascii="宋体" w:hAnsi="宋体"/>
          <w:sz w:val="24"/>
          <w:szCs w:val="24"/>
          <w:highlight w:val="none"/>
        </w:rPr>
        <w:t>1本项目委托服务目标</w:t>
      </w:r>
    </w:p>
    <w:p w14:paraId="222C2C5E">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成交</w:t>
      </w:r>
      <w:r>
        <w:rPr>
          <w:rFonts w:hint="eastAsia" w:ascii="宋体" w:hAnsi="宋体"/>
          <w:sz w:val="24"/>
          <w:szCs w:val="24"/>
          <w:highlight w:val="none"/>
        </w:rPr>
        <w:t>人应根据双方合同及相关法律法规要求，认真履行全过程造价控制和工程咨询服务职能，协助</w:t>
      </w:r>
      <w:r>
        <w:rPr>
          <w:rFonts w:hint="eastAsia" w:ascii="宋体" w:hAnsi="宋体"/>
          <w:sz w:val="24"/>
          <w:szCs w:val="24"/>
          <w:highlight w:val="none"/>
          <w:lang w:val="en-US" w:eastAsia="zh-CN"/>
        </w:rPr>
        <w:t>采购</w:t>
      </w:r>
      <w:r>
        <w:rPr>
          <w:rFonts w:hint="eastAsia" w:ascii="宋体" w:hAnsi="宋体"/>
          <w:sz w:val="24"/>
          <w:szCs w:val="24"/>
          <w:highlight w:val="none"/>
        </w:rPr>
        <w:t>人达到以下目标：</w:t>
      </w:r>
    </w:p>
    <w:p w14:paraId="07F6FDE8">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2.4.1.1</w:t>
      </w:r>
      <w:r>
        <w:rPr>
          <w:rFonts w:hint="eastAsia" w:ascii="宋体" w:hAnsi="宋体"/>
          <w:sz w:val="24"/>
          <w:szCs w:val="24"/>
          <w:highlight w:val="none"/>
        </w:rPr>
        <w:t>协助</w:t>
      </w:r>
      <w:r>
        <w:rPr>
          <w:rFonts w:hint="eastAsia" w:ascii="宋体" w:hAnsi="宋体"/>
          <w:sz w:val="24"/>
          <w:szCs w:val="24"/>
          <w:highlight w:val="none"/>
          <w:lang w:val="en-US" w:eastAsia="zh-CN"/>
        </w:rPr>
        <w:t>采购</w:t>
      </w:r>
      <w:r>
        <w:rPr>
          <w:rFonts w:hint="eastAsia" w:ascii="宋体" w:hAnsi="宋体"/>
          <w:sz w:val="24"/>
          <w:szCs w:val="24"/>
          <w:highlight w:val="none"/>
        </w:rPr>
        <w:t>人切实加强本项目的事前管理、事中管理、事后管理；</w:t>
      </w:r>
    </w:p>
    <w:p w14:paraId="5E0A5F3C">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2.4.1.2</w:t>
      </w:r>
      <w:r>
        <w:rPr>
          <w:rFonts w:hint="eastAsia" w:ascii="宋体" w:hAnsi="宋体"/>
          <w:sz w:val="24"/>
          <w:szCs w:val="24"/>
          <w:highlight w:val="none"/>
        </w:rPr>
        <w:t>在保证项目质量及安全的前提下尽可能节约投资；</w:t>
      </w:r>
    </w:p>
    <w:p w14:paraId="165430FF">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2.4.1.3</w:t>
      </w:r>
      <w:r>
        <w:rPr>
          <w:rFonts w:hint="eastAsia" w:ascii="宋体" w:hAnsi="宋体"/>
          <w:sz w:val="24"/>
          <w:szCs w:val="24"/>
          <w:highlight w:val="none"/>
        </w:rPr>
        <w:t>规范项目建设基本程序，确保项目的合法合规；</w:t>
      </w:r>
    </w:p>
    <w:p w14:paraId="3668B90D">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2.4.1.4</w:t>
      </w:r>
      <w:r>
        <w:rPr>
          <w:rFonts w:hint="eastAsia" w:ascii="宋体" w:hAnsi="宋体"/>
          <w:sz w:val="24"/>
          <w:szCs w:val="24"/>
          <w:highlight w:val="none"/>
        </w:rPr>
        <w:t>确保项目建设资金的安全完整，坚决杜绝项目建设过程中的违纪违规现象；</w:t>
      </w:r>
    </w:p>
    <w:p w14:paraId="09683F71">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2.4.1.5</w:t>
      </w:r>
      <w:r>
        <w:rPr>
          <w:rFonts w:hint="eastAsia" w:ascii="宋体" w:hAnsi="宋体"/>
          <w:sz w:val="24"/>
          <w:szCs w:val="24"/>
          <w:highlight w:val="none"/>
        </w:rPr>
        <w:t>确保项目全部工程竣工</w:t>
      </w:r>
      <w:r>
        <w:rPr>
          <w:rFonts w:hint="eastAsia" w:ascii="宋体" w:hAnsi="宋体"/>
          <w:sz w:val="24"/>
          <w:szCs w:val="24"/>
          <w:highlight w:val="none"/>
          <w:lang w:val="en-US" w:eastAsia="zh-CN"/>
        </w:rPr>
        <w:t>结算</w:t>
      </w:r>
      <w:r>
        <w:rPr>
          <w:rFonts w:hint="eastAsia" w:ascii="宋体" w:hAnsi="宋体"/>
          <w:sz w:val="24"/>
          <w:szCs w:val="24"/>
          <w:highlight w:val="none"/>
        </w:rPr>
        <w:t>按时按要求顺利通过各方确认，最终完成竣工验收备案。</w:t>
      </w:r>
    </w:p>
    <w:p w14:paraId="5334AF5E">
      <w:pPr>
        <w:spacing w:line="360" w:lineRule="auto"/>
        <w:ind w:firstLine="480" w:firstLineChars="200"/>
        <w:rPr>
          <w:rFonts w:ascii="宋体" w:hAnsi="宋体"/>
          <w:sz w:val="24"/>
          <w:szCs w:val="24"/>
          <w:highlight w:val="none"/>
        </w:rPr>
      </w:pPr>
      <w:r>
        <w:rPr>
          <w:rFonts w:hint="eastAsia" w:ascii="宋体" w:hAnsi="宋体"/>
          <w:sz w:val="24"/>
          <w:szCs w:val="24"/>
          <w:highlight w:val="none"/>
        </w:rPr>
        <w:t>2.</w:t>
      </w:r>
      <w:r>
        <w:rPr>
          <w:rFonts w:hint="eastAsia" w:ascii="宋体" w:hAnsi="宋体"/>
          <w:sz w:val="24"/>
          <w:szCs w:val="24"/>
          <w:highlight w:val="none"/>
          <w:lang w:val="en-US" w:eastAsia="zh-CN"/>
        </w:rPr>
        <w:t>4.2</w:t>
      </w:r>
      <w:r>
        <w:rPr>
          <w:rFonts w:hint="eastAsia" w:ascii="宋体" w:hAnsi="宋体"/>
          <w:sz w:val="24"/>
          <w:szCs w:val="24"/>
          <w:highlight w:val="none"/>
        </w:rPr>
        <w:t>服务原则</w:t>
      </w:r>
    </w:p>
    <w:p w14:paraId="76D8BBCD">
      <w:pPr>
        <w:spacing w:line="360" w:lineRule="auto"/>
        <w:ind w:firstLine="480" w:firstLineChars="200"/>
        <w:rPr>
          <w:rFonts w:ascii="宋体" w:hAnsi="宋体"/>
          <w:sz w:val="24"/>
          <w:szCs w:val="24"/>
          <w:highlight w:val="none"/>
        </w:rPr>
      </w:pPr>
      <w:r>
        <w:rPr>
          <w:rFonts w:hint="eastAsia" w:ascii="宋体" w:hAnsi="宋体"/>
          <w:sz w:val="24"/>
          <w:szCs w:val="24"/>
          <w:highlight w:val="none"/>
        </w:rPr>
        <w:t>由于本项目投资金额较大、工期紧张、参建单位较多，为确保本项目达到预期目标，</w:t>
      </w:r>
      <w:r>
        <w:rPr>
          <w:rFonts w:hint="eastAsia" w:ascii="宋体" w:hAnsi="宋体"/>
          <w:sz w:val="24"/>
          <w:szCs w:val="24"/>
          <w:highlight w:val="none"/>
          <w:lang w:val="en-US" w:eastAsia="zh-CN"/>
        </w:rPr>
        <w:t>采购</w:t>
      </w:r>
      <w:r>
        <w:rPr>
          <w:rFonts w:hint="eastAsia" w:ascii="宋体" w:hAnsi="宋体"/>
          <w:sz w:val="24"/>
          <w:szCs w:val="24"/>
          <w:highlight w:val="none"/>
        </w:rPr>
        <w:t>人应当把造价、管理有机整合并发挥其优势，创新服务模式，系统处理好造价控制与项目建设的关系，通过制度理顺</w:t>
      </w:r>
      <w:r>
        <w:rPr>
          <w:rFonts w:hint="eastAsia" w:ascii="宋体" w:hAnsi="宋体"/>
          <w:sz w:val="24"/>
          <w:szCs w:val="24"/>
          <w:highlight w:val="none"/>
          <w:lang w:val="en-US" w:eastAsia="zh-CN"/>
        </w:rPr>
        <w:t>成交</w:t>
      </w:r>
      <w:r>
        <w:rPr>
          <w:rFonts w:hint="eastAsia" w:ascii="宋体" w:hAnsi="宋体"/>
          <w:sz w:val="24"/>
          <w:szCs w:val="24"/>
          <w:highlight w:val="none"/>
        </w:rPr>
        <w:t>人与</w:t>
      </w:r>
      <w:r>
        <w:rPr>
          <w:rFonts w:hint="eastAsia" w:ascii="宋体" w:hAnsi="宋体"/>
          <w:sz w:val="24"/>
          <w:szCs w:val="24"/>
          <w:highlight w:val="none"/>
          <w:lang w:val="en-US" w:eastAsia="zh-CN"/>
        </w:rPr>
        <w:t>采购</w:t>
      </w:r>
      <w:r>
        <w:rPr>
          <w:rFonts w:hint="eastAsia" w:ascii="宋体" w:hAnsi="宋体"/>
          <w:sz w:val="24"/>
          <w:szCs w:val="24"/>
          <w:highlight w:val="none"/>
        </w:rPr>
        <w:t>人及各参建方（包括设计、监理、施工、供应商等）的工作方式，形成完整可行的工作计划及过程方案，定期或不定期提交高质量的工作成果，及时提出整改意见或管理建议。</w:t>
      </w:r>
    </w:p>
    <w:p w14:paraId="2531DB14">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2.4.3</w:t>
      </w:r>
      <w:r>
        <w:rPr>
          <w:rFonts w:hint="eastAsia" w:ascii="宋体" w:hAnsi="宋体"/>
          <w:sz w:val="24"/>
          <w:szCs w:val="24"/>
          <w:highlight w:val="none"/>
        </w:rPr>
        <w:t>在合同约定的服务期内，如</w:t>
      </w:r>
      <w:r>
        <w:rPr>
          <w:rFonts w:hint="eastAsia" w:ascii="宋体" w:hAnsi="宋体"/>
          <w:sz w:val="24"/>
          <w:szCs w:val="24"/>
          <w:highlight w:val="none"/>
          <w:lang w:val="en-US" w:eastAsia="zh-CN"/>
        </w:rPr>
        <w:t>成交</w:t>
      </w:r>
      <w:r>
        <w:rPr>
          <w:rFonts w:hint="eastAsia" w:ascii="宋体" w:hAnsi="宋体"/>
          <w:sz w:val="24"/>
          <w:szCs w:val="24"/>
          <w:highlight w:val="none"/>
        </w:rPr>
        <w:t>人提供的服务无法满足</w:t>
      </w:r>
      <w:r>
        <w:rPr>
          <w:rFonts w:hint="eastAsia" w:ascii="宋体" w:hAnsi="宋体"/>
          <w:sz w:val="24"/>
          <w:szCs w:val="24"/>
          <w:highlight w:val="none"/>
          <w:lang w:val="en-US" w:eastAsia="zh-CN"/>
        </w:rPr>
        <w:t>采购</w:t>
      </w:r>
      <w:r>
        <w:rPr>
          <w:rFonts w:hint="eastAsia" w:ascii="宋体" w:hAnsi="宋体"/>
          <w:sz w:val="24"/>
          <w:szCs w:val="24"/>
          <w:highlight w:val="none"/>
        </w:rPr>
        <w:t>人的需要或未达到</w:t>
      </w:r>
      <w:r>
        <w:rPr>
          <w:rFonts w:hint="eastAsia" w:ascii="宋体" w:hAnsi="宋体"/>
          <w:sz w:val="24"/>
          <w:szCs w:val="24"/>
          <w:highlight w:val="none"/>
          <w:lang w:val="en-US" w:eastAsia="zh-CN"/>
        </w:rPr>
        <w:t>竞谈</w:t>
      </w:r>
      <w:r>
        <w:rPr>
          <w:rFonts w:hint="eastAsia" w:ascii="宋体" w:hAnsi="宋体"/>
          <w:sz w:val="24"/>
          <w:szCs w:val="24"/>
          <w:highlight w:val="none"/>
        </w:rPr>
        <w:t>承诺的标准，经</w:t>
      </w:r>
      <w:r>
        <w:rPr>
          <w:rFonts w:hint="eastAsia" w:ascii="宋体" w:hAnsi="宋体"/>
          <w:sz w:val="24"/>
          <w:szCs w:val="24"/>
          <w:highlight w:val="none"/>
          <w:lang w:val="en-US" w:eastAsia="zh-CN"/>
        </w:rPr>
        <w:t>采购</w:t>
      </w:r>
      <w:r>
        <w:rPr>
          <w:rFonts w:hint="eastAsia" w:ascii="宋体" w:hAnsi="宋体"/>
          <w:sz w:val="24"/>
          <w:szCs w:val="24"/>
          <w:highlight w:val="none"/>
        </w:rPr>
        <w:t>人指出后仍未有改进的，</w:t>
      </w:r>
      <w:r>
        <w:rPr>
          <w:rFonts w:hint="eastAsia" w:ascii="宋体" w:hAnsi="宋体"/>
          <w:sz w:val="24"/>
          <w:szCs w:val="24"/>
          <w:highlight w:val="none"/>
          <w:lang w:val="en-US" w:eastAsia="zh-CN"/>
        </w:rPr>
        <w:t>采购</w:t>
      </w:r>
      <w:r>
        <w:rPr>
          <w:rFonts w:hint="eastAsia" w:ascii="宋体" w:hAnsi="宋体"/>
          <w:sz w:val="24"/>
          <w:szCs w:val="24"/>
          <w:highlight w:val="none"/>
        </w:rPr>
        <w:t>人可单方解除合同且不承担违约责任，由此造成</w:t>
      </w:r>
      <w:r>
        <w:rPr>
          <w:rFonts w:hint="eastAsia" w:ascii="宋体" w:hAnsi="宋体"/>
          <w:sz w:val="24"/>
          <w:szCs w:val="24"/>
          <w:highlight w:val="none"/>
          <w:lang w:val="en-US" w:eastAsia="zh-CN"/>
        </w:rPr>
        <w:t>采购人</w:t>
      </w:r>
      <w:r>
        <w:rPr>
          <w:rFonts w:hint="eastAsia" w:ascii="宋体" w:hAnsi="宋体"/>
          <w:sz w:val="24"/>
          <w:szCs w:val="24"/>
          <w:highlight w:val="none"/>
        </w:rPr>
        <w:t>的一切损失均由</w:t>
      </w:r>
      <w:r>
        <w:rPr>
          <w:rFonts w:hint="eastAsia" w:ascii="宋体" w:hAnsi="宋体"/>
          <w:sz w:val="24"/>
          <w:szCs w:val="24"/>
          <w:highlight w:val="none"/>
          <w:lang w:val="en-US" w:eastAsia="zh-CN"/>
        </w:rPr>
        <w:t>成交</w:t>
      </w:r>
      <w:r>
        <w:rPr>
          <w:rFonts w:hint="eastAsia" w:ascii="宋体" w:hAnsi="宋体"/>
          <w:sz w:val="24"/>
          <w:szCs w:val="24"/>
          <w:highlight w:val="none"/>
        </w:rPr>
        <w:t>人承担。</w:t>
      </w:r>
    </w:p>
    <w:p w14:paraId="70435B02">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2.4.4</w:t>
      </w:r>
      <w:r>
        <w:rPr>
          <w:rFonts w:hint="eastAsia" w:ascii="宋体" w:hAnsi="宋体"/>
          <w:sz w:val="24"/>
          <w:szCs w:val="24"/>
          <w:highlight w:val="none"/>
        </w:rPr>
        <w:t>服务过程中</w:t>
      </w:r>
      <w:r>
        <w:rPr>
          <w:rFonts w:hint="eastAsia" w:ascii="宋体" w:hAnsi="宋体"/>
          <w:sz w:val="24"/>
          <w:szCs w:val="24"/>
          <w:highlight w:val="none"/>
          <w:lang w:val="en-US" w:eastAsia="zh-CN"/>
        </w:rPr>
        <w:t>采购</w:t>
      </w:r>
      <w:r>
        <w:rPr>
          <w:rFonts w:hint="eastAsia" w:ascii="宋体" w:hAnsi="宋体"/>
          <w:sz w:val="24"/>
          <w:szCs w:val="24"/>
          <w:highlight w:val="none"/>
        </w:rPr>
        <w:t>人可根据项目具体实施情况及需要对工作内容进行调整，</w:t>
      </w:r>
      <w:r>
        <w:rPr>
          <w:rFonts w:hint="eastAsia" w:ascii="宋体" w:hAnsi="宋体"/>
          <w:sz w:val="24"/>
          <w:szCs w:val="24"/>
          <w:highlight w:val="none"/>
          <w:lang w:val="en-US" w:eastAsia="zh-CN"/>
        </w:rPr>
        <w:t>成交</w:t>
      </w:r>
      <w:r>
        <w:rPr>
          <w:rFonts w:hint="eastAsia" w:ascii="宋体" w:hAnsi="宋体"/>
          <w:sz w:val="24"/>
          <w:szCs w:val="24"/>
          <w:highlight w:val="none"/>
        </w:rPr>
        <w:t>人需配合</w:t>
      </w:r>
      <w:r>
        <w:rPr>
          <w:rFonts w:hint="eastAsia" w:ascii="宋体" w:hAnsi="宋体"/>
          <w:sz w:val="24"/>
          <w:szCs w:val="24"/>
          <w:highlight w:val="none"/>
          <w:lang w:val="en-US" w:eastAsia="zh-CN"/>
        </w:rPr>
        <w:t>采购</w:t>
      </w:r>
      <w:r>
        <w:rPr>
          <w:rFonts w:hint="eastAsia" w:ascii="宋体" w:hAnsi="宋体"/>
          <w:sz w:val="24"/>
          <w:szCs w:val="24"/>
          <w:highlight w:val="none"/>
        </w:rPr>
        <w:t>人工作且不得以此作为索赔、调整价格的理由。</w:t>
      </w:r>
    </w:p>
    <w:p w14:paraId="3D140CB5">
      <w:pPr>
        <w:pStyle w:val="289"/>
        <w:wordWrap w:val="0"/>
        <w:spacing w:line="360" w:lineRule="auto"/>
        <w:ind w:firstLine="480" w:firstLineChars="200"/>
        <w:jc w:val="left"/>
        <w:rPr>
          <w:rFonts w:hint="eastAsia" w:ascii="宋体" w:hAnsi="宋体"/>
          <w:sz w:val="24"/>
          <w:szCs w:val="24"/>
          <w:highlight w:val="none"/>
        </w:rPr>
      </w:pPr>
      <w:r>
        <w:rPr>
          <w:rFonts w:hint="eastAsia" w:ascii="宋体" w:hAnsi="宋体"/>
          <w:sz w:val="24"/>
          <w:szCs w:val="24"/>
          <w:highlight w:val="none"/>
          <w:lang w:val="en-US" w:eastAsia="zh-CN"/>
        </w:rPr>
        <w:t>2.4.5</w:t>
      </w:r>
      <w:r>
        <w:rPr>
          <w:rFonts w:hint="eastAsia" w:ascii="宋体" w:hAnsi="宋体"/>
          <w:sz w:val="24"/>
          <w:szCs w:val="24"/>
          <w:highlight w:val="none"/>
        </w:rPr>
        <w:t>项目结束需要向</w:t>
      </w:r>
      <w:r>
        <w:rPr>
          <w:rFonts w:hint="eastAsia" w:ascii="宋体" w:hAnsi="宋体"/>
          <w:sz w:val="24"/>
          <w:szCs w:val="24"/>
          <w:highlight w:val="none"/>
          <w:lang w:val="en-US" w:eastAsia="zh-CN"/>
        </w:rPr>
        <w:t>采购</w:t>
      </w:r>
      <w:r>
        <w:rPr>
          <w:rFonts w:hint="eastAsia" w:ascii="宋体" w:hAnsi="宋体"/>
          <w:sz w:val="24"/>
          <w:szCs w:val="24"/>
          <w:highlight w:val="none"/>
        </w:rPr>
        <w:t>人至少交付一套全部工作过程形成的记录、档案资料。</w:t>
      </w:r>
    </w:p>
    <w:p w14:paraId="50D40CB1">
      <w:pPr>
        <w:spacing w:line="360" w:lineRule="auto"/>
        <w:ind w:firstLine="482" w:firstLineChars="200"/>
        <w:rPr>
          <w:rFonts w:hint="eastAsia" w:asciiTheme="minorEastAsia" w:hAnsiTheme="minorEastAsia" w:eastAsiaTheme="minorEastAsia" w:cstheme="minorEastAsia"/>
          <w:b/>
          <w:bCs/>
          <w:color w:val="000000"/>
          <w:sz w:val="24"/>
          <w:szCs w:val="24"/>
          <w:highlight w:val="none"/>
          <w:lang w:val="zh-CN"/>
        </w:rPr>
      </w:pPr>
      <w:r>
        <w:rPr>
          <w:rFonts w:hint="eastAsia" w:asciiTheme="minorEastAsia" w:hAnsiTheme="minorEastAsia" w:eastAsiaTheme="minorEastAsia" w:cstheme="minorEastAsia"/>
          <w:b/>
          <w:bCs/>
          <w:color w:val="000000"/>
          <w:sz w:val="24"/>
          <w:szCs w:val="24"/>
          <w:highlight w:val="none"/>
          <w:lang w:val="en-US" w:eastAsia="zh-CN"/>
        </w:rPr>
        <w:t xml:space="preserve">2.5 </w:t>
      </w:r>
      <w:r>
        <w:rPr>
          <w:rFonts w:hint="eastAsia" w:asciiTheme="minorEastAsia" w:hAnsiTheme="minorEastAsia" w:eastAsiaTheme="minorEastAsia" w:cstheme="minorEastAsia"/>
          <w:b/>
          <w:bCs/>
          <w:color w:val="000000"/>
          <w:sz w:val="24"/>
          <w:szCs w:val="24"/>
          <w:highlight w:val="none"/>
          <w:lang w:val="zh-CN"/>
        </w:rPr>
        <w:t>质量要求</w:t>
      </w:r>
    </w:p>
    <w:p w14:paraId="40515652">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2.5.1</w:t>
      </w:r>
      <w:r>
        <w:rPr>
          <w:rFonts w:hint="eastAsia" w:ascii="宋体" w:hAnsi="宋体"/>
          <w:sz w:val="24"/>
          <w:szCs w:val="24"/>
          <w:highlight w:val="none"/>
          <w:lang w:val="zh-CN"/>
        </w:rPr>
        <w:t>造价控制过程应当符合国家现行的法律法规及规范，</w:t>
      </w:r>
      <w:r>
        <w:rPr>
          <w:rFonts w:hint="eastAsia" w:ascii="宋体" w:hAnsi="宋体"/>
          <w:sz w:val="24"/>
          <w:szCs w:val="24"/>
          <w:highlight w:val="none"/>
          <w:lang w:val="en-US" w:eastAsia="zh-CN"/>
        </w:rPr>
        <w:t>符合</w:t>
      </w:r>
      <w:r>
        <w:rPr>
          <w:rFonts w:hint="eastAsia" w:ascii="宋体" w:hAnsi="宋体"/>
          <w:sz w:val="24"/>
          <w:szCs w:val="24"/>
          <w:highlight w:val="none"/>
          <w:lang w:val="zh-CN"/>
        </w:rPr>
        <w:t>云南省</w:t>
      </w:r>
      <w:r>
        <w:rPr>
          <w:rFonts w:hint="eastAsia" w:ascii="宋体" w:hAnsi="宋体"/>
          <w:sz w:val="24"/>
          <w:szCs w:val="24"/>
          <w:highlight w:val="none"/>
          <w:lang w:val="en-US" w:eastAsia="zh-CN"/>
        </w:rPr>
        <w:t>和玉溪市</w:t>
      </w:r>
      <w:r>
        <w:rPr>
          <w:rFonts w:hint="eastAsia" w:ascii="宋体" w:hAnsi="宋体"/>
          <w:sz w:val="24"/>
          <w:szCs w:val="24"/>
          <w:highlight w:val="none"/>
          <w:lang w:val="zh-CN"/>
        </w:rPr>
        <w:t>的其他相关规定；满足工程基本建设有关规章以及住建部、云南省政府、云南省住房和城乡建设厅、审计部门涉及项目造价管理的有关规定、文件及</w:t>
      </w:r>
      <w:r>
        <w:rPr>
          <w:rFonts w:hint="eastAsia" w:ascii="宋体" w:hAnsi="宋体"/>
          <w:sz w:val="24"/>
          <w:szCs w:val="24"/>
          <w:highlight w:val="none"/>
          <w:lang w:val="en-US" w:eastAsia="zh-CN"/>
        </w:rPr>
        <w:t>采购</w:t>
      </w:r>
      <w:r>
        <w:rPr>
          <w:rFonts w:hint="eastAsia" w:ascii="宋体" w:hAnsi="宋体"/>
          <w:sz w:val="24"/>
          <w:szCs w:val="24"/>
          <w:highlight w:val="none"/>
          <w:lang w:val="zh-CN"/>
        </w:rPr>
        <w:t>人的要求。严格按照省、市建设行政主管部门及行业有关工程计价、结算的规定开展工作。</w:t>
      </w:r>
    </w:p>
    <w:p w14:paraId="728F9D74">
      <w:pPr>
        <w:pStyle w:val="289"/>
        <w:wordWrap w:val="0"/>
        <w:spacing w:line="360" w:lineRule="auto"/>
        <w:ind w:firstLine="480" w:firstLineChars="200"/>
        <w:jc w:val="left"/>
        <w:rPr>
          <w:rFonts w:hint="eastAsia" w:ascii="宋体" w:hAnsi="宋体" w:eastAsia="宋体"/>
          <w:sz w:val="24"/>
          <w:szCs w:val="24"/>
          <w:highlight w:val="none"/>
          <w:lang w:val="zh-CN" w:eastAsia="zh-CN"/>
        </w:rPr>
      </w:pPr>
      <w:r>
        <w:rPr>
          <w:rFonts w:hint="eastAsia" w:ascii="宋体" w:hAnsi="宋体"/>
          <w:sz w:val="24"/>
          <w:highlight w:val="none"/>
          <w:lang w:val="en-US" w:eastAsia="zh-CN"/>
        </w:rPr>
        <w:t>其他咨询服务的重点是项目的合规性咨询服务，合规性服务应当</w:t>
      </w:r>
      <w:r>
        <w:rPr>
          <w:rFonts w:hint="eastAsia" w:ascii="宋体" w:hAnsi="宋体"/>
          <w:sz w:val="24"/>
          <w:highlight w:val="none"/>
        </w:rPr>
        <w:t>符合国家现行法律、法规、规范及云南</w:t>
      </w:r>
      <w:r>
        <w:rPr>
          <w:rFonts w:hint="eastAsia" w:ascii="宋体" w:hAnsi="宋体"/>
          <w:sz w:val="24"/>
          <w:highlight w:val="none"/>
          <w:lang w:val="en-US" w:eastAsia="zh-CN"/>
        </w:rPr>
        <w:t>省国资委有关国有企业审计工作的相关要求</w:t>
      </w:r>
      <w:r>
        <w:rPr>
          <w:rFonts w:hint="eastAsia" w:ascii="宋体" w:hAnsi="宋体"/>
          <w:sz w:val="24"/>
          <w:highlight w:val="none"/>
        </w:rPr>
        <w:t>的其他相关规定</w:t>
      </w:r>
      <w:r>
        <w:rPr>
          <w:rFonts w:hint="eastAsia" w:ascii="宋体" w:hAnsi="宋体"/>
          <w:sz w:val="24"/>
          <w:highlight w:val="none"/>
          <w:lang w:eastAsia="zh-CN"/>
        </w:rPr>
        <w:t>。</w:t>
      </w:r>
    </w:p>
    <w:p w14:paraId="248641F8">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2.5.2成交</w:t>
      </w:r>
      <w:r>
        <w:rPr>
          <w:rFonts w:hint="eastAsia" w:ascii="宋体" w:hAnsi="宋体"/>
          <w:sz w:val="24"/>
          <w:szCs w:val="24"/>
          <w:highlight w:val="none"/>
          <w:lang w:val="zh-CN"/>
        </w:rPr>
        <w:t>人应本着“客观、公正、合理、 科学”的原则，遵守国家法律法规和有关文件规定，正确执行计价依据，认真履行职责，同时承担相应的法律责任。</w:t>
      </w:r>
      <w:r>
        <w:rPr>
          <w:rFonts w:hint="eastAsia" w:ascii="宋体" w:hAnsi="宋体"/>
          <w:sz w:val="24"/>
          <w:szCs w:val="24"/>
          <w:highlight w:val="none"/>
          <w:lang w:val="en-US" w:eastAsia="zh-CN"/>
        </w:rPr>
        <w:t>成交</w:t>
      </w:r>
      <w:r>
        <w:rPr>
          <w:rFonts w:hint="eastAsia" w:ascii="宋体" w:hAnsi="宋体"/>
          <w:sz w:val="24"/>
          <w:szCs w:val="24"/>
          <w:highlight w:val="none"/>
          <w:lang w:val="zh-CN"/>
        </w:rPr>
        <w:t>人不得参加与受委托的工程项目审计有关的经营活动，对项目审计实行回避制度。对</w:t>
      </w:r>
      <w:r>
        <w:rPr>
          <w:rFonts w:hint="eastAsia" w:ascii="宋体" w:hAnsi="宋体"/>
          <w:sz w:val="24"/>
          <w:szCs w:val="24"/>
          <w:highlight w:val="none"/>
          <w:lang w:val="en-US" w:eastAsia="zh-CN"/>
        </w:rPr>
        <w:t>成交</w:t>
      </w:r>
      <w:r>
        <w:rPr>
          <w:rFonts w:hint="eastAsia" w:ascii="宋体" w:hAnsi="宋体"/>
          <w:sz w:val="24"/>
          <w:szCs w:val="24"/>
          <w:highlight w:val="none"/>
          <w:lang w:val="zh-CN"/>
        </w:rPr>
        <w:t>人滥用职权、营私舞弊、玩忽职守应按情节轻重给予取消</w:t>
      </w:r>
      <w:r>
        <w:rPr>
          <w:rFonts w:hint="eastAsia" w:ascii="宋体" w:hAnsi="宋体"/>
          <w:sz w:val="24"/>
          <w:szCs w:val="24"/>
          <w:highlight w:val="none"/>
          <w:lang w:val="en-US" w:eastAsia="zh-CN"/>
        </w:rPr>
        <w:t>成交</w:t>
      </w:r>
      <w:r>
        <w:rPr>
          <w:rFonts w:hint="eastAsia" w:ascii="宋体" w:hAnsi="宋体"/>
          <w:sz w:val="24"/>
          <w:szCs w:val="24"/>
          <w:highlight w:val="none"/>
          <w:lang w:val="zh-CN"/>
        </w:rPr>
        <w:t>资格。情节严重，造成</w:t>
      </w:r>
      <w:r>
        <w:rPr>
          <w:rFonts w:hint="eastAsia" w:ascii="宋体" w:hAnsi="宋体"/>
          <w:sz w:val="24"/>
          <w:szCs w:val="24"/>
          <w:highlight w:val="none"/>
          <w:lang w:val="en-US" w:eastAsia="zh-CN"/>
        </w:rPr>
        <w:t>采购</w:t>
      </w:r>
      <w:r>
        <w:rPr>
          <w:rFonts w:hint="eastAsia" w:ascii="宋体" w:hAnsi="宋体"/>
          <w:sz w:val="24"/>
          <w:szCs w:val="24"/>
          <w:highlight w:val="none"/>
          <w:lang w:val="zh-CN"/>
        </w:rPr>
        <w:t>人重大损失的，移送司法机关追究刑事责任。</w:t>
      </w:r>
    </w:p>
    <w:p w14:paraId="67F80C6D">
      <w:pPr>
        <w:keepNext/>
        <w:keepLines/>
        <w:pageBreakBefore w:val="0"/>
        <w:widowControl w:val="0"/>
        <w:tabs>
          <w:tab w:val="left" w:pos="-567"/>
        </w:tabs>
        <w:kinsoku/>
        <w:wordWrap/>
        <w:overflowPunct/>
        <w:topLinePunct w:val="0"/>
        <w:autoSpaceDE/>
        <w:autoSpaceDN/>
        <w:bidi w:val="0"/>
        <w:adjustRightInd w:val="0"/>
        <w:snapToGrid w:val="0"/>
        <w:spacing w:line="360" w:lineRule="auto"/>
        <w:jc w:val="both"/>
        <w:textAlignment w:val="auto"/>
        <w:outlineLvl w:val="2"/>
        <w:rPr>
          <w:rFonts w:hint="eastAsia" w:ascii="宋体" w:hAnsi="宋体" w:cs="宋体"/>
          <w:b/>
          <w:bCs/>
          <w:sz w:val="24"/>
          <w:szCs w:val="24"/>
          <w:highlight w:val="none"/>
        </w:rPr>
      </w:pPr>
      <w:r>
        <w:rPr>
          <w:rFonts w:hint="eastAsia" w:ascii="宋体" w:hAnsi="宋体" w:cs="宋体"/>
          <w:b/>
          <w:bCs/>
          <w:sz w:val="24"/>
          <w:szCs w:val="24"/>
          <w:highlight w:val="none"/>
        </w:rPr>
        <w:t>五、</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Pr>
          <w:rFonts w:hint="eastAsia" w:ascii="宋体" w:hAnsi="宋体" w:cs="宋体"/>
          <w:b/>
          <w:bCs/>
          <w:sz w:val="24"/>
          <w:szCs w:val="24"/>
          <w:highlight w:val="none"/>
        </w:rPr>
        <w:t>合同金额</w:t>
      </w:r>
      <w:bookmarkEnd w:id="267"/>
      <w:bookmarkEnd w:id="268"/>
      <w:bookmarkEnd w:id="269"/>
    </w:p>
    <w:p w14:paraId="7084E1B9">
      <w:pPr>
        <w:spacing w:line="360" w:lineRule="auto"/>
        <w:ind w:firstLine="480" w:firstLineChars="200"/>
        <w:rPr>
          <w:rFonts w:hint="eastAsia" w:ascii="宋体" w:hAnsi="宋体" w:cs="Times New Roman"/>
          <w:sz w:val="24"/>
          <w:szCs w:val="24"/>
          <w:highlight w:val="none"/>
        </w:rPr>
      </w:pPr>
      <w:r>
        <w:rPr>
          <w:rFonts w:hint="eastAsia" w:ascii="宋体" w:hAnsi="宋体" w:cs="Times New Roman"/>
          <w:sz w:val="24"/>
          <w:szCs w:val="24"/>
          <w:highlight w:val="none"/>
        </w:rPr>
        <w:t>合同价格</w:t>
      </w:r>
      <w:r>
        <w:rPr>
          <w:rFonts w:hint="eastAsia" w:ascii="宋体" w:hAnsi="宋体" w:cs="Times New Roman"/>
          <w:sz w:val="24"/>
          <w:szCs w:val="24"/>
          <w:highlight w:val="none"/>
          <w:lang w:val="en-US" w:eastAsia="zh-CN"/>
        </w:rPr>
        <w:t>为</w:t>
      </w:r>
      <w:r>
        <w:rPr>
          <w:rFonts w:hint="eastAsia" w:ascii="宋体" w:hAnsi="宋体" w:cs="Times New Roman"/>
          <w:sz w:val="24"/>
          <w:szCs w:val="24"/>
          <w:highlight w:val="none"/>
        </w:rPr>
        <w:t>固定价。</w:t>
      </w:r>
    </w:p>
    <w:p w14:paraId="24D054AF">
      <w:pPr>
        <w:spacing w:line="360" w:lineRule="auto"/>
        <w:ind w:firstLine="480" w:firstLineChars="200"/>
        <w:rPr>
          <w:rFonts w:hint="eastAsia" w:ascii="宋体" w:hAnsi="宋体" w:cs="Times New Roman"/>
          <w:sz w:val="24"/>
          <w:szCs w:val="24"/>
          <w:highlight w:val="none"/>
          <w:u w:val="single"/>
          <w:lang w:val="en-US" w:eastAsia="zh-CN"/>
        </w:rPr>
      </w:pPr>
      <w:r>
        <w:rPr>
          <w:rFonts w:hint="eastAsia" w:ascii="宋体" w:hAnsi="宋体" w:cs="Times New Roman"/>
          <w:sz w:val="24"/>
          <w:szCs w:val="24"/>
          <w:highlight w:val="none"/>
          <w:lang w:val="en-US" w:eastAsia="zh-CN"/>
        </w:rPr>
        <w:t>5.1招标控制价编制服务费</w:t>
      </w:r>
      <w:r>
        <w:rPr>
          <w:rFonts w:hint="eastAsia" w:ascii="宋体" w:hAnsi="宋体" w:cs="Times New Roman"/>
          <w:sz w:val="24"/>
          <w:szCs w:val="24"/>
          <w:highlight w:val="none"/>
          <w:u w:val="single"/>
          <w:lang w:val="en-US" w:eastAsia="zh-CN"/>
        </w:rPr>
        <w:t xml:space="preserve">          </w:t>
      </w:r>
      <w:r>
        <w:rPr>
          <w:rFonts w:hint="eastAsia" w:ascii="宋体" w:hAnsi="宋体" w:cs="Times New Roman"/>
          <w:sz w:val="24"/>
          <w:szCs w:val="24"/>
          <w:highlight w:val="none"/>
          <w:u w:val="none"/>
          <w:lang w:val="en-US" w:eastAsia="zh-CN"/>
        </w:rPr>
        <w:t>。</w:t>
      </w:r>
    </w:p>
    <w:p w14:paraId="6A17CA22">
      <w:pPr>
        <w:spacing w:line="360" w:lineRule="auto"/>
        <w:ind w:firstLine="480" w:firstLineChars="200"/>
        <w:rPr>
          <w:rFonts w:hint="eastAsia" w:ascii="宋体" w:hAnsi="宋体" w:cs="Times New Roman"/>
          <w:sz w:val="24"/>
          <w:szCs w:val="24"/>
          <w:highlight w:val="none"/>
        </w:rPr>
      </w:pPr>
      <w:r>
        <w:rPr>
          <w:rFonts w:hint="eastAsia" w:ascii="宋体" w:hAnsi="宋体" w:cs="Times New Roman"/>
          <w:sz w:val="24"/>
          <w:szCs w:val="24"/>
          <w:highlight w:val="none"/>
          <w:u w:val="none"/>
          <w:lang w:val="en-US" w:eastAsia="zh-CN"/>
        </w:rPr>
        <w:t>5.2</w:t>
      </w:r>
      <w:r>
        <w:rPr>
          <w:rFonts w:hint="eastAsia" w:ascii="宋体" w:hAnsi="宋体" w:cs="Times New Roman"/>
          <w:sz w:val="24"/>
          <w:szCs w:val="24"/>
          <w:highlight w:val="none"/>
        </w:rPr>
        <w:t>全过程造价控制服务费</w:t>
      </w:r>
      <w:r>
        <w:rPr>
          <w:rFonts w:hint="eastAsia" w:ascii="宋体" w:hAnsi="宋体" w:cs="Times New Roman"/>
          <w:sz w:val="24"/>
          <w:szCs w:val="24"/>
          <w:highlight w:val="none"/>
          <w:u w:val="single"/>
        </w:rPr>
        <w:t xml:space="preserve">        </w:t>
      </w:r>
      <w:r>
        <w:rPr>
          <w:rFonts w:hint="eastAsia" w:ascii="宋体" w:hAnsi="宋体" w:cs="Times New Roman"/>
          <w:sz w:val="24"/>
          <w:szCs w:val="24"/>
          <w:highlight w:val="none"/>
        </w:rPr>
        <w:t>。</w:t>
      </w:r>
    </w:p>
    <w:p w14:paraId="0307822F">
      <w:pPr>
        <w:keepNext/>
        <w:keepLines/>
        <w:widowControl w:val="0"/>
        <w:tabs>
          <w:tab w:val="left" w:pos="-567"/>
        </w:tabs>
        <w:adjustRightInd w:val="0"/>
        <w:snapToGrid w:val="0"/>
        <w:spacing w:before="163" w:after="163" w:line="360" w:lineRule="auto"/>
        <w:jc w:val="both"/>
        <w:outlineLvl w:val="2"/>
        <w:rPr>
          <w:rFonts w:ascii="宋体" w:hAnsi="宋体" w:cs="宋体"/>
          <w:b/>
          <w:bCs/>
          <w:sz w:val="24"/>
          <w:szCs w:val="24"/>
          <w:highlight w:val="none"/>
        </w:rPr>
      </w:pPr>
      <w:bookmarkStart w:id="270" w:name="_Toc4469"/>
      <w:bookmarkStart w:id="271" w:name="_Toc10077"/>
      <w:bookmarkStart w:id="272" w:name="_Toc441336774"/>
      <w:bookmarkStart w:id="273" w:name="_Toc89441272"/>
      <w:bookmarkStart w:id="274" w:name="_Toc4619"/>
      <w:bookmarkStart w:id="275" w:name="_Toc8385"/>
      <w:bookmarkStart w:id="276" w:name="_Toc28483"/>
      <w:bookmarkStart w:id="277" w:name="_Toc30647"/>
      <w:bookmarkStart w:id="278" w:name="_Toc17171"/>
      <w:bookmarkStart w:id="279" w:name="_Toc5323"/>
      <w:bookmarkStart w:id="280" w:name="_Toc16861"/>
      <w:bookmarkStart w:id="281" w:name="_Toc14351"/>
      <w:bookmarkStart w:id="282" w:name="_Toc20465"/>
      <w:bookmarkStart w:id="283" w:name="_Toc24103"/>
      <w:bookmarkStart w:id="284" w:name="_Toc11769"/>
      <w:r>
        <w:rPr>
          <w:rFonts w:hint="eastAsia" w:ascii="宋体" w:hAnsi="宋体" w:cs="宋体"/>
          <w:b/>
          <w:bCs/>
          <w:sz w:val="24"/>
          <w:szCs w:val="24"/>
          <w:highlight w:val="none"/>
        </w:rPr>
        <w:t>六、合同文件的构成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3042C5B9">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本协议书与下列文件一起构成合同文件:</w:t>
      </w:r>
    </w:p>
    <w:p w14:paraId="27A8143A">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85" w:name="_Toc904934108_WPSOffice_Level2"/>
      <w:r>
        <w:rPr>
          <w:rFonts w:hint="eastAsia" w:ascii="宋体" w:hAnsi="宋体" w:cs="宋体"/>
          <w:kern w:val="2"/>
          <w:sz w:val="24"/>
          <w:szCs w:val="24"/>
          <w:highlight w:val="none"/>
        </w:rPr>
        <w:t>1.本协议书签订后双方达成的补充、修改或其他文件。</w:t>
      </w:r>
      <w:bookmarkEnd w:id="285"/>
    </w:p>
    <w:p w14:paraId="5E8E7BA8">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86" w:name="_Toc2108032482_WPSOffice_Level2"/>
      <w:r>
        <w:rPr>
          <w:rFonts w:hint="eastAsia" w:ascii="宋体" w:hAnsi="宋体" w:cs="宋体"/>
          <w:kern w:val="2"/>
          <w:sz w:val="24"/>
          <w:szCs w:val="24"/>
          <w:highlight w:val="none"/>
        </w:rPr>
        <w:t>2.合同谈判会议纪要；</w:t>
      </w:r>
      <w:bookmarkEnd w:id="286"/>
    </w:p>
    <w:p w14:paraId="11D0A728">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87" w:name="_Toc516716768_WPSOffice_Level2"/>
      <w:r>
        <w:rPr>
          <w:rFonts w:hint="eastAsia" w:ascii="宋体" w:hAnsi="宋体" w:cs="宋体"/>
          <w:kern w:val="2"/>
          <w:sz w:val="24"/>
          <w:szCs w:val="24"/>
          <w:highlight w:val="none"/>
        </w:rPr>
        <w:t>3.</w:t>
      </w:r>
      <w:r>
        <w:rPr>
          <w:rFonts w:hint="eastAsia" w:ascii="宋体" w:hAnsi="宋体" w:cs="宋体"/>
          <w:kern w:val="2"/>
          <w:sz w:val="24"/>
          <w:szCs w:val="24"/>
          <w:highlight w:val="none"/>
          <w:lang w:val="en-US" w:eastAsia="zh-CN"/>
        </w:rPr>
        <w:t>成交</w:t>
      </w:r>
      <w:r>
        <w:rPr>
          <w:rFonts w:hint="eastAsia" w:ascii="宋体" w:hAnsi="宋体" w:cs="宋体"/>
          <w:kern w:val="2"/>
          <w:sz w:val="24"/>
          <w:szCs w:val="24"/>
          <w:highlight w:val="none"/>
        </w:rPr>
        <w:t>通知书；</w:t>
      </w:r>
      <w:bookmarkEnd w:id="287"/>
    </w:p>
    <w:p w14:paraId="383493EA">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88" w:name="_Toc34851308_WPSOffice_Level2"/>
      <w:r>
        <w:rPr>
          <w:rFonts w:hint="eastAsia" w:ascii="宋体" w:hAnsi="宋体" w:cs="宋体"/>
          <w:kern w:val="2"/>
          <w:sz w:val="24"/>
          <w:szCs w:val="24"/>
          <w:highlight w:val="none"/>
        </w:rPr>
        <w:t>4.</w:t>
      </w:r>
      <w:r>
        <w:rPr>
          <w:rFonts w:hint="eastAsia" w:ascii="宋体" w:hAnsi="宋体" w:cs="宋体"/>
          <w:kern w:val="2"/>
          <w:sz w:val="24"/>
          <w:szCs w:val="24"/>
          <w:highlight w:val="none"/>
          <w:lang w:val="en-US" w:eastAsia="zh-CN"/>
        </w:rPr>
        <w:t>报价</w:t>
      </w:r>
      <w:r>
        <w:rPr>
          <w:rFonts w:hint="eastAsia" w:ascii="宋体" w:hAnsi="宋体" w:cs="宋体"/>
          <w:kern w:val="2"/>
          <w:sz w:val="24"/>
          <w:szCs w:val="24"/>
          <w:highlight w:val="none"/>
        </w:rPr>
        <w:t>函及</w:t>
      </w:r>
      <w:r>
        <w:rPr>
          <w:rFonts w:hint="eastAsia" w:ascii="宋体" w:hAnsi="宋体" w:cs="宋体"/>
          <w:kern w:val="2"/>
          <w:sz w:val="24"/>
          <w:szCs w:val="24"/>
          <w:highlight w:val="none"/>
          <w:lang w:val="en-US" w:eastAsia="zh-CN"/>
        </w:rPr>
        <w:t>报价</w:t>
      </w:r>
      <w:r>
        <w:rPr>
          <w:rFonts w:hint="eastAsia" w:ascii="宋体" w:hAnsi="宋体" w:cs="宋体"/>
          <w:kern w:val="2"/>
          <w:sz w:val="24"/>
          <w:szCs w:val="24"/>
          <w:highlight w:val="none"/>
        </w:rPr>
        <w:t>函附录；</w:t>
      </w:r>
    </w:p>
    <w:bookmarkEnd w:id="288"/>
    <w:p w14:paraId="76F09615">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89" w:name="_Toc1630381572_WPSOffice_Level2"/>
      <w:r>
        <w:rPr>
          <w:rFonts w:hint="eastAsia" w:ascii="宋体" w:hAnsi="宋体" w:cs="宋体"/>
          <w:kern w:val="2"/>
          <w:sz w:val="24"/>
          <w:szCs w:val="24"/>
          <w:highlight w:val="none"/>
        </w:rPr>
        <w:t>5.合同专用条款；</w:t>
      </w:r>
      <w:bookmarkEnd w:id="289"/>
    </w:p>
    <w:p w14:paraId="08DF5857">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90" w:name="_Toc2079228531_WPSOffice_Level2"/>
      <w:r>
        <w:rPr>
          <w:rFonts w:hint="eastAsia" w:ascii="宋体" w:hAnsi="宋体" w:cs="宋体"/>
          <w:kern w:val="2"/>
          <w:sz w:val="24"/>
          <w:szCs w:val="24"/>
          <w:highlight w:val="none"/>
        </w:rPr>
        <w:t>6.合同通用条款；</w:t>
      </w:r>
      <w:bookmarkEnd w:id="290"/>
    </w:p>
    <w:p w14:paraId="63E649EF">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91" w:name="_Toc25565285_WPSOffice_Level2"/>
      <w:r>
        <w:rPr>
          <w:rFonts w:hint="eastAsia" w:ascii="宋体" w:hAnsi="宋体" w:cs="宋体"/>
          <w:kern w:val="2"/>
          <w:sz w:val="24"/>
          <w:szCs w:val="24"/>
          <w:highlight w:val="none"/>
        </w:rPr>
        <w:t>7.</w:t>
      </w:r>
      <w:r>
        <w:rPr>
          <w:rFonts w:hint="eastAsia" w:ascii="宋体" w:hAnsi="宋体" w:cs="宋体"/>
          <w:kern w:val="2"/>
          <w:sz w:val="24"/>
          <w:szCs w:val="24"/>
          <w:highlight w:val="none"/>
          <w:lang w:val="en-US" w:eastAsia="zh-CN"/>
        </w:rPr>
        <w:t>响应</w:t>
      </w:r>
      <w:r>
        <w:rPr>
          <w:rFonts w:hint="eastAsia" w:ascii="宋体" w:hAnsi="宋体" w:cs="宋体"/>
          <w:kern w:val="2"/>
          <w:sz w:val="24"/>
          <w:szCs w:val="24"/>
          <w:highlight w:val="none"/>
        </w:rPr>
        <w:t>文件及附录</w:t>
      </w:r>
      <w:bookmarkStart w:id="292" w:name="_Toc1740016533_WPSOffice_Level2"/>
    </w:p>
    <w:p w14:paraId="020FF3EC">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w:t>
      </w:r>
      <w:r>
        <w:rPr>
          <w:rFonts w:hint="eastAsia" w:ascii="宋体" w:hAnsi="宋体" w:cs="宋体"/>
          <w:kern w:val="2"/>
          <w:sz w:val="24"/>
          <w:szCs w:val="24"/>
          <w:highlight w:val="none"/>
          <w:lang w:val="en-US" w:eastAsia="zh-CN"/>
        </w:rPr>
        <w:t>竞争性谈判邀请</w:t>
      </w:r>
      <w:r>
        <w:rPr>
          <w:rFonts w:hint="eastAsia" w:ascii="宋体" w:hAnsi="宋体" w:cs="宋体"/>
          <w:kern w:val="2"/>
          <w:sz w:val="24"/>
          <w:szCs w:val="24"/>
          <w:highlight w:val="none"/>
        </w:rPr>
        <w:t>文件及各类澄清、补遗、答疑文件等；</w:t>
      </w:r>
      <w:bookmarkEnd w:id="292"/>
    </w:p>
    <w:bookmarkEnd w:id="291"/>
    <w:p w14:paraId="73453DE4">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93" w:name="_Toc179015595_WPSOffice_Level2"/>
      <w:r>
        <w:rPr>
          <w:rFonts w:hint="eastAsia" w:ascii="宋体" w:hAnsi="宋体" w:cs="宋体"/>
          <w:kern w:val="2"/>
          <w:sz w:val="24"/>
          <w:szCs w:val="24"/>
          <w:highlight w:val="none"/>
        </w:rPr>
        <w:t>9.甲方要求；</w:t>
      </w:r>
      <w:bookmarkEnd w:id="293"/>
    </w:p>
    <w:p w14:paraId="224E1315">
      <w:pPr>
        <w:widowControl w:val="0"/>
        <w:adjustRightInd w:val="0"/>
        <w:snapToGrid w:val="0"/>
        <w:spacing w:line="360" w:lineRule="auto"/>
        <w:ind w:firstLine="480" w:firstLineChars="200"/>
        <w:jc w:val="both"/>
        <w:rPr>
          <w:rFonts w:ascii="宋体" w:hAnsi="宋体" w:cs="宋体"/>
          <w:kern w:val="2"/>
          <w:sz w:val="24"/>
          <w:szCs w:val="24"/>
          <w:highlight w:val="none"/>
        </w:rPr>
      </w:pPr>
      <w:bookmarkStart w:id="294" w:name="_Toc879250350_WPSOffice_Level2"/>
      <w:r>
        <w:rPr>
          <w:rFonts w:hint="eastAsia" w:ascii="宋体" w:hAnsi="宋体" w:cs="宋体"/>
          <w:kern w:val="2"/>
          <w:sz w:val="24"/>
          <w:szCs w:val="24"/>
          <w:highlight w:val="none"/>
        </w:rPr>
        <w:t>10.双方同意进入合同的其他文件。</w:t>
      </w:r>
      <w:bookmarkEnd w:id="294"/>
    </w:p>
    <w:p w14:paraId="00666D8E">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上述各项合同文件包括合同当事人就该项合同文件所作出的补充和修改，属于同一类内容的文件，应以最新签署的为准。</w:t>
      </w:r>
    </w:p>
    <w:p w14:paraId="66005849">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在合同订立及履行过程中形成的与合同有关的文件（包括补充协议）均构成合同文件的组成部分。</w:t>
      </w:r>
      <w:bookmarkStart w:id="295" w:name="_Toc441336775"/>
    </w:p>
    <w:p w14:paraId="6A2F19B1">
      <w:pPr>
        <w:keepNext/>
        <w:keepLines/>
        <w:widowControl w:val="0"/>
        <w:tabs>
          <w:tab w:val="left" w:pos="-567"/>
        </w:tabs>
        <w:adjustRightInd w:val="0"/>
        <w:snapToGrid w:val="0"/>
        <w:spacing w:before="163" w:after="163" w:line="360" w:lineRule="auto"/>
        <w:jc w:val="both"/>
        <w:outlineLvl w:val="2"/>
        <w:rPr>
          <w:rFonts w:ascii="宋体" w:hAnsi="宋体" w:cs="宋体"/>
          <w:b/>
          <w:bCs/>
          <w:sz w:val="24"/>
          <w:szCs w:val="24"/>
          <w:highlight w:val="none"/>
        </w:rPr>
      </w:pPr>
      <w:bookmarkStart w:id="296" w:name="_Toc15020"/>
      <w:bookmarkStart w:id="297" w:name="_Toc531884897"/>
      <w:bookmarkStart w:id="298" w:name="_Toc20682"/>
      <w:bookmarkStart w:id="299" w:name="_Toc1100"/>
      <w:bookmarkStart w:id="300" w:name="_Toc4525"/>
      <w:bookmarkStart w:id="301" w:name="_Toc89441273"/>
      <w:bookmarkStart w:id="302" w:name="_Toc15495"/>
      <w:bookmarkStart w:id="303" w:name="_Toc28174"/>
      <w:bookmarkStart w:id="304" w:name="_Toc2282"/>
      <w:bookmarkStart w:id="305" w:name="_Toc7352"/>
      <w:bookmarkStart w:id="306" w:name="_Toc4260"/>
      <w:bookmarkStart w:id="307" w:name="_Toc18431"/>
      <w:bookmarkStart w:id="308" w:name="_Toc19307"/>
      <w:bookmarkStart w:id="309" w:name="_Toc531797771"/>
      <w:bookmarkStart w:id="310" w:name="_Toc207"/>
      <w:bookmarkStart w:id="311" w:name="_Toc15359"/>
      <w:bookmarkStart w:id="312" w:name="_Toc3110"/>
      <w:bookmarkStart w:id="313" w:name="_Toc14227"/>
      <w:bookmarkStart w:id="314" w:name="_Toc5038"/>
      <w:bookmarkStart w:id="315" w:name="_Toc3789"/>
      <w:bookmarkStart w:id="316" w:name="_Toc15898"/>
      <w:r>
        <w:rPr>
          <w:rFonts w:hint="eastAsia" w:ascii="宋体" w:hAnsi="宋体" w:cs="宋体"/>
          <w:b/>
          <w:bCs/>
          <w:sz w:val="24"/>
          <w:szCs w:val="24"/>
          <w:highlight w:val="none"/>
        </w:rPr>
        <w:t>七、词语定义</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14:paraId="46E66ECC">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协议书中相关词语的含义与</w:t>
      </w:r>
      <w:r>
        <w:rPr>
          <w:rFonts w:hint="eastAsia" w:ascii="宋体" w:hAnsi="宋体" w:cs="宋体"/>
          <w:kern w:val="2"/>
          <w:sz w:val="24"/>
          <w:szCs w:val="24"/>
          <w:highlight w:val="none"/>
          <w:lang w:eastAsia="zh-CN"/>
        </w:rPr>
        <w:t>通用条款</w:t>
      </w:r>
      <w:r>
        <w:rPr>
          <w:rFonts w:hint="eastAsia" w:ascii="宋体" w:hAnsi="宋体" w:cs="宋体"/>
          <w:kern w:val="2"/>
          <w:sz w:val="24"/>
          <w:szCs w:val="24"/>
          <w:highlight w:val="none"/>
        </w:rPr>
        <w:t>中的定义与解释相同。</w:t>
      </w:r>
      <w:bookmarkStart w:id="317" w:name="_Toc441336776"/>
    </w:p>
    <w:bookmarkEnd w:id="317"/>
    <w:p w14:paraId="5A60C496">
      <w:pPr>
        <w:keepNext/>
        <w:keepLines/>
        <w:widowControl w:val="0"/>
        <w:tabs>
          <w:tab w:val="left" w:pos="-567"/>
        </w:tabs>
        <w:adjustRightInd w:val="0"/>
        <w:snapToGrid w:val="0"/>
        <w:spacing w:before="163" w:after="163" w:line="360" w:lineRule="auto"/>
        <w:jc w:val="both"/>
        <w:outlineLvl w:val="2"/>
        <w:rPr>
          <w:rFonts w:ascii="宋体" w:hAnsi="宋体" w:cs="宋体"/>
          <w:b/>
          <w:bCs/>
          <w:sz w:val="24"/>
          <w:szCs w:val="24"/>
          <w:highlight w:val="none"/>
        </w:rPr>
      </w:pPr>
      <w:bookmarkStart w:id="318" w:name="_Toc26424"/>
      <w:bookmarkStart w:id="319" w:name="_Toc31133"/>
      <w:bookmarkStart w:id="320" w:name="_Toc531797773"/>
      <w:bookmarkStart w:id="321" w:name="_Toc11609"/>
      <w:bookmarkStart w:id="322" w:name="_Toc89441274"/>
      <w:bookmarkStart w:id="323" w:name="_Toc1048"/>
      <w:bookmarkStart w:id="324" w:name="_Toc21953"/>
      <w:bookmarkStart w:id="325" w:name="_Toc31001"/>
      <w:bookmarkStart w:id="326" w:name="_Toc7552"/>
      <w:bookmarkStart w:id="327" w:name="_Toc20826"/>
      <w:bookmarkStart w:id="328" w:name="_Toc867"/>
      <w:bookmarkStart w:id="329" w:name="_Toc9100"/>
      <w:bookmarkStart w:id="330" w:name="_Toc7226"/>
      <w:bookmarkStart w:id="331" w:name="_Toc6594"/>
      <w:bookmarkStart w:id="332" w:name="_Toc441336777"/>
      <w:bookmarkStart w:id="333" w:name="_Toc25116"/>
      <w:bookmarkStart w:id="334" w:name="_Toc22723"/>
      <w:bookmarkStart w:id="335" w:name="_Toc18642"/>
      <w:bookmarkStart w:id="336" w:name="_Toc30010"/>
      <w:bookmarkStart w:id="337" w:name="_Toc32262"/>
      <w:bookmarkStart w:id="338" w:name="_Toc531884899"/>
      <w:bookmarkStart w:id="339" w:name="_Toc24520"/>
      <w:r>
        <w:rPr>
          <w:rFonts w:hint="eastAsia" w:ascii="宋体" w:hAnsi="宋体" w:cs="宋体"/>
          <w:b/>
          <w:bCs/>
          <w:sz w:val="24"/>
          <w:szCs w:val="24"/>
          <w:highlight w:val="none"/>
        </w:rPr>
        <w:t>八、合同生效</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11C323B5">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1.合同订立时间：        年     月     日。</w:t>
      </w:r>
    </w:p>
    <w:p w14:paraId="7C66635E">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2.合同订立地点：</w:t>
      </w:r>
    </w:p>
    <w:p w14:paraId="6D8B7735">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本合同自双方法定代表人或其授权的代理人签字并盖章后生效。</w:t>
      </w:r>
    </w:p>
    <w:p w14:paraId="6FC00469">
      <w:pPr>
        <w:keepNext/>
        <w:keepLines/>
        <w:widowControl w:val="0"/>
        <w:tabs>
          <w:tab w:val="left" w:pos="-567"/>
        </w:tabs>
        <w:adjustRightInd w:val="0"/>
        <w:snapToGrid w:val="0"/>
        <w:spacing w:before="163" w:after="163" w:line="360" w:lineRule="auto"/>
        <w:jc w:val="both"/>
        <w:outlineLvl w:val="2"/>
        <w:rPr>
          <w:rFonts w:ascii="宋体" w:hAnsi="宋体" w:cs="宋体"/>
          <w:b/>
          <w:bCs/>
          <w:sz w:val="24"/>
          <w:szCs w:val="24"/>
          <w:highlight w:val="none"/>
        </w:rPr>
      </w:pPr>
      <w:bookmarkStart w:id="340" w:name="_Toc3991"/>
      <w:bookmarkStart w:id="341" w:name="_Toc3256"/>
      <w:bookmarkStart w:id="342" w:name="_Toc531797774"/>
      <w:bookmarkStart w:id="343" w:name="_Toc19199"/>
      <w:bookmarkStart w:id="344" w:name="_Toc8343"/>
      <w:bookmarkStart w:id="345" w:name="_Toc441336778"/>
      <w:bookmarkStart w:id="346" w:name="_Toc4477"/>
      <w:bookmarkStart w:id="347" w:name="_Toc25705"/>
      <w:bookmarkStart w:id="348" w:name="_Toc89441275"/>
      <w:bookmarkStart w:id="349" w:name="_Toc20307"/>
      <w:bookmarkStart w:id="350" w:name="_Toc21637"/>
      <w:bookmarkStart w:id="351" w:name="_Toc13808"/>
      <w:bookmarkStart w:id="352" w:name="_Toc9859"/>
      <w:bookmarkStart w:id="353" w:name="_Toc28527"/>
      <w:bookmarkStart w:id="354" w:name="_Toc21852"/>
      <w:bookmarkStart w:id="355" w:name="_Toc8907"/>
      <w:bookmarkStart w:id="356" w:name="_Toc32754"/>
      <w:bookmarkStart w:id="357" w:name="_Toc20573"/>
      <w:bookmarkStart w:id="358" w:name="_Toc531884900"/>
      <w:bookmarkStart w:id="359" w:name="_Toc5774"/>
      <w:bookmarkStart w:id="360" w:name="_Toc22877"/>
      <w:bookmarkStart w:id="361" w:name="_Toc11067"/>
      <w:r>
        <w:rPr>
          <w:rFonts w:hint="eastAsia" w:ascii="宋体" w:hAnsi="宋体" w:cs="宋体"/>
          <w:b/>
          <w:bCs/>
          <w:sz w:val="24"/>
          <w:szCs w:val="24"/>
          <w:highlight w:val="none"/>
        </w:rPr>
        <w:t>九、合同份数</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4F49348B">
      <w:pPr>
        <w:widowControl w:val="0"/>
        <w:adjustRightInd w:val="0"/>
        <w:snapToGrid w:val="0"/>
        <w:spacing w:line="360" w:lineRule="auto"/>
        <w:ind w:firstLine="480" w:firstLineChars="200"/>
        <w:jc w:val="both"/>
        <w:rPr>
          <w:rFonts w:ascii="宋体" w:hAnsi="宋体" w:cs="宋体"/>
          <w:b/>
          <w:kern w:val="2"/>
          <w:sz w:val="24"/>
          <w:szCs w:val="24"/>
          <w:highlight w:val="none"/>
        </w:rPr>
      </w:pPr>
      <w:r>
        <w:rPr>
          <w:rFonts w:hint="eastAsia" w:ascii="宋体" w:hAnsi="宋体" w:cs="宋体"/>
          <w:kern w:val="2"/>
          <w:sz w:val="24"/>
          <w:szCs w:val="24"/>
          <w:highlight w:val="none"/>
        </w:rPr>
        <w:t>本合同一式</w:t>
      </w:r>
      <w:r>
        <w:rPr>
          <w:rFonts w:hint="eastAsia" w:ascii="宋体" w:hAnsi="宋体" w:cs="宋体"/>
          <w:kern w:val="2"/>
          <w:sz w:val="24"/>
          <w:szCs w:val="24"/>
          <w:highlight w:val="none"/>
          <w:lang w:val="en-US" w:eastAsia="zh-CN"/>
        </w:rPr>
        <w:t>陆</w:t>
      </w:r>
      <w:r>
        <w:rPr>
          <w:rFonts w:hint="eastAsia" w:ascii="宋体" w:hAnsi="宋体" w:cs="宋体"/>
          <w:bCs/>
          <w:kern w:val="2"/>
          <w:sz w:val="24"/>
          <w:szCs w:val="24"/>
          <w:highlight w:val="none"/>
        </w:rPr>
        <w:t>份</w:t>
      </w:r>
      <w:r>
        <w:rPr>
          <w:rFonts w:hint="eastAsia" w:ascii="宋体" w:hAnsi="宋体" w:cs="宋体"/>
          <w:kern w:val="2"/>
          <w:sz w:val="24"/>
          <w:szCs w:val="24"/>
          <w:highlight w:val="none"/>
        </w:rPr>
        <w:t>，具有同等法律效力，其中甲方、乙方各执</w:t>
      </w:r>
      <w:r>
        <w:rPr>
          <w:rFonts w:hint="eastAsia" w:ascii="宋体" w:hAnsi="宋体" w:cs="宋体"/>
          <w:kern w:val="2"/>
          <w:sz w:val="24"/>
          <w:szCs w:val="24"/>
          <w:highlight w:val="none"/>
          <w:lang w:val="en-US" w:eastAsia="zh-CN"/>
        </w:rPr>
        <w:t>叁</w:t>
      </w:r>
      <w:r>
        <w:rPr>
          <w:rFonts w:hint="eastAsia" w:ascii="宋体" w:hAnsi="宋体" w:cs="宋体"/>
          <w:spacing w:val="3"/>
          <w:kern w:val="2"/>
          <w:sz w:val="24"/>
          <w:szCs w:val="24"/>
          <w:highlight w:val="none"/>
        </w:rPr>
        <w:t>份</w:t>
      </w:r>
      <w:r>
        <w:rPr>
          <w:rFonts w:hint="eastAsia" w:ascii="宋体" w:hAnsi="宋体" w:cs="宋体"/>
          <w:kern w:val="2"/>
          <w:sz w:val="24"/>
          <w:szCs w:val="24"/>
          <w:highlight w:val="none"/>
        </w:rPr>
        <w:t>。</w:t>
      </w:r>
    </w:p>
    <w:p w14:paraId="2B0DF519">
      <w:pPr>
        <w:widowControl w:val="0"/>
        <w:adjustRightInd w:val="0"/>
        <w:snapToGrid w:val="0"/>
        <w:spacing w:line="360" w:lineRule="auto"/>
        <w:ind w:left="5280" w:hanging="5280" w:hangingChars="2200"/>
        <w:jc w:val="both"/>
        <w:rPr>
          <w:rFonts w:hint="eastAsia" w:ascii="宋体" w:hAnsi="宋体" w:cs="宋体"/>
          <w:kern w:val="2"/>
          <w:sz w:val="24"/>
          <w:szCs w:val="24"/>
          <w:highlight w:val="none"/>
          <w:lang w:eastAsia="zh-CN"/>
        </w:rPr>
      </w:pPr>
    </w:p>
    <w:p w14:paraId="644817A0">
      <w:pPr>
        <w:widowControl w:val="0"/>
        <w:adjustRightInd w:val="0"/>
        <w:snapToGrid w:val="0"/>
        <w:spacing w:line="360" w:lineRule="auto"/>
        <w:ind w:left="5280" w:hanging="5280" w:hangingChars="2200"/>
        <w:jc w:val="both"/>
        <w:rPr>
          <w:rFonts w:hint="eastAsia" w:ascii="宋体" w:hAnsi="宋体" w:cs="宋体"/>
          <w:kern w:val="2"/>
          <w:sz w:val="24"/>
          <w:szCs w:val="24"/>
          <w:highlight w:val="none"/>
          <w:lang w:eastAsia="zh-CN"/>
        </w:rPr>
      </w:pP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以下无正文，转签字页</w:t>
      </w:r>
      <w:r>
        <w:rPr>
          <w:rFonts w:hint="eastAsia" w:ascii="宋体" w:hAnsi="宋体" w:cs="宋体"/>
          <w:kern w:val="2"/>
          <w:sz w:val="24"/>
          <w:szCs w:val="24"/>
          <w:highlight w:val="none"/>
          <w:lang w:eastAsia="zh-CN"/>
        </w:rPr>
        <w:t>）</w:t>
      </w:r>
    </w:p>
    <w:p w14:paraId="63FFB3DE">
      <w:pPr>
        <w:rPr>
          <w:rFonts w:hint="eastAsia" w:ascii="宋体" w:hAnsi="宋体" w:cs="宋体"/>
          <w:kern w:val="2"/>
          <w:sz w:val="24"/>
          <w:szCs w:val="24"/>
          <w:highlight w:val="none"/>
          <w:lang w:eastAsia="zh-CN"/>
        </w:rPr>
      </w:pPr>
      <w:r>
        <w:rPr>
          <w:rFonts w:hint="eastAsia" w:ascii="宋体" w:hAnsi="宋体" w:cs="宋体"/>
          <w:kern w:val="2"/>
          <w:sz w:val="24"/>
          <w:szCs w:val="24"/>
          <w:highlight w:val="none"/>
          <w:lang w:eastAsia="zh-CN"/>
        </w:rPr>
        <w:br w:type="page"/>
      </w:r>
    </w:p>
    <w:p w14:paraId="70364A50">
      <w:pPr>
        <w:keepLines w:val="0"/>
        <w:pageBreakBefore w:val="0"/>
        <w:widowControl w:val="0"/>
        <w:kinsoku/>
        <w:wordWrap/>
        <w:overflowPunct/>
        <w:topLinePunct w:val="0"/>
        <w:bidi w:val="0"/>
        <w:adjustRightInd/>
        <w:snapToGrid/>
        <w:spacing w:line="400" w:lineRule="exact"/>
        <w:ind w:left="0" w:leftChars="0" w:firstLine="480" w:firstLineChars="200"/>
        <w:textAlignment w:val="auto"/>
        <w:rPr>
          <w:rFonts w:hint="eastAsia"/>
          <w:highlight w:val="none"/>
          <w:lang w:eastAsia="zh-CN"/>
        </w:rPr>
      </w:pPr>
      <w:r>
        <w:rPr>
          <w:rFonts w:hint="eastAsia" w:ascii="宋体" w:hAnsi="宋体"/>
          <w:color w:val="auto"/>
          <w:sz w:val="24"/>
          <w:szCs w:val="24"/>
          <w:highlight w:val="none"/>
          <w:lang w:eastAsia="zh-CN"/>
        </w:rPr>
        <w:t>（</w:t>
      </w:r>
      <w:r>
        <w:rPr>
          <w:rFonts w:hint="eastAsia" w:ascii="宋体" w:hAnsi="宋体"/>
          <w:color w:val="auto"/>
          <w:sz w:val="24"/>
          <w:szCs w:val="24"/>
          <w:highlight w:val="none"/>
        </w:rPr>
        <w:t>此页</w:t>
      </w:r>
      <w:r>
        <w:rPr>
          <w:rFonts w:hint="eastAsia" w:ascii="宋体" w:hAnsi="宋体"/>
          <w:color w:val="auto"/>
          <w:sz w:val="24"/>
          <w:szCs w:val="24"/>
          <w:highlight w:val="none"/>
          <w:lang w:val="en-US" w:eastAsia="zh-CN"/>
        </w:rPr>
        <w:t>为</w:t>
      </w:r>
      <w:r>
        <w:rPr>
          <w:rFonts w:hint="eastAsia" w:ascii="宋体" w:hAnsi="宋体"/>
          <w:color w:val="auto"/>
          <w:sz w:val="24"/>
          <w:szCs w:val="24"/>
          <w:highlight w:val="none"/>
          <w:lang w:eastAsia="zh-CN"/>
        </w:rPr>
        <w:t>签字页，</w:t>
      </w:r>
      <w:r>
        <w:rPr>
          <w:rFonts w:hint="eastAsia" w:ascii="宋体" w:hAnsi="宋体"/>
          <w:color w:val="auto"/>
          <w:sz w:val="24"/>
          <w:szCs w:val="24"/>
          <w:highlight w:val="none"/>
        </w:rPr>
        <w:t>无</w:t>
      </w:r>
      <w:r>
        <w:rPr>
          <w:rFonts w:hint="eastAsia" w:ascii="宋体" w:hAnsi="宋体"/>
          <w:color w:val="auto"/>
          <w:sz w:val="24"/>
          <w:szCs w:val="24"/>
          <w:highlight w:val="none"/>
          <w:lang w:eastAsia="zh-CN"/>
        </w:rPr>
        <w:t>正</w:t>
      </w:r>
      <w:r>
        <w:rPr>
          <w:rFonts w:hint="eastAsia" w:ascii="宋体" w:hAnsi="宋体"/>
          <w:color w:val="auto"/>
          <w:sz w:val="24"/>
          <w:szCs w:val="24"/>
          <w:highlight w:val="none"/>
        </w:rPr>
        <w:t>文</w:t>
      </w:r>
      <w:r>
        <w:rPr>
          <w:rFonts w:hint="eastAsia" w:ascii="宋体" w:hAnsi="宋体"/>
          <w:color w:val="auto"/>
          <w:sz w:val="24"/>
          <w:szCs w:val="24"/>
          <w:highlight w:val="none"/>
          <w:lang w:eastAsia="zh-CN"/>
        </w:rPr>
        <w:t>）</w:t>
      </w:r>
    </w:p>
    <w:tbl>
      <w:tblPr>
        <w:tblStyle w:val="4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68CDC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4" w:hRule="atLeast"/>
          <w:jc w:val="center"/>
        </w:trPr>
        <w:tc>
          <w:tcPr>
            <w:tcW w:w="4833" w:type="dxa"/>
            <w:vAlign w:val="center"/>
          </w:tcPr>
          <w:p w14:paraId="527FEC99">
            <w:pPr>
              <w:spacing w:line="520" w:lineRule="exact"/>
              <w:ind w:left="-7" w:leftChars="-150" w:hanging="308" w:hangingChars="128"/>
              <w:jc w:val="center"/>
              <w:rPr>
                <w:rFonts w:ascii="宋体" w:hAnsi="宋体"/>
                <w:b/>
                <w:color w:val="auto"/>
                <w:sz w:val="24"/>
                <w:highlight w:val="none"/>
              </w:rPr>
            </w:pPr>
            <w:r>
              <w:rPr>
                <w:rFonts w:ascii="宋体" w:hAnsi="宋体"/>
                <w:b/>
                <w:color w:val="auto"/>
                <w:sz w:val="24"/>
                <w:highlight w:val="none"/>
              </w:rPr>
              <w:t>甲  方</w:t>
            </w:r>
          </w:p>
        </w:tc>
        <w:tc>
          <w:tcPr>
            <w:tcW w:w="4593" w:type="dxa"/>
            <w:vAlign w:val="center"/>
          </w:tcPr>
          <w:p w14:paraId="0D481253">
            <w:pPr>
              <w:spacing w:line="520" w:lineRule="exact"/>
              <w:jc w:val="center"/>
              <w:rPr>
                <w:rFonts w:ascii="宋体" w:hAnsi="宋体"/>
                <w:b/>
                <w:color w:val="auto"/>
                <w:sz w:val="24"/>
                <w:highlight w:val="none"/>
              </w:rPr>
            </w:pPr>
            <w:r>
              <w:rPr>
                <w:rFonts w:ascii="宋体" w:hAnsi="宋体"/>
                <w:b/>
                <w:color w:val="auto"/>
                <w:sz w:val="24"/>
                <w:highlight w:val="none"/>
              </w:rPr>
              <w:t>乙  方</w:t>
            </w:r>
          </w:p>
        </w:tc>
      </w:tr>
      <w:tr w14:paraId="5846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9" w:hRule="atLeast"/>
          <w:jc w:val="center"/>
        </w:trPr>
        <w:tc>
          <w:tcPr>
            <w:tcW w:w="4833" w:type="dxa"/>
            <w:vAlign w:val="center"/>
          </w:tcPr>
          <w:p w14:paraId="3109C157">
            <w:pPr>
              <w:spacing w:line="520" w:lineRule="exact"/>
              <w:ind w:left="-315" w:leftChars="-150" w:firstLine="308" w:firstLineChars="128"/>
              <w:jc w:val="center"/>
              <w:rPr>
                <w:rFonts w:ascii="宋体" w:hAnsi="宋体"/>
                <w:b/>
                <w:color w:val="auto"/>
                <w:sz w:val="24"/>
                <w:highlight w:val="none"/>
              </w:rPr>
            </w:pPr>
            <w:r>
              <w:rPr>
                <w:rFonts w:hint="eastAsia" w:ascii="宋体" w:hAnsi="宋体"/>
                <w:b/>
                <w:color w:val="auto"/>
                <w:sz w:val="24"/>
                <w:highlight w:val="none"/>
                <w:lang w:eastAsia="zh-CN"/>
              </w:rPr>
              <w:t>华宁云能投新能源开发有限公司</w:t>
            </w:r>
            <w:r>
              <w:rPr>
                <w:rFonts w:ascii="宋体" w:hAnsi="宋体"/>
                <w:b/>
                <w:color w:val="auto"/>
                <w:sz w:val="24"/>
                <w:highlight w:val="none"/>
              </w:rPr>
              <w:t>（章）</w:t>
            </w:r>
          </w:p>
        </w:tc>
        <w:tc>
          <w:tcPr>
            <w:tcW w:w="4593" w:type="dxa"/>
            <w:vAlign w:val="center"/>
          </w:tcPr>
          <w:p w14:paraId="1C890056">
            <w:pPr>
              <w:spacing w:line="520" w:lineRule="exact"/>
              <w:jc w:val="center"/>
              <w:rPr>
                <w:rFonts w:ascii="宋体" w:hAnsi="宋体"/>
                <w:b/>
                <w:color w:val="auto"/>
                <w:sz w:val="24"/>
                <w:highlight w:val="none"/>
              </w:rPr>
            </w:pPr>
            <w:r>
              <w:rPr>
                <w:rFonts w:ascii="宋体" w:hAnsi="宋体"/>
                <w:b/>
                <w:color w:val="auto"/>
                <w:sz w:val="24"/>
                <w:highlight w:val="none"/>
              </w:rPr>
              <w:t>（章）</w:t>
            </w:r>
          </w:p>
        </w:tc>
      </w:tr>
      <w:tr w14:paraId="1F376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0" w:hRule="atLeast"/>
          <w:jc w:val="center"/>
        </w:trPr>
        <w:tc>
          <w:tcPr>
            <w:tcW w:w="4833" w:type="dxa"/>
            <w:vAlign w:val="center"/>
          </w:tcPr>
          <w:p w14:paraId="6FD7C1C5">
            <w:pPr>
              <w:spacing w:line="520" w:lineRule="exact"/>
              <w:rPr>
                <w:rFonts w:hint="eastAsia" w:ascii="宋体" w:hAnsi="宋体"/>
                <w:color w:val="auto"/>
                <w:sz w:val="24"/>
                <w:highlight w:val="none"/>
              </w:rPr>
            </w:pPr>
            <w:r>
              <w:rPr>
                <w:rFonts w:ascii="宋体" w:hAnsi="宋体"/>
                <w:color w:val="auto"/>
                <w:sz w:val="24"/>
                <w:highlight w:val="none"/>
              </w:rPr>
              <w:t>法定代表人：</w:t>
            </w:r>
          </w:p>
        </w:tc>
        <w:tc>
          <w:tcPr>
            <w:tcW w:w="4593" w:type="dxa"/>
            <w:vAlign w:val="center"/>
          </w:tcPr>
          <w:p w14:paraId="3068342E">
            <w:pPr>
              <w:spacing w:line="520" w:lineRule="exact"/>
              <w:rPr>
                <w:rFonts w:ascii="宋体" w:hAnsi="宋体"/>
                <w:color w:val="auto"/>
                <w:sz w:val="24"/>
                <w:highlight w:val="none"/>
              </w:rPr>
            </w:pPr>
            <w:r>
              <w:rPr>
                <w:rFonts w:ascii="宋体" w:hAnsi="宋体"/>
                <w:color w:val="auto"/>
                <w:sz w:val="24"/>
                <w:highlight w:val="none"/>
              </w:rPr>
              <w:t>法定代表人：</w:t>
            </w:r>
          </w:p>
        </w:tc>
      </w:tr>
      <w:tr w14:paraId="40F7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0" w:hRule="atLeast"/>
          <w:jc w:val="center"/>
        </w:trPr>
        <w:tc>
          <w:tcPr>
            <w:tcW w:w="4833" w:type="dxa"/>
            <w:vAlign w:val="top"/>
          </w:tcPr>
          <w:p w14:paraId="76F67079">
            <w:pPr>
              <w:spacing w:line="520" w:lineRule="exact"/>
              <w:rPr>
                <w:rFonts w:hint="eastAsia" w:ascii="宋体" w:hAnsi="宋体"/>
                <w:color w:val="auto"/>
                <w:sz w:val="24"/>
                <w:highlight w:val="none"/>
              </w:rPr>
            </w:pPr>
            <w:r>
              <w:rPr>
                <w:rFonts w:ascii="宋体" w:hAnsi="宋体"/>
                <w:color w:val="auto"/>
                <w:sz w:val="24"/>
                <w:highlight w:val="none"/>
              </w:rPr>
              <w:t>法</w:t>
            </w:r>
            <w:r>
              <w:rPr>
                <w:rFonts w:hint="eastAsia" w:ascii="宋体" w:hAnsi="宋体"/>
                <w:color w:val="auto"/>
                <w:sz w:val="24"/>
                <w:highlight w:val="none"/>
              </w:rPr>
              <w:t>定代表</w:t>
            </w:r>
            <w:r>
              <w:rPr>
                <w:rFonts w:ascii="宋体" w:hAnsi="宋体"/>
                <w:color w:val="auto"/>
                <w:sz w:val="24"/>
                <w:highlight w:val="none"/>
              </w:rPr>
              <w:t>人</w:t>
            </w:r>
          </w:p>
          <w:p w14:paraId="27E79FF4">
            <w:pPr>
              <w:spacing w:line="520" w:lineRule="exact"/>
              <w:rPr>
                <w:rFonts w:hint="eastAsia" w:ascii="宋体" w:hAnsi="宋体"/>
                <w:color w:val="auto"/>
                <w:sz w:val="24"/>
                <w:highlight w:val="none"/>
              </w:rPr>
            </w:pPr>
            <w:r>
              <w:rPr>
                <w:rFonts w:ascii="宋体" w:hAnsi="宋体"/>
                <w:color w:val="auto"/>
                <w:sz w:val="24"/>
                <w:highlight w:val="none"/>
              </w:rPr>
              <w:t>或委托代理人（签章）：</w:t>
            </w:r>
          </w:p>
        </w:tc>
        <w:tc>
          <w:tcPr>
            <w:tcW w:w="4593" w:type="dxa"/>
            <w:vAlign w:val="top"/>
          </w:tcPr>
          <w:p w14:paraId="252DF714">
            <w:pPr>
              <w:spacing w:line="520" w:lineRule="exact"/>
              <w:rPr>
                <w:rFonts w:hint="eastAsia" w:ascii="宋体" w:hAnsi="宋体"/>
                <w:color w:val="auto"/>
                <w:sz w:val="24"/>
                <w:highlight w:val="none"/>
              </w:rPr>
            </w:pPr>
            <w:r>
              <w:rPr>
                <w:rFonts w:ascii="宋体" w:hAnsi="宋体"/>
                <w:color w:val="auto"/>
                <w:sz w:val="24"/>
                <w:highlight w:val="none"/>
              </w:rPr>
              <w:t>法</w:t>
            </w:r>
            <w:r>
              <w:rPr>
                <w:rFonts w:hint="eastAsia" w:ascii="宋体" w:hAnsi="宋体"/>
                <w:color w:val="auto"/>
                <w:sz w:val="24"/>
                <w:highlight w:val="none"/>
              </w:rPr>
              <w:t>定代表</w:t>
            </w:r>
            <w:r>
              <w:rPr>
                <w:rFonts w:ascii="宋体" w:hAnsi="宋体"/>
                <w:color w:val="auto"/>
                <w:sz w:val="24"/>
                <w:highlight w:val="none"/>
              </w:rPr>
              <w:t>人</w:t>
            </w:r>
          </w:p>
          <w:p w14:paraId="2D04C064">
            <w:pPr>
              <w:spacing w:line="520" w:lineRule="exact"/>
              <w:rPr>
                <w:rFonts w:hint="eastAsia" w:ascii="宋体" w:hAnsi="宋体"/>
                <w:color w:val="auto"/>
                <w:sz w:val="24"/>
                <w:highlight w:val="none"/>
              </w:rPr>
            </w:pPr>
            <w:r>
              <w:rPr>
                <w:rFonts w:ascii="宋体" w:hAnsi="宋体"/>
                <w:color w:val="auto"/>
                <w:sz w:val="24"/>
                <w:highlight w:val="none"/>
              </w:rPr>
              <w:t>或委托代理人（签章）：</w:t>
            </w:r>
          </w:p>
        </w:tc>
      </w:tr>
      <w:tr w14:paraId="662C8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57" w:hRule="atLeast"/>
          <w:jc w:val="center"/>
        </w:trPr>
        <w:tc>
          <w:tcPr>
            <w:tcW w:w="4833" w:type="dxa"/>
            <w:vAlign w:val="top"/>
          </w:tcPr>
          <w:p w14:paraId="68EC9041">
            <w:pPr>
              <w:spacing w:line="520" w:lineRule="exact"/>
              <w:rPr>
                <w:rFonts w:hint="eastAsia" w:ascii="宋体" w:hAnsi="宋体"/>
                <w:color w:val="auto"/>
                <w:sz w:val="24"/>
                <w:highlight w:val="none"/>
              </w:rPr>
            </w:pPr>
            <w:r>
              <w:rPr>
                <w:rFonts w:ascii="宋体" w:hAnsi="宋体"/>
                <w:color w:val="auto"/>
                <w:sz w:val="24"/>
                <w:highlight w:val="none"/>
              </w:rPr>
              <w:t>联系人</w:t>
            </w:r>
            <w:r>
              <w:rPr>
                <w:rFonts w:hint="eastAsia" w:ascii="宋体" w:hAnsi="宋体"/>
                <w:color w:val="auto"/>
                <w:sz w:val="24"/>
                <w:highlight w:val="none"/>
              </w:rPr>
              <w:t>：</w:t>
            </w:r>
          </w:p>
          <w:p w14:paraId="234EA5B0">
            <w:pPr>
              <w:spacing w:line="520" w:lineRule="exact"/>
              <w:rPr>
                <w:rFonts w:hint="eastAsia" w:ascii="宋体" w:hAnsi="宋体"/>
                <w:color w:val="auto"/>
                <w:sz w:val="24"/>
                <w:highlight w:val="none"/>
              </w:rPr>
            </w:pPr>
            <w:r>
              <w:rPr>
                <w:rFonts w:ascii="宋体" w:hAnsi="宋体"/>
                <w:color w:val="auto"/>
                <w:sz w:val="24"/>
                <w:highlight w:val="none"/>
              </w:rPr>
              <w:t>联系方式：</w:t>
            </w:r>
          </w:p>
        </w:tc>
        <w:tc>
          <w:tcPr>
            <w:tcW w:w="4593" w:type="dxa"/>
            <w:vAlign w:val="top"/>
          </w:tcPr>
          <w:p w14:paraId="32D11D38">
            <w:pPr>
              <w:spacing w:line="520" w:lineRule="exact"/>
              <w:rPr>
                <w:rFonts w:hint="eastAsia" w:ascii="宋体" w:hAnsi="宋体"/>
                <w:color w:val="auto"/>
                <w:sz w:val="24"/>
                <w:highlight w:val="none"/>
              </w:rPr>
            </w:pPr>
            <w:r>
              <w:rPr>
                <w:rFonts w:ascii="宋体" w:hAnsi="宋体"/>
                <w:color w:val="auto"/>
                <w:sz w:val="24"/>
                <w:highlight w:val="none"/>
              </w:rPr>
              <w:t>联系人</w:t>
            </w:r>
            <w:r>
              <w:rPr>
                <w:rFonts w:hint="eastAsia" w:ascii="宋体" w:hAnsi="宋体"/>
                <w:color w:val="auto"/>
                <w:sz w:val="24"/>
                <w:highlight w:val="none"/>
              </w:rPr>
              <w:t>：</w:t>
            </w:r>
          </w:p>
          <w:p w14:paraId="3147796E">
            <w:pPr>
              <w:spacing w:line="520" w:lineRule="exact"/>
              <w:rPr>
                <w:rFonts w:ascii="宋体" w:hAnsi="宋体"/>
                <w:color w:val="auto"/>
                <w:sz w:val="24"/>
                <w:highlight w:val="none"/>
              </w:rPr>
            </w:pPr>
            <w:r>
              <w:rPr>
                <w:rFonts w:ascii="宋体" w:hAnsi="宋体"/>
                <w:color w:val="auto"/>
                <w:sz w:val="24"/>
                <w:highlight w:val="none"/>
              </w:rPr>
              <w:t>联系方式：</w:t>
            </w:r>
          </w:p>
        </w:tc>
      </w:tr>
      <w:tr w14:paraId="350E9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6" w:hRule="exact"/>
          <w:jc w:val="center"/>
        </w:trPr>
        <w:tc>
          <w:tcPr>
            <w:tcW w:w="4833" w:type="dxa"/>
            <w:vAlign w:val="top"/>
          </w:tcPr>
          <w:p w14:paraId="7F636CB8">
            <w:pPr>
              <w:spacing w:line="520" w:lineRule="exact"/>
              <w:rPr>
                <w:rFonts w:ascii="宋体" w:hAnsi="宋体"/>
                <w:color w:val="auto"/>
                <w:sz w:val="24"/>
                <w:highlight w:val="none"/>
              </w:rPr>
            </w:pPr>
            <w:r>
              <w:rPr>
                <w:rFonts w:ascii="宋体" w:hAnsi="宋体"/>
                <w:color w:val="auto"/>
                <w:sz w:val="24"/>
                <w:highlight w:val="none"/>
              </w:rPr>
              <w:t>邮箱：</w:t>
            </w:r>
          </w:p>
        </w:tc>
        <w:tc>
          <w:tcPr>
            <w:tcW w:w="4593" w:type="dxa"/>
            <w:vAlign w:val="top"/>
          </w:tcPr>
          <w:p w14:paraId="21EFF2A9">
            <w:pPr>
              <w:spacing w:line="520" w:lineRule="exact"/>
              <w:rPr>
                <w:rFonts w:ascii="宋体" w:hAnsi="宋体"/>
                <w:color w:val="auto"/>
                <w:sz w:val="24"/>
                <w:highlight w:val="none"/>
              </w:rPr>
            </w:pPr>
            <w:r>
              <w:rPr>
                <w:rFonts w:ascii="宋体" w:hAnsi="宋体"/>
                <w:color w:val="auto"/>
                <w:sz w:val="24"/>
                <w:highlight w:val="none"/>
              </w:rPr>
              <w:t>邮箱：</w:t>
            </w:r>
          </w:p>
        </w:tc>
      </w:tr>
      <w:tr w14:paraId="27228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2" w:hRule="exact"/>
          <w:jc w:val="center"/>
        </w:trPr>
        <w:tc>
          <w:tcPr>
            <w:tcW w:w="4833" w:type="dxa"/>
            <w:vAlign w:val="top"/>
          </w:tcPr>
          <w:p w14:paraId="1F0F10ED">
            <w:pPr>
              <w:snapToGrid w:val="0"/>
              <w:spacing w:before="120" w:beforeLines="50"/>
              <w:rPr>
                <w:rFonts w:hint="eastAsia" w:ascii="宋体" w:hAnsi="宋体"/>
                <w:color w:val="auto"/>
                <w:sz w:val="24"/>
                <w:highlight w:val="none"/>
              </w:rPr>
            </w:pPr>
            <w:r>
              <w:rPr>
                <w:rFonts w:hint="eastAsia" w:ascii="宋体" w:hAnsi="宋体"/>
                <w:color w:val="auto"/>
                <w:sz w:val="24"/>
                <w:highlight w:val="none"/>
              </w:rPr>
              <w:t>是否为一般纳税人</w:t>
            </w:r>
          </w:p>
          <w:p w14:paraId="4A7139CC">
            <w:pPr>
              <w:snapToGrid w:val="0"/>
              <w:rPr>
                <w:rFonts w:hint="eastAsia" w:ascii="宋体" w:hAnsi="宋体"/>
                <w:color w:val="auto"/>
                <w:sz w:val="24"/>
                <w:highlight w:val="none"/>
              </w:rPr>
            </w:pPr>
            <w:r>
              <w:rPr>
                <w:rFonts w:hint="eastAsia" w:ascii="宋体" w:hAnsi="宋体"/>
                <w:color w:val="auto"/>
                <w:sz w:val="24"/>
                <w:highlight w:val="none"/>
              </w:rPr>
              <w:t xml:space="preserve">（ </w:t>
            </w:r>
            <w:r>
              <w:rPr>
                <w:color w:val="auto"/>
                <w:sz w:val="24"/>
                <w:highlight w:val="none"/>
              </w:rPr>
              <w:t>√</w:t>
            </w:r>
            <w:r>
              <w:rPr>
                <w:rFonts w:hint="eastAsia" w:ascii="宋体" w:hAnsi="宋体"/>
                <w:color w:val="auto"/>
                <w:sz w:val="24"/>
                <w:highlight w:val="none"/>
              </w:rPr>
              <w:t xml:space="preserve"> ） 是      （  ） 否</w:t>
            </w:r>
          </w:p>
        </w:tc>
        <w:tc>
          <w:tcPr>
            <w:tcW w:w="4593" w:type="dxa"/>
            <w:vAlign w:val="top"/>
          </w:tcPr>
          <w:p w14:paraId="4CC04F4A">
            <w:pPr>
              <w:snapToGrid w:val="0"/>
              <w:spacing w:before="120" w:beforeLines="50"/>
              <w:rPr>
                <w:color w:val="auto"/>
                <w:sz w:val="24"/>
                <w:highlight w:val="none"/>
              </w:rPr>
            </w:pPr>
            <w:r>
              <w:rPr>
                <w:rFonts w:hAnsi="宋体"/>
                <w:color w:val="auto"/>
                <w:sz w:val="24"/>
                <w:highlight w:val="none"/>
              </w:rPr>
              <w:t>是否为一般纳税人</w:t>
            </w:r>
          </w:p>
          <w:p w14:paraId="741FF860">
            <w:pPr>
              <w:rPr>
                <w:color w:val="auto"/>
                <w:sz w:val="24"/>
                <w:highlight w:val="none"/>
              </w:rPr>
            </w:pPr>
            <w:r>
              <w:rPr>
                <w:rFonts w:hAnsi="宋体"/>
                <w:color w:val="auto"/>
                <w:sz w:val="24"/>
                <w:highlight w:val="none"/>
              </w:rPr>
              <w:t>（</w:t>
            </w:r>
            <w:r>
              <w:rPr>
                <w:color w:val="auto"/>
                <w:sz w:val="24"/>
                <w:highlight w:val="none"/>
              </w:rPr>
              <w:t xml:space="preserve"> </w:t>
            </w:r>
            <w:r>
              <w:rPr>
                <w:rFonts w:hint="eastAsia"/>
                <w:color w:val="auto"/>
                <w:sz w:val="24"/>
                <w:highlight w:val="none"/>
                <w:lang w:val="en-US" w:eastAsia="zh-CN"/>
              </w:rPr>
              <w:t xml:space="preserve">  </w:t>
            </w:r>
            <w:r>
              <w:rPr>
                <w:color w:val="auto"/>
                <w:sz w:val="24"/>
                <w:highlight w:val="none"/>
              </w:rPr>
              <w:t xml:space="preserve"> </w:t>
            </w:r>
            <w:r>
              <w:rPr>
                <w:rFonts w:hAnsi="宋体"/>
                <w:color w:val="auto"/>
                <w:sz w:val="24"/>
                <w:highlight w:val="none"/>
              </w:rPr>
              <w:t>）</w:t>
            </w:r>
            <w:r>
              <w:rPr>
                <w:color w:val="auto"/>
                <w:sz w:val="24"/>
                <w:highlight w:val="none"/>
              </w:rPr>
              <w:t xml:space="preserve"> </w:t>
            </w:r>
            <w:r>
              <w:rPr>
                <w:rFonts w:hAnsi="宋体"/>
                <w:color w:val="auto"/>
                <w:sz w:val="24"/>
                <w:highlight w:val="none"/>
              </w:rPr>
              <w:t>是</w:t>
            </w:r>
            <w:r>
              <w:rPr>
                <w:color w:val="auto"/>
                <w:sz w:val="24"/>
                <w:highlight w:val="none"/>
              </w:rPr>
              <w:t xml:space="preserve">      </w:t>
            </w:r>
            <w:r>
              <w:rPr>
                <w:rFonts w:hAnsi="宋体"/>
                <w:color w:val="auto"/>
                <w:sz w:val="24"/>
                <w:highlight w:val="none"/>
              </w:rPr>
              <w:t>（</w:t>
            </w:r>
            <w:r>
              <w:rPr>
                <w:color w:val="auto"/>
                <w:sz w:val="24"/>
                <w:highlight w:val="none"/>
              </w:rPr>
              <w:t xml:space="preserve">    </w:t>
            </w:r>
            <w:r>
              <w:rPr>
                <w:rFonts w:hAnsi="宋体"/>
                <w:color w:val="auto"/>
                <w:sz w:val="24"/>
                <w:highlight w:val="none"/>
              </w:rPr>
              <w:t>）</w:t>
            </w:r>
            <w:r>
              <w:rPr>
                <w:color w:val="auto"/>
                <w:sz w:val="24"/>
                <w:highlight w:val="none"/>
              </w:rPr>
              <w:t xml:space="preserve"> </w:t>
            </w:r>
            <w:r>
              <w:rPr>
                <w:rFonts w:hAnsi="宋体"/>
                <w:color w:val="auto"/>
                <w:sz w:val="24"/>
                <w:highlight w:val="none"/>
              </w:rPr>
              <w:t>否</w:t>
            </w:r>
          </w:p>
        </w:tc>
      </w:tr>
      <w:tr w14:paraId="5552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4" w:hRule="atLeast"/>
          <w:jc w:val="center"/>
        </w:trPr>
        <w:tc>
          <w:tcPr>
            <w:tcW w:w="4833" w:type="dxa"/>
            <w:vAlign w:val="top"/>
          </w:tcPr>
          <w:p w14:paraId="57956014">
            <w:pPr>
              <w:spacing w:line="520" w:lineRule="exact"/>
              <w:rPr>
                <w:rFonts w:hint="eastAsia" w:ascii="宋体" w:hAnsi="宋体" w:eastAsia="宋体"/>
                <w:b/>
                <w:color w:val="auto"/>
                <w:sz w:val="24"/>
                <w:highlight w:val="none"/>
                <w:lang w:val="en-US" w:eastAsia="zh-CN"/>
              </w:rPr>
            </w:pPr>
            <w:r>
              <w:rPr>
                <w:rFonts w:hint="eastAsia" w:ascii="宋体" w:hAnsi="宋体" w:eastAsia="宋体" w:cs="宋体"/>
                <w:sz w:val="24"/>
                <w:szCs w:val="24"/>
                <w:highlight w:val="none"/>
              </w:rPr>
              <w:t>统一社会信用代码：</w:t>
            </w:r>
          </w:p>
        </w:tc>
        <w:tc>
          <w:tcPr>
            <w:tcW w:w="4593" w:type="dxa"/>
            <w:vAlign w:val="top"/>
          </w:tcPr>
          <w:p w14:paraId="2E944E34">
            <w:pPr>
              <w:spacing w:line="520" w:lineRule="exact"/>
              <w:rPr>
                <w:rFonts w:ascii="宋体" w:hAnsi="宋体"/>
                <w:color w:val="auto"/>
                <w:sz w:val="24"/>
                <w:highlight w:val="none"/>
              </w:rPr>
            </w:pPr>
            <w:r>
              <w:rPr>
                <w:rFonts w:hint="eastAsia" w:ascii="宋体" w:hAnsi="宋体" w:eastAsia="宋体" w:cs="宋体"/>
                <w:sz w:val="24"/>
                <w:szCs w:val="24"/>
                <w:highlight w:val="none"/>
              </w:rPr>
              <w:t>统一社会信用代码：</w:t>
            </w:r>
          </w:p>
        </w:tc>
      </w:tr>
      <w:tr w14:paraId="257C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58" w:hRule="atLeast"/>
          <w:jc w:val="center"/>
        </w:trPr>
        <w:tc>
          <w:tcPr>
            <w:tcW w:w="4833" w:type="dxa"/>
            <w:vAlign w:val="top"/>
          </w:tcPr>
          <w:p w14:paraId="62BB41EC">
            <w:pPr>
              <w:spacing w:line="520" w:lineRule="exact"/>
              <w:rPr>
                <w:rFonts w:hint="eastAsia" w:ascii="宋体" w:hAnsi="宋体"/>
                <w:color w:val="auto"/>
                <w:sz w:val="24"/>
                <w:highlight w:val="none"/>
              </w:rPr>
            </w:pPr>
            <w:r>
              <w:rPr>
                <w:rFonts w:ascii="宋体" w:hAnsi="宋体"/>
                <w:color w:val="auto"/>
                <w:sz w:val="24"/>
                <w:highlight w:val="none"/>
              </w:rPr>
              <w:t>地址：</w:t>
            </w:r>
          </w:p>
        </w:tc>
        <w:tc>
          <w:tcPr>
            <w:tcW w:w="4593" w:type="dxa"/>
            <w:vAlign w:val="top"/>
          </w:tcPr>
          <w:p w14:paraId="1BFA0E23">
            <w:pPr>
              <w:spacing w:line="520" w:lineRule="exact"/>
              <w:rPr>
                <w:rFonts w:ascii="宋体" w:hAnsi="宋体"/>
                <w:color w:val="auto"/>
                <w:sz w:val="24"/>
                <w:highlight w:val="none"/>
              </w:rPr>
            </w:pPr>
            <w:r>
              <w:rPr>
                <w:rFonts w:ascii="宋体" w:hAnsi="宋体"/>
                <w:color w:val="auto"/>
                <w:sz w:val="24"/>
                <w:highlight w:val="none"/>
              </w:rPr>
              <w:t>地址：</w:t>
            </w:r>
          </w:p>
        </w:tc>
      </w:tr>
      <w:tr w14:paraId="15D6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1" w:hRule="atLeast"/>
          <w:jc w:val="center"/>
        </w:trPr>
        <w:tc>
          <w:tcPr>
            <w:tcW w:w="4833" w:type="dxa"/>
            <w:vAlign w:val="top"/>
          </w:tcPr>
          <w:p w14:paraId="159F9D57">
            <w:pPr>
              <w:spacing w:line="520" w:lineRule="exact"/>
              <w:rPr>
                <w:rFonts w:hint="default" w:ascii="宋体" w:hAnsi="宋体" w:eastAsia="宋体"/>
                <w:color w:val="auto"/>
                <w:sz w:val="24"/>
                <w:highlight w:val="none"/>
                <w:lang w:val="en-US" w:eastAsia="zh-CN"/>
              </w:rPr>
            </w:pPr>
            <w:r>
              <w:rPr>
                <w:rFonts w:ascii="宋体" w:hAnsi="宋体"/>
                <w:color w:val="auto"/>
                <w:sz w:val="24"/>
                <w:highlight w:val="none"/>
              </w:rPr>
              <w:t>单位电话：</w:t>
            </w:r>
            <w:r>
              <w:rPr>
                <w:rFonts w:hint="eastAsia" w:ascii="宋体" w:hAnsi="宋体"/>
                <w:color w:val="auto"/>
                <w:sz w:val="24"/>
                <w:highlight w:val="none"/>
              </w:rPr>
              <w:t>0878-</w:t>
            </w:r>
            <w:r>
              <w:rPr>
                <w:rFonts w:hint="eastAsia" w:ascii="宋体" w:hAnsi="宋体"/>
                <w:color w:val="auto"/>
                <w:sz w:val="24"/>
                <w:highlight w:val="none"/>
                <w:lang w:val="en-US" w:eastAsia="zh-CN"/>
              </w:rPr>
              <w:t>6169996</w:t>
            </w:r>
          </w:p>
        </w:tc>
        <w:tc>
          <w:tcPr>
            <w:tcW w:w="4593" w:type="dxa"/>
            <w:vAlign w:val="top"/>
          </w:tcPr>
          <w:p w14:paraId="5C70A1B7">
            <w:pPr>
              <w:spacing w:line="520" w:lineRule="exact"/>
              <w:rPr>
                <w:rFonts w:ascii="宋体" w:hAnsi="宋体"/>
                <w:color w:val="auto"/>
                <w:sz w:val="24"/>
                <w:highlight w:val="none"/>
              </w:rPr>
            </w:pPr>
            <w:r>
              <w:rPr>
                <w:rFonts w:ascii="宋体" w:hAnsi="宋体"/>
                <w:color w:val="auto"/>
                <w:sz w:val="24"/>
                <w:highlight w:val="none"/>
              </w:rPr>
              <w:t>单位电话：</w:t>
            </w:r>
          </w:p>
        </w:tc>
      </w:tr>
      <w:tr w14:paraId="32F19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1" w:hRule="atLeast"/>
          <w:jc w:val="center"/>
        </w:trPr>
        <w:tc>
          <w:tcPr>
            <w:tcW w:w="4833" w:type="dxa"/>
            <w:vAlign w:val="top"/>
          </w:tcPr>
          <w:p w14:paraId="21EA048F">
            <w:pPr>
              <w:spacing w:line="520" w:lineRule="exact"/>
              <w:rPr>
                <w:rFonts w:hint="eastAsia" w:ascii="宋体" w:hAnsi="宋体"/>
                <w:color w:val="auto"/>
                <w:sz w:val="24"/>
                <w:highlight w:val="none"/>
              </w:rPr>
            </w:pPr>
            <w:r>
              <w:rPr>
                <w:rFonts w:ascii="宋体" w:hAnsi="宋体"/>
                <w:color w:val="auto"/>
                <w:sz w:val="24"/>
                <w:highlight w:val="none"/>
              </w:rPr>
              <w:t>传真：</w:t>
            </w:r>
          </w:p>
        </w:tc>
        <w:tc>
          <w:tcPr>
            <w:tcW w:w="4593" w:type="dxa"/>
            <w:vAlign w:val="top"/>
          </w:tcPr>
          <w:p w14:paraId="6737A928">
            <w:pPr>
              <w:spacing w:line="520" w:lineRule="exact"/>
              <w:rPr>
                <w:rFonts w:ascii="宋体" w:hAnsi="宋体"/>
                <w:color w:val="auto"/>
                <w:sz w:val="24"/>
                <w:highlight w:val="none"/>
              </w:rPr>
            </w:pPr>
            <w:r>
              <w:rPr>
                <w:rFonts w:ascii="宋体" w:hAnsi="宋体"/>
                <w:color w:val="auto"/>
                <w:sz w:val="24"/>
                <w:highlight w:val="none"/>
              </w:rPr>
              <w:t>传真：</w:t>
            </w:r>
          </w:p>
        </w:tc>
      </w:tr>
      <w:tr w14:paraId="17B8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4833" w:type="dxa"/>
            <w:vAlign w:val="top"/>
          </w:tcPr>
          <w:p w14:paraId="2AEF90B9">
            <w:pPr>
              <w:ind w:right="482"/>
              <w:rPr>
                <w:color w:val="auto"/>
                <w:sz w:val="24"/>
                <w:highlight w:val="none"/>
              </w:rPr>
            </w:pPr>
            <w:r>
              <w:rPr>
                <w:color w:val="auto"/>
                <w:sz w:val="24"/>
                <w:highlight w:val="none"/>
              </w:rPr>
              <w:t>开户银行：</w:t>
            </w:r>
          </w:p>
          <w:p w14:paraId="54C4C364">
            <w:pPr>
              <w:ind w:right="482"/>
              <w:rPr>
                <w:color w:val="auto"/>
                <w:sz w:val="24"/>
                <w:highlight w:val="none"/>
              </w:rPr>
            </w:pPr>
          </w:p>
        </w:tc>
        <w:tc>
          <w:tcPr>
            <w:tcW w:w="4593" w:type="dxa"/>
            <w:vAlign w:val="top"/>
          </w:tcPr>
          <w:p w14:paraId="50527BCE">
            <w:pPr>
              <w:ind w:right="482"/>
              <w:rPr>
                <w:color w:val="auto"/>
                <w:sz w:val="24"/>
                <w:highlight w:val="none"/>
              </w:rPr>
            </w:pPr>
            <w:r>
              <w:rPr>
                <w:color w:val="auto"/>
                <w:sz w:val="24"/>
                <w:highlight w:val="none"/>
              </w:rPr>
              <w:t>开户银行：</w:t>
            </w:r>
          </w:p>
          <w:p w14:paraId="5D394C95">
            <w:pPr>
              <w:ind w:right="482"/>
              <w:rPr>
                <w:color w:val="auto"/>
                <w:sz w:val="24"/>
                <w:highlight w:val="none"/>
              </w:rPr>
            </w:pPr>
          </w:p>
        </w:tc>
      </w:tr>
      <w:tr w14:paraId="19EFE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exact"/>
          <w:jc w:val="center"/>
        </w:trPr>
        <w:tc>
          <w:tcPr>
            <w:tcW w:w="4833" w:type="dxa"/>
            <w:vAlign w:val="top"/>
          </w:tcPr>
          <w:p w14:paraId="23DCD1E9">
            <w:pPr>
              <w:spacing w:line="520" w:lineRule="exact"/>
              <w:rPr>
                <w:rFonts w:ascii="宋体" w:hAnsi="宋体"/>
                <w:color w:val="auto"/>
                <w:sz w:val="24"/>
                <w:highlight w:val="none"/>
              </w:rPr>
            </w:pPr>
            <w:r>
              <w:rPr>
                <w:rFonts w:ascii="宋体" w:hAnsi="宋体"/>
                <w:color w:val="auto"/>
                <w:sz w:val="24"/>
                <w:highlight w:val="none"/>
              </w:rPr>
              <w:t>账号：</w:t>
            </w:r>
          </w:p>
        </w:tc>
        <w:tc>
          <w:tcPr>
            <w:tcW w:w="4593" w:type="dxa"/>
            <w:vAlign w:val="top"/>
          </w:tcPr>
          <w:p w14:paraId="495EF4DE">
            <w:pPr>
              <w:spacing w:line="520" w:lineRule="exact"/>
              <w:rPr>
                <w:rFonts w:ascii="宋体" w:hAnsi="宋体"/>
                <w:color w:val="auto"/>
                <w:sz w:val="24"/>
                <w:highlight w:val="none"/>
              </w:rPr>
            </w:pPr>
            <w:r>
              <w:rPr>
                <w:rFonts w:ascii="宋体" w:hAnsi="宋体"/>
                <w:color w:val="auto"/>
                <w:sz w:val="24"/>
                <w:highlight w:val="none"/>
              </w:rPr>
              <w:t>账号：</w:t>
            </w:r>
          </w:p>
        </w:tc>
      </w:tr>
      <w:tr w14:paraId="59C9F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exact"/>
          <w:jc w:val="center"/>
        </w:trPr>
        <w:tc>
          <w:tcPr>
            <w:tcW w:w="4833" w:type="dxa"/>
            <w:vAlign w:val="top"/>
          </w:tcPr>
          <w:p w14:paraId="01C10D92">
            <w:pPr>
              <w:tabs>
                <w:tab w:val="left" w:pos="2255"/>
              </w:tabs>
              <w:spacing w:line="520" w:lineRule="exact"/>
              <w:rPr>
                <w:rFonts w:ascii="宋体" w:hAnsi="宋体"/>
                <w:color w:val="auto"/>
                <w:sz w:val="24"/>
                <w:highlight w:val="none"/>
              </w:rPr>
            </w:pPr>
            <w:r>
              <w:rPr>
                <w:rFonts w:ascii="宋体" w:hAnsi="宋体"/>
                <w:color w:val="auto"/>
                <w:sz w:val="24"/>
                <w:highlight w:val="none"/>
              </w:rPr>
              <w:t>邮编：</w:t>
            </w:r>
          </w:p>
        </w:tc>
        <w:tc>
          <w:tcPr>
            <w:tcW w:w="4593" w:type="dxa"/>
            <w:vAlign w:val="top"/>
          </w:tcPr>
          <w:p w14:paraId="0A61E53F">
            <w:pPr>
              <w:spacing w:line="520" w:lineRule="exact"/>
              <w:rPr>
                <w:rFonts w:ascii="宋体" w:hAnsi="宋体"/>
                <w:color w:val="auto"/>
                <w:sz w:val="24"/>
                <w:highlight w:val="none"/>
              </w:rPr>
            </w:pPr>
            <w:r>
              <w:rPr>
                <w:rFonts w:ascii="宋体" w:hAnsi="宋体"/>
                <w:color w:val="auto"/>
                <w:sz w:val="24"/>
                <w:highlight w:val="none"/>
              </w:rPr>
              <w:t>邮编：</w:t>
            </w:r>
          </w:p>
        </w:tc>
      </w:tr>
      <w:tr w14:paraId="3DE32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9" w:hRule="exact"/>
          <w:jc w:val="center"/>
        </w:trPr>
        <w:tc>
          <w:tcPr>
            <w:tcW w:w="4833" w:type="dxa"/>
            <w:vAlign w:val="top"/>
          </w:tcPr>
          <w:p w14:paraId="02B62CF9">
            <w:pPr>
              <w:tabs>
                <w:tab w:val="left" w:pos="2255"/>
              </w:tabs>
              <w:spacing w:line="520" w:lineRule="exact"/>
              <w:rPr>
                <w:rFonts w:hint="eastAsia" w:ascii="宋体" w:hAnsi="宋体" w:eastAsiaTheme="minorEastAsia"/>
                <w:color w:val="auto"/>
                <w:sz w:val="24"/>
                <w:highlight w:val="none"/>
                <w:lang w:eastAsia="zh-CN"/>
              </w:rPr>
            </w:pPr>
            <w:r>
              <w:rPr>
                <w:rFonts w:hint="eastAsia" w:ascii="宋体" w:hAnsi="宋体"/>
                <w:color w:val="auto"/>
                <w:sz w:val="24"/>
                <w:highlight w:val="none"/>
                <w:lang w:eastAsia="zh-CN"/>
              </w:rPr>
              <w:t>签订日期：</w:t>
            </w:r>
          </w:p>
        </w:tc>
        <w:tc>
          <w:tcPr>
            <w:tcW w:w="4593" w:type="dxa"/>
            <w:vAlign w:val="top"/>
          </w:tcPr>
          <w:p w14:paraId="74FC5C3B">
            <w:pPr>
              <w:spacing w:line="520" w:lineRule="exact"/>
              <w:rPr>
                <w:rFonts w:ascii="宋体" w:hAnsi="宋体"/>
                <w:color w:val="auto"/>
                <w:sz w:val="24"/>
                <w:highlight w:val="none"/>
              </w:rPr>
            </w:pPr>
            <w:r>
              <w:rPr>
                <w:rFonts w:hint="eastAsia" w:ascii="宋体" w:hAnsi="宋体"/>
                <w:color w:val="auto"/>
                <w:sz w:val="24"/>
                <w:highlight w:val="none"/>
                <w:lang w:eastAsia="zh-CN"/>
              </w:rPr>
              <w:t>签订日期：</w:t>
            </w:r>
          </w:p>
        </w:tc>
      </w:tr>
    </w:tbl>
    <w:p w14:paraId="05E1F868">
      <w:pPr>
        <w:widowControl w:val="0"/>
        <w:adjustRightInd w:val="0"/>
        <w:snapToGrid w:val="0"/>
        <w:spacing w:line="360" w:lineRule="auto"/>
        <w:ind w:left="5520" w:hanging="5060" w:hangingChars="2300"/>
        <w:jc w:val="both"/>
        <w:rPr>
          <w:rFonts w:ascii="宋体" w:hAnsi="宋体" w:cs="宋体"/>
          <w:kern w:val="2"/>
          <w:sz w:val="22"/>
          <w:szCs w:val="22"/>
          <w:highlight w:val="none"/>
        </w:rPr>
      </w:pPr>
    </w:p>
    <w:p w14:paraId="37D947E0">
      <w:pPr>
        <w:spacing w:line="360" w:lineRule="auto"/>
        <w:jc w:val="center"/>
        <w:outlineLvl w:val="1"/>
        <w:rPr>
          <w:rFonts w:ascii="宋体" w:hAnsi="宋体" w:cs="宋体"/>
          <w:b/>
          <w:bCs/>
          <w:kern w:val="44"/>
          <w:sz w:val="26"/>
          <w:szCs w:val="44"/>
          <w:highlight w:val="none"/>
        </w:rPr>
      </w:pPr>
      <w:bookmarkStart w:id="362" w:name="_Toc441336779"/>
      <w:r>
        <w:rPr>
          <w:rFonts w:hint="eastAsia" w:ascii="宋体" w:hAnsi="宋体" w:cs="宋体"/>
          <w:b/>
          <w:bCs/>
          <w:kern w:val="44"/>
          <w:sz w:val="28"/>
          <w:szCs w:val="44"/>
          <w:highlight w:val="none"/>
        </w:rPr>
        <w:br w:type="page"/>
      </w:r>
      <w:bookmarkStart w:id="363" w:name="_Toc531884901"/>
      <w:bookmarkStart w:id="364" w:name="_Toc531797775"/>
      <w:bookmarkStart w:id="365" w:name="_Toc3947"/>
      <w:bookmarkStart w:id="366" w:name="_Toc89441276"/>
      <w:bookmarkStart w:id="367" w:name="_Toc7"/>
      <w:bookmarkStart w:id="368" w:name="_Toc7312"/>
      <w:bookmarkStart w:id="369" w:name="_Toc9191"/>
      <w:bookmarkStart w:id="370" w:name="_Toc25816"/>
      <w:bookmarkStart w:id="371" w:name="_Toc29040"/>
      <w:bookmarkStart w:id="372" w:name="_Toc3605"/>
      <w:bookmarkStart w:id="373" w:name="_Toc5569"/>
      <w:bookmarkStart w:id="374" w:name="_Toc3340"/>
      <w:bookmarkStart w:id="375" w:name="_Toc6312"/>
      <w:bookmarkStart w:id="376" w:name="_Toc18752"/>
      <w:bookmarkStart w:id="377" w:name="_Toc21228"/>
      <w:bookmarkStart w:id="378" w:name="_Toc13101"/>
      <w:bookmarkStart w:id="379" w:name="_Toc8663"/>
      <w:r>
        <w:rPr>
          <w:rFonts w:hint="eastAsia" w:ascii="宋体" w:hAnsi="宋体" w:cs="宋体"/>
          <w:b/>
          <w:bCs/>
          <w:kern w:val="44"/>
          <w:sz w:val="32"/>
          <w:szCs w:val="48"/>
          <w:highlight w:val="none"/>
        </w:rPr>
        <w:t>第二部分</w:t>
      </w:r>
      <w:r>
        <w:rPr>
          <w:rFonts w:hint="eastAsia" w:ascii="宋体" w:hAnsi="宋体" w:cs="宋体"/>
          <w:b/>
          <w:bCs/>
          <w:kern w:val="44"/>
          <w:sz w:val="32"/>
          <w:szCs w:val="48"/>
          <w:highlight w:val="none"/>
          <w:lang w:val="en-US" w:eastAsia="zh-CN"/>
        </w:rPr>
        <w:t xml:space="preserve"> </w:t>
      </w:r>
      <w:r>
        <w:rPr>
          <w:rFonts w:hint="eastAsia" w:ascii="宋体" w:hAnsi="宋体" w:cs="宋体"/>
          <w:b/>
          <w:bCs/>
          <w:kern w:val="44"/>
          <w:sz w:val="32"/>
          <w:szCs w:val="48"/>
          <w:highlight w:val="none"/>
        </w:rPr>
        <w:t xml:space="preserve"> 通用合同条</w:t>
      </w:r>
      <w:bookmarkEnd w:id="362"/>
      <w:bookmarkEnd w:id="363"/>
      <w:bookmarkEnd w:id="364"/>
      <w:r>
        <w:rPr>
          <w:rFonts w:hint="eastAsia" w:ascii="宋体" w:hAnsi="宋体" w:cs="宋体"/>
          <w:b/>
          <w:bCs/>
          <w:kern w:val="44"/>
          <w:sz w:val="32"/>
          <w:szCs w:val="48"/>
          <w:highlight w:val="none"/>
        </w:rPr>
        <w:t>款</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5E066CEB">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380" w:name="_Toc8750"/>
      <w:bookmarkStart w:id="381" w:name="_Toc6422"/>
      <w:bookmarkStart w:id="382" w:name="_Toc12930"/>
      <w:bookmarkStart w:id="383" w:name="_Toc27505"/>
      <w:bookmarkStart w:id="384" w:name="_Toc1768"/>
      <w:bookmarkStart w:id="385" w:name="_Toc11956"/>
      <w:bookmarkStart w:id="386" w:name="_Toc24796"/>
      <w:bookmarkStart w:id="387" w:name="_Toc18968"/>
      <w:bookmarkStart w:id="388" w:name="_Toc6282"/>
      <w:bookmarkStart w:id="389" w:name="_Toc3559"/>
      <w:bookmarkStart w:id="390" w:name="_Toc13017"/>
      <w:bookmarkStart w:id="391" w:name="_Toc4577"/>
      <w:bookmarkStart w:id="392" w:name="_Toc89441277"/>
      <w:bookmarkStart w:id="393" w:name="_Toc531884902"/>
      <w:bookmarkStart w:id="394" w:name="_Toc6359"/>
      <w:bookmarkStart w:id="395" w:name="_Toc28166"/>
      <w:bookmarkStart w:id="396" w:name="_Toc27099"/>
      <w:bookmarkStart w:id="397" w:name="_Toc17740"/>
      <w:bookmarkStart w:id="398" w:name="_Toc2238"/>
      <w:bookmarkStart w:id="399" w:name="_Toc531797776"/>
      <w:bookmarkStart w:id="400" w:name="_Toc441336780"/>
      <w:r>
        <w:rPr>
          <w:rFonts w:hint="eastAsia" w:ascii="宋体" w:hAnsi="宋体" w:cs="宋体"/>
          <w:b/>
          <w:bCs/>
          <w:sz w:val="24"/>
          <w:szCs w:val="24"/>
          <w:highlight w:val="none"/>
        </w:rPr>
        <w:t>1.词语定义、语言、解释顺序与适用法律</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24E0BE0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1.1词语定义</w:t>
      </w:r>
    </w:p>
    <w:p w14:paraId="3CB74E0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组成本合同的全部文件中的下列名词和用语应具有本款所赋予的含义：</w:t>
      </w:r>
    </w:p>
    <w:p w14:paraId="40B0D89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1.1.1“工程”是指按照本合同约定实施全过程造价控制与其他服务的建设工程。</w:t>
      </w:r>
    </w:p>
    <w:p w14:paraId="46B3501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1.1.2“工程造价”是指工程项目建设过程中预计或实际支出的全部费用。</w:t>
      </w:r>
    </w:p>
    <w:p w14:paraId="38EE5C5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1.1.3“甲方”是指本合同中委托全过程造价控制与其他服务的一方，及其合法的继承人或受让人。</w:t>
      </w:r>
    </w:p>
    <w:p w14:paraId="0A93F8A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1.1.4“乙方”是指本合同中提供全过程造价控制与其他服务的一方，及其合法的继承人。</w:t>
      </w:r>
    </w:p>
    <w:p w14:paraId="4F1D24A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1.1.5“第三人”是指除甲方、乙方以外与本咨询业务有关的当事人。</w:t>
      </w:r>
    </w:p>
    <w:p w14:paraId="5C8ED09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1.1.6“正常工作”是指本合同订立时</w:t>
      </w:r>
      <w:r>
        <w:rPr>
          <w:rFonts w:hint="eastAsia" w:ascii="宋体" w:hAnsi="宋体" w:cs="宋体"/>
          <w:kern w:val="2"/>
          <w:sz w:val="24"/>
          <w:szCs w:val="24"/>
          <w:highlight w:val="none"/>
          <w:lang w:eastAsia="zh-CN"/>
        </w:rPr>
        <w:t>通用条款</w:t>
      </w:r>
      <w:r>
        <w:rPr>
          <w:rFonts w:hint="eastAsia" w:ascii="宋体" w:hAnsi="宋体" w:cs="宋体"/>
          <w:kern w:val="2"/>
          <w:sz w:val="24"/>
          <w:szCs w:val="24"/>
          <w:highlight w:val="none"/>
        </w:rPr>
        <w:t>和</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中约定的乙方的工作。</w:t>
      </w:r>
    </w:p>
    <w:p w14:paraId="78F5208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1.1.7“附加工作”是指乙方根据合同条件完成的正常工作以外的工作。</w:t>
      </w:r>
    </w:p>
    <w:p w14:paraId="1FB9C82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1.1.8“项目咨询团队”是指乙方指派负责履行本合同的团队，其团队成员为本合同的项目乙方人员。</w:t>
      </w:r>
    </w:p>
    <w:p w14:paraId="69E197D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1.1.9“项目负责人”是指由乙方的法定代表人书面授权，在授权范围内负责履行本合同、主持项目咨询团队工作的负责人。</w:t>
      </w:r>
    </w:p>
    <w:p w14:paraId="75072B3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1.1.10“甲方代表”是指由甲方的法定代表人书面授权，在授权范围内行使甲方权利的人。</w:t>
      </w:r>
    </w:p>
    <w:p w14:paraId="479F1EB6">
      <w:pPr>
        <w:widowControl w:val="0"/>
        <w:adjustRightInd w:val="0"/>
        <w:snapToGrid w:val="0"/>
        <w:spacing w:line="384" w:lineRule="auto"/>
        <w:ind w:firstLine="492" w:firstLineChars="200"/>
        <w:jc w:val="both"/>
        <w:rPr>
          <w:rFonts w:ascii="宋体" w:hAnsi="宋体" w:cs="宋体"/>
          <w:kern w:val="2"/>
          <w:sz w:val="24"/>
          <w:szCs w:val="24"/>
          <w:highlight w:val="none"/>
        </w:rPr>
      </w:pPr>
      <w:bookmarkStart w:id="401" w:name="_bookmark7"/>
      <w:bookmarkEnd w:id="401"/>
      <w:r>
        <w:rPr>
          <w:rFonts w:hint="eastAsia" w:ascii="宋体" w:hAnsi="宋体" w:cs="宋体"/>
          <w:spacing w:val="3"/>
          <w:kern w:val="2"/>
          <w:sz w:val="24"/>
          <w:szCs w:val="24"/>
          <w:highlight w:val="none"/>
        </w:rPr>
        <w:t>1.1.11“合同金额”是指乙方履行本合同义务，甲方按照本合同约定给付</w:t>
      </w:r>
      <w:r>
        <w:rPr>
          <w:rFonts w:hint="eastAsia" w:ascii="宋体" w:hAnsi="宋体" w:cs="宋体"/>
          <w:kern w:val="2"/>
          <w:sz w:val="24"/>
          <w:szCs w:val="24"/>
          <w:highlight w:val="none"/>
        </w:rPr>
        <w:t>乙方的金额。</w:t>
      </w:r>
    </w:p>
    <w:p w14:paraId="3BC5663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1.1.12“正常工作合同金额”是指在协议书中载明的，乙方完成正常工作，甲方应给付乙方的合同金额。</w:t>
      </w:r>
    </w:p>
    <w:p w14:paraId="635CCAC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1.1.13“附加工作合同金额”是指乙方完成附加工作，甲方应给付乙方的合同金额。</w:t>
      </w:r>
    </w:p>
    <w:p w14:paraId="5A8B715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1.1.14“书面形式”是指合同书、信件和数据电文（包括电报、电传、传真、电子数据交换和电子邮件）等可以有形地表现所载内容的形式。</w:t>
      </w:r>
    </w:p>
    <w:p w14:paraId="5370403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1.1.15“不可抗力”是指甲方和乙方在订立本合同时不可预见，在合同履行过程中不可避免并不能克服的自然灾害和社会性突发事件，如地震、海啸、瘟疫、水灾、骚乱、暴动、战争等情形。</w:t>
      </w:r>
    </w:p>
    <w:p w14:paraId="77BD7A0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1.2语言</w:t>
      </w:r>
    </w:p>
    <w:p w14:paraId="4C054876">
      <w:pPr>
        <w:widowControl w:val="0"/>
        <w:adjustRightInd w:val="0"/>
        <w:snapToGrid w:val="0"/>
        <w:spacing w:line="384" w:lineRule="auto"/>
        <w:ind w:firstLine="492" w:firstLineChars="200"/>
        <w:jc w:val="both"/>
        <w:rPr>
          <w:rFonts w:ascii="宋体" w:hAnsi="宋体" w:cs="宋体"/>
          <w:kern w:val="2"/>
          <w:sz w:val="24"/>
          <w:szCs w:val="24"/>
          <w:highlight w:val="none"/>
        </w:rPr>
      </w:pPr>
      <w:r>
        <w:rPr>
          <w:rFonts w:hint="eastAsia" w:ascii="宋体" w:hAnsi="宋体" w:cs="宋体"/>
          <w:spacing w:val="3"/>
          <w:kern w:val="2"/>
          <w:sz w:val="24"/>
          <w:szCs w:val="24"/>
          <w:highlight w:val="none"/>
        </w:rPr>
        <w:t>本合同使用中文书写、解释和说明。如</w:t>
      </w:r>
      <w:r>
        <w:rPr>
          <w:rFonts w:hint="eastAsia" w:ascii="宋体" w:hAnsi="宋体" w:cs="宋体"/>
          <w:spacing w:val="3"/>
          <w:kern w:val="2"/>
          <w:sz w:val="24"/>
          <w:szCs w:val="24"/>
          <w:highlight w:val="none"/>
          <w:lang w:eastAsia="zh-CN"/>
        </w:rPr>
        <w:t>专用条款</w:t>
      </w:r>
      <w:r>
        <w:rPr>
          <w:rFonts w:hint="eastAsia" w:ascii="宋体" w:hAnsi="宋体" w:cs="宋体"/>
          <w:spacing w:val="3"/>
          <w:kern w:val="2"/>
          <w:sz w:val="24"/>
          <w:szCs w:val="24"/>
          <w:highlight w:val="none"/>
        </w:rPr>
        <w:t>约定使用两种及以上语言</w:t>
      </w:r>
      <w:r>
        <w:rPr>
          <w:rFonts w:hint="eastAsia" w:ascii="宋体" w:hAnsi="宋体" w:cs="宋体"/>
          <w:kern w:val="2"/>
          <w:sz w:val="24"/>
          <w:szCs w:val="24"/>
          <w:highlight w:val="none"/>
        </w:rPr>
        <w:t>文字时，应以中文为准。</w:t>
      </w:r>
    </w:p>
    <w:p w14:paraId="42763A9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1.3合同文件的优先顺序</w:t>
      </w:r>
    </w:p>
    <w:p w14:paraId="05B7428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组成本合同的下列文件彼此应能相互解释、互为说明。除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另有约定外，本合同文件的解释顺序如下：</w:t>
      </w:r>
    </w:p>
    <w:p w14:paraId="00AA534D">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1.本协议书签订后双方达成的补充、修改或其他文件。</w:t>
      </w:r>
    </w:p>
    <w:p w14:paraId="28240402">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2.合同谈判会议纪要；</w:t>
      </w:r>
    </w:p>
    <w:p w14:paraId="567AADB5">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w:t>
      </w:r>
      <w:r>
        <w:rPr>
          <w:rFonts w:hint="eastAsia" w:ascii="宋体" w:hAnsi="宋体" w:cs="宋体"/>
          <w:kern w:val="2"/>
          <w:sz w:val="24"/>
          <w:szCs w:val="24"/>
          <w:highlight w:val="none"/>
          <w:lang w:val="en-US" w:eastAsia="zh-CN"/>
        </w:rPr>
        <w:t>成交</w:t>
      </w:r>
      <w:r>
        <w:rPr>
          <w:rFonts w:hint="eastAsia" w:ascii="宋体" w:hAnsi="宋体" w:cs="宋体"/>
          <w:kern w:val="2"/>
          <w:sz w:val="24"/>
          <w:szCs w:val="24"/>
          <w:highlight w:val="none"/>
        </w:rPr>
        <w:t>通知书；</w:t>
      </w:r>
    </w:p>
    <w:p w14:paraId="3931CF48">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w:t>
      </w:r>
      <w:r>
        <w:rPr>
          <w:rFonts w:hint="eastAsia" w:ascii="宋体" w:hAnsi="宋体" w:cs="宋体"/>
          <w:kern w:val="2"/>
          <w:sz w:val="24"/>
          <w:szCs w:val="24"/>
          <w:highlight w:val="none"/>
          <w:lang w:val="en-US" w:eastAsia="zh-CN"/>
        </w:rPr>
        <w:t>报价</w:t>
      </w:r>
      <w:r>
        <w:rPr>
          <w:rFonts w:hint="eastAsia" w:ascii="宋体" w:hAnsi="宋体" w:cs="宋体"/>
          <w:kern w:val="2"/>
          <w:sz w:val="24"/>
          <w:szCs w:val="24"/>
          <w:highlight w:val="none"/>
        </w:rPr>
        <w:t>函及</w:t>
      </w:r>
      <w:r>
        <w:rPr>
          <w:rFonts w:hint="eastAsia" w:ascii="宋体" w:hAnsi="宋体" w:cs="宋体"/>
          <w:kern w:val="2"/>
          <w:sz w:val="24"/>
          <w:szCs w:val="24"/>
          <w:highlight w:val="none"/>
          <w:lang w:val="en-US" w:eastAsia="zh-CN"/>
        </w:rPr>
        <w:t>报价</w:t>
      </w:r>
      <w:r>
        <w:rPr>
          <w:rFonts w:hint="eastAsia" w:ascii="宋体" w:hAnsi="宋体" w:cs="宋体"/>
          <w:kern w:val="2"/>
          <w:sz w:val="24"/>
          <w:szCs w:val="24"/>
          <w:highlight w:val="none"/>
        </w:rPr>
        <w:t>函附录；</w:t>
      </w:r>
    </w:p>
    <w:p w14:paraId="26A1135B">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5.合同专用条款；</w:t>
      </w:r>
    </w:p>
    <w:p w14:paraId="16BF33AF">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6.合同通用条款；</w:t>
      </w:r>
    </w:p>
    <w:p w14:paraId="12DEA3C4">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7.</w:t>
      </w:r>
      <w:r>
        <w:rPr>
          <w:rFonts w:hint="eastAsia" w:ascii="宋体" w:hAnsi="宋体" w:cs="宋体"/>
          <w:kern w:val="2"/>
          <w:sz w:val="24"/>
          <w:szCs w:val="24"/>
          <w:highlight w:val="none"/>
          <w:lang w:val="en-US" w:eastAsia="zh-CN"/>
        </w:rPr>
        <w:t>响应</w:t>
      </w:r>
      <w:r>
        <w:rPr>
          <w:rFonts w:hint="eastAsia" w:ascii="宋体" w:hAnsi="宋体" w:cs="宋体"/>
          <w:kern w:val="2"/>
          <w:sz w:val="24"/>
          <w:szCs w:val="24"/>
          <w:highlight w:val="none"/>
        </w:rPr>
        <w:t>文件及附录</w:t>
      </w:r>
    </w:p>
    <w:p w14:paraId="32EFEAF4">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w:t>
      </w:r>
      <w:r>
        <w:rPr>
          <w:rFonts w:hint="eastAsia" w:ascii="宋体" w:hAnsi="宋体" w:cs="宋体"/>
          <w:kern w:val="2"/>
          <w:sz w:val="24"/>
          <w:szCs w:val="24"/>
          <w:highlight w:val="none"/>
          <w:lang w:val="en-US" w:eastAsia="zh-CN"/>
        </w:rPr>
        <w:t>竞争性谈判邀请</w:t>
      </w:r>
      <w:r>
        <w:rPr>
          <w:rFonts w:hint="eastAsia" w:ascii="宋体" w:hAnsi="宋体" w:cs="宋体"/>
          <w:kern w:val="2"/>
          <w:sz w:val="24"/>
          <w:szCs w:val="24"/>
          <w:highlight w:val="none"/>
        </w:rPr>
        <w:t>文件及各类澄清、补遗、答疑文件等；</w:t>
      </w:r>
    </w:p>
    <w:p w14:paraId="4DA76DF9">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9.甲方要求；</w:t>
      </w:r>
    </w:p>
    <w:p w14:paraId="4E3F64FC">
      <w:pPr>
        <w:widowControl w:val="0"/>
        <w:adjustRightInd w:val="0"/>
        <w:snapToGrid w:val="0"/>
        <w:spacing w:line="360"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10.双方同意进入合同的其他文件。</w:t>
      </w:r>
    </w:p>
    <w:p w14:paraId="319E0D2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上述各项合同文件包括合同当事人就该项合同文件所作出的补充和修改，属于同一类内容的文件，应以最新签署的为准。</w:t>
      </w:r>
    </w:p>
    <w:p w14:paraId="6940725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在合同订立及履行过程中形成的与合同有关的文件均构成合同文件的组成部分。</w:t>
      </w:r>
    </w:p>
    <w:p w14:paraId="51EC114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1.4适用法律</w:t>
      </w:r>
    </w:p>
    <w:p w14:paraId="1B67D782">
      <w:pPr>
        <w:widowControl w:val="0"/>
        <w:adjustRightInd w:val="0"/>
        <w:snapToGrid w:val="0"/>
        <w:spacing w:line="384" w:lineRule="auto"/>
        <w:ind w:firstLine="480" w:firstLineChars="200"/>
        <w:jc w:val="both"/>
        <w:rPr>
          <w:rFonts w:ascii="宋体" w:hAnsi="宋体" w:cs="宋体"/>
          <w:kern w:val="2"/>
          <w:sz w:val="24"/>
          <w:szCs w:val="24"/>
          <w:highlight w:val="none"/>
        </w:rPr>
      </w:pPr>
      <w:bookmarkStart w:id="402" w:name="_bookmark8"/>
      <w:bookmarkEnd w:id="402"/>
      <w:r>
        <w:rPr>
          <w:rFonts w:hint="eastAsia" w:ascii="宋体" w:hAnsi="宋体" w:cs="宋体"/>
          <w:kern w:val="2"/>
          <w:sz w:val="24"/>
          <w:szCs w:val="24"/>
          <w:highlight w:val="none"/>
        </w:rPr>
        <w:t>本合同适用中华人民共和国法律、行政法规、部门规章以及工程所在地的地方性法规、自治条例、单行条例和地方政府规章等。</w:t>
      </w:r>
    </w:p>
    <w:p w14:paraId="02EC4E2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合同当事人可以在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中约定本合同适用的其他规范、规程、定额、技术标准等规范性文件。</w:t>
      </w:r>
      <w:bookmarkStart w:id="403" w:name="_Toc441336781"/>
    </w:p>
    <w:p w14:paraId="1CF61B21">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404" w:name="_Toc15875"/>
      <w:bookmarkStart w:id="405" w:name="_Toc21147"/>
      <w:bookmarkStart w:id="406" w:name="_Toc21730"/>
      <w:bookmarkStart w:id="407" w:name="_Toc18626"/>
      <w:bookmarkStart w:id="408" w:name="_Toc7378"/>
      <w:bookmarkStart w:id="409" w:name="_Toc20048"/>
      <w:bookmarkStart w:id="410" w:name="_Toc30763"/>
      <w:bookmarkStart w:id="411" w:name="_Toc26425"/>
      <w:bookmarkStart w:id="412" w:name="_Toc16348"/>
      <w:bookmarkStart w:id="413" w:name="_Toc531797777"/>
      <w:bookmarkStart w:id="414" w:name="_Toc29679"/>
      <w:bookmarkStart w:id="415" w:name="_Toc5018"/>
      <w:bookmarkStart w:id="416" w:name="_Toc13149"/>
      <w:bookmarkStart w:id="417" w:name="_Toc31641"/>
      <w:bookmarkStart w:id="418" w:name="_Toc531884903"/>
      <w:bookmarkStart w:id="419" w:name="_Toc25537"/>
      <w:bookmarkStart w:id="420" w:name="_Toc18496"/>
      <w:bookmarkStart w:id="421" w:name="_Toc89441278"/>
      <w:bookmarkStart w:id="422" w:name="_Toc24970"/>
      <w:bookmarkStart w:id="423" w:name="_Toc30167"/>
      <w:r>
        <w:rPr>
          <w:rFonts w:hint="eastAsia" w:ascii="宋体" w:hAnsi="宋体" w:cs="宋体"/>
          <w:b/>
          <w:bCs/>
          <w:sz w:val="24"/>
          <w:szCs w:val="24"/>
          <w:highlight w:val="none"/>
        </w:rPr>
        <w:t>2.甲方的义务</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3D64ED3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2.1提供资料</w:t>
      </w:r>
    </w:p>
    <w:p w14:paraId="3539952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甲方应当在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约定的时间内，按照</w:t>
      </w:r>
      <w:r>
        <w:rPr>
          <w:rFonts w:hint="eastAsia" w:ascii="宋体" w:hAnsi="宋体" w:cs="宋体"/>
          <w:b/>
          <w:bCs/>
          <w:kern w:val="2"/>
          <w:sz w:val="24"/>
          <w:szCs w:val="24"/>
          <w:highlight w:val="none"/>
        </w:rPr>
        <w:t>附录B</w:t>
      </w:r>
      <w:r>
        <w:rPr>
          <w:rFonts w:hint="eastAsia" w:ascii="宋体" w:hAnsi="宋体" w:cs="宋体"/>
          <w:kern w:val="2"/>
          <w:sz w:val="24"/>
          <w:szCs w:val="24"/>
          <w:highlight w:val="none"/>
        </w:rPr>
        <w:t>的约定无偿向乙方提供与本合同咨询业务有关的资料。在本合同履行过程中，甲方应及时向乙方提供最新的与本合同咨询业务有关的资料。甲方应对所提供资料的真实性、准确性、合法性与完整性负责。</w:t>
      </w:r>
    </w:p>
    <w:p w14:paraId="5016707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2.2提供工作条件</w:t>
      </w:r>
    </w:p>
    <w:p w14:paraId="604F586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甲方应为乙方完成</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提供必要的条件。</w:t>
      </w:r>
    </w:p>
    <w:p w14:paraId="728A71CB">
      <w:pPr>
        <w:widowControl w:val="0"/>
        <w:adjustRightInd w:val="0"/>
        <w:snapToGrid w:val="0"/>
        <w:spacing w:line="384" w:lineRule="auto"/>
        <w:ind w:firstLine="480" w:firstLineChars="200"/>
        <w:jc w:val="both"/>
        <w:rPr>
          <w:rFonts w:hint="default"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cs="宋体"/>
          <w:kern w:val="2"/>
          <w:sz w:val="24"/>
          <w:szCs w:val="24"/>
          <w:highlight w:val="none"/>
        </w:rPr>
        <w:t>2.2.1甲方需要乙方派驻项目现场乙方人员的，除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w:t>
      </w:r>
      <w:r>
        <w:rPr>
          <w:rFonts w:hint="eastAsia" w:ascii="宋体" w:hAnsi="宋体" w:cs="宋体"/>
          <w:color w:val="000000" w:themeColor="text1"/>
          <w:kern w:val="2"/>
          <w:sz w:val="24"/>
          <w:szCs w:val="24"/>
          <w:highlight w:val="none"/>
          <w:lang w:val="en-US" w:eastAsia="zh-CN"/>
          <w14:textFill>
            <w14:solidFill>
              <w14:schemeClr w14:val="tx1"/>
            </w14:solidFill>
          </w14:textFill>
        </w:rPr>
        <w:t>甲方为乙方派驻项目现场的人员提供办公场所方面的便利。</w:t>
      </w:r>
    </w:p>
    <w:p w14:paraId="3D107BA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2.2.2甲方应负责与本工程全过程造价控制咨询有关的所有外部关系的协调，为乙方履行本合同提供必要的外部条件。</w:t>
      </w:r>
    </w:p>
    <w:p w14:paraId="0CDCE84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2.3合理工作时限</w:t>
      </w:r>
    </w:p>
    <w:p w14:paraId="23C3C0C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甲方应当为乙方完成其咨询工作，设定合理的工作时限。</w:t>
      </w:r>
    </w:p>
    <w:p w14:paraId="542CC3A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2.4甲方代表</w:t>
      </w:r>
    </w:p>
    <w:p w14:paraId="31BDAD9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甲方应授权一名代表负责本合同的履行。甲方应在双方签订本合同7日内，将甲方代表的姓名和权限范围书面告知乙方。甲方更换甲方代表时，应提前7日书面通知乙方。</w:t>
      </w:r>
    </w:p>
    <w:p w14:paraId="695B724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2.5答复</w:t>
      </w:r>
    </w:p>
    <w:p w14:paraId="06645E1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甲方应当在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约定的时间内就乙方以书面形式提交并要求做出答复的事宜给予书面答复。逾期未答复的，由此造成的工作延误和损失由甲方承担。</w:t>
      </w:r>
    </w:p>
    <w:p w14:paraId="34BE814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2.6支付</w:t>
      </w:r>
    </w:p>
    <w:p w14:paraId="25781E7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甲方应当按照合同的约定，向乙方支付合同金额。</w:t>
      </w:r>
    </w:p>
    <w:p w14:paraId="632A2620">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424" w:name="_Toc441336782"/>
      <w:bookmarkStart w:id="425" w:name="_Toc9569"/>
      <w:bookmarkStart w:id="426" w:name="_Toc10083"/>
      <w:bookmarkStart w:id="427" w:name="_Toc507"/>
      <w:bookmarkStart w:id="428" w:name="_Toc11909"/>
      <w:bookmarkStart w:id="429" w:name="_Toc531797778"/>
      <w:bookmarkStart w:id="430" w:name="_Toc1419"/>
      <w:bookmarkStart w:id="431" w:name="_Toc19361"/>
      <w:bookmarkStart w:id="432" w:name="_Toc13096"/>
      <w:bookmarkStart w:id="433" w:name="_Toc531884904"/>
      <w:bookmarkStart w:id="434" w:name="_Toc7602"/>
      <w:bookmarkStart w:id="435" w:name="_Toc14280"/>
      <w:bookmarkStart w:id="436" w:name="_Toc8413"/>
      <w:bookmarkStart w:id="437" w:name="_Toc6816"/>
      <w:bookmarkStart w:id="438" w:name="_Toc9531"/>
      <w:bookmarkStart w:id="439" w:name="_Toc21495"/>
      <w:bookmarkStart w:id="440" w:name="_Toc24950"/>
      <w:bookmarkStart w:id="441" w:name="_Toc9777"/>
      <w:bookmarkStart w:id="442" w:name="_Toc18251"/>
      <w:bookmarkStart w:id="443" w:name="_Toc15688"/>
      <w:bookmarkStart w:id="444" w:name="_Toc89441279"/>
      <w:bookmarkStart w:id="445" w:name="_Toc27187"/>
      <w:r>
        <w:rPr>
          <w:rFonts w:hint="eastAsia" w:ascii="宋体" w:hAnsi="宋体" w:cs="宋体"/>
          <w:b/>
          <w:bCs/>
          <w:sz w:val="24"/>
          <w:szCs w:val="24"/>
          <w:highlight w:val="none"/>
        </w:rPr>
        <w:t>3.乙方的义务</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2F0CF3F7">
      <w:pPr>
        <w:widowControl w:val="0"/>
        <w:adjustRightInd w:val="0"/>
        <w:snapToGrid w:val="0"/>
        <w:spacing w:line="384" w:lineRule="auto"/>
        <w:ind w:firstLine="480" w:firstLineChars="200"/>
        <w:jc w:val="both"/>
        <w:rPr>
          <w:rFonts w:ascii="宋体" w:hAnsi="宋体" w:cs="宋体"/>
          <w:kern w:val="2"/>
          <w:sz w:val="24"/>
          <w:szCs w:val="24"/>
          <w:highlight w:val="none"/>
        </w:rPr>
      </w:pPr>
      <w:bookmarkStart w:id="446" w:name="_bookmark9"/>
      <w:bookmarkEnd w:id="446"/>
      <w:r>
        <w:rPr>
          <w:rFonts w:hint="eastAsia" w:ascii="宋体" w:hAnsi="宋体" w:cs="宋体"/>
          <w:kern w:val="2"/>
          <w:sz w:val="24"/>
          <w:szCs w:val="24"/>
          <w:highlight w:val="none"/>
        </w:rPr>
        <w:t>3.1项目咨询团队及人员</w:t>
      </w:r>
    </w:p>
    <w:p w14:paraId="6F31C83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3.1.1项目咨询团队的主要人员应具有</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约定的资格条件，团队人员的数量应符合</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的约定。</w:t>
      </w:r>
    </w:p>
    <w:p w14:paraId="4C2482E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3.1.2项目负责人</w:t>
      </w:r>
    </w:p>
    <w:p w14:paraId="2AAED8F4">
      <w:pPr>
        <w:widowControl w:val="0"/>
        <w:adjustRightInd w:val="0"/>
        <w:snapToGrid w:val="0"/>
        <w:spacing w:line="384" w:lineRule="auto"/>
        <w:ind w:firstLine="492" w:firstLineChars="200"/>
        <w:jc w:val="both"/>
        <w:rPr>
          <w:rFonts w:ascii="宋体" w:hAnsi="宋体" w:cs="宋体"/>
          <w:kern w:val="2"/>
          <w:sz w:val="24"/>
          <w:szCs w:val="24"/>
          <w:highlight w:val="none"/>
        </w:rPr>
      </w:pPr>
      <w:r>
        <w:rPr>
          <w:rFonts w:hint="eastAsia" w:ascii="宋体" w:hAnsi="宋体" w:cs="宋体"/>
          <w:spacing w:val="3"/>
          <w:kern w:val="2"/>
          <w:sz w:val="24"/>
          <w:szCs w:val="24"/>
          <w:highlight w:val="none"/>
        </w:rPr>
        <w:t>乙方应以书面形式授权一名项目负责人负责履行本合同、主持项目咨询团队工作。项目负责人应当与竞争性谈判文件载明的一</w:t>
      </w:r>
      <w:r>
        <w:rPr>
          <w:rFonts w:hint="eastAsia" w:ascii="宋体" w:hAnsi="宋体" w:cs="宋体"/>
          <w:kern w:val="2"/>
          <w:sz w:val="24"/>
          <w:szCs w:val="24"/>
          <w:highlight w:val="none"/>
        </w:rPr>
        <w:t>致。</w:t>
      </w:r>
    </w:p>
    <w:p w14:paraId="647351C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3.1.3</w:t>
      </w:r>
      <w:r>
        <w:rPr>
          <w:rFonts w:hint="eastAsia" w:ascii="宋体" w:hAnsi="宋体" w:cs="宋体"/>
          <w:spacing w:val="6"/>
          <w:kern w:val="2"/>
          <w:sz w:val="24"/>
          <w:szCs w:val="24"/>
          <w:highlight w:val="none"/>
        </w:rPr>
        <w:t>在本合同履行过程中，乙方人员应保持相对稳定，以保证咨询工作</w:t>
      </w:r>
      <w:r>
        <w:rPr>
          <w:rFonts w:hint="eastAsia" w:ascii="宋体" w:hAnsi="宋体" w:cs="宋体"/>
          <w:kern w:val="2"/>
          <w:sz w:val="24"/>
          <w:szCs w:val="24"/>
          <w:highlight w:val="none"/>
        </w:rPr>
        <w:t>正常进行。</w:t>
      </w:r>
    </w:p>
    <w:p w14:paraId="45ED3695">
      <w:pPr>
        <w:widowControl w:val="0"/>
        <w:adjustRightInd w:val="0"/>
        <w:snapToGrid w:val="0"/>
        <w:spacing w:line="384" w:lineRule="auto"/>
        <w:ind w:firstLine="492" w:firstLineChars="200"/>
        <w:jc w:val="both"/>
        <w:rPr>
          <w:rFonts w:ascii="宋体" w:hAnsi="宋体" w:cs="宋体"/>
          <w:kern w:val="2"/>
          <w:sz w:val="24"/>
          <w:szCs w:val="24"/>
          <w:highlight w:val="none"/>
        </w:rPr>
      </w:pPr>
      <w:r>
        <w:rPr>
          <w:rFonts w:hint="eastAsia" w:ascii="宋体" w:hAnsi="宋体" w:cs="宋体"/>
          <w:spacing w:val="3"/>
          <w:kern w:val="2"/>
          <w:sz w:val="24"/>
          <w:szCs w:val="24"/>
          <w:highlight w:val="none"/>
        </w:rPr>
        <w:t>乙方可根据工程进展和工作需要等情形调整项目咨询团队人员。乙方</w:t>
      </w:r>
      <w:r>
        <w:rPr>
          <w:rFonts w:hint="eastAsia" w:ascii="宋体" w:hAnsi="宋体" w:cs="宋体"/>
          <w:spacing w:val="11"/>
          <w:kern w:val="2"/>
          <w:sz w:val="24"/>
          <w:szCs w:val="24"/>
          <w:highlight w:val="none"/>
        </w:rPr>
        <w:t>更换项目负责人时，应提前</w:t>
      </w:r>
      <w:r>
        <w:rPr>
          <w:rFonts w:hint="eastAsia" w:ascii="宋体" w:hAnsi="宋体" w:cs="宋体"/>
          <w:kern w:val="2"/>
          <w:sz w:val="24"/>
          <w:szCs w:val="24"/>
          <w:highlight w:val="none"/>
        </w:rPr>
        <w:t>7</w:t>
      </w:r>
      <w:r>
        <w:rPr>
          <w:rFonts w:hint="eastAsia" w:ascii="宋体" w:hAnsi="宋体" w:cs="宋体"/>
          <w:spacing w:val="11"/>
          <w:kern w:val="2"/>
          <w:sz w:val="24"/>
          <w:szCs w:val="24"/>
          <w:highlight w:val="none"/>
        </w:rPr>
        <w:t>日向甲方书面报告，经甲方同意后方可更</w:t>
      </w:r>
      <w:r>
        <w:rPr>
          <w:rFonts w:hint="eastAsia" w:ascii="宋体" w:hAnsi="宋体" w:cs="宋体"/>
          <w:spacing w:val="3"/>
          <w:kern w:val="2"/>
          <w:sz w:val="24"/>
          <w:szCs w:val="24"/>
          <w:highlight w:val="none"/>
        </w:rPr>
        <w:t>换。除</w:t>
      </w:r>
      <w:r>
        <w:rPr>
          <w:rFonts w:hint="eastAsia" w:ascii="宋体" w:hAnsi="宋体" w:cs="宋体"/>
          <w:spacing w:val="3"/>
          <w:kern w:val="2"/>
          <w:sz w:val="24"/>
          <w:szCs w:val="24"/>
          <w:highlight w:val="none"/>
          <w:lang w:eastAsia="zh-CN"/>
        </w:rPr>
        <w:t>专用条款</w:t>
      </w:r>
      <w:r>
        <w:rPr>
          <w:rFonts w:hint="eastAsia" w:ascii="宋体" w:hAnsi="宋体" w:cs="宋体"/>
          <w:spacing w:val="3"/>
          <w:kern w:val="2"/>
          <w:sz w:val="24"/>
          <w:szCs w:val="24"/>
          <w:highlight w:val="none"/>
        </w:rPr>
        <w:t>另有约定外，乙方更换项目咨询团队其他乙方人员，应提前</w:t>
      </w:r>
      <w:r>
        <w:rPr>
          <w:rFonts w:hint="eastAsia" w:ascii="宋体" w:hAnsi="宋体" w:cs="宋体"/>
          <w:kern w:val="2"/>
          <w:sz w:val="24"/>
          <w:szCs w:val="24"/>
          <w:highlight w:val="none"/>
        </w:rPr>
        <w:t>3日向甲方书面报告，经甲方同意后以相当资格与能力的人员替换。</w:t>
      </w:r>
    </w:p>
    <w:p w14:paraId="340B20D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3.1.4</w:t>
      </w:r>
      <w:r>
        <w:rPr>
          <w:rFonts w:hint="eastAsia" w:ascii="宋体" w:hAnsi="宋体" w:cs="宋体"/>
          <w:spacing w:val="6"/>
          <w:kern w:val="2"/>
          <w:sz w:val="24"/>
          <w:szCs w:val="24"/>
          <w:highlight w:val="none"/>
        </w:rPr>
        <w:t>乙方人员有下列情形之一，甲方要求乙方更换的，乙方应当</w:t>
      </w:r>
      <w:r>
        <w:rPr>
          <w:rFonts w:hint="eastAsia" w:ascii="宋体" w:hAnsi="宋体" w:cs="宋体"/>
          <w:kern w:val="2"/>
          <w:sz w:val="24"/>
          <w:szCs w:val="24"/>
          <w:highlight w:val="none"/>
        </w:rPr>
        <w:t>更换：</w:t>
      </w:r>
    </w:p>
    <w:p w14:paraId="7C09C78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（1）存在严重过失行为的；</w:t>
      </w:r>
    </w:p>
    <w:p w14:paraId="5E978BE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（2）存在违法行为不能履行职责的；</w:t>
      </w:r>
    </w:p>
    <w:p w14:paraId="02CB536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（3）涉嫌犯罪的；</w:t>
      </w:r>
    </w:p>
    <w:p w14:paraId="2387FE8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（4）不能胜任岗位职责的；</w:t>
      </w:r>
    </w:p>
    <w:p w14:paraId="36B2FAC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（5）严重违反职业道德的；</w:t>
      </w:r>
    </w:p>
    <w:p w14:paraId="4F982F0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约定的其他情形。</w:t>
      </w:r>
    </w:p>
    <w:p w14:paraId="4894D82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3.2乙方的工作要求</w:t>
      </w:r>
    </w:p>
    <w:p w14:paraId="54B662C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3.2.1乙方应当按照</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时间等要求向甲方提供与工程全过程造价控制咨询有关的资料，包括全过程造价控制咨询企业的资质证书及承担本合同业务的团队人员名单及执业（从业）资格证书、咨询工作大纲等，并按合同约定的服务范围和工作内容实施咨询业务。</w:t>
      </w:r>
    </w:p>
    <w:p w14:paraId="743F30B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3.2.2乙方应当在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约定的时间内，按照</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约定的份数、组成向甲方提交咨询成果文件。</w:t>
      </w:r>
    </w:p>
    <w:p w14:paraId="123C2F7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乙方提供</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以及出具</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咨询成果文件应符合现行国家或行业有关规定、标准、规范的要求。甲方要求的</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咨询成果文件质</w:t>
      </w:r>
      <w:bookmarkStart w:id="447" w:name="_bookmark10"/>
      <w:bookmarkEnd w:id="447"/>
      <w:r>
        <w:rPr>
          <w:rFonts w:hint="eastAsia" w:ascii="宋体" w:hAnsi="宋体" w:cs="宋体"/>
          <w:kern w:val="2"/>
          <w:sz w:val="24"/>
          <w:szCs w:val="24"/>
          <w:highlight w:val="none"/>
        </w:rPr>
        <w:t>量标准高于现行国家或行业标准的，应在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中约定具体的质量标准，并相应增加服务合同金额。</w:t>
      </w:r>
    </w:p>
    <w:p w14:paraId="366EBC3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3.2.3乙方提交的</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咨询成果文件，除加盖乙方单位公章、</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咨询企业执业印章外，还必须按要求加盖参加咨询工作人员的执业（从业）资格印章。</w:t>
      </w:r>
    </w:p>
    <w:p w14:paraId="41E4BD0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3.2.4乙方应在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约定的时间内，对甲方以书面形式提出的建议或者异议给予书面答复。</w:t>
      </w:r>
    </w:p>
    <w:p w14:paraId="44A66B3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3.2.5乙方从事</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咨询活动，应当遵循独立、客观、公正、诚实信用的原则，不得损害社会公共利益和他人的合法权益。</w:t>
      </w:r>
    </w:p>
    <w:p w14:paraId="0ECDD3A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3.2.6乙方承诺按照法律规定及合同约定，完成合同范围内的建设</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咨询服务，不转包承接的</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业务。</w:t>
      </w:r>
    </w:p>
    <w:p w14:paraId="5555A31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3.3乙方的工作依据</w:t>
      </w:r>
    </w:p>
    <w:p w14:paraId="112467E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乙方应在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内与甲方协商明确履行本合同约定的咨询服务需要适用的技术标准、规范、定额等工作依据，但不得违反国家及工程所在地的强制性标准、规范。</w:t>
      </w:r>
    </w:p>
    <w:p w14:paraId="6CCC71B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乙方应自行配备本条所述的技术标准、规范、定额等相关资料。必须由甲方提供的资料，应在附录B中载明。需要甲方协助才能获得的资料，甲方应予以协助。</w:t>
      </w:r>
    </w:p>
    <w:p w14:paraId="57FE5C9B">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3.4使用甲方房屋及设备的返还</w:t>
      </w:r>
    </w:p>
    <w:p w14:paraId="0A4F9F7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项目乙方人员使用甲方提供的房屋及设备的，乙方应妥善使用和保管，在本合同终止时将上述房屋及设备按</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约定的时间和方式返还甲方。</w:t>
      </w:r>
      <w:bookmarkStart w:id="448" w:name="_Toc441336783"/>
    </w:p>
    <w:p w14:paraId="27905B9B">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449" w:name="_Toc13993"/>
      <w:bookmarkStart w:id="450" w:name="_Toc32324"/>
      <w:bookmarkStart w:id="451" w:name="_Toc29650"/>
      <w:bookmarkStart w:id="452" w:name="_Toc1257"/>
      <w:bookmarkStart w:id="453" w:name="_Toc19431"/>
      <w:bookmarkStart w:id="454" w:name="_Toc3166"/>
      <w:bookmarkStart w:id="455" w:name="_Toc22083"/>
      <w:bookmarkStart w:id="456" w:name="_Toc31639"/>
      <w:bookmarkStart w:id="457" w:name="_Toc25386"/>
      <w:bookmarkStart w:id="458" w:name="_Toc531884905"/>
      <w:bookmarkStart w:id="459" w:name="_Toc531797779"/>
      <w:bookmarkStart w:id="460" w:name="_Toc26310"/>
      <w:bookmarkStart w:id="461" w:name="_Toc89441280"/>
      <w:bookmarkStart w:id="462" w:name="_Toc18885"/>
      <w:bookmarkStart w:id="463" w:name="_Toc17896"/>
      <w:bookmarkStart w:id="464" w:name="_Toc17059"/>
      <w:bookmarkStart w:id="465" w:name="_Toc12498"/>
      <w:bookmarkStart w:id="466" w:name="_Toc29899"/>
      <w:bookmarkStart w:id="467" w:name="_Toc28391"/>
      <w:bookmarkStart w:id="468" w:name="_Toc31682"/>
      <w:bookmarkStart w:id="469" w:name="_Toc31074"/>
      <w:r>
        <w:rPr>
          <w:rFonts w:hint="eastAsia" w:ascii="宋体" w:hAnsi="宋体" w:cs="宋体"/>
          <w:b/>
          <w:bCs/>
          <w:sz w:val="24"/>
          <w:szCs w:val="24"/>
          <w:highlight w:val="none"/>
        </w:rPr>
        <w:t>4.违约责任</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14:paraId="6CB1393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4.1甲方的违约责任</w:t>
      </w:r>
    </w:p>
    <w:p w14:paraId="00044A2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4.1.1甲方不履行本合同义务或者履行义务不符合本合同约定的，应承担违约责任。双方可在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中约定违约金的计算及支付方法。</w:t>
      </w:r>
    </w:p>
    <w:p w14:paraId="1F45A29B">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4.1.2甲方违反本合同约定造成乙方损失的，甲方应予以赔偿。双方可在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中约定赔偿金额的确定及支付方法。</w:t>
      </w:r>
    </w:p>
    <w:p w14:paraId="68D25AB6">
      <w:pPr>
        <w:widowControl w:val="0"/>
        <w:adjustRightInd w:val="0"/>
        <w:snapToGrid w:val="0"/>
        <w:spacing w:line="384" w:lineRule="auto"/>
        <w:ind w:firstLine="480" w:firstLineChars="200"/>
        <w:jc w:val="both"/>
        <w:rPr>
          <w:rFonts w:ascii="宋体" w:hAnsi="宋体" w:cs="宋体"/>
          <w:kern w:val="2"/>
          <w:sz w:val="24"/>
          <w:szCs w:val="24"/>
          <w:highlight w:val="none"/>
        </w:rPr>
      </w:pPr>
      <w:bookmarkStart w:id="470" w:name="_bookmark11"/>
      <w:bookmarkEnd w:id="470"/>
      <w:r>
        <w:rPr>
          <w:rFonts w:hint="eastAsia" w:ascii="宋体" w:hAnsi="宋体" w:cs="宋体"/>
          <w:kern w:val="2"/>
          <w:sz w:val="24"/>
          <w:szCs w:val="24"/>
          <w:highlight w:val="none"/>
        </w:rPr>
        <w:t>4.1.3甲方未能按期支付合同金额超过14天，应按下列方法计算并支付逾期付款利息。逾期付款利息=当期应付款总额×中国人民银行发布的同期同类贷款基准利率×逾期支付天数（自逾期之日起计算）。双方也可在专用条款中另行约定逾期付款利息的计算及支付方法。</w:t>
      </w:r>
    </w:p>
    <w:p w14:paraId="73EDE34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4.2乙方的违约责任</w:t>
      </w:r>
    </w:p>
    <w:p w14:paraId="2A19741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4.2.1乙方不履行本合同义务或者履行义务不符合本合同约定的，应承担违约责任。双方可在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中约定违约金的计算及支付方法。</w:t>
      </w:r>
    </w:p>
    <w:p w14:paraId="7DFB5105">
      <w:pPr>
        <w:widowControl w:val="0"/>
        <w:adjustRightInd w:val="0"/>
        <w:snapToGrid w:val="0"/>
        <w:spacing w:line="384" w:lineRule="auto"/>
        <w:ind w:firstLine="480" w:firstLineChars="200"/>
        <w:rPr>
          <w:rFonts w:hint="eastAsia" w:ascii="宋体" w:hAnsi="宋体" w:cs="宋体"/>
          <w:kern w:val="2"/>
          <w:sz w:val="24"/>
          <w:szCs w:val="24"/>
          <w:highlight w:val="none"/>
        </w:rPr>
      </w:pPr>
      <w:r>
        <w:rPr>
          <w:rFonts w:hint="eastAsia" w:ascii="宋体" w:hAnsi="宋体" w:cs="宋体"/>
          <w:kern w:val="2"/>
          <w:sz w:val="24"/>
          <w:szCs w:val="24"/>
          <w:highlight w:val="none"/>
        </w:rPr>
        <w:t>4.2.2因乙方违反本合同约定给甲方造成损失的，乙方应当赔偿甲方损失。双方可在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中约定赔偿金额的确定及支付方法。</w:t>
      </w:r>
    </w:p>
    <w:p w14:paraId="54FA651C">
      <w:pPr>
        <w:widowControl w:val="0"/>
        <w:adjustRightInd w:val="0"/>
        <w:snapToGrid w:val="0"/>
        <w:spacing w:line="384" w:lineRule="auto"/>
        <w:ind w:firstLine="480" w:firstLineChars="200"/>
        <w:rPr>
          <w:rFonts w:hint="default" w:eastAsia="宋体"/>
          <w:highlight w:val="none"/>
          <w:lang w:val="en-US" w:eastAsia="zh-CN"/>
        </w:rPr>
      </w:pPr>
      <w:r>
        <w:rPr>
          <w:rFonts w:hint="eastAsia" w:ascii="宋体" w:hAnsi="宋体" w:cs="宋体"/>
          <w:kern w:val="2"/>
          <w:sz w:val="24"/>
          <w:szCs w:val="24"/>
          <w:highlight w:val="none"/>
          <w:lang w:val="en-US" w:eastAsia="zh-CN"/>
        </w:rPr>
        <w:t>4.3违约方应承担守约方因维权产生的费用，包括但不限于：诉讼费、律师代理费、财产保全费、保全保险费、鉴定费、评估费、拍卖费、公证费、差旅费、通讯费等。</w:t>
      </w:r>
    </w:p>
    <w:p w14:paraId="798CDD11">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471" w:name="_Toc12174"/>
      <w:bookmarkStart w:id="472" w:name="_Toc4727"/>
      <w:bookmarkStart w:id="473" w:name="_Toc4350"/>
      <w:bookmarkStart w:id="474" w:name="_Toc25105"/>
      <w:bookmarkStart w:id="475" w:name="_Toc441336784"/>
      <w:bookmarkStart w:id="476" w:name="_Toc7770"/>
      <w:bookmarkStart w:id="477" w:name="_Toc1156"/>
      <w:bookmarkStart w:id="478" w:name="_Toc3258"/>
      <w:bookmarkStart w:id="479" w:name="_Toc23193"/>
      <w:bookmarkStart w:id="480" w:name="_Toc25161"/>
      <w:bookmarkStart w:id="481" w:name="_Toc14731"/>
      <w:bookmarkStart w:id="482" w:name="_Toc25673"/>
      <w:bookmarkStart w:id="483" w:name="_Toc23551"/>
      <w:bookmarkStart w:id="484" w:name="_Toc531884906"/>
      <w:bookmarkStart w:id="485" w:name="_Toc14512"/>
      <w:bookmarkStart w:id="486" w:name="_Toc14197"/>
      <w:bookmarkStart w:id="487" w:name="_Toc7999"/>
      <w:bookmarkStart w:id="488" w:name="_Toc10871"/>
      <w:bookmarkStart w:id="489" w:name="_Toc89441281"/>
      <w:bookmarkStart w:id="490" w:name="_Toc30847"/>
      <w:bookmarkStart w:id="491" w:name="_Toc531797780"/>
      <w:bookmarkStart w:id="492" w:name="_Toc4392"/>
      <w:r>
        <w:rPr>
          <w:rFonts w:hint="eastAsia" w:ascii="宋体" w:hAnsi="宋体" w:cs="宋体"/>
          <w:b/>
          <w:bCs/>
          <w:sz w:val="24"/>
          <w:szCs w:val="24"/>
          <w:highlight w:val="none"/>
        </w:rPr>
        <w:t>5.支付</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038DB6C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5.1支付货币</w:t>
      </w:r>
    </w:p>
    <w:p w14:paraId="2208137B">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另有约定外，合同金额均以人民币支付。涉及外币支付的，所采用的货币种类和汇率等在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 xml:space="preserve">中约定。 </w:t>
      </w:r>
    </w:p>
    <w:p w14:paraId="5B143B2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5.2支付申请</w:t>
      </w:r>
    </w:p>
    <w:p w14:paraId="1FDF174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乙方应在本合同约定的每次应付款日期前，向甲方提交支付申请书，支付申请书的提交日期由双方在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中约定。支付申请书应当说明当期应付款总额，并列出当期应支付的款项及其金额。</w:t>
      </w:r>
    </w:p>
    <w:p w14:paraId="16500D6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5.3支付合同金额</w:t>
      </w:r>
    </w:p>
    <w:p w14:paraId="3735032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支付合同金额包括正常工作合同金额、附加工作合同金额及费用。</w:t>
      </w:r>
    </w:p>
    <w:p w14:paraId="6F643FD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5.4有异议部分的支付</w:t>
      </w:r>
    </w:p>
    <w:p w14:paraId="4CBBEF9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甲方对乙方提交的支付申请书有异议时，应当在收到乙方提交的支付申请书后7日内，以书面形式向乙方发出异议通知。无异议部分的款项应按期支付，有异议部分的款项按第7条约定办理。</w:t>
      </w:r>
    </w:p>
    <w:p w14:paraId="749440FD">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493" w:name="_Toc1492"/>
      <w:bookmarkStart w:id="494" w:name="_Toc11893"/>
      <w:bookmarkStart w:id="495" w:name="_Toc531797781"/>
      <w:bookmarkStart w:id="496" w:name="_Toc20855"/>
      <w:bookmarkStart w:id="497" w:name="_Toc20738"/>
      <w:bookmarkStart w:id="498" w:name="_Toc2639"/>
      <w:bookmarkStart w:id="499" w:name="_Toc29930"/>
      <w:bookmarkStart w:id="500" w:name="_Toc18418"/>
      <w:bookmarkStart w:id="501" w:name="_Toc441336785"/>
      <w:bookmarkStart w:id="502" w:name="_Toc28041"/>
      <w:bookmarkStart w:id="503" w:name="_Toc89441282"/>
      <w:bookmarkStart w:id="504" w:name="_Toc15374"/>
      <w:bookmarkStart w:id="505" w:name="_Toc19877"/>
      <w:bookmarkStart w:id="506" w:name="_Toc10752"/>
      <w:bookmarkStart w:id="507" w:name="_Toc14983"/>
      <w:bookmarkStart w:id="508" w:name="_Toc31896"/>
      <w:bookmarkStart w:id="509" w:name="_Toc31146"/>
      <w:bookmarkStart w:id="510" w:name="_Toc3811"/>
      <w:bookmarkStart w:id="511" w:name="_Toc3976"/>
      <w:bookmarkStart w:id="512" w:name="_Toc1728"/>
      <w:bookmarkStart w:id="513" w:name="_Toc531884907"/>
      <w:bookmarkStart w:id="514" w:name="_Toc27855"/>
      <w:r>
        <w:rPr>
          <w:rFonts w:hint="eastAsia" w:ascii="宋体" w:hAnsi="宋体" w:cs="宋体"/>
          <w:b/>
          <w:bCs/>
          <w:sz w:val="24"/>
          <w:szCs w:val="24"/>
          <w:highlight w:val="none"/>
        </w:rPr>
        <w:t>6.合同变更、解除与终止</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14:paraId="42BC342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6.1合同变更</w:t>
      </w:r>
    </w:p>
    <w:p w14:paraId="2024518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6.1.1任何一方以书面形式提出变更请求时，双方经协商一致后可进行变更。</w:t>
      </w:r>
    </w:p>
    <w:p w14:paraId="693F818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6.1.2除不可抗力外，因非乙方原因导致乙方履行合同期限延长、内</w:t>
      </w:r>
      <w:bookmarkStart w:id="515" w:name="_bookmark12"/>
      <w:bookmarkEnd w:id="515"/>
      <w:r>
        <w:rPr>
          <w:rFonts w:hint="eastAsia" w:ascii="宋体" w:hAnsi="宋体" w:cs="宋体"/>
          <w:kern w:val="2"/>
          <w:sz w:val="24"/>
          <w:szCs w:val="24"/>
          <w:highlight w:val="none"/>
        </w:rPr>
        <w:t>容增加时，乙方应当将此情况与可能产生的影响及时通知甲方。增加的工作时间或工作内容应视为附加工作。附加工作合同金额的确定方法由双方根据委托的服务范围及工作内容在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w:t>
      </w:r>
    </w:p>
    <w:p w14:paraId="4851C31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6.1.3合同履行过程中，遇有与工程相关的法律法规、强制性标准颁布或修订的，双方应遵照执行。非强制性标准、规范、定额等发生变化的，双方协商确定执行依据。由此引起</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的服务范围及内容、服务期限、合同金额变化的，双方应通过协商确定。</w:t>
      </w:r>
    </w:p>
    <w:p w14:paraId="52D03BF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6.1.4因工程规模、服务范围及工作内容的变化等导致乙方的工作量增减时，服务合同金额应作相应调整，调整方法由双方在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w:t>
      </w:r>
    </w:p>
    <w:p w14:paraId="3A36209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6.2合同解除</w:t>
      </w:r>
    </w:p>
    <w:p w14:paraId="0BBF201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6.2.1甲方与乙方协商一致，可以解除合同。</w:t>
      </w:r>
    </w:p>
    <w:p w14:paraId="6ECD84CB">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6.2.2有下列情形之一的，合同当事人一方或双方可以解除合同：</w:t>
      </w:r>
    </w:p>
    <w:p w14:paraId="641C372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（1）乙方将本合同约定的</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咨询服务工作转包给他人，甲方可以解除合同；</w:t>
      </w:r>
    </w:p>
    <w:p w14:paraId="76B3B41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（2）乙方提供的</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不符合合同约定的要求，经甲方催告仍不能达到合同约定要求的，甲方可以解除合同；</w:t>
      </w:r>
    </w:p>
    <w:p w14:paraId="54629E4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（3）甲方未按合同约定支付服务合同金额，经乙方催告后，在28天内仍未支付的，乙方可以解除合同；</w:t>
      </w:r>
    </w:p>
    <w:p w14:paraId="2C3FAE0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（4）因不可抗力致使合同无法履行；</w:t>
      </w:r>
    </w:p>
    <w:p w14:paraId="53BD1C7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（5）因一方违约致使合同无法实际履行或实际履行已无必要。除上述情形外，双方可以根据委托的服务范围及工作内容，在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中约定解除合同的其他条件。</w:t>
      </w:r>
    </w:p>
    <w:p w14:paraId="4B58AFA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6.2.3任何一方提出解除合同的，应提前30天书面通知对方。</w:t>
      </w:r>
    </w:p>
    <w:p w14:paraId="38971E1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6.2.4合同解除后，甲方应按照合同约定向乙方支付已完成部分的咨询服务合同金额。</w:t>
      </w:r>
    </w:p>
    <w:p w14:paraId="757582F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因不可抗力导致的合同解除，其损失的分担按照合理分担的原则由合同当事人在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中自行约定。除不可抗力外因非乙方原因导致的合同解除，其损失由甲方承担。因乙方自身原因导致的合同解除，按照违约责任处理。</w:t>
      </w:r>
    </w:p>
    <w:p w14:paraId="2DB02845">
      <w:pPr>
        <w:widowControl w:val="0"/>
        <w:adjustRightInd w:val="0"/>
        <w:snapToGrid w:val="0"/>
        <w:spacing w:line="384" w:lineRule="auto"/>
        <w:ind w:firstLine="480" w:firstLineChars="200"/>
        <w:jc w:val="both"/>
        <w:rPr>
          <w:rFonts w:ascii="宋体" w:hAnsi="宋体" w:cs="宋体"/>
          <w:kern w:val="2"/>
          <w:sz w:val="24"/>
          <w:szCs w:val="24"/>
          <w:highlight w:val="none"/>
        </w:rPr>
      </w:pPr>
      <w:bookmarkStart w:id="516" w:name="_bookmark14"/>
      <w:bookmarkEnd w:id="516"/>
      <w:bookmarkStart w:id="517" w:name="_bookmark13"/>
      <w:bookmarkEnd w:id="517"/>
      <w:r>
        <w:rPr>
          <w:rFonts w:hint="eastAsia" w:ascii="宋体" w:hAnsi="宋体" w:cs="宋体"/>
          <w:kern w:val="2"/>
          <w:sz w:val="24"/>
          <w:szCs w:val="24"/>
          <w:highlight w:val="none"/>
        </w:rPr>
        <w:t>6.2.5非因乙方违约导致本合同解除后，本合同约定的有关结算、争议解决方式的条款仍然有效。</w:t>
      </w:r>
    </w:p>
    <w:p w14:paraId="5B9FC94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6.3合同终止</w:t>
      </w:r>
    </w:p>
    <w:p w14:paraId="536E8A4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除合同解除外，以下条件全部满足时，本合同终止：</w:t>
      </w:r>
    </w:p>
    <w:p w14:paraId="629E08B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（1）乙方完成本合同约定的全部工作；</w:t>
      </w:r>
    </w:p>
    <w:p w14:paraId="51C6F2B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（2）甲方与乙方结清并支付合同金额；</w:t>
      </w:r>
    </w:p>
    <w:p w14:paraId="287357E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（3）乙方将甲方提供的资料交还。</w:t>
      </w:r>
    </w:p>
    <w:p w14:paraId="4F532ABF">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518" w:name="_Toc14716"/>
      <w:bookmarkStart w:id="519" w:name="_Toc17557"/>
      <w:bookmarkStart w:id="520" w:name="_Toc13734"/>
      <w:bookmarkStart w:id="521" w:name="_Toc24404"/>
      <w:bookmarkStart w:id="522" w:name="_Toc11124"/>
      <w:bookmarkStart w:id="523" w:name="_Toc14201"/>
      <w:bookmarkStart w:id="524" w:name="_Toc10707"/>
      <w:bookmarkStart w:id="525" w:name="_Toc10173"/>
      <w:bookmarkStart w:id="526" w:name="_Toc531797782"/>
      <w:bookmarkStart w:id="527" w:name="_Toc18229"/>
      <w:bookmarkStart w:id="528" w:name="_Toc441336786"/>
      <w:bookmarkStart w:id="529" w:name="_Toc5020"/>
      <w:bookmarkStart w:id="530" w:name="_Toc17032"/>
      <w:bookmarkStart w:id="531" w:name="_Toc89441283"/>
      <w:bookmarkStart w:id="532" w:name="_Toc7805"/>
      <w:bookmarkStart w:id="533" w:name="_Toc531884908"/>
      <w:bookmarkStart w:id="534" w:name="_Toc4720"/>
      <w:bookmarkStart w:id="535" w:name="_Toc16922"/>
      <w:bookmarkStart w:id="536" w:name="_Toc6289"/>
      <w:bookmarkStart w:id="537" w:name="_Toc356"/>
      <w:bookmarkStart w:id="538" w:name="_Toc32267"/>
      <w:bookmarkStart w:id="539" w:name="_Toc27866"/>
      <w:r>
        <w:rPr>
          <w:rFonts w:hint="eastAsia" w:ascii="宋体" w:hAnsi="宋体" w:cs="宋体"/>
          <w:b/>
          <w:bCs/>
          <w:sz w:val="24"/>
          <w:szCs w:val="24"/>
          <w:highlight w:val="none"/>
        </w:rPr>
        <w:t>7.争议解决</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2AF3701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7.1协商</w:t>
      </w:r>
    </w:p>
    <w:p w14:paraId="0837AAE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双方应本着诚实信用的原则协商解决本合同履行过程中发生的争议。</w:t>
      </w:r>
    </w:p>
    <w:p w14:paraId="104F415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7.2调解</w:t>
      </w:r>
    </w:p>
    <w:p w14:paraId="43137D9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如果双方不能在14日内或双方商定的其他时间内解决本合同争议，可以将其提交给</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约定的或事后达成协议的调解人进行调解。</w:t>
      </w:r>
    </w:p>
    <w:p w14:paraId="547114E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7.3仲裁或诉讼</w:t>
      </w:r>
    </w:p>
    <w:p w14:paraId="024958E3">
      <w:pPr>
        <w:widowControl w:val="0"/>
        <w:tabs>
          <w:tab w:val="left" w:pos="-567"/>
        </w:tabs>
        <w:adjustRightInd w:val="0"/>
        <w:snapToGrid w:val="0"/>
        <w:spacing w:line="384" w:lineRule="auto"/>
        <w:ind w:firstLine="480" w:firstLineChars="200"/>
        <w:jc w:val="both"/>
        <w:rPr>
          <w:rFonts w:ascii="宋体" w:hAnsi="宋体" w:cs="宋体"/>
          <w:b/>
          <w:bCs/>
          <w:sz w:val="24"/>
          <w:szCs w:val="24"/>
          <w:highlight w:val="none"/>
        </w:rPr>
      </w:pPr>
      <w:r>
        <w:rPr>
          <w:rFonts w:hint="eastAsia" w:ascii="宋体" w:hAnsi="宋体" w:cs="宋体"/>
          <w:kern w:val="2"/>
          <w:sz w:val="24"/>
          <w:szCs w:val="24"/>
          <w:highlight w:val="none"/>
        </w:rPr>
        <w:t>双方均有权不经调解直接向专用条款所约定的项目所在地有管辖权的人民法院提起诉讼。</w:t>
      </w:r>
      <w:bookmarkStart w:id="540" w:name="_Toc19181"/>
      <w:bookmarkStart w:id="541" w:name="_Toc21884"/>
      <w:bookmarkStart w:id="542" w:name="_Toc26797"/>
      <w:bookmarkStart w:id="543" w:name="_Toc12103"/>
      <w:bookmarkStart w:id="544" w:name="_Toc14654"/>
      <w:bookmarkStart w:id="545" w:name="_Toc30595"/>
      <w:bookmarkStart w:id="546" w:name="_Toc531884898"/>
      <w:bookmarkStart w:id="547" w:name="_Toc531797772"/>
      <w:bookmarkStart w:id="548" w:name="_Toc25941"/>
      <w:bookmarkStart w:id="549" w:name="_Toc16204"/>
      <w:bookmarkStart w:id="550" w:name="_Toc26518"/>
      <w:bookmarkStart w:id="551" w:name="_Toc23390"/>
      <w:bookmarkStart w:id="552" w:name="_Toc23134"/>
      <w:bookmarkStart w:id="553" w:name="_Toc26326"/>
      <w:bookmarkStart w:id="554" w:name="_Toc22139"/>
      <w:bookmarkStart w:id="555" w:name="_Toc622"/>
      <w:bookmarkStart w:id="556" w:name="_Toc441336787"/>
      <w:bookmarkStart w:id="557" w:name="_Toc531884909"/>
      <w:bookmarkStart w:id="558" w:name="_Toc531797783"/>
    </w:p>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14:paraId="5539CF4F">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559" w:name="_Toc89441284"/>
      <w:bookmarkStart w:id="560" w:name="_Toc10419"/>
      <w:bookmarkStart w:id="561" w:name="_Toc7228"/>
      <w:bookmarkStart w:id="562" w:name="_Toc21185"/>
      <w:bookmarkStart w:id="563" w:name="_Toc18803"/>
      <w:bookmarkStart w:id="564" w:name="_Toc12954"/>
      <w:bookmarkStart w:id="565" w:name="_Toc29908"/>
      <w:bookmarkStart w:id="566" w:name="_Toc21157"/>
      <w:bookmarkStart w:id="567" w:name="_Toc4625"/>
      <w:bookmarkStart w:id="568" w:name="_Toc3745"/>
      <w:bookmarkStart w:id="569" w:name="_Toc30829"/>
      <w:bookmarkStart w:id="570" w:name="_Toc32755"/>
      <w:bookmarkStart w:id="571" w:name="_Toc10901"/>
      <w:bookmarkStart w:id="572" w:name="_Toc6324"/>
      <w:bookmarkStart w:id="573" w:name="_Toc18304"/>
      <w:bookmarkStart w:id="574" w:name="_Toc27013"/>
      <w:bookmarkStart w:id="575" w:name="_Toc10017"/>
      <w:bookmarkStart w:id="576" w:name="_Toc6001"/>
      <w:r>
        <w:rPr>
          <w:rFonts w:hint="eastAsia" w:ascii="宋体" w:hAnsi="宋体" w:cs="宋体"/>
          <w:b/>
          <w:bCs/>
          <w:sz w:val="24"/>
          <w:szCs w:val="24"/>
          <w:highlight w:val="none"/>
        </w:rPr>
        <w:t>8.其他</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4F102D6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8.1考察及相关费用</w:t>
      </w:r>
    </w:p>
    <w:p w14:paraId="416E226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另有约定外，乙方经甲方同意进行考察发生的费用由甲方审核后另行支付。差旅费及相关费用的承担由双方在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 xml:space="preserve">中约定。 </w:t>
      </w:r>
    </w:p>
    <w:p w14:paraId="10AB716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8.2保密</w:t>
      </w:r>
    </w:p>
    <w:p w14:paraId="360A422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在本合同履行期间或</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约定的期限内，双方不得泄露对方申明的保密资料，亦不得泄露与实施工程有关的第三人所提供的保密资料。保密事项在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w:t>
      </w:r>
    </w:p>
    <w:p w14:paraId="4272250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8.3联络</w:t>
      </w:r>
    </w:p>
    <w:p w14:paraId="5D923AFB">
      <w:pPr>
        <w:widowControl w:val="0"/>
        <w:adjustRightInd w:val="0"/>
        <w:snapToGrid w:val="0"/>
        <w:spacing w:line="384" w:lineRule="auto"/>
        <w:ind w:firstLine="480" w:firstLineChars="200"/>
        <w:jc w:val="both"/>
        <w:rPr>
          <w:rFonts w:ascii="宋体" w:hAnsi="宋体" w:cs="宋体"/>
          <w:kern w:val="2"/>
          <w:sz w:val="24"/>
          <w:szCs w:val="24"/>
          <w:highlight w:val="none"/>
        </w:rPr>
      </w:pPr>
      <w:bookmarkStart w:id="577" w:name="_bookmark15"/>
      <w:bookmarkEnd w:id="577"/>
      <w:r>
        <w:rPr>
          <w:rFonts w:hint="eastAsia" w:ascii="宋体" w:hAnsi="宋体" w:cs="宋体"/>
          <w:kern w:val="2"/>
          <w:sz w:val="24"/>
          <w:szCs w:val="24"/>
          <w:highlight w:val="none"/>
        </w:rPr>
        <w:t>8.3.1与合同有关的通知、指示、要求、决定等，均应采用书面形式，并应在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约定的期限内送达接收人和送达地点。</w:t>
      </w:r>
    </w:p>
    <w:p w14:paraId="2D5EA7D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8.3.2甲方和乙方应在</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中约定各自的送达接收人、送达地点、电子邮箱。任何一方指定的接收人或送达地点或电子邮箱发生变动的，应提前3天以书面形式通知对方，否则视为未发生变动。</w:t>
      </w:r>
    </w:p>
    <w:p w14:paraId="301A124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8.3.3甲方和乙方应当及时签收另一方送达至送达地点和指定接收人的往来函件，如确有充分证据证明一方无正当理由拒不签收的，视为认可往来函件的内容。</w:t>
      </w:r>
    </w:p>
    <w:p w14:paraId="3C48171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8.4知识产权</w:t>
      </w:r>
    </w:p>
    <w:p w14:paraId="4C5214D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甲方提供给乙方的图纸、甲方为实施工程自行编制或委托编制的技术规范以及反映甲方要求的或其他类似性质文件的著作权属于甲方，乙方可以为实现本合同目的而复制或者以其他方式使用此类文件，但不能用于与本合同无关的其他事项。未经甲方书面同意，乙方不得为了本合同以外的目的而复制或者以其他方式使用上述文件或将之提供给任何第三方。</w:t>
      </w:r>
    </w:p>
    <w:p w14:paraId="402482F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乙方为履行本合同约定而编制的成果文件，其著作权属于乙方。甲方可以为实现合同目的而复制、使用此类文件，但不能擅自修改或用于与本合同无关的其他事项。未经乙方书面同意，甲方不得为了本合同以外的目的而复制或者以其他方式使用上述文件或将之提供给任何第三方。</w:t>
      </w:r>
    </w:p>
    <w:p w14:paraId="326561F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双方保证在履行本合同过程中不侵犯对方及第三方的知识产权。因乙方侵犯他人知识产权所引起的责任，由乙方承担；因甲方提供的基础资料导致侵权的，由甲方承担责任。</w:t>
      </w:r>
      <w:bookmarkStart w:id="578" w:name="_Toc531797784"/>
      <w:bookmarkStart w:id="579" w:name="_Toc531884910"/>
    </w:p>
    <w:p w14:paraId="014A0D1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除</w:t>
      </w:r>
      <w:r>
        <w:rPr>
          <w:rFonts w:hint="eastAsia" w:ascii="宋体" w:hAnsi="宋体" w:cs="宋体"/>
          <w:kern w:val="2"/>
          <w:sz w:val="24"/>
          <w:szCs w:val="24"/>
          <w:highlight w:val="none"/>
          <w:lang w:eastAsia="zh-CN"/>
        </w:rPr>
        <w:t>专用条款</w:t>
      </w:r>
      <w:r>
        <w:rPr>
          <w:rFonts w:hint="eastAsia" w:ascii="宋体" w:hAnsi="宋体" w:cs="宋体"/>
          <w:kern w:val="2"/>
          <w:sz w:val="24"/>
          <w:szCs w:val="24"/>
          <w:highlight w:val="none"/>
        </w:rPr>
        <w:t>另有约定外，双方均有权在履行本合同保密义务并且不损害对方利益的情况下，将履行本合同形成的有关成果文件用于企业宣传、申报奖项以及接受上级主管部门的检查</w:t>
      </w:r>
      <w:bookmarkStart w:id="580" w:name="_Toc441336788"/>
      <w:r>
        <w:rPr>
          <w:rFonts w:hint="eastAsia" w:ascii="宋体" w:hAnsi="宋体" w:cs="宋体"/>
          <w:kern w:val="2"/>
          <w:sz w:val="24"/>
          <w:szCs w:val="24"/>
          <w:highlight w:val="none"/>
        </w:rPr>
        <w:t>。</w:t>
      </w:r>
    </w:p>
    <w:p w14:paraId="56125AA8">
      <w:pPr>
        <w:keepNext/>
        <w:keepLines/>
        <w:widowControl w:val="0"/>
        <w:tabs>
          <w:tab w:val="left" w:pos="432"/>
        </w:tabs>
        <w:adjustRightInd w:val="0"/>
        <w:snapToGrid w:val="0"/>
        <w:spacing w:before="100" w:beforeAutospacing="1" w:after="100" w:afterAutospacing="1" w:line="276" w:lineRule="auto"/>
        <w:jc w:val="center"/>
        <w:outlineLvl w:val="1"/>
        <w:rPr>
          <w:rFonts w:ascii="宋体" w:hAnsi="宋体" w:cs="宋体"/>
          <w:b/>
          <w:bCs/>
          <w:kern w:val="44"/>
          <w:sz w:val="28"/>
          <w:szCs w:val="44"/>
          <w:highlight w:val="none"/>
        </w:rPr>
      </w:pPr>
      <w:bookmarkStart w:id="581" w:name="_Toc16644"/>
      <w:bookmarkStart w:id="582" w:name="_Toc17571"/>
      <w:bookmarkStart w:id="583" w:name="_Toc23397"/>
      <w:r>
        <w:rPr>
          <w:rFonts w:hint="eastAsia" w:ascii="宋体" w:hAnsi="宋体" w:cs="宋体"/>
          <w:b/>
          <w:bCs/>
          <w:kern w:val="44"/>
          <w:sz w:val="28"/>
          <w:szCs w:val="44"/>
          <w:highlight w:val="none"/>
        </w:rPr>
        <w:br w:type="page"/>
      </w:r>
      <w:bookmarkStart w:id="584" w:name="_Toc25986"/>
      <w:bookmarkStart w:id="585" w:name="_Toc31831"/>
      <w:bookmarkStart w:id="586" w:name="_Toc17102"/>
      <w:bookmarkStart w:id="587" w:name="_Toc25196"/>
      <w:bookmarkStart w:id="588" w:name="_Toc17684"/>
      <w:bookmarkStart w:id="589" w:name="_Toc16811"/>
      <w:bookmarkStart w:id="590" w:name="_Toc31209"/>
      <w:bookmarkStart w:id="591" w:name="_Toc15103"/>
      <w:bookmarkStart w:id="592" w:name="_Toc27723"/>
      <w:bookmarkStart w:id="593" w:name="_Toc12088"/>
      <w:bookmarkStart w:id="594" w:name="_Toc25192"/>
      <w:bookmarkStart w:id="595" w:name="_Toc19688"/>
      <w:bookmarkStart w:id="596" w:name="_Toc89441285"/>
      <w:bookmarkStart w:id="597" w:name="_Toc22547"/>
      <w:bookmarkStart w:id="598" w:name="_Toc6767"/>
      <w:bookmarkStart w:id="599" w:name="_Toc27113"/>
      <w:r>
        <w:rPr>
          <w:rFonts w:hint="eastAsia" w:ascii="宋体" w:hAnsi="宋体" w:cs="宋体"/>
          <w:b/>
          <w:bCs/>
          <w:kern w:val="44"/>
          <w:sz w:val="32"/>
          <w:szCs w:val="48"/>
          <w:highlight w:val="none"/>
        </w:rPr>
        <w:t>第三部分</w:t>
      </w:r>
      <w:r>
        <w:rPr>
          <w:rFonts w:hint="eastAsia" w:ascii="宋体" w:hAnsi="宋体" w:cs="宋体"/>
          <w:b/>
          <w:bCs/>
          <w:kern w:val="44"/>
          <w:sz w:val="32"/>
          <w:szCs w:val="48"/>
          <w:highlight w:val="none"/>
          <w:lang w:val="en-US" w:eastAsia="zh-CN"/>
        </w:rPr>
        <w:t xml:space="preserve">  </w:t>
      </w:r>
      <w:r>
        <w:rPr>
          <w:rFonts w:hint="eastAsia" w:ascii="宋体" w:hAnsi="宋体" w:cs="宋体"/>
          <w:b/>
          <w:bCs/>
          <w:kern w:val="44"/>
          <w:sz w:val="32"/>
          <w:szCs w:val="48"/>
          <w:highlight w:val="none"/>
        </w:rPr>
        <w:t>专用合同条</w:t>
      </w:r>
      <w:bookmarkEnd w:id="578"/>
      <w:bookmarkEnd w:id="579"/>
      <w:bookmarkEnd w:id="580"/>
      <w:r>
        <w:rPr>
          <w:rFonts w:hint="eastAsia" w:ascii="宋体" w:hAnsi="宋体" w:cs="宋体"/>
          <w:b/>
          <w:bCs/>
          <w:kern w:val="44"/>
          <w:sz w:val="32"/>
          <w:szCs w:val="48"/>
          <w:highlight w:val="none"/>
        </w:rPr>
        <w:t>款</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41BA99D8">
      <w:pPr>
        <w:keepNext/>
        <w:keepLines/>
        <w:pageBreakBefore w:val="0"/>
        <w:widowControl w:val="0"/>
        <w:tabs>
          <w:tab w:val="left" w:pos="-567"/>
        </w:tabs>
        <w:kinsoku/>
        <w:wordWrap/>
        <w:overflowPunct/>
        <w:topLinePunct w:val="0"/>
        <w:autoSpaceDE/>
        <w:autoSpaceDN/>
        <w:bidi w:val="0"/>
        <w:adjustRightInd w:val="0"/>
        <w:snapToGrid w:val="0"/>
        <w:spacing w:line="360" w:lineRule="auto"/>
        <w:jc w:val="both"/>
        <w:textAlignment w:val="auto"/>
        <w:outlineLvl w:val="2"/>
        <w:rPr>
          <w:rFonts w:hint="eastAsia" w:ascii="宋体" w:hAnsi="宋体" w:cs="宋体"/>
          <w:b/>
          <w:bCs/>
          <w:sz w:val="24"/>
          <w:szCs w:val="24"/>
          <w:highlight w:val="none"/>
        </w:rPr>
      </w:pPr>
      <w:bookmarkStart w:id="600" w:name="_Toc27237"/>
      <w:bookmarkStart w:id="601" w:name="_Toc26810"/>
      <w:bookmarkStart w:id="602" w:name="_Toc25101"/>
      <w:bookmarkStart w:id="603" w:name="_Toc89441286"/>
      <w:bookmarkStart w:id="604" w:name="_Toc7201"/>
      <w:bookmarkStart w:id="605" w:name="_Toc29898"/>
      <w:bookmarkStart w:id="606" w:name="_Toc441336789"/>
      <w:bookmarkStart w:id="607" w:name="_Toc19518"/>
      <w:bookmarkStart w:id="608" w:name="_Toc29319"/>
      <w:bookmarkStart w:id="609" w:name="_Toc27478"/>
      <w:bookmarkStart w:id="610" w:name="_Toc27709"/>
      <w:bookmarkStart w:id="611" w:name="_Toc11599"/>
      <w:bookmarkStart w:id="612" w:name="_Toc4636"/>
      <w:bookmarkStart w:id="613" w:name="_Toc20233"/>
      <w:bookmarkStart w:id="614" w:name="_Toc24550"/>
      <w:bookmarkStart w:id="615" w:name="_Toc531884911"/>
      <w:bookmarkStart w:id="616" w:name="_Toc11065"/>
      <w:bookmarkStart w:id="617" w:name="_Toc4747"/>
      <w:bookmarkStart w:id="618" w:name="_Toc5381"/>
      <w:bookmarkStart w:id="619" w:name="_Toc14221"/>
      <w:bookmarkStart w:id="620" w:name="_Toc31694"/>
      <w:bookmarkStart w:id="621" w:name="_Toc531797785"/>
      <w:r>
        <w:rPr>
          <w:rFonts w:hint="eastAsia" w:ascii="宋体" w:hAnsi="宋体" w:cs="宋体"/>
          <w:b/>
          <w:bCs/>
          <w:sz w:val="24"/>
          <w:szCs w:val="24"/>
          <w:highlight w:val="none"/>
        </w:rPr>
        <w:t>1.词语定义、语言、解释顺序与适用法律</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14:paraId="0F2224C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1.2 语言</w:t>
      </w:r>
    </w:p>
    <w:p w14:paraId="116C841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本合同文件除使用中文外，还可用</w:t>
      </w:r>
      <w:r>
        <w:rPr>
          <w:rFonts w:hint="eastAsia" w:ascii="宋体" w:hAnsi="宋体" w:cs="宋体"/>
          <w:kern w:val="2"/>
          <w:sz w:val="24"/>
          <w:szCs w:val="24"/>
          <w:highlight w:val="none"/>
          <w:u w:val="single" w:color="000000"/>
        </w:rPr>
        <w:t xml:space="preserve">    无    </w:t>
      </w:r>
      <w:r>
        <w:rPr>
          <w:rFonts w:hint="eastAsia" w:ascii="宋体" w:hAnsi="宋体" w:cs="宋体"/>
          <w:kern w:val="2"/>
          <w:sz w:val="24"/>
          <w:szCs w:val="24"/>
          <w:highlight w:val="none"/>
        </w:rPr>
        <w:t>。</w:t>
      </w:r>
    </w:p>
    <w:p w14:paraId="6009E9B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1.3合同文件的优先顺序</w:t>
      </w:r>
    </w:p>
    <w:p w14:paraId="71181C8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本合同文件的解释顺序为：</w:t>
      </w:r>
      <w:r>
        <w:rPr>
          <w:rFonts w:hint="eastAsia" w:ascii="宋体" w:hAnsi="宋体" w:cs="宋体"/>
          <w:kern w:val="2"/>
          <w:sz w:val="24"/>
          <w:szCs w:val="24"/>
          <w:highlight w:val="none"/>
          <w:u w:val="single" w:color="000000"/>
        </w:rPr>
        <w:t>按</w:t>
      </w:r>
      <w:r>
        <w:rPr>
          <w:rFonts w:hint="eastAsia" w:ascii="宋体" w:hAnsi="宋体" w:cs="宋体"/>
          <w:kern w:val="2"/>
          <w:sz w:val="24"/>
          <w:szCs w:val="24"/>
          <w:highlight w:val="none"/>
          <w:u w:val="single" w:color="000000"/>
          <w:lang w:eastAsia="zh-CN"/>
        </w:rPr>
        <w:t>通用条款</w:t>
      </w:r>
      <w:r>
        <w:rPr>
          <w:rFonts w:hint="eastAsia" w:ascii="宋体" w:hAnsi="宋体" w:cs="宋体"/>
          <w:kern w:val="2"/>
          <w:sz w:val="24"/>
          <w:szCs w:val="24"/>
          <w:highlight w:val="none"/>
          <w:u w:val="single" w:color="000000"/>
        </w:rPr>
        <w:t>第1.3条执行</w:t>
      </w:r>
      <w:r>
        <w:rPr>
          <w:rFonts w:hint="eastAsia" w:ascii="宋体" w:hAnsi="宋体" w:cs="宋体"/>
          <w:kern w:val="2"/>
          <w:sz w:val="24"/>
          <w:szCs w:val="24"/>
          <w:highlight w:val="none"/>
        </w:rPr>
        <w:t>。</w:t>
      </w:r>
    </w:p>
    <w:p w14:paraId="010962BF">
      <w:pPr>
        <w:widowControl w:val="0"/>
        <w:adjustRightInd w:val="0"/>
        <w:snapToGrid w:val="0"/>
        <w:spacing w:line="384" w:lineRule="auto"/>
        <w:ind w:firstLine="480" w:firstLineChars="200"/>
        <w:jc w:val="both"/>
        <w:rPr>
          <w:rFonts w:ascii="宋体" w:hAnsi="宋体" w:cs="宋体"/>
          <w:b/>
          <w:kern w:val="2"/>
          <w:sz w:val="24"/>
          <w:szCs w:val="24"/>
          <w:highlight w:val="none"/>
        </w:rPr>
      </w:pPr>
      <w:r>
        <w:rPr>
          <w:rFonts w:hint="eastAsia" w:ascii="宋体" w:hAnsi="宋体" w:cs="宋体"/>
          <w:kern w:val="2"/>
          <w:sz w:val="24"/>
          <w:szCs w:val="24"/>
          <w:highlight w:val="none"/>
        </w:rPr>
        <w:t>1.4适用法律</w:t>
      </w:r>
      <w:r>
        <w:rPr>
          <w:rFonts w:hint="eastAsia" w:ascii="宋体" w:hAnsi="宋体" w:cs="宋体"/>
          <w:b/>
          <w:kern w:val="2"/>
          <w:sz w:val="24"/>
          <w:szCs w:val="24"/>
          <w:highlight w:val="none"/>
        </w:rPr>
        <w:t>:</w:t>
      </w:r>
      <w:r>
        <w:rPr>
          <w:rFonts w:hint="eastAsia" w:ascii="宋体" w:hAnsi="宋体" w:cs="宋体"/>
          <w:kern w:val="2"/>
          <w:sz w:val="24"/>
          <w:szCs w:val="24"/>
          <w:highlight w:val="none"/>
        </w:rPr>
        <w:t>《中华人民共和国民法典》《中华人民共和国建筑法》《云南省建设工程造价管理条例》《建设工程价款结算暂行办法》等国家、本省现行有效的法律、法规。</w:t>
      </w:r>
    </w:p>
    <w:p w14:paraId="3A1D143E">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622" w:name="_Toc22049"/>
      <w:bookmarkStart w:id="623" w:name="_Toc26469"/>
      <w:bookmarkStart w:id="624" w:name="_Toc25374"/>
      <w:bookmarkStart w:id="625" w:name="_Toc28902"/>
      <w:bookmarkStart w:id="626" w:name="_Toc14735"/>
      <w:bookmarkStart w:id="627" w:name="_Toc10404"/>
      <w:bookmarkStart w:id="628" w:name="_Toc17472"/>
      <w:bookmarkStart w:id="629" w:name="_Toc441336790"/>
      <w:bookmarkStart w:id="630" w:name="_Toc32394"/>
      <w:bookmarkStart w:id="631" w:name="_Toc531884912"/>
      <w:bookmarkStart w:id="632" w:name="_Toc531797786"/>
      <w:bookmarkStart w:id="633" w:name="_Toc32736"/>
      <w:bookmarkStart w:id="634" w:name="_Toc12118"/>
      <w:bookmarkStart w:id="635" w:name="_Toc175"/>
      <w:bookmarkStart w:id="636" w:name="_Toc8896"/>
      <w:bookmarkStart w:id="637" w:name="_Toc15356"/>
      <w:bookmarkStart w:id="638" w:name="_Toc22025"/>
      <w:bookmarkStart w:id="639" w:name="_Toc14854"/>
      <w:bookmarkStart w:id="640" w:name="_Toc89441287"/>
      <w:bookmarkStart w:id="641" w:name="_Toc6193"/>
      <w:bookmarkStart w:id="642" w:name="_Toc9660"/>
      <w:bookmarkStart w:id="643" w:name="_Toc23676"/>
      <w:bookmarkStart w:id="644" w:name="_Toc12533"/>
      <w:bookmarkStart w:id="645" w:name="_Toc441336791"/>
      <w:bookmarkStart w:id="646" w:name="_Toc531797787"/>
      <w:bookmarkStart w:id="647" w:name="_Toc11952"/>
      <w:bookmarkStart w:id="648" w:name="_Toc531884913"/>
      <w:bookmarkStart w:id="649" w:name="_Toc18075"/>
      <w:bookmarkStart w:id="650" w:name="_Toc11870"/>
      <w:bookmarkStart w:id="651" w:name="_Toc10430"/>
      <w:r>
        <w:rPr>
          <w:rFonts w:hint="eastAsia" w:ascii="宋体" w:hAnsi="宋体" w:cs="宋体"/>
          <w:b/>
          <w:bCs/>
          <w:sz w:val="24"/>
          <w:szCs w:val="24"/>
          <w:highlight w:val="none"/>
        </w:rPr>
        <w:t>2.甲方的义务</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1A89C7F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2.1提供资料</w:t>
      </w:r>
    </w:p>
    <w:p w14:paraId="248EA5CF">
      <w:pPr>
        <w:widowControl w:val="0"/>
        <w:adjustRightInd w:val="0"/>
        <w:snapToGrid w:val="0"/>
        <w:spacing w:line="384"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rPr>
        <w:t>甲方按照</w:t>
      </w:r>
      <w:r>
        <w:rPr>
          <w:rFonts w:hint="eastAsia" w:ascii="宋体" w:hAnsi="宋体" w:cs="宋体"/>
          <w:b/>
          <w:bCs/>
          <w:kern w:val="2"/>
          <w:sz w:val="24"/>
          <w:szCs w:val="24"/>
          <w:highlight w:val="none"/>
        </w:rPr>
        <w:t>附录B</w:t>
      </w:r>
      <w:r>
        <w:rPr>
          <w:rFonts w:hint="eastAsia" w:ascii="宋体" w:hAnsi="宋体" w:cs="宋体"/>
          <w:kern w:val="2"/>
          <w:sz w:val="24"/>
          <w:szCs w:val="24"/>
          <w:highlight w:val="none"/>
        </w:rPr>
        <w:t>约定无偿向乙方提供与本合同咨询业务有关资料的时间为：</w:t>
      </w:r>
      <w:r>
        <w:rPr>
          <w:rFonts w:hint="eastAsia" w:ascii="宋体" w:hAnsi="宋体" w:cs="宋体"/>
          <w:kern w:val="2"/>
          <w:sz w:val="24"/>
          <w:szCs w:val="24"/>
          <w:highlight w:val="none"/>
          <w:u w:val="single" w:color="000000"/>
        </w:rPr>
        <w:t>收到甲方通知，乙方到达</w:t>
      </w:r>
      <w:r>
        <w:rPr>
          <w:rFonts w:hint="eastAsia" w:ascii="宋体" w:hAnsi="宋体" w:cs="宋体"/>
          <w:kern w:val="2"/>
          <w:sz w:val="24"/>
          <w:szCs w:val="24"/>
          <w:highlight w:val="none"/>
          <w:u w:val="single" w:color="auto"/>
        </w:rPr>
        <w:t>项目所在地，甲方需将工程项目</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全过程造价控制电子文件提供给乙</w:t>
      </w:r>
      <w:r>
        <w:rPr>
          <w:rFonts w:hint="eastAsia" w:ascii="宋体" w:hAnsi="宋体" w:cs="宋体"/>
          <w:kern w:val="2"/>
          <w:sz w:val="24"/>
          <w:szCs w:val="24"/>
          <w:highlight w:val="none"/>
          <w:u w:val="single" w:color="000000"/>
        </w:rPr>
        <w:t>方</w:t>
      </w:r>
      <w:r>
        <w:rPr>
          <w:rFonts w:hint="eastAsia" w:ascii="宋体" w:hAnsi="宋体" w:cs="宋体"/>
          <w:kern w:val="2"/>
          <w:sz w:val="24"/>
          <w:szCs w:val="24"/>
          <w:highlight w:val="none"/>
        </w:rPr>
        <w:t>。</w:t>
      </w:r>
    </w:p>
    <w:p w14:paraId="09926890">
      <w:pPr>
        <w:widowControl w:val="0"/>
        <w:adjustRightInd w:val="0"/>
        <w:snapToGrid w:val="0"/>
        <w:spacing w:line="384" w:lineRule="auto"/>
        <w:ind w:firstLine="480" w:firstLineChars="200"/>
        <w:jc w:val="both"/>
        <w:rPr>
          <w:rFonts w:hint="default" w:ascii="宋体" w:hAnsi="宋体" w:cs="宋体"/>
          <w:kern w:val="2"/>
          <w:sz w:val="24"/>
          <w:szCs w:val="24"/>
          <w:highlight w:val="none"/>
          <w:lang w:val="en-US" w:eastAsia="zh-CN"/>
        </w:rPr>
      </w:pPr>
      <w:r>
        <w:rPr>
          <w:rFonts w:hint="eastAsia" w:ascii="宋体" w:hAnsi="宋体" w:cs="宋体"/>
          <w:kern w:val="2"/>
          <w:sz w:val="24"/>
          <w:szCs w:val="24"/>
          <w:highlight w:val="none"/>
          <w:lang w:val="en-US" w:eastAsia="zh-CN"/>
        </w:rPr>
        <w:t>2.2提供工作条件</w:t>
      </w:r>
    </w:p>
    <w:p w14:paraId="3199ACF3">
      <w:pPr>
        <w:widowControl w:val="0"/>
        <w:adjustRightInd w:val="0"/>
        <w:snapToGrid w:val="0"/>
        <w:spacing w:line="384"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2.2.1</w:t>
      </w:r>
      <w:r>
        <w:rPr>
          <w:rFonts w:hint="eastAsia" w:ascii="宋体" w:hAnsi="宋体" w:cs="宋体"/>
          <w:kern w:val="2"/>
          <w:sz w:val="24"/>
          <w:szCs w:val="24"/>
          <w:highlight w:val="none"/>
        </w:rPr>
        <w:t>甲方</w:t>
      </w:r>
      <w:r>
        <w:rPr>
          <w:rFonts w:hint="eastAsia" w:ascii="宋体" w:hAnsi="宋体" w:cs="宋体"/>
          <w:kern w:val="2"/>
          <w:sz w:val="24"/>
          <w:szCs w:val="24"/>
          <w:highlight w:val="none"/>
          <w:lang w:val="en-US" w:eastAsia="zh-CN"/>
        </w:rPr>
        <w:t>仅向乙方</w:t>
      </w:r>
      <w:r>
        <w:rPr>
          <w:rFonts w:hint="eastAsia" w:ascii="宋体" w:hAnsi="宋体" w:cs="宋体"/>
          <w:kern w:val="2"/>
          <w:sz w:val="24"/>
          <w:szCs w:val="24"/>
          <w:highlight w:val="none"/>
        </w:rPr>
        <w:t>提供办公场所</w:t>
      </w:r>
      <w:r>
        <w:rPr>
          <w:rFonts w:hint="eastAsia" w:ascii="宋体" w:hAnsi="宋体" w:cs="宋体"/>
          <w:kern w:val="2"/>
          <w:sz w:val="24"/>
          <w:szCs w:val="24"/>
          <w:highlight w:val="none"/>
          <w:lang w:val="en-US" w:eastAsia="zh-CN"/>
        </w:rPr>
        <w:t>及相关配套设备的便利，住宿等乙方自行解决，费用自理</w:t>
      </w:r>
      <w:r>
        <w:rPr>
          <w:rFonts w:hint="eastAsia" w:ascii="宋体" w:hAnsi="宋体" w:cs="宋体"/>
          <w:kern w:val="2"/>
          <w:sz w:val="24"/>
          <w:szCs w:val="24"/>
          <w:highlight w:val="none"/>
        </w:rPr>
        <w:t>。</w:t>
      </w:r>
    </w:p>
    <w:p w14:paraId="3C5FE14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2.3合理工作时限</w:t>
      </w:r>
    </w:p>
    <w:p w14:paraId="17AAC0A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u w:val="single"/>
        </w:rPr>
        <w:t>甲方应当给予乙方限定合理的咨询工作时限，因</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w:t>
      </w:r>
      <w:r>
        <w:rPr>
          <w:rFonts w:hint="eastAsia" w:ascii="宋体" w:hAnsi="宋体" w:cs="宋体"/>
          <w:kern w:val="2"/>
          <w:sz w:val="24"/>
          <w:szCs w:val="24"/>
          <w:highlight w:val="none"/>
        </w:rPr>
        <w:t>控制</w:t>
      </w:r>
      <w:r>
        <w:rPr>
          <w:rFonts w:hint="eastAsia" w:ascii="宋体" w:hAnsi="宋体" w:cs="宋体"/>
          <w:kern w:val="2"/>
          <w:sz w:val="24"/>
          <w:szCs w:val="24"/>
          <w:highlight w:val="none"/>
          <w:u w:val="single"/>
        </w:rPr>
        <w:t>与外部协调出现的时限间隔及后延不计入工作时限内</w:t>
      </w:r>
      <w:r>
        <w:rPr>
          <w:rFonts w:hint="eastAsia" w:ascii="宋体" w:hAnsi="宋体" w:cs="宋体"/>
          <w:kern w:val="2"/>
          <w:sz w:val="24"/>
          <w:szCs w:val="24"/>
          <w:highlight w:val="none"/>
        </w:rPr>
        <w:t>。</w:t>
      </w:r>
    </w:p>
    <w:p w14:paraId="16E86D8B">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2.4甲方代表</w:t>
      </w:r>
    </w:p>
    <w:p w14:paraId="0F79343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甲方代表为：</w:t>
      </w:r>
      <w:r>
        <w:rPr>
          <w:rFonts w:hint="eastAsia" w:ascii="宋体" w:hAnsi="宋体" w:cs="宋体"/>
          <w:kern w:val="2"/>
          <w:sz w:val="24"/>
          <w:szCs w:val="24"/>
          <w:highlight w:val="none"/>
          <w:u w:val="single"/>
          <w:lang w:val="en-US" w:eastAsia="zh-CN"/>
        </w:rPr>
        <w:t xml:space="preserve">         </w:t>
      </w:r>
      <w:r>
        <w:rPr>
          <w:rFonts w:hint="eastAsia" w:ascii="宋体" w:hAnsi="宋体" w:cs="宋体"/>
          <w:kern w:val="2"/>
          <w:sz w:val="24"/>
          <w:szCs w:val="24"/>
          <w:highlight w:val="none"/>
        </w:rPr>
        <w:t>，其权限范围：</w:t>
      </w:r>
      <w:r>
        <w:rPr>
          <w:rFonts w:hint="eastAsia" w:ascii="宋体" w:hAnsi="宋体" w:cs="宋体"/>
          <w:kern w:val="2"/>
          <w:sz w:val="24"/>
          <w:szCs w:val="24"/>
          <w:highlight w:val="none"/>
          <w:u w:val="single" w:color="000000"/>
        </w:rPr>
        <w:t xml:space="preserve"> 负责对工程项目</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w:t>
      </w:r>
      <w:r>
        <w:rPr>
          <w:rFonts w:hint="eastAsia" w:ascii="宋体" w:hAnsi="宋体" w:cs="宋体"/>
          <w:kern w:val="2"/>
          <w:sz w:val="24"/>
          <w:szCs w:val="24"/>
          <w:highlight w:val="none"/>
        </w:rPr>
        <w:t>控制</w:t>
      </w:r>
      <w:r>
        <w:rPr>
          <w:rFonts w:hint="eastAsia" w:ascii="宋体" w:hAnsi="宋体" w:cs="宋体"/>
          <w:kern w:val="2"/>
          <w:sz w:val="24"/>
          <w:szCs w:val="24"/>
          <w:highlight w:val="none"/>
          <w:u w:val="single" w:color="000000"/>
        </w:rPr>
        <w:t xml:space="preserve">中所涉及的事件进行协调、处理，负责本合同的履行 </w:t>
      </w:r>
      <w:r>
        <w:rPr>
          <w:rFonts w:hint="eastAsia" w:ascii="宋体" w:hAnsi="宋体" w:cs="宋体"/>
          <w:kern w:val="2"/>
          <w:sz w:val="24"/>
          <w:szCs w:val="24"/>
          <w:highlight w:val="none"/>
        </w:rPr>
        <w:t>。</w:t>
      </w:r>
    </w:p>
    <w:p w14:paraId="3510C30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2.5答复</w:t>
      </w:r>
    </w:p>
    <w:p w14:paraId="1ED0B40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甲方同意在</w:t>
      </w:r>
      <w:r>
        <w:rPr>
          <w:rFonts w:hint="eastAsia" w:ascii="宋体" w:hAnsi="宋体" w:cs="宋体"/>
          <w:kern w:val="2"/>
          <w:sz w:val="24"/>
          <w:szCs w:val="24"/>
          <w:highlight w:val="none"/>
          <w:u w:val="single" w:color="000000"/>
        </w:rPr>
        <w:t xml:space="preserve"> 7</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rPr>
        <w:t>日内，对乙方书面提交并要求做出决定的事宜给予书面答复。逾期未答复的，视为甲方认可。</w:t>
      </w:r>
    </w:p>
    <w:p w14:paraId="462FCFB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2.6支付</w:t>
      </w:r>
    </w:p>
    <w:p w14:paraId="45ABDA28">
      <w:pPr>
        <w:widowControl w:val="0"/>
        <w:adjustRightInd w:val="0"/>
        <w:snapToGrid w:val="0"/>
        <w:spacing w:line="384" w:lineRule="auto"/>
        <w:ind w:firstLine="480" w:firstLineChars="200"/>
        <w:jc w:val="both"/>
        <w:rPr>
          <w:rFonts w:ascii="宋体" w:hAnsi="宋体" w:cs="宋体"/>
          <w:kern w:val="2"/>
          <w:sz w:val="24"/>
          <w:szCs w:val="24"/>
          <w:highlight w:val="none"/>
          <w:u w:val="single"/>
        </w:rPr>
      </w:pPr>
      <w:r>
        <w:rPr>
          <w:rFonts w:hint="eastAsia" w:ascii="宋体" w:hAnsi="宋体" w:cs="宋体"/>
          <w:kern w:val="2"/>
          <w:sz w:val="24"/>
          <w:szCs w:val="24"/>
          <w:highlight w:val="none"/>
        </w:rPr>
        <w:t>甲方按照</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合同支付合同金额的方式及时间为</w:t>
      </w:r>
      <w:r>
        <w:rPr>
          <w:rFonts w:hint="eastAsia" w:ascii="宋体" w:hAnsi="宋体" w:cs="宋体"/>
          <w:kern w:val="2"/>
          <w:sz w:val="24"/>
          <w:szCs w:val="24"/>
          <w:highlight w:val="none"/>
          <w:u w:val="single"/>
        </w:rPr>
        <w:t xml:space="preserve"> 按照本合同专用条款第5条及补充条款执行 </w:t>
      </w:r>
      <w:r>
        <w:rPr>
          <w:rFonts w:hint="eastAsia" w:ascii="宋体" w:hAnsi="宋体" w:cs="宋体"/>
          <w:kern w:val="2"/>
          <w:sz w:val="24"/>
          <w:szCs w:val="24"/>
          <w:highlight w:val="none"/>
        </w:rPr>
        <w:t>。</w:t>
      </w:r>
    </w:p>
    <w:p w14:paraId="58226241">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652" w:name="_Toc20285"/>
      <w:bookmarkStart w:id="653" w:name="_Toc13455"/>
      <w:bookmarkStart w:id="654" w:name="_Toc127"/>
      <w:bookmarkStart w:id="655" w:name="_Toc30806"/>
      <w:bookmarkStart w:id="656" w:name="_Toc9540"/>
      <w:bookmarkStart w:id="657" w:name="_Toc20639"/>
      <w:bookmarkStart w:id="658" w:name="_Toc2335"/>
      <w:bookmarkStart w:id="659" w:name="_Toc24534"/>
      <w:bookmarkStart w:id="660" w:name="_Toc26697"/>
      <w:bookmarkStart w:id="661" w:name="_Toc19479"/>
      <w:bookmarkStart w:id="662" w:name="_Toc89441288"/>
      <w:bookmarkStart w:id="663" w:name="_Toc29707"/>
      <w:bookmarkStart w:id="664" w:name="_Toc18860"/>
      <w:bookmarkStart w:id="665" w:name="_Toc28266"/>
      <w:r>
        <w:rPr>
          <w:rFonts w:hint="eastAsia" w:ascii="宋体" w:hAnsi="宋体" w:cs="宋体"/>
          <w:b/>
          <w:bCs/>
          <w:sz w:val="24"/>
          <w:szCs w:val="24"/>
          <w:highlight w:val="none"/>
        </w:rPr>
        <w:t>3.乙方的义务</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14:paraId="156169C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3.1项目咨询团队及人员</w:t>
      </w:r>
    </w:p>
    <w:p w14:paraId="7B9B7EC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3.1.1项目咨询团队人员的数量</w:t>
      </w:r>
      <w:r>
        <w:rPr>
          <w:rFonts w:hint="eastAsia" w:ascii="宋体" w:hAnsi="宋体" w:cs="宋体"/>
          <w:kern w:val="2"/>
          <w:sz w:val="24"/>
          <w:szCs w:val="24"/>
          <w:highlight w:val="none"/>
          <w:u w:val="single" w:color="000000"/>
        </w:rPr>
        <w:t xml:space="preserve"> 响应</w:t>
      </w:r>
      <w:r>
        <w:rPr>
          <w:rFonts w:hint="eastAsia" w:ascii="宋体" w:hAnsi="宋体" w:cs="宋体"/>
          <w:kern w:val="2"/>
          <w:sz w:val="24"/>
          <w:szCs w:val="24"/>
          <w:highlight w:val="none"/>
          <w:u w:val="single" w:color="000000"/>
          <w:lang w:val="en-US" w:eastAsia="zh-CN"/>
        </w:rPr>
        <w:t>竞争性谈判邀请</w:t>
      </w:r>
      <w:r>
        <w:rPr>
          <w:rFonts w:hint="eastAsia" w:ascii="宋体" w:hAnsi="宋体" w:cs="宋体"/>
          <w:kern w:val="2"/>
          <w:sz w:val="24"/>
          <w:szCs w:val="24"/>
          <w:highlight w:val="none"/>
          <w:u w:val="single" w:color="000000"/>
        </w:rPr>
        <w:t>文件承诺，并满足工程项目</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全过程造价控制</w:t>
      </w:r>
      <w:r>
        <w:rPr>
          <w:rFonts w:hint="eastAsia" w:ascii="宋体" w:hAnsi="宋体" w:cs="宋体"/>
          <w:kern w:val="2"/>
          <w:sz w:val="24"/>
          <w:szCs w:val="24"/>
          <w:highlight w:val="none"/>
          <w:u w:val="single" w:color="000000"/>
        </w:rPr>
        <w:t>工作需求</w:t>
      </w:r>
      <w:r>
        <w:rPr>
          <w:rFonts w:hint="eastAsia" w:ascii="宋体" w:hAnsi="宋体" w:cs="宋体"/>
          <w:kern w:val="2"/>
          <w:sz w:val="24"/>
          <w:szCs w:val="24"/>
          <w:highlight w:val="none"/>
        </w:rPr>
        <w:t>。</w:t>
      </w:r>
    </w:p>
    <w:p w14:paraId="699C17A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3.1.2项目负责人：</w:t>
      </w:r>
    </w:p>
    <w:p w14:paraId="3136C52A">
      <w:pPr>
        <w:widowControl w:val="0"/>
        <w:adjustRightInd w:val="0"/>
        <w:snapToGrid w:val="0"/>
        <w:spacing w:line="384" w:lineRule="auto"/>
        <w:ind w:firstLine="480" w:firstLineChars="200"/>
        <w:jc w:val="both"/>
        <w:rPr>
          <w:rFonts w:ascii="宋体" w:hAnsi="宋体" w:cs="宋体"/>
          <w:kern w:val="2"/>
          <w:sz w:val="24"/>
          <w:szCs w:val="24"/>
          <w:highlight w:val="none"/>
          <w:u w:val="single" w:color="000000"/>
        </w:rPr>
      </w:pPr>
      <w:r>
        <w:rPr>
          <w:rFonts w:hint="eastAsia" w:ascii="宋体" w:hAnsi="宋体" w:cs="宋体"/>
          <w:kern w:val="2"/>
          <w:sz w:val="24"/>
          <w:szCs w:val="24"/>
          <w:highlight w:val="none"/>
          <w:lang w:val="en-US" w:eastAsia="zh-CN"/>
        </w:rPr>
        <w:t>1</w:t>
      </w:r>
      <w:r>
        <w:rPr>
          <w:rFonts w:hint="eastAsia" w:ascii="宋体" w:hAnsi="宋体" w:cs="宋体"/>
          <w:kern w:val="2"/>
          <w:sz w:val="24"/>
          <w:szCs w:val="24"/>
          <w:highlight w:val="none"/>
        </w:rPr>
        <w:t>.负责人为：</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，身份证号：</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，电话号码：</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，证书号：</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none" w:color="auto"/>
        </w:rPr>
        <w:t>。</w:t>
      </w:r>
    </w:p>
    <w:p w14:paraId="3382A48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项目负责人为履行本合同的权限为：</w:t>
      </w:r>
      <w:r>
        <w:rPr>
          <w:rFonts w:hint="eastAsia" w:ascii="宋体" w:hAnsi="宋体" w:cs="宋体"/>
          <w:kern w:val="2"/>
          <w:sz w:val="24"/>
          <w:szCs w:val="24"/>
          <w:highlight w:val="none"/>
          <w:u w:val="single"/>
        </w:rPr>
        <w:t>对工程项目</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全过程造价控制</w:t>
      </w:r>
      <w:r>
        <w:rPr>
          <w:rFonts w:hint="eastAsia" w:ascii="宋体" w:hAnsi="宋体" w:cs="宋体"/>
          <w:kern w:val="2"/>
          <w:sz w:val="24"/>
          <w:szCs w:val="24"/>
          <w:highlight w:val="none"/>
          <w:u w:val="single"/>
        </w:rPr>
        <w:t>进行合理统筹安排，负责与</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w:t>
      </w:r>
      <w:r>
        <w:rPr>
          <w:rFonts w:hint="eastAsia" w:ascii="宋体" w:hAnsi="宋体" w:cs="宋体"/>
          <w:kern w:val="2"/>
          <w:sz w:val="24"/>
          <w:szCs w:val="24"/>
          <w:highlight w:val="none"/>
          <w:u w:val="single"/>
        </w:rPr>
        <w:t>控制中相关人员的协调工作，完成合同约定咨询服务的全部内容，负责合同履行过程中各种文件的签署与确认，乙方对审核结果负责</w:t>
      </w:r>
      <w:r>
        <w:rPr>
          <w:rFonts w:hint="eastAsia" w:ascii="宋体" w:hAnsi="宋体" w:cs="宋体"/>
          <w:kern w:val="2"/>
          <w:sz w:val="24"/>
          <w:szCs w:val="24"/>
          <w:highlight w:val="none"/>
        </w:rPr>
        <w:t>。</w:t>
      </w:r>
    </w:p>
    <w:p w14:paraId="59AC659B">
      <w:pPr>
        <w:adjustRightInd w:val="0"/>
        <w:snapToGrid w:val="0"/>
        <w:spacing w:line="360" w:lineRule="auto"/>
        <w:ind w:left="105" w:leftChars="50" w:firstLine="360" w:firstLineChars="15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.项目负责人必须按时参加项目各类会议，每周到现场服务时间不少于</w:t>
      </w:r>
      <w:r>
        <w:rPr>
          <w:rFonts w:hint="eastAsia" w:ascii="宋体" w:hAnsi="宋体"/>
          <w:sz w:val="24"/>
          <w:highlight w:val="none"/>
          <w:lang w:val="en-US" w:eastAsia="zh-CN"/>
        </w:rPr>
        <w:t>2</w:t>
      </w:r>
      <w:r>
        <w:rPr>
          <w:rFonts w:hint="eastAsia" w:ascii="宋体" w:hAnsi="宋体"/>
          <w:sz w:val="24"/>
          <w:highlight w:val="none"/>
        </w:rPr>
        <w:t>天（国定节假日除外），及时处理项目约定范围内服务内容，若出现重大情况需3小时内到达指定地点（含节假日）。项目负责人的执勤情况由甲方进行考核，若违反以上规定的，每违规一次扣2000元，费用将从合同结算总金额中扣除。</w:t>
      </w:r>
    </w:p>
    <w:p w14:paraId="2945642D">
      <w:pPr>
        <w:widowControl w:val="0"/>
        <w:adjustRightInd w:val="0"/>
        <w:snapToGrid w:val="0"/>
        <w:spacing w:line="384"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rPr>
        <w:t>3.1.3服务团队人员清单</w:t>
      </w:r>
    </w:p>
    <w:tbl>
      <w:tblPr>
        <w:tblStyle w:val="49"/>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35"/>
        <w:gridCol w:w="1325"/>
        <w:gridCol w:w="1543"/>
        <w:gridCol w:w="1584"/>
        <w:gridCol w:w="1429"/>
        <w:gridCol w:w="1212"/>
        <w:gridCol w:w="1243"/>
      </w:tblGrid>
      <w:tr w14:paraId="1D8104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Merge w:val="restart"/>
            <w:vAlign w:val="center"/>
          </w:tcPr>
          <w:p w14:paraId="027F6570">
            <w:pPr>
              <w:jc w:val="center"/>
              <w:rPr>
                <w:rFonts w:ascii="宋体" w:hAnsi="宋体" w:cs="宋体"/>
                <w:sz w:val="24"/>
                <w:szCs w:val="24"/>
                <w:highlight w:val="none"/>
              </w:rPr>
            </w:pPr>
            <w:r>
              <w:rPr>
                <w:rFonts w:hint="eastAsia" w:ascii="宋体" w:hAnsi="宋体" w:cs="宋体"/>
                <w:sz w:val="24"/>
                <w:szCs w:val="24"/>
                <w:highlight w:val="none"/>
              </w:rPr>
              <w:t>序号</w:t>
            </w:r>
          </w:p>
        </w:tc>
        <w:tc>
          <w:tcPr>
            <w:tcW w:w="1325" w:type="dxa"/>
            <w:vMerge w:val="restart"/>
            <w:vAlign w:val="center"/>
          </w:tcPr>
          <w:p w14:paraId="2F5082D7">
            <w:pPr>
              <w:jc w:val="center"/>
              <w:rPr>
                <w:rFonts w:ascii="宋体" w:hAnsi="宋体" w:cs="宋体"/>
                <w:sz w:val="24"/>
                <w:szCs w:val="24"/>
                <w:highlight w:val="none"/>
              </w:rPr>
            </w:pPr>
            <w:r>
              <w:rPr>
                <w:rFonts w:hint="eastAsia" w:ascii="宋体" w:hAnsi="宋体" w:cs="宋体"/>
                <w:sz w:val="24"/>
                <w:szCs w:val="24"/>
                <w:highlight w:val="none"/>
              </w:rPr>
              <w:t>本项</w:t>
            </w:r>
            <w:r>
              <w:rPr>
                <w:rFonts w:hint="eastAsia" w:ascii="宋体" w:hAnsi="宋体" w:cs="宋体"/>
                <w:spacing w:val="-2"/>
                <w:sz w:val="24"/>
                <w:szCs w:val="24"/>
                <w:highlight w:val="none"/>
              </w:rPr>
              <w:t>目</w:t>
            </w:r>
            <w:r>
              <w:rPr>
                <w:rFonts w:hint="eastAsia" w:ascii="宋体" w:hAnsi="宋体" w:cs="宋体"/>
                <w:sz w:val="24"/>
                <w:szCs w:val="24"/>
                <w:highlight w:val="none"/>
              </w:rPr>
              <w:t>任职</w:t>
            </w:r>
          </w:p>
        </w:tc>
        <w:tc>
          <w:tcPr>
            <w:tcW w:w="1543" w:type="dxa"/>
            <w:vMerge w:val="restart"/>
            <w:vAlign w:val="center"/>
          </w:tcPr>
          <w:p w14:paraId="254098FA">
            <w:pPr>
              <w:jc w:val="center"/>
              <w:rPr>
                <w:rFonts w:ascii="宋体" w:hAnsi="宋体" w:cs="宋体"/>
                <w:sz w:val="24"/>
                <w:szCs w:val="24"/>
                <w:highlight w:val="none"/>
              </w:rPr>
            </w:pPr>
            <w:r>
              <w:rPr>
                <w:rFonts w:hint="eastAsia" w:ascii="宋体" w:hAnsi="宋体" w:cs="宋体"/>
                <w:sz w:val="24"/>
                <w:szCs w:val="24"/>
                <w:highlight w:val="none"/>
              </w:rPr>
              <w:t>姓名</w:t>
            </w:r>
          </w:p>
        </w:tc>
        <w:tc>
          <w:tcPr>
            <w:tcW w:w="4225" w:type="dxa"/>
            <w:gridSpan w:val="3"/>
            <w:vAlign w:val="center"/>
          </w:tcPr>
          <w:p w14:paraId="7568BC2F">
            <w:pPr>
              <w:jc w:val="center"/>
              <w:rPr>
                <w:rFonts w:ascii="宋体" w:hAnsi="宋体" w:cs="宋体"/>
                <w:sz w:val="24"/>
                <w:szCs w:val="24"/>
                <w:highlight w:val="none"/>
              </w:rPr>
            </w:pPr>
            <w:r>
              <w:rPr>
                <w:rFonts w:hint="eastAsia" w:ascii="宋体" w:hAnsi="宋体" w:cs="宋体"/>
                <w:sz w:val="24"/>
                <w:szCs w:val="24"/>
                <w:highlight w:val="none"/>
              </w:rPr>
              <w:t>执业</w:t>
            </w:r>
            <w:r>
              <w:rPr>
                <w:rFonts w:hint="eastAsia" w:ascii="宋体" w:hAnsi="宋体" w:cs="宋体"/>
                <w:spacing w:val="-2"/>
                <w:sz w:val="24"/>
                <w:szCs w:val="24"/>
                <w:highlight w:val="none"/>
              </w:rPr>
              <w:t>或</w:t>
            </w:r>
            <w:r>
              <w:rPr>
                <w:rFonts w:hint="eastAsia" w:ascii="宋体" w:hAnsi="宋体" w:cs="宋体"/>
                <w:sz w:val="24"/>
                <w:szCs w:val="24"/>
                <w:highlight w:val="none"/>
              </w:rPr>
              <w:t>职</w:t>
            </w:r>
            <w:r>
              <w:rPr>
                <w:rFonts w:hint="eastAsia" w:ascii="宋体" w:hAnsi="宋体" w:cs="宋体"/>
                <w:spacing w:val="-2"/>
                <w:sz w:val="24"/>
                <w:szCs w:val="24"/>
                <w:highlight w:val="none"/>
              </w:rPr>
              <w:t>业</w:t>
            </w:r>
            <w:r>
              <w:rPr>
                <w:rFonts w:hint="eastAsia" w:ascii="宋体" w:hAnsi="宋体" w:cs="宋体"/>
                <w:sz w:val="24"/>
                <w:szCs w:val="24"/>
                <w:highlight w:val="none"/>
              </w:rPr>
              <w:t>资</w:t>
            </w:r>
            <w:r>
              <w:rPr>
                <w:rFonts w:hint="eastAsia" w:ascii="宋体" w:hAnsi="宋体" w:cs="宋体"/>
                <w:spacing w:val="-2"/>
                <w:sz w:val="24"/>
                <w:szCs w:val="24"/>
                <w:highlight w:val="none"/>
              </w:rPr>
              <w:t>格</w:t>
            </w:r>
            <w:r>
              <w:rPr>
                <w:rFonts w:hint="eastAsia" w:ascii="宋体" w:hAnsi="宋体" w:cs="宋体"/>
                <w:sz w:val="24"/>
                <w:szCs w:val="24"/>
                <w:highlight w:val="none"/>
              </w:rPr>
              <w:t>证明</w:t>
            </w:r>
          </w:p>
        </w:tc>
        <w:tc>
          <w:tcPr>
            <w:tcW w:w="1243" w:type="dxa"/>
            <w:vAlign w:val="center"/>
          </w:tcPr>
          <w:p w14:paraId="5B2FAC81">
            <w:pPr>
              <w:jc w:val="center"/>
              <w:rPr>
                <w:rFonts w:ascii="宋体" w:hAnsi="宋体" w:cs="宋体"/>
                <w:sz w:val="24"/>
                <w:szCs w:val="24"/>
                <w:highlight w:val="none"/>
              </w:rPr>
            </w:pPr>
            <w:r>
              <w:rPr>
                <w:rFonts w:hint="eastAsia" w:ascii="宋体" w:hAnsi="宋体" w:cs="宋体"/>
                <w:sz w:val="24"/>
                <w:szCs w:val="24"/>
                <w:highlight w:val="none"/>
              </w:rPr>
              <w:t>备注</w:t>
            </w:r>
          </w:p>
        </w:tc>
      </w:tr>
      <w:tr w14:paraId="59AB07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jc w:val="center"/>
        </w:trPr>
        <w:tc>
          <w:tcPr>
            <w:tcW w:w="735" w:type="dxa"/>
            <w:vMerge w:val="continue"/>
            <w:vAlign w:val="center"/>
          </w:tcPr>
          <w:p w14:paraId="3E344881">
            <w:pPr>
              <w:jc w:val="both"/>
              <w:rPr>
                <w:rFonts w:ascii="宋体" w:hAnsi="宋体" w:cs="宋体"/>
                <w:sz w:val="24"/>
                <w:szCs w:val="24"/>
                <w:highlight w:val="none"/>
              </w:rPr>
            </w:pPr>
          </w:p>
        </w:tc>
        <w:tc>
          <w:tcPr>
            <w:tcW w:w="1325" w:type="dxa"/>
            <w:vMerge w:val="continue"/>
            <w:vAlign w:val="center"/>
          </w:tcPr>
          <w:p w14:paraId="71EE2BBF">
            <w:pPr>
              <w:jc w:val="both"/>
              <w:rPr>
                <w:rFonts w:ascii="宋体" w:hAnsi="宋体" w:cs="宋体"/>
                <w:sz w:val="24"/>
                <w:szCs w:val="24"/>
                <w:highlight w:val="none"/>
              </w:rPr>
            </w:pPr>
          </w:p>
        </w:tc>
        <w:tc>
          <w:tcPr>
            <w:tcW w:w="1543" w:type="dxa"/>
            <w:vMerge w:val="continue"/>
            <w:vAlign w:val="center"/>
          </w:tcPr>
          <w:p w14:paraId="428CBE54">
            <w:pPr>
              <w:jc w:val="both"/>
              <w:rPr>
                <w:rFonts w:ascii="宋体" w:hAnsi="宋体" w:cs="宋体"/>
                <w:sz w:val="24"/>
                <w:szCs w:val="24"/>
                <w:highlight w:val="none"/>
              </w:rPr>
            </w:pPr>
          </w:p>
        </w:tc>
        <w:tc>
          <w:tcPr>
            <w:tcW w:w="1584" w:type="dxa"/>
            <w:vAlign w:val="center"/>
          </w:tcPr>
          <w:p w14:paraId="056FBD20">
            <w:pPr>
              <w:jc w:val="center"/>
              <w:rPr>
                <w:rFonts w:ascii="宋体" w:hAnsi="宋体" w:cs="宋体"/>
                <w:sz w:val="24"/>
                <w:szCs w:val="24"/>
                <w:highlight w:val="none"/>
              </w:rPr>
            </w:pPr>
            <w:r>
              <w:rPr>
                <w:rFonts w:hint="eastAsia" w:ascii="宋体" w:hAnsi="宋体" w:cs="宋体"/>
                <w:sz w:val="24"/>
                <w:szCs w:val="24"/>
                <w:highlight w:val="none"/>
              </w:rPr>
              <w:t>证书</w:t>
            </w:r>
            <w:r>
              <w:rPr>
                <w:rFonts w:hint="eastAsia" w:ascii="宋体" w:hAnsi="宋体" w:cs="宋体"/>
                <w:spacing w:val="-2"/>
                <w:sz w:val="24"/>
                <w:szCs w:val="24"/>
                <w:highlight w:val="none"/>
              </w:rPr>
              <w:t>名</w:t>
            </w:r>
            <w:r>
              <w:rPr>
                <w:rFonts w:hint="eastAsia" w:ascii="宋体" w:hAnsi="宋体" w:cs="宋体"/>
                <w:sz w:val="24"/>
                <w:szCs w:val="24"/>
                <w:highlight w:val="none"/>
              </w:rPr>
              <w:t>称</w:t>
            </w:r>
          </w:p>
        </w:tc>
        <w:tc>
          <w:tcPr>
            <w:tcW w:w="1429" w:type="dxa"/>
            <w:vAlign w:val="center"/>
          </w:tcPr>
          <w:p w14:paraId="3E894B78">
            <w:pPr>
              <w:jc w:val="center"/>
              <w:rPr>
                <w:rFonts w:ascii="宋体" w:hAnsi="宋体" w:cs="宋体"/>
                <w:sz w:val="24"/>
                <w:szCs w:val="24"/>
                <w:highlight w:val="none"/>
              </w:rPr>
            </w:pPr>
            <w:r>
              <w:rPr>
                <w:rFonts w:hint="eastAsia" w:ascii="宋体" w:hAnsi="宋体" w:cs="宋体"/>
                <w:sz w:val="24"/>
                <w:szCs w:val="24"/>
                <w:highlight w:val="none"/>
              </w:rPr>
              <w:t>级别</w:t>
            </w:r>
          </w:p>
        </w:tc>
        <w:tc>
          <w:tcPr>
            <w:tcW w:w="1212" w:type="dxa"/>
            <w:vAlign w:val="center"/>
          </w:tcPr>
          <w:p w14:paraId="49579221">
            <w:pPr>
              <w:jc w:val="center"/>
              <w:rPr>
                <w:rFonts w:ascii="宋体" w:hAnsi="宋体" w:cs="宋体"/>
                <w:sz w:val="24"/>
                <w:szCs w:val="24"/>
                <w:highlight w:val="none"/>
              </w:rPr>
            </w:pPr>
            <w:r>
              <w:rPr>
                <w:rFonts w:hint="eastAsia" w:ascii="宋体" w:hAnsi="宋体" w:cs="宋体"/>
                <w:sz w:val="24"/>
                <w:szCs w:val="24"/>
                <w:highlight w:val="none"/>
              </w:rPr>
              <w:t>证号</w:t>
            </w:r>
          </w:p>
        </w:tc>
        <w:tc>
          <w:tcPr>
            <w:tcW w:w="1243" w:type="dxa"/>
            <w:vAlign w:val="center"/>
          </w:tcPr>
          <w:p w14:paraId="4720025B">
            <w:pPr>
              <w:jc w:val="both"/>
              <w:rPr>
                <w:rFonts w:ascii="宋体" w:hAnsi="宋体" w:cs="宋体"/>
                <w:sz w:val="24"/>
                <w:szCs w:val="24"/>
                <w:highlight w:val="none"/>
              </w:rPr>
            </w:pPr>
          </w:p>
        </w:tc>
      </w:tr>
      <w:tr w14:paraId="302E7B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18B18C3C">
            <w:pPr>
              <w:jc w:val="both"/>
              <w:rPr>
                <w:rFonts w:ascii="宋体" w:hAnsi="宋体" w:cs="宋体"/>
                <w:sz w:val="24"/>
                <w:szCs w:val="24"/>
                <w:highlight w:val="none"/>
              </w:rPr>
            </w:pPr>
          </w:p>
        </w:tc>
        <w:tc>
          <w:tcPr>
            <w:tcW w:w="1325" w:type="dxa"/>
            <w:vAlign w:val="center"/>
          </w:tcPr>
          <w:p w14:paraId="1C921EE9">
            <w:pPr>
              <w:jc w:val="both"/>
              <w:rPr>
                <w:rFonts w:ascii="宋体" w:hAnsi="宋体" w:cs="宋体"/>
                <w:sz w:val="24"/>
                <w:szCs w:val="24"/>
                <w:highlight w:val="none"/>
              </w:rPr>
            </w:pPr>
          </w:p>
        </w:tc>
        <w:tc>
          <w:tcPr>
            <w:tcW w:w="1543" w:type="dxa"/>
            <w:vAlign w:val="center"/>
          </w:tcPr>
          <w:p w14:paraId="527F43D8">
            <w:pPr>
              <w:jc w:val="both"/>
              <w:rPr>
                <w:rFonts w:ascii="宋体" w:hAnsi="宋体" w:cs="宋体"/>
                <w:sz w:val="24"/>
                <w:szCs w:val="24"/>
                <w:highlight w:val="none"/>
              </w:rPr>
            </w:pPr>
          </w:p>
        </w:tc>
        <w:tc>
          <w:tcPr>
            <w:tcW w:w="1584" w:type="dxa"/>
            <w:vAlign w:val="center"/>
          </w:tcPr>
          <w:p w14:paraId="4DF659C1">
            <w:pPr>
              <w:jc w:val="both"/>
              <w:rPr>
                <w:rFonts w:ascii="宋体" w:hAnsi="宋体" w:cs="宋体"/>
                <w:sz w:val="24"/>
                <w:szCs w:val="24"/>
                <w:highlight w:val="none"/>
              </w:rPr>
            </w:pPr>
          </w:p>
        </w:tc>
        <w:tc>
          <w:tcPr>
            <w:tcW w:w="1429" w:type="dxa"/>
            <w:vAlign w:val="center"/>
          </w:tcPr>
          <w:p w14:paraId="2B2D03BC">
            <w:pPr>
              <w:jc w:val="both"/>
              <w:rPr>
                <w:rFonts w:ascii="宋体" w:hAnsi="宋体" w:cs="宋体"/>
                <w:sz w:val="24"/>
                <w:szCs w:val="24"/>
                <w:highlight w:val="none"/>
              </w:rPr>
            </w:pPr>
          </w:p>
        </w:tc>
        <w:tc>
          <w:tcPr>
            <w:tcW w:w="1212" w:type="dxa"/>
            <w:vAlign w:val="center"/>
          </w:tcPr>
          <w:p w14:paraId="15F57814">
            <w:pPr>
              <w:jc w:val="both"/>
              <w:rPr>
                <w:rFonts w:ascii="宋体" w:hAnsi="宋体" w:cs="宋体"/>
                <w:sz w:val="24"/>
                <w:szCs w:val="24"/>
                <w:highlight w:val="none"/>
              </w:rPr>
            </w:pPr>
          </w:p>
        </w:tc>
        <w:tc>
          <w:tcPr>
            <w:tcW w:w="1243" w:type="dxa"/>
            <w:vAlign w:val="center"/>
          </w:tcPr>
          <w:p w14:paraId="138EC015">
            <w:pPr>
              <w:jc w:val="both"/>
              <w:rPr>
                <w:rFonts w:ascii="宋体" w:hAnsi="宋体" w:cs="宋体"/>
                <w:sz w:val="24"/>
                <w:szCs w:val="24"/>
                <w:highlight w:val="none"/>
              </w:rPr>
            </w:pPr>
          </w:p>
        </w:tc>
      </w:tr>
      <w:tr w14:paraId="752AF6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2" w:hRule="exact"/>
          <w:jc w:val="center"/>
        </w:trPr>
        <w:tc>
          <w:tcPr>
            <w:tcW w:w="735" w:type="dxa"/>
            <w:vAlign w:val="center"/>
          </w:tcPr>
          <w:p w14:paraId="4EB8EBC3">
            <w:pPr>
              <w:jc w:val="both"/>
              <w:rPr>
                <w:rFonts w:ascii="宋体" w:hAnsi="宋体" w:cs="宋体"/>
                <w:sz w:val="24"/>
                <w:szCs w:val="24"/>
                <w:highlight w:val="none"/>
              </w:rPr>
            </w:pPr>
          </w:p>
        </w:tc>
        <w:tc>
          <w:tcPr>
            <w:tcW w:w="1325" w:type="dxa"/>
            <w:vAlign w:val="center"/>
          </w:tcPr>
          <w:p w14:paraId="0E643ACB">
            <w:pPr>
              <w:jc w:val="both"/>
              <w:rPr>
                <w:rFonts w:ascii="宋体" w:hAnsi="宋体" w:cs="宋体"/>
                <w:sz w:val="24"/>
                <w:szCs w:val="24"/>
                <w:highlight w:val="none"/>
              </w:rPr>
            </w:pPr>
          </w:p>
        </w:tc>
        <w:tc>
          <w:tcPr>
            <w:tcW w:w="1543" w:type="dxa"/>
            <w:vAlign w:val="center"/>
          </w:tcPr>
          <w:p w14:paraId="09BFD6B4">
            <w:pPr>
              <w:jc w:val="both"/>
              <w:rPr>
                <w:rFonts w:ascii="宋体" w:hAnsi="宋体" w:cs="宋体"/>
                <w:sz w:val="24"/>
                <w:szCs w:val="24"/>
                <w:highlight w:val="none"/>
              </w:rPr>
            </w:pPr>
          </w:p>
        </w:tc>
        <w:tc>
          <w:tcPr>
            <w:tcW w:w="1584" w:type="dxa"/>
            <w:vAlign w:val="center"/>
          </w:tcPr>
          <w:p w14:paraId="36FBD6FC">
            <w:pPr>
              <w:jc w:val="both"/>
              <w:rPr>
                <w:rFonts w:ascii="宋体" w:hAnsi="宋体" w:cs="宋体"/>
                <w:sz w:val="24"/>
                <w:szCs w:val="24"/>
                <w:highlight w:val="none"/>
              </w:rPr>
            </w:pPr>
          </w:p>
        </w:tc>
        <w:tc>
          <w:tcPr>
            <w:tcW w:w="1429" w:type="dxa"/>
            <w:vAlign w:val="center"/>
          </w:tcPr>
          <w:p w14:paraId="78A01B05">
            <w:pPr>
              <w:jc w:val="both"/>
              <w:rPr>
                <w:rFonts w:ascii="宋体" w:hAnsi="宋体" w:cs="宋体"/>
                <w:sz w:val="24"/>
                <w:szCs w:val="24"/>
                <w:highlight w:val="none"/>
              </w:rPr>
            </w:pPr>
          </w:p>
        </w:tc>
        <w:tc>
          <w:tcPr>
            <w:tcW w:w="1212" w:type="dxa"/>
            <w:vAlign w:val="center"/>
          </w:tcPr>
          <w:p w14:paraId="111A991B">
            <w:pPr>
              <w:jc w:val="both"/>
              <w:rPr>
                <w:rFonts w:ascii="宋体" w:hAnsi="宋体" w:cs="宋体"/>
                <w:sz w:val="24"/>
                <w:szCs w:val="24"/>
                <w:highlight w:val="none"/>
              </w:rPr>
            </w:pPr>
          </w:p>
        </w:tc>
        <w:tc>
          <w:tcPr>
            <w:tcW w:w="1243" w:type="dxa"/>
            <w:vAlign w:val="center"/>
          </w:tcPr>
          <w:p w14:paraId="1E10520B">
            <w:pPr>
              <w:jc w:val="both"/>
              <w:rPr>
                <w:rFonts w:ascii="宋体" w:hAnsi="宋体" w:cs="宋体"/>
                <w:sz w:val="24"/>
                <w:szCs w:val="24"/>
                <w:highlight w:val="none"/>
              </w:rPr>
            </w:pPr>
          </w:p>
        </w:tc>
      </w:tr>
      <w:tr w14:paraId="336199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13436299">
            <w:pPr>
              <w:jc w:val="both"/>
              <w:rPr>
                <w:rFonts w:ascii="宋体" w:hAnsi="宋体" w:cs="宋体"/>
                <w:sz w:val="24"/>
                <w:szCs w:val="24"/>
                <w:highlight w:val="none"/>
              </w:rPr>
            </w:pPr>
          </w:p>
        </w:tc>
        <w:tc>
          <w:tcPr>
            <w:tcW w:w="1325" w:type="dxa"/>
            <w:vAlign w:val="center"/>
          </w:tcPr>
          <w:p w14:paraId="66160E70">
            <w:pPr>
              <w:jc w:val="both"/>
              <w:rPr>
                <w:rFonts w:ascii="宋体" w:hAnsi="宋体" w:cs="宋体"/>
                <w:sz w:val="24"/>
                <w:szCs w:val="24"/>
                <w:highlight w:val="none"/>
              </w:rPr>
            </w:pPr>
          </w:p>
        </w:tc>
        <w:tc>
          <w:tcPr>
            <w:tcW w:w="1543" w:type="dxa"/>
            <w:vAlign w:val="center"/>
          </w:tcPr>
          <w:p w14:paraId="72D0A53B">
            <w:pPr>
              <w:jc w:val="both"/>
              <w:rPr>
                <w:rFonts w:ascii="宋体" w:hAnsi="宋体" w:cs="宋体"/>
                <w:sz w:val="24"/>
                <w:szCs w:val="24"/>
                <w:highlight w:val="none"/>
              </w:rPr>
            </w:pPr>
          </w:p>
        </w:tc>
        <w:tc>
          <w:tcPr>
            <w:tcW w:w="1584" w:type="dxa"/>
            <w:vAlign w:val="center"/>
          </w:tcPr>
          <w:p w14:paraId="57496189">
            <w:pPr>
              <w:jc w:val="both"/>
              <w:rPr>
                <w:rFonts w:ascii="宋体" w:hAnsi="宋体" w:cs="宋体"/>
                <w:sz w:val="24"/>
                <w:szCs w:val="24"/>
                <w:highlight w:val="none"/>
              </w:rPr>
            </w:pPr>
          </w:p>
        </w:tc>
        <w:tc>
          <w:tcPr>
            <w:tcW w:w="1429" w:type="dxa"/>
            <w:vAlign w:val="center"/>
          </w:tcPr>
          <w:p w14:paraId="502411A9">
            <w:pPr>
              <w:jc w:val="both"/>
              <w:rPr>
                <w:rFonts w:ascii="宋体" w:hAnsi="宋体" w:cs="宋体"/>
                <w:sz w:val="24"/>
                <w:szCs w:val="24"/>
                <w:highlight w:val="none"/>
              </w:rPr>
            </w:pPr>
          </w:p>
        </w:tc>
        <w:tc>
          <w:tcPr>
            <w:tcW w:w="1212" w:type="dxa"/>
            <w:vAlign w:val="center"/>
          </w:tcPr>
          <w:p w14:paraId="0EE5E1A5">
            <w:pPr>
              <w:jc w:val="both"/>
              <w:rPr>
                <w:rFonts w:ascii="宋体" w:hAnsi="宋体" w:cs="宋体"/>
                <w:sz w:val="24"/>
                <w:szCs w:val="24"/>
                <w:highlight w:val="none"/>
              </w:rPr>
            </w:pPr>
          </w:p>
        </w:tc>
        <w:tc>
          <w:tcPr>
            <w:tcW w:w="1243" w:type="dxa"/>
            <w:vAlign w:val="center"/>
          </w:tcPr>
          <w:p w14:paraId="2AC726F4">
            <w:pPr>
              <w:jc w:val="both"/>
              <w:rPr>
                <w:rFonts w:ascii="宋体" w:hAnsi="宋体" w:cs="宋体"/>
                <w:sz w:val="24"/>
                <w:szCs w:val="24"/>
                <w:highlight w:val="none"/>
              </w:rPr>
            </w:pPr>
          </w:p>
        </w:tc>
      </w:tr>
      <w:tr w14:paraId="5F3EDA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jc w:val="center"/>
        </w:trPr>
        <w:tc>
          <w:tcPr>
            <w:tcW w:w="735" w:type="dxa"/>
            <w:vAlign w:val="center"/>
          </w:tcPr>
          <w:p w14:paraId="504FBC6C">
            <w:pPr>
              <w:jc w:val="both"/>
              <w:rPr>
                <w:rFonts w:ascii="宋体" w:hAnsi="宋体" w:cs="宋体"/>
                <w:sz w:val="24"/>
                <w:szCs w:val="24"/>
                <w:highlight w:val="none"/>
              </w:rPr>
            </w:pPr>
          </w:p>
        </w:tc>
        <w:tc>
          <w:tcPr>
            <w:tcW w:w="1325" w:type="dxa"/>
            <w:vAlign w:val="center"/>
          </w:tcPr>
          <w:p w14:paraId="5E18F62A">
            <w:pPr>
              <w:jc w:val="both"/>
              <w:rPr>
                <w:rFonts w:ascii="宋体" w:hAnsi="宋体" w:cs="宋体"/>
                <w:sz w:val="24"/>
                <w:szCs w:val="24"/>
                <w:highlight w:val="none"/>
              </w:rPr>
            </w:pPr>
          </w:p>
        </w:tc>
        <w:tc>
          <w:tcPr>
            <w:tcW w:w="1543" w:type="dxa"/>
            <w:vAlign w:val="center"/>
          </w:tcPr>
          <w:p w14:paraId="6C295126">
            <w:pPr>
              <w:jc w:val="both"/>
              <w:rPr>
                <w:rFonts w:ascii="宋体" w:hAnsi="宋体" w:cs="宋体"/>
                <w:sz w:val="24"/>
                <w:szCs w:val="24"/>
                <w:highlight w:val="none"/>
              </w:rPr>
            </w:pPr>
          </w:p>
        </w:tc>
        <w:tc>
          <w:tcPr>
            <w:tcW w:w="1584" w:type="dxa"/>
            <w:vAlign w:val="center"/>
          </w:tcPr>
          <w:p w14:paraId="25437CC2">
            <w:pPr>
              <w:jc w:val="both"/>
              <w:rPr>
                <w:rFonts w:ascii="宋体" w:hAnsi="宋体" w:cs="宋体"/>
                <w:sz w:val="24"/>
                <w:szCs w:val="24"/>
                <w:highlight w:val="none"/>
              </w:rPr>
            </w:pPr>
          </w:p>
        </w:tc>
        <w:tc>
          <w:tcPr>
            <w:tcW w:w="1429" w:type="dxa"/>
            <w:vAlign w:val="center"/>
          </w:tcPr>
          <w:p w14:paraId="31E01A70">
            <w:pPr>
              <w:jc w:val="both"/>
              <w:rPr>
                <w:rFonts w:ascii="宋体" w:hAnsi="宋体" w:cs="宋体"/>
                <w:sz w:val="24"/>
                <w:szCs w:val="24"/>
                <w:highlight w:val="none"/>
              </w:rPr>
            </w:pPr>
          </w:p>
        </w:tc>
        <w:tc>
          <w:tcPr>
            <w:tcW w:w="1212" w:type="dxa"/>
            <w:vAlign w:val="center"/>
          </w:tcPr>
          <w:p w14:paraId="37667375">
            <w:pPr>
              <w:jc w:val="both"/>
              <w:rPr>
                <w:rFonts w:ascii="宋体" w:hAnsi="宋体" w:cs="宋体"/>
                <w:sz w:val="24"/>
                <w:szCs w:val="24"/>
                <w:highlight w:val="none"/>
              </w:rPr>
            </w:pPr>
          </w:p>
        </w:tc>
        <w:tc>
          <w:tcPr>
            <w:tcW w:w="1243" w:type="dxa"/>
            <w:vAlign w:val="center"/>
          </w:tcPr>
          <w:p w14:paraId="3193A0D7">
            <w:pPr>
              <w:jc w:val="both"/>
              <w:rPr>
                <w:rFonts w:ascii="宋体" w:hAnsi="宋体" w:cs="宋体"/>
                <w:sz w:val="24"/>
                <w:szCs w:val="24"/>
                <w:highlight w:val="none"/>
              </w:rPr>
            </w:pPr>
          </w:p>
        </w:tc>
      </w:tr>
      <w:tr w14:paraId="74715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78700FBE">
            <w:pPr>
              <w:jc w:val="both"/>
              <w:rPr>
                <w:rFonts w:ascii="宋体" w:hAnsi="宋体" w:cs="宋体"/>
                <w:sz w:val="24"/>
                <w:szCs w:val="24"/>
                <w:highlight w:val="none"/>
              </w:rPr>
            </w:pPr>
          </w:p>
        </w:tc>
        <w:tc>
          <w:tcPr>
            <w:tcW w:w="1325" w:type="dxa"/>
            <w:vAlign w:val="center"/>
          </w:tcPr>
          <w:p w14:paraId="3A831A65">
            <w:pPr>
              <w:jc w:val="both"/>
              <w:rPr>
                <w:rFonts w:ascii="宋体" w:hAnsi="宋体" w:cs="宋体"/>
                <w:sz w:val="24"/>
                <w:szCs w:val="24"/>
                <w:highlight w:val="none"/>
              </w:rPr>
            </w:pPr>
          </w:p>
        </w:tc>
        <w:tc>
          <w:tcPr>
            <w:tcW w:w="1543" w:type="dxa"/>
            <w:vAlign w:val="center"/>
          </w:tcPr>
          <w:p w14:paraId="0644A5EC">
            <w:pPr>
              <w:jc w:val="both"/>
              <w:rPr>
                <w:rFonts w:ascii="宋体" w:hAnsi="宋体" w:cs="宋体"/>
                <w:sz w:val="24"/>
                <w:szCs w:val="24"/>
                <w:highlight w:val="none"/>
              </w:rPr>
            </w:pPr>
          </w:p>
        </w:tc>
        <w:tc>
          <w:tcPr>
            <w:tcW w:w="1584" w:type="dxa"/>
            <w:vAlign w:val="center"/>
          </w:tcPr>
          <w:p w14:paraId="415621F8">
            <w:pPr>
              <w:jc w:val="both"/>
              <w:rPr>
                <w:rFonts w:ascii="宋体" w:hAnsi="宋体" w:cs="宋体"/>
                <w:sz w:val="24"/>
                <w:szCs w:val="24"/>
                <w:highlight w:val="none"/>
              </w:rPr>
            </w:pPr>
          </w:p>
        </w:tc>
        <w:tc>
          <w:tcPr>
            <w:tcW w:w="1429" w:type="dxa"/>
            <w:vAlign w:val="center"/>
          </w:tcPr>
          <w:p w14:paraId="3F2165CF">
            <w:pPr>
              <w:jc w:val="both"/>
              <w:rPr>
                <w:rFonts w:ascii="宋体" w:hAnsi="宋体" w:cs="宋体"/>
                <w:sz w:val="24"/>
                <w:szCs w:val="24"/>
                <w:highlight w:val="none"/>
              </w:rPr>
            </w:pPr>
          </w:p>
        </w:tc>
        <w:tc>
          <w:tcPr>
            <w:tcW w:w="1212" w:type="dxa"/>
            <w:vAlign w:val="center"/>
          </w:tcPr>
          <w:p w14:paraId="5171EB4B">
            <w:pPr>
              <w:jc w:val="both"/>
              <w:rPr>
                <w:rFonts w:ascii="宋体" w:hAnsi="宋体" w:cs="宋体"/>
                <w:sz w:val="24"/>
                <w:szCs w:val="24"/>
                <w:highlight w:val="none"/>
              </w:rPr>
            </w:pPr>
          </w:p>
        </w:tc>
        <w:tc>
          <w:tcPr>
            <w:tcW w:w="1243" w:type="dxa"/>
            <w:vAlign w:val="center"/>
          </w:tcPr>
          <w:p w14:paraId="0837FB0B">
            <w:pPr>
              <w:jc w:val="both"/>
              <w:rPr>
                <w:rFonts w:ascii="宋体" w:hAnsi="宋体" w:cs="宋体"/>
                <w:sz w:val="24"/>
                <w:szCs w:val="24"/>
                <w:highlight w:val="none"/>
              </w:rPr>
            </w:pPr>
          </w:p>
        </w:tc>
      </w:tr>
      <w:tr w14:paraId="6B883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0BF77D53">
            <w:pPr>
              <w:jc w:val="both"/>
              <w:rPr>
                <w:rFonts w:ascii="宋体" w:hAnsi="宋体" w:cs="宋体"/>
                <w:sz w:val="24"/>
                <w:szCs w:val="24"/>
                <w:highlight w:val="none"/>
              </w:rPr>
            </w:pPr>
          </w:p>
        </w:tc>
        <w:tc>
          <w:tcPr>
            <w:tcW w:w="1325" w:type="dxa"/>
            <w:vAlign w:val="center"/>
          </w:tcPr>
          <w:p w14:paraId="21113C3F">
            <w:pPr>
              <w:jc w:val="both"/>
              <w:rPr>
                <w:rFonts w:ascii="宋体" w:hAnsi="宋体" w:cs="宋体"/>
                <w:sz w:val="24"/>
                <w:szCs w:val="24"/>
                <w:highlight w:val="none"/>
              </w:rPr>
            </w:pPr>
          </w:p>
        </w:tc>
        <w:tc>
          <w:tcPr>
            <w:tcW w:w="1543" w:type="dxa"/>
            <w:vAlign w:val="center"/>
          </w:tcPr>
          <w:p w14:paraId="610DBF68">
            <w:pPr>
              <w:jc w:val="both"/>
              <w:rPr>
                <w:rFonts w:ascii="宋体" w:hAnsi="宋体" w:cs="宋体"/>
                <w:sz w:val="24"/>
                <w:szCs w:val="24"/>
                <w:highlight w:val="none"/>
              </w:rPr>
            </w:pPr>
          </w:p>
        </w:tc>
        <w:tc>
          <w:tcPr>
            <w:tcW w:w="1584" w:type="dxa"/>
            <w:vAlign w:val="center"/>
          </w:tcPr>
          <w:p w14:paraId="5E95FE09">
            <w:pPr>
              <w:jc w:val="both"/>
              <w:rPr>
                <w:rFonts w:ascii="宋体" w:hAnsi="宋体" w:cs="宋体"/>
                <w:sz w:val="24"/>
                <w:szCs w:val="24"/>
                <w:highlight w:val="none"/>
              </w:rPr>
            </w:pPr>
          </w:p>
        </w:tc>
        <w:tc>
          <w:tcPr>
            <w:tcW w:w="1429" w:type="dxa"/>
            <w:vAlign w:val="center"/>
          </w:tcPr>
          <w:p w14:paraId="420137DA">
            <w:pPr>
              <w:jc w:val="both"/>
              <w:rPr>
                <w:rFonts w:ascii="宋体" w:hAnsi="宋体" w:cs="宋体"/>
                <w:sz w:val="24"/>
                <w:szCs w:val="24"/>
                <w:highlight w:val="none"/>
              </w:rPr>
            </w:pPr>
          </w:p>
        </w:tc>
        <w:tc>
          <w:tcPr>
            <w:tcW w:w="1212" w:type="dxa"/>
            <w:vAlign w:val="center"/>
          </w:tcPr>
          <w:p w14:paraId="1F1D56FA">
            <w:pPr>
              <w:jc w:val="both"/>
              <w:rPr>
                <w:rFonts w:ascii="宋体" w:hAnsi="宋体" w:cs="宋体"/>
                <w:sz w:val="24"/>
                <w:szCs w:val="24"/>
                <w:highlight w:val="none"/>
              </w:rPr>
            </w:pPr>
          </w:p>
        </w:tc>
        <w:tc>
          <w:tcPr>
            <w:tcW w:w="1243" w:type="dxa"/>
            <w:vAlign w:val="center"/>
          </w:tcPr>
          <w:p w14:paraId="7034469E">
            <w:pPr>
              <w:jc w:val="both"/>
              <w:rPr>
                <w:rFonts w:ascii="宋体" w:hAnsi="宋体" w:cs="宋体"/>
                <w:sz w:val="24"/>
                <w:szCs w:val="24"/>
                <w:highlight w:val="none"/>
              </w:rPr>
            </w:pPr>
          </w:p>
        </w:tc>
      </w:tr>
      <w:tr w14:paraId="4015F6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jc w:val="center"/>
        </w:trPr>
        <w:tc>
          <w:tcPr>
            <w:tcW w:w="735" w:type="dxa"/>
            <w:vAlign w:val="center"/>
          </w:tcPr>
          <w:p w14:paraId="17DE63FA">
            <w:pPr>
              <w:jc w:val="both"/>
              <w:rPr>
                <w:rFonts w:ascii="宋体" w:hAnsi="宋体" w:cs="宋体"/>
                <w:sz w:val="24"/>
                <w:szCs w:val="24"/>
                <w:highlight w:val="none"/>
              </w:rPr>
            </w:pPr>
          </w:p>
        </w:tc>
        <w:tc>
          <w:tcPr>
            <w:tcW w:w="1325" w:type="dxa"/>
            <w:vAlign w:val="center"/>
          </w:tcPr>
          <w:p w14:paraId="1BA4394D">
            <w:pPr>
              <w:jc w:val="both"/>
              <w:rPr>
                <w:rFonts w:ascii="宋体" w:hAnsi="宋体" w:cs="宋体"/>
                <w:sz w:val="24"/>
                <w:szCs w:val="24"/>
                <w:highlight w:val="none"/>
              </w:rPr>
            </w:pPr>
          </w:p>
        </w:tc>
        <w:tc>
          <w:tcPr>
            <w:tcW w:w="1543" w:type="dxa"/>
            <w:vAlign w:val="center"/>
          </w:tcPr>
          <w:p w14:paraId="1E832766">
            <w:pPr>
              <w:jc w:val="both"/>
              <w:rPr>
                <w:rFonts w:ascii="宋体" w:hAnsi="宋体" w:cs="宋体"/>
                <w:sz w:val="24"/>
                <w:szCs w:val="24"/>
                <w:highlight w:val="none"/>
              </w:rPr>
            </w:pPr>
          </w:p>
        </w:tc>
        <w:tc>
          <w:tcPr>
            <w:tcW w:w="1584" w:type="dxa"/>
            <w:vAlign w:val="center"/>
          </w:tcPr>
          <w:p w14:paraId="69276725">
            <w:pPr>
              <w:jc w:val="both"/>
              <w:rPr>
                <w:rFonts w:ascii="宋体" w:hAnsi="宋体" w:cs="宋体"/>
                <w:sz w:val="24"/>
                <w:szCs w:val="24"/>
                <w:highlight w:val="none"/>
              </w:rPr>
            </w:pPr>
          </w:p>
        </w:tc>
        <w:tc>
          <w:tcPr>
            <w:tcW w:w="1429" w:type="dxa"/>
            <w:vAlign w:val="center"/>
          </w:tcPr>
          <w:p w14:paraId="210CC689">
            <w:pPr>
              <w:jc w:val="both"/>
              <w:rPr>
                <w:rFonts w:ascii="宋体" w:hAnsi="宋体" w:cs="宋体"/>
                <w:sz w:val="24"/>
                <w:szCs w:val="24"/>
                <w:highlight w:val="none"/>
              </w:rPr>
            </w:pPr>
          </w:p>
        </w:tc>
        <w:tc>
          <w:tcPr>
            <w:tcW w:w="1212" w:type="dxa"/>
            <w:vAlign w:val="center"/>
          </w:tcPr>
          <w:p w14:paraId="14B059EA">
            <w:pPr>
              <w:jc w:val="both"/>
              <w:rPr>
                <w:rFonts w:ascii="宋体" w:hAnsi="宋体" w:cs="宋体"/>
                <w:sz w:val="24"/>
                <w:szCs w:val="24"/>
                <w:highlight w:val="none"/>
              </w:rPr>
            </w:pPr>
          </w:p>
        </w:tc>
        <w:tc>
          <w:tcPr>
            <w:tcW w:w="1243" w:type="dxa"/>
            <w:vAlign w:val="center"/>
          </w:tcPr>
          <w:p w14:paraId="13709DC0">
            <w:pPr>
              <w:jc w:val="both"/>
              <w:rPr>
                <w:rFonts w:ascii="宋体" w:hAnsi="宋体" w:cs="宋体"/>
                <w:sz w:val="24"/>
                <w:szCs w:val="24"/>
                <w:highlight w:val="none"/>
              </w:rPr>
            </w:pPr>
          </w:p>
        </w:tc>
      </w:tr>
    </w:tbl>
    <w:p w14:paraId="44397215">
      <w:pPr>
        <w:adjustRightInd w:val="0"/>
        <w:snapToGrid w:val="0"/>
        <w:spacing w:line="360" w:lineRule="auto"/>
        <w:ind w:left="105" w:leftChars="50" w:firstLine="360" w:firstLineChars="150"/>
        <w:rPr>
          <w:rFonts w:ascii="宋体" w:hAnsi="宋体" w:cs="宋体"/>
          <w:kern w:val="2"/>
          <w:sz w:val="24"/>
          <w:szCs w:val="24"/>
          <w:highlight w:val="none"/>
        </w:rPr>
      </w:pPr>
    </w:p>
    <w:p w14:paraId="616DD59C">
      <w:pPr>
        <w:adjustRightInd w:val="0"/>
        <w:snapToGrid w:val="0"/>
        <w:spacing w:line="360" w:lineRule="auto"/>
        <w:ind w:left="105" w:leftChars="50" w:firstLine="360" w:firstLineChars="150"/>
        <w:rPr>
          <w:rFonts w:ascii="宋体" w:hAnsi="宋体"/>
          <w:sz w:val="24"/>
          <w:highlight w:val="none"/>
        </w:rPr>
      </w:pPr>
      <w:r>
        <w:rPr>
          <w:rFonts w:hint="eastAsia" w:ascii="宋体" w:hAnsi="宋体" w:cs="宋体"/>
          <w:kern w:val="2"/>
          <w:sz w:val="24"/>
          <w:szCs w:val="24"/>
          <w:highlight w:val="none"/>
        </w:rPr>
        <w:t>3.1.4</w:t>
      </w:r>
      <w:r>
        <w:rPr>
          <w:rFonts w:hint="eastAsia" w:ascii="宋体" w:hAnsi="宋体"/>
          <w:sz w:val="24"/>
          <w:highlight w:val="none"/>
        </w:rPr>
        <w:t>常驻人员要求</w:t>
      </w:r>
    </w:p>
    <w:p w14:paraId="01A9A9E6">
      <w:pPr>
        <w:adjustRightInd w:val="0"/>
        <w:snapToGrid w:val="0"/>
        <w:spacing w:line="360" w:lineRule="auto"/>
        <w:ind w:left="105" w:leftChars="50" w:firstLine="360" w:firstLineChars="150"/>
        <w:rPr>
          <w:rFonts w:ascii="宋体" w:hAnsi="宋体"/>
          <w:sz w:val="24"/>
          <w:highlight w:val="none"/>
        </w:rPr>
      </w:pPr>
      <w:r>
        <w:rPr>
          <w:rFonts w:hint="eastAsia" w:ascii="宋体" w:hAnsi="宋体"/>
          <w:sz w:val="24"/>
          <w:highlight w:val="none"/>
        </w:rPr>
        <w:t>乙方必须安排</w:t>
      </w:r>
      <w:r>
        <w:rPr>
          <w:rFonts w:hint="eastAsia" w:ascii="宋体" w:hAnsi="宋体"/>
          <w:sz w:val="24"/>
          <w:highlight w:val="none"/>
          <w:lang w:val="en-US" w:eastAsia="zh-CN"/>
        </w:rPr>
        <w:t>2-4</w:t>
      </w:r>
      <w:r>
        <w:rPr>
          <w:rFonts w:hint="eastAsia" w:ascii="宋体" w:hAnsi="宋体"/>
          <w:sz w:val="24"/>
          <w:highlight w:val="none"/>
        </w:rPr>
        <w:t>名专业人员（必须是经验丰富、业务能力、协调沟通能力较强的人员）固定常驻甲方现场办公，每月驻场时间不少于15个工作日，该人员保持稳定不变化，若需调整变化必须经甲方同意；若乙方委派的常驻人员未达甲方要求，甲方有权要求乙方进行调整或另行委派。甲方将对常驻人员的出勤状况进行考核，每少一天罚500元/人，费用将从合同结算总金额中扣除。</w:t>
      </w:r>
    </w:p>
    <w:p w14:paraId="76B4F09A">
      <w:pPr>
        <w:widowControl w:val="0"/>
        <w:adjustRightInd w:val="0"/>
        <w:snapToGrid w:val="0"/>
        <w:spacing w:line="384" w:lineRule="auto"/>
        <w:ind w:firstLine="480" w:firstLineChars="200"/>
        <w:jc w:val="both"/>
        <w:rPr>
          <w:rFonts w:ascii="宋体" w:hAnsi="宋体" w:cs="宋体"/>
          <w:kern w:val="2"/>
          <w:sz w:val="24"/>
          <w:szCs w:val="24"/>
          <w:highlight w:val="none"/>
        </w:rPr>
      </w:pPr>
      <w:bookmarkStart w:id="666" w:name="_bookmark19"/>
      <w:bookmarkEnd w:id="666"/>
      <w:r>
        <w:rPr>
          <w:rFonts w:hint="eastAsia" w:ascii="宋体" w:hAnsi="宋体" w:cs="宋体"/>
          <w:kern w:val="2"/>
          <w:sz w:val="24"/>
          <w:szCs w:val="24"/>
          <w:highlight w:val="none"/>
        </w:rPr>
        <w:t>3.1.5乙方更换项目咨询团队其他乙方人员的约定：未经甲方同意</w:t>
      </w:r>
      <w:r>
        <w:rPr>
          <w:rFonts w:hint="eastAsia" w:ascii="宋体" w:hAnsi="宋体" w:cs="宋体"/>
          <w:kern w:val="2"/>
          <w:sz w:val="24"/>
          <w:szCs w:val="24"/>
          <w:highlight w:val="none"/>
          <w:u w:val="single" w:color="000000"/>
        </w:rPr>
        <w:t>不得更换</w:t>
      </w:r>
      <w:r>
        <w:rPr>
          <w:rFonts w:hint="eastAsia" w:ascii="宋体" w:hAnsi="宋体" w:cs="宋体"/>
          <w:kern w:val="2"/>
          <w:sz w:val="24"/>
          <w:szCs w:val="24"/>
          <w:highlight w:val="none"/>
        </w:rPr>
        <w:t>。</w:t>
      </w:r>
    </w:p>
    <w:p w14:paraId="5937971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3.1.6甲方要求更换乙方人员的情形还包括：甲方有权更换不能满足合同服务需求的项目组成员，乙方不得拒绝</w:t>
      </w:r>
      <w:r>
        <w:rPr>
          <w:rFonts w:hint="eastAsia" w:ascii="宋体" w:hAnsi="宋体" w:cs="宋体"/>
          <w:kern w:val="2"/>
          <w:sz w:val="24"/>
          <w:szCs w:val="24"/>
          <w:highlight w:val="none"/>
          <w:u w:val="single" w:color="000000"/>
        </w:rPr>
        <w:t>/</w:t>
      </w:r>
      <w:r>
        <w:rPr>
          <w:rFonts w:hint="eastAsia" w:ascii="宋体" w:hAnsi="宋体" w:cs="宋体"/>
          <w:kern w:val="2"/>
          <w:sz w:val="24"/>
          <w:szCs w:val="24"/>
          <w:highlight w:val="none"/>
        </w:rPr>
        <w:t>。</w:t>
      </w:r>
    </w:p>
    <w:p w14:paraId="0DD3A6F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3.2乙方的工作要求</w:t>
      </w:r>
    </w:p>
    <w:p w14:paraId="2BDE1D4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3.2.1乙方向甲方提供</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企业资质、人员资质及</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大纲的时间：</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合同签订后30个自然日内</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w:t>
      </w:r>
    </w:p>
    <w:p w14:paraId="6CA30DC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乙方向甲方提供的资料还包括：</w:t>
      </w:r>
      <w:r>
        <w:rPr>
          <w:rFonts w:hint="eastAsia" w:ascii="宋体" w:hAnsi="宋体" w:cs="宋体"/>
          <w:kern w:val="2"/>
          <w:sz w:val="24"/>
          <w:szCs w:val="24"/>
          <w:highlight w:val="none"/>
          <w:u w:val="single" w:color="000000"/>
        </w:rPr>
        <w:t xml:space="preserve"> 按照</w:t>
      </w:r>
      <w:r>
        <w:rPr>
          <w:rFonts w:hint="eastAsia" w:ascii="宋体" w:hAnsi="宋体" w:cs="宋体"/>
          <w:kern w:val="2"/>
          <w:sz w:val="24"/>
          <w:szCs w:val="24"/>
          <w:highlight w:val="none"/>
          <w:u w:val="single" w:color="000000"/>
          <w:lang w:val="en-US" w:eastAsia="zh-CN"/>
        </w:rPr>
        <w:t>合同及甲方</w:t>
      </w:r>
      <w:r>
        <w:rPr>
          <w:rFonts w:hint="eastAsia" w:ascii="宋体" w:hAnsi="宋体" w:cs="宋体"/>
          <w:kern w:val="2"/>
          <w:sz w:val="24"/>
          <w:szCs w:val="24"/>
          <w:highlight w:val="none"/>
          <w:u w:val="single" w:color="000000"/>
        </w:rPr>
        <w:t xml:space="preserve">要求提供 </w:t>
      </w:r>
      <w:r>
        <w:rPr>
          <w:rFonts w:hint="eastAsia" w:ascii="宋体" w:hAnsi="宋体" w:cs="宋体"/>
          <w:kern w:val="2"/>
          <w:sz w:val="24"/>
          <w:szCs w:val="24"/>
          <w:highlight w:val="none"/>
        </w:rPr>
        <w:t>。</w:t>
      </w:r>
    </w:p>
    <w:p w14:paraId="3AE603D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3.2.2乙方向甲方提供咨询成果文件的名称、组成、时间、份数及质量标准：</w:t>
      </w:r>
      <w:r>
        <w:rPr>
          <w:rFonts w:hint="eastAsia" w:ascii="宋体" w:hAnsi="宋体" w:cs="宋体"/>
          <w:kern w:val="2"/>
          <w:sz w:val="24"/>
          <w:szCs w:val="24"/>
          <w:highlight w:val="none"/>
          <w:u w:val="single"/>
        </w:rPr>
        <w:t>按</w:t>
      </w:r>
      <w:r>
        <w:rPr>
          <w:rFonts w:hint="eastAsia" w:ascii="宋体" w:hAnsi="宋体" w:cs="宋体"/>
          <w:kern w:val="2"/>
          <w:sz w:val="24"/>
          <w:szCs w:val="24"/>
          <w:highlight w:val="none"/>
          <w:u w:val="single"/>
          <w:lang w:val="en-US" w:eastAsia="zh-CN"/>
        </w:rPr>
        <w:t>合同</w:t>
      </w:r>
      <w:r>
        <w:rPr>
          <w:rFonts w:hint="eastAsia" w:ascii="宋体" w:hAnsi="宋体" w:cs="宋体"/>
          <w:kern w:val="2"/>
          <w:sz w:val="24"/>
          <w:szCs w:val="24"/>
          <w:highlight w:val="none"/>
          <w:u w:val="single"/>
        </w:rPr>
        <w:t>要求</w:t>
      </w:r>
      <w:r>
        <w:rPr>
          <w:rFonts w:hint="eastAsia" w:ascii="宋体" w:hAnsi="宋体" w:cs="宋体"/>
          <w:kern w:val="2"/>
          <w:sz w:val="24"/>
          <w:szCs w:val="24"/>
          <w:highlight w:val="none"/>
        </w:rPr>
        <w:t>。</w:t>
      </w:r>
    </w:p>
    <w:p w14:paraId="67159BE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3.2.3乙方提交的</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咨询成果文件，除加盖乙方单位公章、全过程造价控制咨询企业执业印章外，</w:t>
      </w:r>
      <w:r>
        <w:rPr>
          <w:rFonts w:hint="eastAsia" w:ascii="宋体" w:hAnsi="宋体" w:cs="宋体"/>
          <w:kern w:val="2"/>
          <w:sz w:val="24"/>
          <w:szCs w:val="24"/>
          <w:highlight w:val="none"/>
          <w:u w:val="single"/>
        </w:rPr>
        <w:t>各参与本</w:t>
      </w:r>
      <w:r>
        <w:rPr>
          <w:rFonts w:hint="eastAsia" w:ascii="宋体" w:hAnsi="宋体" w:cs="宋体"/>
          <w:kern w:val="2"/>
          <w:sz w:val="24"/>
          <w:szCs w:val="24"/>
          <w:highlight w:val="none"/>
          <w:u w:val="single"/>
          <w:lang w:val="en-US" w:eastAsia="zh-CN"/>
        </w:rPr>
        <w:t>项目</w:t>
      </w:r>
      <w:r>
        <w:rPr>
          <w:rFonts w:hint="eastAsia" w:ascii="宋体" w:hAnsi="宋体" w:cs="宋体"/>
          <w:kern w:val="2"/>
          <w:sz w:val="24"/>
          <w:szCs w:val="24"/>
          <w:highlight w:val="none"/>
          <w:u w:val="single"/>
        </w:rPr>
        <w:t xml:space="preserve">全过程造价控制工作执（从）业人员资格印章应与其对应专业相符 </w:t>
      </w:r>
      <w:r>
        <w:rPr>
          <w:rFonts w:hint="eastAsia" w:ascii="宋体" w:hAnsi="宋体" w:cs="宋体"/>
          <w:kern w:val="2"/>
          <w:sz w:val="24"/>
          <w:szCs w:val="24"/>
          <w:highlight w:val="none"/>
        </w:rPr>
        <w:t>。</w:t>
      </w:r>
    </w:p>
    <w:p w14:paraId="611DCA1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3.2.4乙方应在收到甲方以书面形式提出的建议或者异议后</w:t>
      </w:r>
      <w:r>
        <w:rPr>
          <w:rFonts w:hint="eastAsia" w:ascii="宋体" w:hAnsi="宋体" w:cs="宋体"/>
          <w:kern w:val="2"/>
          <w:sz w:val="24"/>
          <w:szCs w:val="24"/>
          <w:highlight w:val="none"/>
          <w:u w:val="single" w:color="000000"/>
        </w:rPr>
        <w:t xml:space="preserve"> 3 </w:t>
      </w:r>
      <w:r>
        <w:rPr>
          <w:rFonts w:hint="eastAsia" w:ascii="宋体" w:hAnsi="宋体" w:cs="宋体"/>
          <w:kern w:val="2"/>
          <w:sz w:val="24"/>
          <w:szCs w:val="24"/>
          <w:highlight w:val="none"/>
        </w:rPr>
        <w:t>日内给予书面答复。</w:t>
      </w:r>
    </w:p>
    <w:p w14:paraId="37171E8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3.3乙方的工作依据</w:t>
      </w:r>
    </w:p>
    <w:p w14:paraId="054382A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经双方协商，本合同约定的</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适用的技术标准、规范、定额等工作依据为：</w:t>
      </w:r>
      <w:r>
        <w:rPr>
          <w:rFonts w:hint="eastAsia" w:ascii="宋体" w:hAnsi="宋体" w:cs="宋体"/>
          <w:kern w:val="2"/>
          <w:sz w:val="24"/>
          <w:szCs w:val="24"/>
          <w:highlight w:val="none"/>
          <w:u w:val="single"/>
        </w:rPr>
        <w:t>按</w:t>
      </w:r>
      <w:r>
        <w:rPr>
          <w:rFonts w:hint="eastAsia" w:ascii="宋体" w:hAnsi="宋体" w:cs="宋体"/>
          <w:kern w:val="2"/>
          <w:sz w:val="24"/>
          <w:szCs w:val="24"/>
          <w:highlight w:val="none"/>
          <w:u w:val="single" w:color="000000"/>
          <w:lang w:eastAsia="zh-CN"/>
        </w:rPr>
        <w:t>专用条款</w:t>
      </w:r>
      <w:r>
        <w:rPr>
          <w:rFonts w:hint="eastAsia" w:ascii="宋体" w:hAnsi="宋体" w:cs="宋体"/>
          <w:kern w:val="2"/>
          <w:sz w:val="24"/>
          <w:szCs w:val="24"/>
          <w:highlight w:val="none"/>
          <w:u w:val="single"/>
        </w:rPr>
        <w:t>1.</w:t>
      </w:r>
      <w:r>
        <w:rPr>
          <w:rFonts w:hint="eastAsia" w:ascii="宋体" w:hAnsi="宋体" w:cs="宋体"/>
          <w:kern w:val="2"/>
          <w:sz w:val="24"/>
          <w:szCs w:val="24"/>
          <w:highlight w:val="none"/>
          <w:u w:val="single"/>
          <w:lang w:val="en-US" w:eastAsia="zh-CN"/>
        </w:rPr>
        <w:t>4条</w:t>
      </w:r>
      <w:r>
        <w:rPr>
          <w:rFonts w:hint="eastAsia" w:ascii="宋体" w:hAnsi="宋体" w:cs="宋体"/>
          <w:kern w:val="2"/>
          <w:sz w:val="24"/>
          <w:szCs w:val="24"/>
          <w:highlight w:val="none"/>
          <w:u w:val="single" w:color="000000"/>
        </w:rPr>
        <w:t>执行</w:t>
      </w:r>
      <w:r>
        <w:rPr>
          <w:rFonts w:hint="eastAsia" w:ascii="宋体" w:hAnsi="宋体" w:cs="宋体"/>
          <w:kern w:val="2"/>
          <w:sz w:val="24"/>
          <w:szCs w:val="24"/>
          <w:highlight w:val="none"/>
        </w:rPr>
        <w:t>。</w:t>
      </w:r>
    </w:p>
    <w:p w14:paraId="19C2ADD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3.4使用甲方房屋及设备的返还</w:t>
      </w:r>
    </w:p>
    <w:p w14:paraId="1F10509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乙方应在本合同终止后</w:t>
      </w:r>
      <w:r>
        <w:rPr>
          <w:rFonts w:hint="eastAsia" w:ascii="宋体" w:hAnsi="宋体" w:cs="宋体"/>
          <w:kern w:val="2"/>
          <w:sz w:val="24"/>
          <w:szCs w:val="24"/>
          <w:highlight w:val="none"/>
          <w:u w:val="single" w:color="000000"/>
        </w:rPr>
        <w:t xml:space="preserve">   /   </w:t>
      </w:r>
      <w:r>
        <w:rPr>
          <w:rFonts w:hint="eastAsia" w:ascii="宋体" w:hAnsi="宋体" w:cs="宋体"/>
          <w:kern w:val="2"/>
          <w:sz w:val="24"/>
          <w:szCs w:val="24"/>
          <w:highlight w:val="none"/>
        </w:rPr>
        <w:t>日内移交甲方提供的房屋及设备，移交的方式为</w:t>
      </w:r>
      <w:r>
        <w:rPr>
          <w:rFonts w:hint="eastAsia" w:ascii="宋体" w:hAnsi="宋体" w:cs="宋体"/>
          <w:kern w:val="2"/>
          <w:sz w:val="24"/>
          <w:szCs w:val="24"/>
          <w:highlight w:val="none"/>
          <w:u w:val="single"/>
        </w:rPr>
        <w:t xml:space="preserve">  /  </w:t>
      </w:r>
      <w:r>
        <w:rPr>
          <w:rFonts w:hint="eastAsia" w:ascii="宋体" w:hAnsi="宋体" w:cs="宋体"/>
          <w:kern w:val="2"/>
          <w:sz w:val="24"/>
          <w:szCs w:val="24"/>
          <w:highlight w:val="none"/>
        </w:rPr>
        <w:t>。</w:t>
      </w:r>
    </w:p>
    <w:p w14:paraId="1F1B4EC8">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667" w:name="_Toc89441289"/>
      <w:bookmarkStart w:id="668" w:name="_Toc27794"/>
      <w:bookmarkStart w:id="669" w:name="_Toc4462"/>
      <w:bookmarkStart w:id="670" w:name="_Toc531797788"/>
      <w:bookmarkStart w:id="671" w:name="_Toc30482"/>
      <w:bookmarkStart w:id="672" w:name="_Toc441336792"/>
      <w:bookmarkStart w:id="673" w:name="_Toc11396"/>
      <w:bookmarkStart w:id="674" w:name="_Toc32237"/>
      <w:bookmarkStart w:id="675" w:name="_Toc3061"/>
      <w:bookmarkStart w:id="676" w:name="_Toc23307"/>
      <w:bookmarkStart w:id="677" w:name="_Toc30784"/>
      <w:bookmarkStart w:id="678" w:name="_Toc1226"/>
      <w:bookmarkStart w:id="679" w:name="_Toc2025"/>
      <w:bookmarkStart w:id="680" w:name="_Toc12490"/>
      <w:bookmarkStart w:id="681" w:name="_Toc3321"/>
      <w:bookmarkStart w:id="682" w:name="_Toc14661"/>
      <w:bookmarkStart w:id="683" w:name="_Toc13842"/>
      <w:bookmarkStart w:id="684" w:name="_Toc11188"/>
      <w:bookmarkStart w:id="685" w:name="_Toc23372"/>
      <w:bookmarkStart w:id="686" w:name="_Toc20955"/>
      <w:bookmarkStart w:id="687" w:name="_Toc531884914"/>
      <w:bookmarkStart w:id="688" w:name="_Toc19034"/>
      <w:r>
        <w:rPr>
          <w:rFonts w:hint="eastAsia" w:ascii="宋体" w:hAnsi="宋体" w:cs="宋体"/>
          <w:b/>
          <w:bCs/>
          <w:sz w:val="24"/>
          <w:szCs w:val="24"/>
          <w:highlight w:val="none"/>
        </w:rPr>
        <w:t>4.违约责任</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14:paraId="1FFACF6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 xml:space="preserve">4.1甲方的违约责任 </w:t>
      </w:r>
    </w:p>
    <w:p w14:paraId="3AF77D2B">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4.1.1甲方违约金的计算及支付方法：甲方不能按时提供技术资料或工作条件或提供技术资料不准确，导致乙方无法按期完成并提交咨询成果的，乙方有权按实际延误的时间予以顺延，除此之外，甲方不承担其他形式的违约责任。</w:t>
      </w:r>
    </w:p>
    <w:p w14:paraId="1DC94138">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4.1.2甲方赔偿金额按下列方法确定并支付：</w:t>
      </w:r>
    </w:p>
    <w:p w14:paraId="4A26489C">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甲方因故要求中途终止合同时，应及时书面通知乙方。若因甲方通知不及时导致乙方已按合同约定时间开展工作，甲方应按乙方实际完成的工作量支付相应的咨询费。</w:t>
      </w:r>
    </w:p>
    <w:p w14:paraId="19DA87EB">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4.1.3甲方逾期付款利息按下列方法计算并支付：</w:t>
      </w:r>
      <w:r>
        <w:rPr>
          <w:rFonts w:hint="eastAsia" w:ascii="宋体" w:hAnsi="宋体" w:cs="宋体"/>
          <w:kern w:val="2"/>
          <w:sz w:val="24"/>
          <w:szCs w:val="24"/>
          <w:highlight w:val="none"/>
          <w:lang w:val="en-US" w:eastAsia="zh-CN"/>
        </w:rPr>
        <w:t>按</w:t>
      </w:r>
      <w:r>
        <w:rPr>
          <w:rFonts w:hint="eastAsia" w:ascii="宋体" w:hAnsi="宋体" w:cs="宋体"/>
          <w:kern w:val="2"/>
          <w:sz w:val="24"/>
          <w:szCs w:val="24"/>
          <w:highlight w:val="none"/>
        </w:rPr>
        <w:t>通用条款</w:t>
      </w:r>
      <w:r>
        <w:rPr>
          <w:rFonts w:hint="eastAsia" w:ascii="宋体" w:hAnsi="宋体" w:cs="宋体"/>
          <w:kern w:val="2"/>
          <w:sz w:val="24"/>
          <w:szCs w:val="24"/>
          <w:highlight w:val="none"/>
          <w:lang w:val="en-US" w:eastAsia="zh-CN"/>
        </w:rPr>
        <w:t>履</w:t>
      </w:r>
      <w:r>
        <w:rPr>
          <w:rFonts w:hint="eastAsia" w:ascii="宋体" w:hAnsi="宋体" w:cs="宋体"/>
          <w:kern w:val="2"/>
          <w:sz w:val="24"/>
          <w:szCs w:val="24"/>
          <w:highlight w:val="none"/>
        </w:rPr>
        <w:t>行。</w:t>
      </w:r>
    </w:p>
    <w:p w14:paraId="30D08D78">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4.2乙方的违约责任</w:t>
      </w:r>
    </w:p>
    <w:p w14:paraId="57AEA4CF">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4.2.1乙方违约金的计算及支付方法：①乙方未能按甲方要求及时完成合同约定的工作，每逾期一天，处以200元/天的违约金，累计上限不超过合同总额的10%。逾期超过30天的，</w:t>
      </w:r>
      <w:r>
        <w:rPr>
          <w:rFonts w:hint="eastAsia" w:ascii="宋体" w:hAnsi="宋体" w:cs="宋体"/>
          <w:kern w:val="2"/>
          <w:sz w:val="24"/>
          <w:szCs w:val="24"/>
          <w:highlight w:val="none"/>
          <w:lang w:val="en-US" w:eastAsia="zh-CN"/>
        </w:rPr>
        <w:t>甲方</w:t>
      </w:r>
      <w:r>
        <w:rPr>
          <w:rFonts w:hint="eastAsia" w:ascii="宋体" w:hAnsi="宋体" w:cs="宋体"/>
          <w:kern w:val="2"/>
          <w:sz w:val="24"/>
          <w:szCs w:val="24"/>
          <w:highlight w:val="none"/>
        </w:rPr>
        <w:t>有权解除合同。②本项目不允许分包、转包、挂靠，若</w:t>
      </w:r>
      <w:r>
        <w:rPr>
          <w:rFonts w:hint="eastAsia" w:ascii="宋体" w:hAnsi="宋体" w:cs="宋体"/>
          <w:kern w:val="2"/>
          <w:sz w:val="24"/>
          <w:szCs w:val="24"/>
          <w:highlight w:val="none"/>
          <w:lang w:val="en-US" w:eastAsia="zh-CN"/>
        </w:rPr>
        <w:t>乙方</w:t>
      </w:r>
      <w:r>
        <w:rPr>
          <w:rFonts w:hint="eastAsia" w:ascii="宋体" w:hAnsi="宋体" w:cs="宋体"/>
          <w:kern w:val="2"/>
          <w:sz w:val="24"/>
          <w:szCs w:val="24"/>
          <w:highlight w:val="none"/>
        </w:rPr>
        <w:t>将本工程服务工作转交其他公司或个人，一旦发现并经核实，</w:t>
      </w:r>
      <w:r>
        <w:rPr>
          <w:rFonts w:hint="eastAsia" w:ascii="宋体" w:hAnsi="宋体" w:cs="宋体"/>
          <w:kern w:val="2"/>
          <w:sz w:val="24"/>
          <w:szCs w:val="24"/>
          <w:highlight w:val="none"/>
          <w:lang w:val="en-US" w:eastAsia="zh-CN"/>
        </w:rPr>
        <w:t>甲方</w:t>
      </w:r>
      <w:r>
        <w:rPr>
          <w:rFonts w:hint="eastAsia" w:ascii="宋体" w:hAnsi="宋体" w:cs="宋体"/>
          <w:kern w:val="2"/>
          <w:sz w:val="24"/>
          <w:szCs w:val="24"/>
          <w:highlight w:val="none"/>
        </w:rPr>
        <w:t>有权</w:t>
      </w:r>
      <w:r>
        <w:rPr>
          <w:rFonts w:hint="eastAsia" w:ascii="宋体" w:hAnsi="宋体" w:cs="宋体"/>
          <w:kern w:val="2"/>
          <w:sz w:val="24"/>
          <w:szCs w:val="24"/>
          <w:highlight w:val="none"/>
          <w:lang w:val="en-US" w:eastAsia="zh-CN"/>
        </w:rPr>
        <w:t>解除</w:t>
      </w:r>
      <w:r>
        <w:rPr>
          <w:rFonts w:hint="eastAsia" w:ascii="宋体" w:hAnsi="宋体" w:cs="宋体"/>
          <w:kern w:val="2"/>
          <w:sz w:val="24"/>
          <w:szCs w:val="24"/>
          <w:highlight w:val="none"/>
        </w:rPr>
        <w:t>合同，乙方须向甲方支付合同总额的10%的违约金。③乙方未达到</w:t>
      </w:r>
      <w:r>
        <w:rPr>
          <w:rFonts w:hint="eastAsia" w:ascii="宋体" w:hAnsi="宋体" w:cs="宋体"/>
          <w:kern w:val="2"/>
          <w:sz w:val="24"/>
          <w:szCs w:val="24"/>
          <w:highlight w:val="none"/>
          <w:lang w:val="en-US" w:eastAsia="zh-CN"/>
        </w:rPr>
        <w:t>竞争性谈判邀请</w:t>
      </w:r>
      <w:r>
        <w:rPr>
          <w:rFonts w:hint="eastAsia" w:ascii="宋体" w:hAnsi="宋体" w:cs="宋体"/>
          <w:kern w:val="2"/>
          <w:sz w:val="24"/>
          <w:szCs w:val="24"/>
          <w:highlight w:val="none"/>
        </w:rPr>
        <w:t>文件服务团队的人员要求、质量要求</w:t>
      </w:r>
      <w:r>
        <w:rPr>
          <w:rFonts w:hint="eastAsia" w:ascii="宋体" w:hAnsi="宋体" w:cs="宋体"/>
          <w:kern w:val="2"/>
          <w:sz w:val="24"/>
          <w:szCs w:val="24"/>
          <w:highlight w:val="none"/>
          <w:lang w:val="en-US" w:eastAsia="zh-CN"/>
        </w:rPr>
        <w:t>及</w:t>
      </w:r>
      <w:r>
        <w:rPr>
          <w:rFonts w:hint="eastAsia" w:ascii="宋体" w:hAnsi="宋体" w:cs="宋体"/>
          <w:kern w:val="2"/>
          <w:sz w:val="24"/>
          <w:szCs w:val="24"/>
          <w:highlight w:val="none"/>
        </w:rPr>
        <w:t>其他要求的，每出现一项，乙方向甲方支付合同总额的1%的违约金。④由于乙方原因导致合同解除或终止，给甲方造成损失的，乙方承担赔偿责任。</w:t>
      </w:r>
    </w:p>
    <w:p w14:paraId="18A7211D">
      <w:pPr>
        <w:widowControl w:val="0"/>
        <w:adjustRightInd w:val="0"/>
        <w:snapToGrid w:val="0"/>
        <w:spacing w:line="56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4.2.2乙方赔偿金额按下列方法确定并支付：乙方除按约定支付违约金外，按甲方的实际损失赔偿。乙方应按国家技术规范、标准、规程及甲方提出的要求，进行工程的</w:t>
      </w:r>
      <w:r>
        <w:rPr>
          <w:rFonts w:hint="eastAsia" w:ascii="宋体" w:hAnsi="宋体" w:cs="宋体"/>
          <w:bCs/>
          <w:kern w:val="2"/>
          <w:sz w:val="24"/>
          <w:szCs w:val="24"/>
          <w:highlight w:val="none"/>
        </w:rPr>
        <w:t>全过程</w:t>
      </w:r>
      <w:r>
        <w:rPr>
          <w:rFonts w:hint="eastAsia" w:ascii="宋体" w:hAnsi="宋体" w:cs="宋体"/>
          <w:bCs/>
          <w:kern w:val="2"/>
          <w:sz w:val="24"/>
          <w:szCs w:val="24"/>
          <w:highlight w:val="none"/>
          <w:lang w:eastAsia="zh-CN"/>
        </w:rPr>
        <w:t>全过程造价控制</w:t>
      </w:r>
      <w:r>
        <w:rPr>
          <w:rFonts w:hint="eastAsia" w:ascii="宋体" w:hAnsi="宋体" w:cs="宋体"/>
          <w:kern w:val="2"/>
          <w:sz w:val="24"/>
          <w:szCs w:val="24"/>
          <w:highlight w:val="none"/>
        </w:rPr>
        <w:t>工作，按</w:t>
      </w:r>
      <w:r>
        <w:rPr>
          <w:rFonts w:hint="eastAsia" w:ascii="宋体" w:hAnsi="宋体" w:cs="宋体"/>
          <w:kern w:val="2"/>
          <w:sz w:val="24"/>
          <w:szCs w:val="24"/>
          <w:highlight w:val="none"/>
          <w:lang w:eastAsia="zh-CN"/>
        </w:rPr>
        <w:t>合同约定</w:t>
      </w:r>
      <w:r>
        <w:rPr>
          <w:rFonts w:hint="eastAsia" w:ascii="宋体" w:hAnsi="宋体" w:cs="宋体"/>
          <w:kern w:val="2"/>
          <w:sz w:val="24"/>
          <w:szCs w:val="24"/>
          <w:highlight w:val="none"/>
        </w:rPr>
        <w:t>的进度要求完成</w:t>
      </w:r>
      <w:r>
        <w:rPr>
          <w:rFonts w:hint="eastAsia" w:ascii="宋体" w:hAnsi="宋体" w:cs="宋体"/>
          <w:bCs/>
          <w:kern w:val="2"/>
          <w:sz w:val="24"/>
          <w:szCs w:val="24"/>
          <w:highlight w:val="none"/>
        </w:rPr>
        <w:t>咨询的</w:t>
      </w:r>
      <w:r>
        <w:rPr>
          <w:rFonts w:hint="eastAsia" w:ascii="宋体" w:hAnsi="宋体" w:cs="宋体"/>
          <w:kern w:val="2"/>
          <w:sz w:val="24"/>
          <w:szCs w:val="24"/>
          <w:highlight w:val="none"/>
        </w:rPr>
        <w:t>工作，并对出具的成果资料负责。</w:t>
      </w:r>
    </w:p>
    <w:p w14:paraId="286265BE">
      <w:pPr>
        <w:widowControl w:val="0"/>
        <w:adjustRightInd w:val="0"/>
        <w:snapToGrid w:val="0"/>
        <w:spacing w:line="580" w:lineRule="exact"/>
        <w:ind w:left="210" w:leftChars="100" w:firstLine="240" w:firstLineChars="100"/>
        <w:jc w:val="both"/>
        <w:rPr>
          <w:rFonts w:ascii="宋体" w:hAnsi="宋体" w:cs="宋体"/>
          <w:kern w:val="2"/>
          <w:sz w:val="24"/>
          <w:szCs w:val="24"/>
          <w:highlight w:val="none"/>
        </w:rPr>
      </w:pPr>
      <w:r>
        <w:rPr>
          <w:rFonts w:hint="eastAsia" w:ascii="宋体" w:hAnsi="宋体" w:cs="宋体"/>
          <w:kern w:val="2"/>
          <w:sz w:val="24"/>
          <w:szCs w:val="24"/>
          <w:highlight w:val="none"/>
        </w:rPr>
        <w:t>4.2.3乙方提供错误或不合格信息而导致甲方损失的，除应向甲方承担损害赔偿责任之外，还应向甲方支付10000元的违约金，且甲方有权解除合同，乙方按照相关法律规定承担相应责任。</w:t>
      </w:r>
    </w:p>
    <w:p w14:paraId="1EB674EE">
      <w:pPr>
        <w:widowControl w:val="0"/>
        <w:adjustRightInd w:val="0"/>
        <w:snapToGrid w:val="0"/>
        <w:spacing w:line="580" w:lineRule="exact"/>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4.2.4乙方擅自变更项目负责人或其他乙方人员的，应向甲方支付10000元的违约金，同时，甲方有权解除本合同。</w:t>
      </w:r>
    </w:p>
    <w:p w14:paraId="3FC52DA2">
      <w:pPr>
        <w:widowControl w:val="0"/>
        <w:adjustRightInd w:val="0"/>
        <w:snapToGrid w:val="0"/>
        <w:spacing w:line="580" w:lineRule="exact"/>
        <w:ind w:firstLine="480" w:firstLineChars="200"/>
        <w:jc w:val="both"/>
        <w:rPr>
          <w:rFonts w:ascii="宋体" w:hAnsi="宋体"/>
          <w:sz w:val="24"/>
          <w:highlight w:val="none"/>
        </w:rPr>
      </w:pPr>
      <w:r>
        <w:rPr>
          <w:rFonts w:hint="eastAsia" w:ascii="宋体" w:hAnsi="宋体"/>
          <w:sz w:val="24"/>
          <w:highlight w:val="none"/>
        </w:rPr>
        <w:t>4.2.5甲方要求乙方更换乙方人员的，乙方应当无条件予以更换，若拒接更换的，应向甲方支付10000元的违约金，同时甲方有权解除本合同。</w:t>
      </w:r>
    </w:p>
    <w:p w14:paraId="278B7C67">
      <w:pPr>
        <w:widowControl w:val="0"/>
        <w:adjustRightInd w:val="0"/>
        <w:snapToGrid w:val="0"/>
        <w:spacing w:line="580" w:lineRule="exact"/>
        <w:ind w:firstLine="480" w:firstLineChars="200"/>
        <w:jc w:val="both"/>
        <w:rPr>
          <w:rFonts w:ascii="宋体" w:hAnsi="宋体"/>
          <w:sz w:val="24"/>
          <w:highlight w:val="none"/>
        </w:rPr>
      </w:pPr>
      <w:r>
        <w:rPr>
          <w:rFonts w:hint="eastAsia" w:ascii="宋体" w:hAnsi="宋体"/>
          <w:sz w:val="24"/>
          <w:highlight w:val="none"/>
        </w:rPr>
        <w:t>4.2.6乙方不得泄露与本</w:t>
      </w:r>
      <w:r>
        <w:rPr>
          <w:rFonts w:hint="eastAsia" w:ascii="宋体" w:hAnsi="宋体"/>
          <w:sz w:val="24"/>
          <w:highlight w:val="none"/>
          <w:lang w:eastAsia="zh-CN"/>
        </w:rPr>
        <w:t>合同约定</w:t>
      </w:r>
      <w:r>
        <w:rPr>
          <w:rFonts w:hint="eastAsia" w:ascii="宋体" w:hAnsi="宋体"/>
          <w:sz w:val="24"/>
          <w:highlight w:val="none"/>
        </w:rPr>
        <w:t>业务活动有关的保密资料，因乙方原因导致造价过程档案、造价文件等资料保存不当，发生损毁、灭失或外泄的，甲方将暂停结算支付或拒绝支付任何费用，并有权解除合同，给甲方造成损失的还应向甲方赔偿损失。</w:t>
      </w:r>
    </w:p>
    <w:p w14:paraId="5B694D30">
      <w:pPr>
        <w:widowControl w:val="0"/>
        <w:adjustRightInd w:val="0"/>
        <w:snapToGrid w:val="0"/>
        <w:spacing w:line="580" w:lineRule="exact"/>
        <w:ind w:firstLine="480" w:firstLineChars="200"/>
        <w:jc w:val="both"/>
        <w:rPr>
          <w:rFonts w:ascii="宋体" w:hAnsi="宋体" w:cs="宋体"/>
          <w:sz w:val="24"/>
          <w:szCs w:val="24"/>
          <w:highlight w:val="none"/>
        </w:rPr>
      </w:pPr>
      <w:r>
        <w:rPr>
          <w:rFonts w:hint="eastAsia" w:ascii="宋体" w:hAnsi="宋体"/>
          <w:sz w:val="24"/>
          <w:highlight w:val="none"/>
        </w:rPr>
        <w:t>4.2.7乙方在</w:t>
      </w:r>
      <w:r>
        <w:rPr>
          <w:rFonts w:hint="eastAsia" w:ascii="宋体" w:hAnsi="宋体"/>
          <w:sz w:val="24"/>
          <w:highlight w:val="none"/>
          <w:lang w:eastAsia="zh-CN"/>
        </w:rPr>
        <w:t>全过程造价控制服务</w:t>
      </w:r>
      <w:r>
        <w:rPr>
          <w:rFonts w:hint="eastAsia" w:ascii="宋体" w:hAnsi="宋体"/>
          <w:sz w:val="24"/>
          <w:highlight w:val="none"/>
        </w:rPr>
        <w:t>过程中不</w:t>
      </w:r>
      <w:r>
        <w:rPr>
          <w:rFonts w:hint="eastAsia" w:ascii="宋体" w:hAnsi="宋体" w:cs="宋体"/>
          <w:sz w:val="24"/>
          <w:szCs w:val="24"/>
          <w:highlight w:val="none"/>
        </w:rPr>
        <w:t>得泄露任何与业务活动有关的信息，因乙方泄露相关信息或乙方拟派了非本公司成员承担</w:t>
      </w:r>
      <w:r>
        <w:rPr>
          <w:rFonts w:hint="eastAsia" w:ascii="宋体" w:hAnsi="宋体" w:cs="宋体"/>
          <w:sz w:val="24"/>
          <w:szCs w:val="24"/>
          <w:highlight w:val="none"/>
          <w:lang w:eastAsia="zh-CN"/>
        </w:rPr>
        <w:t>全过程造价控制</w:t>
      </w:r>
      <w:r>
        <w:rPr>
          <w:rFonts w:hint="eastAsia" w:ascii="宋体" w:hAnsi="宋体" w:cs="宋体"/>
          <w:sz w:val="24"/>
          <w:szCs w:val="24"/>
          <w:highlight w:val="none"/>
        </w:rPr>
        <w:t>工作而造成信息泄露的，甲方将暂停结算支付或拒绝支付任何费用，并有权解除合同，给甲方造成损失的还应向甲方赔偿损失。</w:t>
      </w:r>
    </w:p>
    <w:p w14:paraId="07609A11">
      <w:pPr>
        <w:keepNext/>
        <w:keepLines/>
        <w:widowControl w:val="0"/>
        <w:tabs>
          <w:tab w:val="left" w:pos="-567"/>
        </w:tabs>
        <w:adjustRightInd w:val="0"/>
        <w:snapToGrid w:val="0"/>
        <w:spacing w:before="163" w:after="163" w:line="360" w:lineRule="auto"/>
        <w:jc w:val="both"/>
        <w:outlineLvl w:val="2"/>
        <w:rPr>
          <w:rFonts w:hint="eastAsia" w:ascii="宋体" w:hAnsi="宋体" w:cs="宋体"/>
          <w:b/>
          <w:bCs/>
          <w:sz w:val="24"/>
          <w:szCs w:val="24"/>
          <w:highlight w:val="none"/>
        </w:rPr>
      </w:pPr>
      <w:bookmarkStart w:id="689" w:name="_Toc1739"/>
      <w:bookmarkStart w:id="690" w:name="_Toc5650"/>
      <w:bookmarkStart w:id="691" w:name="_Toc27106"/>
      <w:bookmarkStart w:id="692" w:name="_Toc26768"/>
      <w:bookmarkStart w:id="693" w:name="_Toc9239"/>
      <w:bookmarkStart w:id="694" w:name="_Toc15920"/>
      <w:bookmarkStart w:id="695" w:name="_Toc17844"/>
      <w:bookmarkStart w:id="696" w:name="_Toc89441290"/>
      <w:bookmarkStart w:id="697" w:name="_Toc8168"/>
      <w:bookmarkStart w:id="698" w:name="_Toc531797789"/>
      <w:bookmarkStart w:id="699" w:name="_Toc31168"/>
      <w:bookmarkStart w:id="700" w:name="_Toc28021"/>
      <w:bookmarkStart w:id="701" w:name="_Toc11581"/>
      <w:bookmarkStart w:id="702" w:name="_Toc30179"/>
      <w:bookmarkStart w:id="703" w:name="_Toc11499"/>
      <w:bookmarkStart w:id="704" w:name="_Toc5385"/>
      <w:bookmarkStart w:id="705" w:name="_Toc664"/>
      <w:bookmarkStart w:id="706" w:name="_Toc8964"/>
      <w:bookmarkStart w:id="707" w:name="_Toc441336793"/>
      <w:bookmarkStart w:id="708" w:name="_Toc531884915"/>
      <w:bookmarkStart w:id="709" w:name="_Toc31710"/>
      <w:bookmarkStart w:id="710" w:name="_Toc12791"/>
      <w:r>
        <w:rPr>
          <w:rFonts w:hint="eastAsia" w:ascii="宋体" w:hAnsi="宋体" w:cs="宋体"/>
          <w:b/>
          <w:bCs/>
          <w:sz w:val="24"/>
          <w:szCs w:val="24"/>
          <w:highlight w:val="none"/>
        </w:rPr>
        <w:t>5.合同金额及支付</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52315FCB">
      <w:pPr>
        <w:widowControl w:val="0"/>
        <w:adjustRightInd w:val="0"/>
        <w:snapToGrid w:val="0"/>
        <w:spacing w:line="580" w:lineRule="exact"/>
        <w:ind w:firstLine="480" w:firstLineChars="200"/>
        <w:jc w:val="both"/>
        <w:rPr>
          <w:rFonts w:hint="default" w:ascii="宋体" w:hAnsi="宋体" w:eastAsia="宋体" w:cs="Times New Roman"/>
          <w:sz w:val="24"/>
          <w:highlight w:val="none"/>
          <w:u w:val="single"/>
          <w:lang w:val="en-US" w:eastAsia="zh-CN"/>
        </w:rPr>
      </w:pPr>
      <w:r>
        <w:rPr>
          <w:rFonts w:hint="eastAsia" w:ascii="宋体" w:hAnsi="宋体" w:cs="Times New Roman"/>
          <w:sz w:val="24"/>
          <w:highlight w:val="none"/>
        </w:rPr>
        <w:t>5.1本合同</w:t>
      </w:r>
      <w:r>
        <w:rPr>
          <w:rFonts w:hint="eastAsia" w:ascii="宋体" w:hAnsi="宋体" w:cs="Times New Roman"/>
          <w:sz w:val="24"/>
          <w:highlight w:val="none"/>
          <w:lang w:val="en-US" w:eastAsia="zh-CN"/>
        </w:rPr>
        <w:t>金</w:t>
      </w:r>
      <w:r>
        <w:rPr>
          <w:rFonts w:hint="eastAsia" w:ascii="宋体" w:hAnsi="宋体" w:cs="Times New Roman"/>
          <w:sz w:val="24"/>
          <w:highlight w:val="none"/>
        </w:rPr>
        <w:t>额为人民币含税</w:t>
      </w:r>
      <w:r>
        <w:rPr>
          <w:rFonts w:hint="eastAsia" w:ascii="宋体" w:hAnsi="宋体" w:cs="Times New Roman"/>
          <w:sz w:val="24"/>
          <w:highlight w:val="none"/>
          <w:u w:val="single"/>
        </w:rPr>
        <w:t xml:space="preserve">      </w:t>
      </w:r>
      <w:r>
        <w:rPr>
          <w:rFonts w:hint="eastAsia" w:ascii="宋体" w:hAnsi="宋体" w:cs="Times New Roman"/>
          <w:sz w:val="24"/>
          <w:highlight w:val="none"/>
        </w:rPr>
        <w:t>（大写：人民币元），</w:t>
      </w:r>
      <w:r>
        <w:rPr>
          <w:rFonts w:hint="eastAsia" w:ascii="宋体" w:hAnsi="宋体" w:cs="Times New Roman"/>
          <w:sz w:val="24"/>
          <w:highlight w:val="none"/>
          <w:lang w:val="en-US" w:eastAsia="zh-CN"/>
        </w:rPr>
        <w:t>其中招标控制价编制含税</w:t>
      </w:r>
      <w:r>
        <w:rPr>
          <w:rFonts w:hint="eastAsia" w:ascii="宋体" w:hAnsi="宋体" w:cs="Times New Roman"/>
          <w:sz w:val="24"/>
          <w:highlight w:val="none"/>
          <w:u w:val="single"/>
        </w:rPr>
        <w:t xml:space="preserve">      </w:t>
      </w:r>
      <w:r>
        <w:rPr>
          <w:rFonts w:hint="eastAsia" w:ascii="宋体" w:hAnsi="宋体" w:cs="Times New Roman"/>
          <w:sz w:val="24"/>
          <w:highlight w:val="none"/>
        </w:rPr>
        <w:t>（大写：人民币元）</w:t>
      </w:r>
      <w:r>
        <w:rPr>
          <w:rFonts w:hint="eastAsia" w:ascii="宋体" w:hAnsi="宋体" w:cs="Times New Roman"/>
          <w:sz w:val="24"/>
          <w:highlight w:val="none"/>
          <w:lang w:eastAsia="zh-CN"/>
        </w:rPr>
        <w:t>，</w:t>
      </w:r>
      <w:r>
        <w:rPr>
          <w:rFonts w:hint="eastAsia" w:ascii="宋体" w:hAnsi="宋体" w:cs="Times New Roman"/>
          <w:sz w:val="24"/>
          <w:highlight w:val="none"/>
          <w:lang w:val="en-US" w:eastAsia="zh-CN"/>
        </w:rPr>
        <w:t>全过程造价控制咨询服务含税</w:t>
      </w:r>
      <w:r>
        <w:rPr>
          <w:rFonts w:hint="eastAsia" w:ascii="宋体" w:hAnsi="宋体" w:cs="Times New Roman"/>
          <w:sz w:val="24"/>
          <w:highlight w:val="none"/>
          <w:u w:val="single"/>
        </w:rPr>
        <w:t xml:space="preserve">      </w:t>
      </w:r>
      <w:r>
        <w:rPr>
          <w:rFonts w:hint="eastAsia" w:ascii="宋体" w:hAnsi="宋体" w:cs="Times New Roman"/>
          <w:sz w:val="24"/>
          <w:highlight w:val="none"/>
        </w:rPr>
        <w:t>（大写：人民币元）（简称“合同价格”）。合同价格为包干价，包含乙方完成本项目范围的所有工作的全部费用，包括人工费、差旅费、资料收集费后续服务费及税金。成交后，甲方不另行支付其他费用。合同价格不受工作量增减、税率变化等其他任何因素的影响发生变化。</w:t>
      </w:r>
    </w:p>
    <w:p w14:paraId="129CFA07">
      <w:pPr>
        <w:widowControl w:val="0"/>
        <w:adjustRightInd w:val="0"/>
        <w:snapToGrid w:val="0"/>
        <w:spacing w:line="580" w:lineRule="exact"/>
        <w:ind w:firstLine="480" w:firstLineChars="200"/>
        <w:jc w:val="both"/>
        <w:rPr>
          <w:rFonts w:hint="eastAsia" w:ascii="宋体" w:hAnsi="宋体" w:cs="Times New Roman"/>
          <w:sz w:val="24"/>
          <w:highlight w:val="none"/>
        </w:rPr>
      </w:pPr>
      <w:r>
        <w:rPr>
          <w:rFonts w:hint="eastAsia" w:ascii="宋体" w:hAnsi="宋体" w:cs="Times New Roman"/>
          <w:sz w:val="24"/>
          <w:highlight w:val="none"/>
        </w:rPr>
        <w:t>5.2支付方式</w:t>
      </w:r>
    </w:p>
    <w:p w14:paraId="43D835EA">
      <w:pPr>
        <w:widowControl w:val="0"/>
        <w:adjustRightInd w:val="0"/>
        <w:snapToGrid w:val="0"/>
        <w:spacing w:line="580" w:lineRule="exact"/>
        <w:ind w:firstLine="480" w:firstLineChars="200"/>
        <w:jc w:val="both"/>
        <w:rPr>
          <w:rFonts w:hint="eastAsia" w:ascii="宋体" w:hAnsi="宋体" w:cs="Times New Roman"/>
          <w:sz w:val="24"/>
          <w:highlight w:val="none"/>
          <w:lang w:val="en-US" w:eastAsia="zh-CN"/>
        </w:rPr>
      </w:pPr>
      <w:r>
        <w:rPr>
          <w:rFonts w:hint="eastAsia" w:ascii="宋体" w:hAnsi="宋体" w:cs="Times New Roman"/>
          <w:sz w:val="24"/>
          <w:highlight w:val="none"/>
          <w:lang w:val="en-US" w:eastAsia="zh-CN"/>
        </w:rPr>
        <w:t>5.2.1</w:t>
      </w:r>
    </w:p>
    <w:p w14:paraId="7392B166">
      <w:pPr>
        <w:widowControl w:val="0"/>
        <w:adjustRightInd w:val="0"/>
        <w:snapToGrid w:val="0"/>
        <w:spacing w:line="580" w:lineRule="exact"/>
        <w:ind w:firstLine="480" w:firstLineChars="200"/>
        <w:jc w:val="both"/>
        <w:rPr>
          <w:rFonts w:hint="default" w:ascii="宋体" w:hAnsi="宋体" w:cs="Times New Roman"/>
          <w:sz w:val="24"/>
          <w:highlight w:val="none"/>
          <w:lang w:val="en-US" w:eastAsia="zh-CN"/>
        </w:rPr>
      </w:pPr>
      <w:r>
        <w:rPr>
          <w:rFonts w:hint="eastAsia" w:ascii="宋体" w:hAnsi="宋体" w:cs="Times New Roman"/>
          <w:sz w:val="24"/>
          <w:highlight w:val="none"/>
          <w:lang w:val="en-US" w:eastAsia="zh-CN"/>
        </w:rPr>
        <w:t>5.2.1.1招标控制价编制服务费：合同签订后支付预付款</w:t>
      </w:r>
      <w:r>
        <w:rPr>
          <w:rFonts w:hint="eastAsia" w:ascii="宋体" w:hAnsi="宋体" w:cs="Times New Roman"/>
          <w:sz w:val="24"/>
          <w:highlight w:val="none"/>
          <w:u w:val="single"/>
          <w:lang w:val="en-US" w:eastAsia="zh-CN"/>
        </w:rPr>
        <w:t xml:space="preserve">   30  </w:t>
      </w:r>
      <w:r>
        <w:rPr>
          <w:rFonts w:hint="eastAsia" w:ascii="宋体" w:hAnsi="宋体" w:cs="Times New Roman"/>
          <w:sz w:val="24"/>
          <w:highlight w:val="none"/>
          <w:lang w:val="en-US" w:eastAsia="zh-CN"/>
        </w:rPr>
        <w:t>％，出具正式的工程量清单及招标控制价文件后支付</w:t>
      </w:r>
      <w:r>
        <w:rPr>
          <w:rFonts w:hint="eastAsia" w:ascii="宋体" w:hAnsi="宋体" w:cs="Times New Roman"/>
          <w:sz w:val="24"/>
          <w:highlight w:val="none"/>
          <w:u w:val="single"/>
          <w:lang w:val="en-US" w:eastAsia="zh-CN"/>
        </w:rPr>
        <w:t xml:space="preserve">  70  </w:t>
      </w:r>
      <w:r>
        <w:rPr>
          <w:rFonts w:hint="eastAsia" w:ascii="宋体" w:hAnsi="宋体" w:cs="Times New Roman"/>
          <w:sz w:val="24"/>
          <w:highlight w:val="none"/>
          <w:lang w:val="en-US" w:eastAsia="zh-CN"/>
        </w:rPr>
        <w:t>％</w:t>
      </w:r>
    </w:p>
    <w:p w14:paraId="28BA84EF">
      <w:pPr>
        <w:widowControl w:val="0"/>
        <w:adjustRightInd w:val="0"/>
        <w:snapToGrid w:val="0"/>
        <w:spacing w:line="580" w:lineRule="exact"/>
        <w:ind w:firstLine="480" w:firstLineChars="200"/>
        <w:jc w:val="both"/>
        <w:rPr>
          <w:rFonts w:hint="eastAsia" w:ascii="宋体" w:hAnsi="宋体" w:cs="Times New Roman"/>
          <w:sz w:val="24"/>
          <w:highlight w:val="none"/>
        </w:rPr>
      </w:pPr>
      <w:r>
        <w:rPr>
          <w:rFonts w:hint="eastAsia" w:ascii="宋体" w:hAnsi="宋体" w:cs="Times New Roman"/>
          <w:sz w:val="24"/>
          <w:highlight w:val="none"/>
          <w:lang w:val="en-US" w:eastAsia="zh-CN"/>
        </w:rPr>
        <w:t>5.2.1.2</w:t>
      </w:r>
      <w:r>
        <w:rPr>
          <w:rFonts w:hint="eastAsia" w:ascii="宋体" w:hAnsi="宋体" w:cs="Times New Roman"/>
          <w:sz w:val="24"/>
          <w:highlight w:val="none"/>
        </w:rPr>
        <w:t>全过程造价控制服务费</w:t>
      </w:r>
    </w:p>
    <w:p w14:paraId="05D2B873">
      <w:pPr>
        <w:widowControl w:val="0"/>
        <w:adjustRightInd w:val="0"/>
        <w:snapToGrid w:val="0"/>
        <w:spacing w:line="580" w:lineRule="exact"/>
        <w:ind w:firstLine="480" w:firstLineChars="200"/>
        <w:jc w:val="both"/>
        <w:rPr>
          <w:rFonts w:hint="eastAsia" w:ascii="宋体" w:hAnsi="宋体" w:eastAsia="宋体" w:cs="Times New Roman"/>
          <w:sz w:val="24"/>
          <w:highlight w:val="none"/>
          <w:lang w:val="en-US" w:eastAsia="zh-CN"/>
        </w:rPr>
      </w:pPr>
      <w:r>
        <w:rPr>
          <w:rFonts w:hint="eastAsia" w:ascii="宋体" w:hAnsi="宋体" w:cs="Times New Roman"/>
          <w:sz w:val="24"/>
          <w:highlight w:val="none"/>
        </w:rPr>
        <w:t>施工阶段全过程造价控制服务费：按照每</w:t>
      </w:r>
      <w:r>
        <w:rPr>
          <w:rFonts w:hint="eastAsia" w:ascii="宋体" w:hAnsi="宋体" w:cs="Times New Roman"/>
          <w:sz w:val="24"/>
          <w:highlight w:val="none"/>
          <w:lang w:val="en-US" w:eastAsia="zh-CN"/>
        </w:rPr>
        <w:t>3</w:t>
      </w:r>
      <w:r>
        <w:rPr>
          <w:rFonts w:hint="eastAsia" w:ascii="宋体" w:hAnsi="宋体" w:cs="Times New Roman"/>
          <w:sz w:val="24"/>
          <w:highlight w:val="none"/>
        </w:rPr>
        <w:t>个月结算支付一次原则，</w:t>
      </w:r>
      <w:r>
        <w:rPr>
          <w:rFonts w:hint="eastAsia" w:ascii="宋体" w:hAnsi="宋体" w:cs="Times New Roman"/>
          <w:sz w:val="24"/>
          <w:highlight w:val="none"/>
          <w:lang w:val="en-US" w:eastAsia="zh-CN"/>
        </w:rPr>
        <w:t>每次付款合同总金额的</w:t>
      </w:r>
      <w:r>
        <w:rPr>
          <w:rFonts w:hint="eastAsia" w:ascii="宋体" w:hAnsi="宋体" w:cs="Times New Roman"/>
          <w:sz w:val="24"/>
          <w:highlight w:val="none"/>
          <w:u w:val="single"/>
          <w:lang w:val="en-US" w:eastAsia="zh-CN"/>
        </w:rPr>
        <w:t xml:space="preserve">  20  </w:t>
      </w:r>
      <w:r>
        <w:rPr>
          <w:rFonts w:hint="eastAsia" w:ascii="宋体" w:hAnsi="宋体" w:cs="Times New Roman"/>
          <w:sz w:val="24"/>
          <w:highlight w:val="none"/>
          <w:lang w:val="en-US" w:eastAsia="zh-CN"/>
        </w:rPr>
        <w:t>％</w:t>
      </w:r>
      <w:r>
        <w:rPr>
          <w:rFonts w:hint="eastAsia" w:ascii="宋体" w:hAnsi="宋体" w:cs="Times New Roman"/>
          <w:sz w:val="24"/>
          <w:highlight w:val="none"/>
        </w:rPr>
        <w:t>。</w:t>
      </w:r>
      <w:r>
        <w:rPr>
          <w:rFonts w:hint="eastAsia" w:ascii="宋体" w:hAnsi="宋体" w:cs="Times New Roman"/>
          <w:sz w:val="24"/>
          <w:highlight w:val="none"/>
          <w:lang w:val="en-US" w:eastAsia="zh-CN"/>
        </w:rPr>
        <w:t>付款至总金额的</w:t>
      </w:r>
      <w:r>
        <w:rPr>
          <w:rFonts w:hint="eastAsia" w:ascii="宋体" w:hAnsi="宋体" w:cs="Times New Roman"/>
          <w:sz w:val="24"/>
          <w:highlight w:val="none"/>
          <w:u w:val="single"/>
          <w:lang w:val="en-US" w:eastAsia="zh-CN"/>
        </w:rPr>
        <w:t xml:space="preserve">  80  </w:t>
      </w:r>
      <w:r>
        <w:rPr>
          <w:rFonts w:hint="eastAsia" w:ascii="宋体" w:hAnsi="宋体" w:cs="Times New Roman"/>
          <w:sz w:val="24"/>
          <w:highlight w:val="none"/>
          <w:lang w:val="en-US" w:eastAsia="zh-CN"/>
        </w:rPr>
        <w:t>％后结束付款。</w:t>
      </w:r>
      <w:r>
        <w:rPr>
          <w:rFonts w:hint="eastAsia" w:ascii="宋体" w:hAnsi="宋体" w:eastAsia="宋体" w:cs="Times New Roman"/>
          <w:sz w:val="24"/>
          <w:highlight w:val="none"/>
          <w:lang w:val="zh-CN" w:eastAsia="zh-CN"/>
        </w:rPr>
        <w:t>项目全部工程竣工</w:t>
      </w:r>
      <w:r>
        <w:rPr>
          <w:rFonts w:hint="eastAsia" w:ascii="宋体" w:hAnsi="宋体" w:cs="Times New Roman"/>
          <w:sz w:val="24"/>
          <w:highlight w:val="none"/>
          <w:lang w:val="en-US" w:eastAsia="zh-CN"/>
        </w:rPr>
        <w:t>结算</w:t>
      </w:r>
      <w:r>
        <w:rPr>
          <w:rFonts w:hint="eastAsia" w:ascii="宋体" w:hAnsi="宋体" w:eastAsia="宋体" w:cs="Times New Roman"/>
          <w:sz w:val="24"/>
          <w:highlight w:val="none"/>
          <w:lang w:val="zh-CN" w:eastAsia="zh-CN"/>
        </w:rPr>
        <w:t>审核通过并获各方确认，</w:t>
      </w:r>
      <w:r>
        <w:rPr>
          <w:rFonts w:hint="eastAsia" w:ascii="宋体" w:hAnsi="宋体" w:eastAsia="宋体" w:cs="Times New Roman"/>
          <w:sz w:val="24"/>
          <w:highlight w:val="none"/>
          <w:lang w:val="en-US" w:eastAsia="zh-CN"/>
        </w:rPr>
        <w:t>乙方</w:t>
      </w:r>
      <w:r>
        <w:rPr>
          <w:rFonts w:hint="eastAsia" w:ascii="宋体" w:hAnsi="宋体" w:cs="Times New Roman"/>
          <w:sz w:val="24"/>
          <w:highlight w:val="none"/>
          <w:lang w:val="en-US" w:eastAsia="zh-CN"/>
        </w:rPr>
        <w:t>履</w:t>
      </w:r>
      <w:r>
        <w:rPr>
          <w:rFonts w:hint="eastAsia" w:ascii="宋体" w:hAnsi="宋体" w:eastAsia="宋体" w:cs="Times New Roman"/>
          <w:sz w:val="24"/>
          <w:highlight w:val="none"/>
          <w:lang w:val="en-US" w:eastAsia="zh-CN"/>
        </w:rPr>
        <w:t>行完本合同全部工作内容，解除全部合同责任时甲方支付剩余</w:t>
      </w:r>
      <w:r>
        <w:rPr>
          <w:rFonts w:hint="eastAsia" w:ascii="宋体" w:hAnsi="宋体" w:cs="Times New Roman"/>
          <w:sz w:val="24"/>
          <w:highlight w:val="none"/>
          <w:u w:val="single"/>
          <w:lang w:val="en-US" w:eastAsia="zh-CN"/>
        </w:rPr>
        <w:t xml:space="preserve">  20  </w:t>
      </w:r>
      <w:r>
        <w:rPr>
          <w:rFonts w:hint="eastAsia" w:ascii="宋体" w:hAnsi="宋体" w:cs="Times New Roman"/>
          <w:sz w:val="24"/>
          <w:highlight w:val="none"/>
          <w:lang w:val="en-US" w:eastAsia="zh-CN"/>
        </w:rPr>
        <w:t>％</w:t>
      </w:r>
      <w:r>
        <w:rPr>
          <w:rFonts w:hint="eastAsia" w:ascii="宋体" w:hAnsi="宋体" w:eastAsia="宋体" w:cs="Times New Roman"/>
          <w:sz w:val="24"/>
          <w:highlight w:val="none"/>
          <w:lang w:val="en-US" w:eastAsia="zh-CN"/>
        </w:rPr>
        <w:t>部份。</w:t>
      </w:r>
    </w:p>
    <w:p w14:paraId="341DBA42">
      <w:pPr>
        <w:widowControl w:val="0"/>
        <w:adjustRightInd w:val="0"/>
        <w:snapToGrid w:val="0"/>
        <w:spacing w:line="580" w:lineRule="exact"/>
        <w:ind w:firstLine="480" w:firstLineChars="200"/>
        <w:jc w:val="both"/>
        <w:rPr>
          <w:rFonts w:hint="eastAsia" w:ascii="宋体" w:hAnsi="宋体" w:cs="Times New Roman"/>
          <w:sz w:val="24"/>
          <w:highlight w:val="none"/>
        </w:rPr>
      </w:pPr>
      <w:r>
        <w:rPr>
          <w:rFonts w:hint="eastAsia" w:ascii="宋体" w:hAnsi="宋体" w:eastAsia="宋体" w:cs="Times New Roman"/>
          <w:sz w:val="24"/>
          <w:highlight w:val="none"/>
        </w:rPr>
        <w:t>注：上述支付条件应同时考虑乙方的阶</w:t>
      </w:r>
      <w:r>
        <w:rPr>
          <w:rFonts w:hint="eastAsia" w:ascii="宋体" w:hAnsi="宋体" w:cs="Times New Roman"/>
          <w:sz w:val="24"/>
          <w:highlight w:val="none"/>
        </w:rPr>
        <w:t>段性成果文件完成情况、完成时间及完成质量。若乙方未按计划提交成果文件，甲方有权推迟或拒绝付款。</w:t>
      </w:r>
    </w:p>
    <w:p w14:paraId="7AB6BCB5">
      <w:pPr>
        <w:widowControl w:val="0"/>
        <w:adjustRightInd w:val="0"/>
        <w:snapToGrid w:val="0"/>
        <w:spacing w:line="580" w:lineRule="exact"/>
        <w:ind w:firstLine="480" w:firstLineChars="200"/>
        <w:jc w:val="both"/>
        <w:rPr>
          <w:rFonts w:hint="eastAsia" w:ascii="宋体" w:hAnsi="宋体" w:cs="Times New Roman"/>
          <w:sz w:val="24"/>
          <w:highlight w:val="none"/>
        </w:rPr>
      </w:pPr>
      <w:r>
        <w:rPr>
          <w:rFonts w:hint="eastAsia" w:ascii="宋体" w:hAnsi="宋体" w:cs="Times New Roman"/>
          <w:sz w:val="24"/>
          <w:highlight w:val="none"/>
        </w:rPr>
        <w:t>5.3甲方采用银行转账方式支付</w:t>
      </w:r>
      <w:r>
        <w:rPr>
          <w:rFonts w:hint="eastAsia" w:ascii="宋体" w:hAnsi="宋体" w:cs="Times New Roman"/>
          <w:sz w:val="24"/>
          <w:highlight w:val="none"/>
          <w:lang w:eastAsia="zh-CN"/>
        </w:rPr>
        <w:t>全过程造价控制</w:t>
      </w:r>
      <w:r>
        <w:rPr>
          <w:rFonts w:hint="eastAsia" w:ascii="宋体" w:hAnsi="宋体" w:cs="Times New Roman"/>
          <w:sz w:val="24"/>
          <w:highlight w:val="none"/>
        </w:rPr>
        <w:t>咨询服务合同金额。</w:t>
      </w:r>
    </w:p>
    <w:p w14:paraId="1F42B69A">
      <w:pPr>
        <w:widowControl w:val="0"/>
        <w:adjustRightInd w:val="0"/>
        <w:snapToGrid w:val="0"/>
        <w:spacing w:line="580" w:lineRule="exact"/>
        <w:ind w:firstLine="480" w:firstLineChars="200"/>
        <w:jc w:val="both"/>
        <w:rPr>
          <w:rFonts w:hint="eastAsia" w:ascii="宋体" w:hAnsi="宋体" w:cs="Times New Roman"/>
          <w:sz w:val="24"/>
          <w:highlight w:val="none"/>
        </w:rPr>
      </w:pPr>
      <w:r>
        <w:rPr>
          <w:rFonts w:hint="eastAsia" w:ascii="宋体" w:hAnsi="宋体" w:cs="Times New Roman"/>
          <w:sz w:val="24"/>
          <w:highlight w:val="none"/>
        </w:rPr>
        <w:t>5.4甲方支付</w:t>
      </w:r>
      <w:r>
        <w:rPr>
          <w:rFonts w:hint="eastAsia" w:ascii="宋体" w:hAnsi="宋体" w:cs="Times New Roman"/>
          <w:sz w:val="24"/>
          <w:highlight w:val="none"/>
          <w:lang w:eastAsia="zh-CN"/>
        </w:rPr>
        <w:t>全过程造价控制</w:t>
      </w:r>
      <w:r>
        <w:rPr>
          <w:rFonts w:hint="eastAsia" w:ascii="宋体" w:hAnsi="宋体" w:cs="Times New Roman"/>
          <w:sz w:val="24"/>
          <w:highlight w:val="none"/>
        </w:rPr>
        <w:t>咨询服务合同金额采用银行转账方式，应汇至本合同协议书中载明的乙方账户。在付款前乙方必须提供符合甲方要求的</w:t>
      </w:r>
      <w:r>
        <w:rPr>
          <w:rFonts w:hint="eastAsia" w:ascii="宋体" w:hAnsi="宋体" w:cs="Times New Roman"/>
          <w:sz w:val="24"/>
          <w:highlight w:val="none"/>
          <w:lang w:val="en-US" w:eastAsia="zh-CN"/>
        </w:rPr>
        <w:t>等额</w:t>
      </w:r>
      <w:r>
        <w:rPr>
          <w:rFonts w:hint="eastAsia" w:ascii="宋体" w:hAnsi="宋体" w:cs="Times New Roman"/>
          <w:sz w:val="24"/>
          <w:highlight w:val="none"/>
        </w:rPr>
        <w:t>增值税专用发票，否则甲方有权不支付任何费用。</w:t>
      </w:r>
    </w:p>
    <w:p w14:paraId="6DBA249A">
      <w:pPr>
        <w:widowControl w:val="0"/>
        <w:adjustRightInd w:val="0"/>
        <w:snapToGrid w:val="0"/>
        <w:spacing w:line="580" w:lineRule="exact"/>
        <w:ind w:firstLine="480" w:firstLineChars="200"/>
        <w:jc w:val="both"/>
        <w:rPr>
          <w:rFonts w:hint="eastAsia" w:ascii="宋体" w:hAnsi="宋体" w:cs="Times New Roman"/>
          <w:sz w:val="24"/>
          <w:highlight w:val="none"/>
        </w:rPr>
      </w:pPr>
      <w:r>
        <w:rPr>
          <w:rFonts w:hint="eastAsia" w:ascii="宋体" w:hAnsi="宋体" w:cs="Times New Roman"/>
          <w:sz w:val="24"/>
          <w:highlight w:val="none"/>
        </w:rPr>
        <w:t>5.5有异议部分的支付约定：按</w:t>
      </w:r>
      <w:r>
        <w:rPr>
          <w:rFonts w:hint="eastAsia" w:ascii="宋体" w:hAnsi="宋体" w:cs="Times New Roman"/>
          <w:sz w:val="24"/>
          <w:highlight w:val="none"/>
          <w:lang w:eastAsia="zh-CN"/>
        </w:rPr>
        <w:t>通用条款</w:t>
      </w:r>
      <w:r>
        <w:rPr>
          <w:rFonts w:hint="eastAsia" w:ascii="宋体" w:hAnsi="宋体" w:cs="Times New Roman"/>
          <w:sz w:val="24"/>
          <w:highlight w:val="none"/>
        </w:rPr>
        <w:t>5.4条执行。</w:t>
      </w:r>
    </w:p>
    <w:p w14:paraId="1D25E308">
      <w:pPr>
        <w:pStyle w:val="29"/>
        <w:rPr>
          <w:rFonts w:hint="eastAsia"/>
          <w:highlight w:val="none"/>
        </w:rPr>
      </w:pPr>
    </w:p>
    <w:p w14:paraId="70CEC286">
      <w:pPr>
        <w:keepNext/>
        <w:keepLines/>
        <w:pageBreakBefore w:val="0"/>
        <w:widowControl w:val="0"/>
        <w:tabs>
          <w:tab w:val="left" w:pos="-567"/>
        </w:tabs>
        <w:kinsoku/>
        <w:wordWrap/>
        <w:overflowPunct/>
        <w:topLinePunct w:val="0"/>
        <w:autoSpaceDE/>
        <w:autoSpaceDN/>
        <w:bidi w:val="0"/>
        <w:adjustRightInd w:val="0"/>
        <w:snapToGrid w:val="0"/>
        <w:spacing w:line="480" w:lineRule="auto"/>
        <w:jc w:val="both"/>
        <w:textAlignment w:val="auto"/>
        <w:outlineLvl w:val="2"/>
        <w:rPr>
          <w:rFonts w:hint="eastAsia" w:ascii="宋体" w:hAnsi="宋体" w:cs="宋体"/>
          <w:b/>
          <w:bCs/>
          <w:sz w:val="24"/>
          <w:szCs w:val="24"/>
          <w:highlight w:val="none"/>
        </w:rPr>
      </w:pPr>
      <w:bookmarkStart w:id="711" w:name="_Toc1537"/>
      <w:bookmarkStart w:id="712" w:name="_Toc32519"/>
      <w:bookmarkStart w:id="713" w:name="_Toc2008"/>
      <w:bookmarkStart w:id="714" w:name="_Toc25345"/>
      <w:bookmarkStart w:id="715" w:name="_Toc19228"/>
      <w:bookmarkStart w:id="716" w:name="_Toc9700"/>
      <w:bookmarkStart w:id="717" w:name="_Toc6506"/>
      <w:bookmarkStart w:id="718" w:name="_Toc5179"/>
      <w:bookmarkStart w:id="719" w:name="_Toc26657"/>
      <w:bookmarkStart w:id="720" w:name="_Toc18204"/>
      <w:bookmarkStart w:id="721" w:name="_Toc17079"/>
      <w:bookmarkStart w:id="722" w:name="_Toc26161"/>
      <w:bookmarkStart w:id="723" w:name="_Toc531797790"/>
      <w:bookmarkStart w:id="724" w:name="_Toc89441291"/>
      <w:bookmarkStart w:id="725" w:name="_Toc17597"/>
      <w:bookmarkStart w:id="726" w:name="_Toc531884916"/>
      <w:bookmarkStart w:id="727" w:name="_Toc21609"/>
      <w:bookmarkStart w:id="728" w:name="_Toc21367"/>
      <w:bookmarkStart w:id="729" w:name="_Toc1243"/>
      <w:bookmarkStart w:id="730" w:name="_Toc13159"/>
      <w:bookmarkStart w:id="731" w:name="_Toc2813"/>
      <w:r>
        <w:rPr>
          <w:rFonts w:hint="eastAsia" w:ascii="宋体" w:hAnsi="宋体" w:cs="宋体"/>
          <w:b/>
          <w:bCs/>
          <w:sz w:val="24"/>
          <w:szCs w:val="24"/>
          <w:highlight w:val="none"/>
        </w:rPr>
        <w:t>6.合同变更、解除与终止</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14:paraId="1CB141D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6.1合同变更</w:t>
      </w:r>
    </w:p>
    <w:p w14:paraId="28D4E37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6.1.2除不可抗力外，因非乙方原因导致本合同履行期限延长、内容增加时，附加工作合同金额按下列方法确定：</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不做调整</w:t>
      </w:r>
      <w:r>
        <w:rPr>
          <w:rFonts w:hint="eastAsia" w:ascii="宋体" w:hAnsi="宋体" w:cs="宋体"/>
          <w:kern w:val="2"/>
          <w:sz w:val="24"/>
          <w:szCs w:val="24"/>
          <w:highlight w:val="none"/>
        </w:rPr>
        <w:t>。</w:t>
      </w:r>
    </w:p>
    <w:p w14:paraId="3E51677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6.1.4因工程规模、服务范围及内容的变化等导致乙方的工作量增减时，服务合同金额的调整方法:</w:t>
      </w:r>
      <w:r>
        <w:rPr>
          <w:rFonts w:hint="eastAsia" w:ascii="宋体" w:hAnsi="宋体" w:cs="宋体"/>
          <w:kern w:val="2"/>
          <w:sz w:val="24"/>
          <w:szCs w:val="24"/>
          <w:highlight w:val="none"/>
          <w:u w:val="single"/>
        </w:rPr>
        <w:t>不做调整。</w:t>
      </w:r>
    </w:p>
    <w:p w14:paraId="79211F1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6.2合同解除</w:t>
      </w:r>
    </w:p>
    <w:p w14:paraId="79ED7E2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6.2.2双方约定解除合同的条件还包括：</w:t>
      </w:r>
      <w:r>
        <w:rPr>
          <w:rFonts w:hint="eastAsia" w:ascii="宋体" w:hAnsi="宋体" w:cs="宋体"/>
          <w:kern w:val="2"/>
          <w:sz w:val="24"/>
          <w:szCs w:val="24"/>
          <w:highlight w:val="none"/>
          <w:u w:val="single"/>
        </w:rPr>
        <w:t>无</w:t>
      </w:r>
      <w:r>
        <w:rPr>
          <w:rFonts w:hint="eastAsia" w:ascii="宋体" w:hAnsi="宋体" w:cs="宋体"/>
          <w:kern w:val="2"/>
          <w:sz w:val="24"/>
          <w:szCs w:val="24"/>
          <w:highlight w:val="none"/>
        </w:rPr>
        <w:t>。</w:t>
      </w:r>
    </w:p>
    <w:p w14:paraId="66384135">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6.2.4因不可抗力导致的合同解除，双方约定损失的分担如下：</w:t>
      </w:r>
      <w:r>
        <w:rPr>
          <w:rFonts w:hint="eastAsia" w:ascii="宋体" w:hAnsi="宋体" w:cs="宋体"/>
          <w:kern w:val="2"/>
          <w:sz w:val="24"/>
          <w:szCs w:val="24"/>
          <w:highlight w:val="none"/>
          <w:u w:val="single"/>
        </w:rPr>
        <w:t>因不可抗力导致的合同解除，损失的分担按照合理分担的原则由合同当事人协商确定</w:t>
      </w:r>
      <w:r>
        <w:rPr>
          <w:rFonts w:hint="eastAsia" w:ascii="宋体" w:hAnsi="宋体" w:cs="宋体"/>
          <w:kern w:val="2"/>
          <w:sz w:val="24"/>
          <w:szCs w:val="24"/>
          <w:highlight w:val="none"/>
        </w:rPr>
        <w:t>。</w:t>
      </w:r>
    </w:p>
    <w:p w14:paraId="37CCD859">
      <w:pPr>
        <w:keepNext/>
        <w:keepLines/>
        <w:widowControl w:val="0"/>
        <w:tabs>
          <w:tab w:val="left" w:pos="-567"/>
        </w:tabs>
        <w:adjustRightInd w:val="0"/>
        <w:snapToGrid w:val="0"/>
        <w:spacing w:before="163" w:after="163" w:line="480" w:lineRule="auto"/>
        <w:jc w:val="both"/>
        <w:outlineLvl w:val="2"/>
        <w:rPr>
          <w:rFonts w:hint="eastAsia" w:ascii="宋体" w:hAnsi="宋体" w:cs="宋体"/>
          <w:b/>
          <w:bCs/>
          <w:sz w:val="24"/>
          <w:szCs w:val="24"/>
          <w:highlight w:val="none"/>
        </w:rPr>
      </w:pPr>
      <w:bookmarkStart w:id="732" w:name="_Toc12822"/>
      <w:bookmarkStart w:id="733" w:name="_Toc15076"/>
      <w:bookmarkStart w:id="734" w:name="_Toc1378"/>
      <w:bookmarkStart w:id="735" w:name="_Toc5444"/>
      <w:bookmarkStart w:id="736" w:name="_Toc9168"/>
      <w:bookmarkStart w:id="737" w:name="_Toc18741"/>
      <w:bookmarkStart w:id="738" w:name="_Toc7505"/>
      <w:bookmarkStart w:id="739" w:name="_Toc23863"/>
      <w:bookmarkStart w:id="740" w:name="_Toc531884917"/>
      <w:bookmarkStart w:id="741" w:name="_Toc89441292"/>
      <w:bookmarkStart w:id="742" w:name="_Toc10641"/>
      <w:bookmarkStart w:id="743" w:name="_Toc12798"/>
      <w:bookmarkStart w:id="744" w:name="_Toc16927"/>
      <w:bookmarkStart w:id="745" w:name="_Toc32424"/>
      <w:bookmarkStart w:id="746" w:name="_Toc1461"/>
      <w:bookmarkStart w:id="747" w:name="_Toc32078"/>
      <w:bookmarkStart w:id="748" w:name="_Toc30015"/>
      <w:bookmarkStart w:id="749" w:name="_Toc8901"/>
      <w:bookmarkStart w:id="750" w:name="_Toc13021"/>
      <w:bookmarkStart w:id="751" w:name="_Toc531797791"/>
      <w:bookmarkStart w:id="752" w:name="_Toc441336794"/>
      <w:bookmarkStart w:id="753" w:name="_Toc14937"/>
      <w:r>
        <w:rPr>
          <w:rFonts w:hint="eastAsia" w:ascii="宋体" w:hAnsi="宋体" w:cs="宋体"/>
          <w:b/>
          <w:bCs/>
          <w:sz w:val="24"/>
          <w:szCs w:val="24"/>
          <w:highlight w:val="none"/>
        </w:rPr>
        <w:t>7.争议解决</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14:paraId="2878B977">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7.3仲裁或诉讼</w:t>
      </w:r>
    </w:p>
    <w:p w14:paraId="26FAB21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合同争议的解决方式为向</w:t>
      </w:r>
      <w:r>
        <w:rPr>
          <w:rFonts w:hint="eastAsia" w:ascii="宋体" w:hAnsi="宋体" w:cs="宋体"/>
          <w:kern w:val="2"/>
          <w:sz w:val="24"/>
          <w:szCs w:val="24"/>
          <w:highlight w:val="none"/>
          <w:u w:val="single" w:color="000000"/>
        </w:rPr>
        <w:t>项目所在地有管辖权的</w:t>
      </w:r>
      <w:r>
        <w:rPr>
          <w:rFonts w:hint="eastAsia" w:ascii="宋体" w:hAnsi="宋体" w:cs="宋体"/>
          <w:kern w:val="2"/>
          <w:sz w:val="24"/>
          <w:szCs w:val="24"/>
          <w:highlight w:val="none"/>
        </w:rPr>
        <w:t>人民法院提起诉讼。</w:t>
      </w:r>
    </w:p>
    <w:p w14:paraId="17B4A4E0">
      <w:pPr>
        <w:keepNext/>
        <w:keepLines/>
        <w:widowControl w:val="0"/>
        <w:tabs>
          <w:tab w:val="left" w:pos="-567"/>
        </w:tabs>
        <w:adjustRightInd w:val="0"/>
        <w:snapToGrid w:val="0"/>
        <w:spacing w:before="163" w:after="163" w:line="480" w:lineRule="auto"/>
        <w:jc w:val="both"/>
        <w:outlineLvl w:val="2"/>
        <w:rPr>
          <w:rFonts w:ascii="宋体" w:hAnsi="宋体" w:cs="宋体"/>
          <w:b/>
          <w:bCs/>
          <w:sz w:val="24"/>
          <w:szCs w:val="24"/>
          <w:highlight w:val="none"/>
        </w:rPr>
      </w:pPr>
      <w:bookmarkStart w:id="754" w:name="_Toc531797792"/>
      <w:bookmarkStart w:id="755" w:name="_Toc27000"/>
      <w:bookmarkStart w:id="756" w:name="_Toc5998"/>
      <w:bookmarkStart w:id="757" w:name="_Toc10286"/>
      <w:bookmarkStart w:id="758" w:name="_Toc441336795"/>
      <w:bookmarkStart w:id="759" w:name="_Toc22140"/>
      <w:bookmarkStart w:id="760" w:name="_Toc3461"/>
      <w:bookmarkStart w:id="761" w:name="_Toc531884918"/>
      <w:bookmarkStart w:id="762" w:name="_Toc21008"/>
      <w:bookmarkStart w:id="763" w:name="_Toc9806"/>
      <w:bookmarkStart w:id="764" w:name="_Toc89441293"/>
      <w:bookmarkStart w:id="765" w:name="_Toc26707"/>
      <w:bookmarkStart w:id="766" w:name="_Toc22928"/>
      <w:bookmarkStart w:id="767" w:name="_Toc6549"/>
      <w:bookmarkStart w:id="768" w:name="_Toc32199"/>
      <w:bookmarkStart w:id="769" w:name="_Toc27389"/>
      <w:bookmarkStart w:id="770" w:name="_Toc12240"/>
      <w:bookmarkStart w:id="771" w:name="_Toc6204"/>
      <w:bookmarkStart w:id="772" w:name="_Toc29518"/>
      <w:bookmarkStart w:id="773" w:name="_Toc13785"/>
      <w:bookmarkStart w:id="774" w:name="_Toc29295"/>
      <w:bookmarkStart w:id="775" w:name="_Toc27411"/>
      <w:r>
        <w:rPr>
          <w:rFonts w:hint="eastAsia" w:ascii="宋体" w:hAnsi="宋体" w:cs="宋体"/>
          <w:b/>
          <w:bCs/>
          <w:sz w:val="24"/>
          <w:szCs w:val="24"/>
          <w:highlight w:val="none"/>
        </w:rPr>
        <w:t>8.其他</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14:paraId="1456D26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8.1考察及相关费用</w:t>
      </w:r>
      <w:bookmarkStart w:id="776" w:name="_bookmark21"/>
      <w:bookmarkEnd w:id="776"/>
      <w:bookmarkStart w:id="777" w:name="_bookmark22"/>
      <w:bookmarkEnd w:id="777"/>
      <w:r>
        <w:rPr>
          <w:rFonts w:hint="eastAsia" w:ascii="宋体" w:hAnsi="宋体" w:cs="宋体"/>
          <w:kern w:val="2"/>
          <w:sz w:val="24"/>
          <w:szCs w:val="24"/>
          <w:highlight w:val="none"/>
        </w:rPr>
        <w:t>（无）；差旅费及相关费用的支付：</w:t>
      </w:r>
      <w:bookmarkStart w:id="778" w:name="_bookmark23"/>
      <w:bookmarkEnd w:id="778"/>
      <w:r>
        <w:rPr>
          <w:rFonts w:hint="eastAsia" w:ascii="宋体" w:hAnsi="宋体" w:cs="宋体"/>
          <w:kern w:val="2"/>
          <w:sz w:val="24"/>
          <w:szCs w:val="24"/>
          <w:highlight w:val="none"/>
          <w:u w:val="single" w:color="000000"/>
        </w:rPr>
        <w:t>由乙方自行承担</w:t>
      </w:r>
      <w:r>
        <w:rPr>
          <w:rFonts w:hint="eastAsia" w:ascii="宋体" w:hAnsi="宋体" w:cs="宋体"/>
          <w:kern w:val="2"/>
          <w:sz w:val="24"/>
          <w:szCs w:val="24"/>
          <w:highlight w:val="none"/>
        </w:rPr>
        <w:t>。</w:t>
      </w:r>
    </w:p>
    <w:p w14:paraId="00AD1048">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8.2保密</w:t>
      </w:r>
    </w:p>
    <w:p w14:paraId="717226B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本</w:t>
      </w:r>
      <w:bookmarkStart w:id="779" w:name="_Toc435691812"/>
      <w:r>
        <w:rPr>
          <w:rFonts w:hint="eastAsia" w:ascii="宋体" w:hAnsi="宋体" w:cs="宋体"/>
          <w:kern w:val="2"/>
          <w:sz w:val="24"/>
          <w:szCs w:val="24"/>
          <w:highlight w:val="none"/>
        </w:rPr>
        <w:t>协议所称“保</w:t>
      </w:r>
      <w:bookmarkEnd w:id="779"/>
      <w:r>
        <w:rPr>
          <w:rFonts w:hint="eastAsia" w:ascii="宋体" w:hAnsi="宋体" w:cs="宋体"/>
          <w:kern w:val="2"/>
          <w:sz w:val="24"/>
          <w:szCs w:val="24"/>
          <w:highlight w:val="none"/>
        </w:rPr>
        <w:t>密资料”不包括下述资料和信息：</w:t>
      </w:r>
    </w:p>
    <w:p w14:paraId="3A0C5491">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1</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已经或将公布于众的资料，但不包括甲方和乙方双方或其代表违反本协议规定未经授权所披露的；</w:t>
      </w:r>
    </w:p>
    <w:p w14:paraId="55A5D524">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2</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在任何一方向接受方披露前已为该方通过其他合法途径知悉的资料。</w:t>
      </w:r>
    </w:p>
    <w:p w14:paraId="03089B4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lang w:val="en-US" w:eastAsia="zh-CN"/>
        </w:rPr>
        <w:t>3</w:t>
      </w:r>
      <w:r>
        <w:rPr>
          <w:rFonts w:hint="eastAsia" w:ascii="宋体" w:hAnsi="宋体" w:cs="宋体"/>
          <w:kern w:val="2"/>
          <w:sz w:val="24"/>
          <w:szCs w:val="24"/>
          <w:highlight w:val="none"/>
          <w:lang w:eastAsia="zh-CN"/>
        </w:rPr>
        <w:t>）</w:t>
      </w:r>
      <w:r>
        <w:rPr>
          <w:rFonts w:hint="eastAsia" w:ascii="宋体" w:hAnsi="宋体" w:cs="宋体"/>
          <w:kern w:val="2"/>
          <w:sz w:val="24"/>
          <w:szCs w:val="24"/>
          <w:highlight w:val="none"/>
        </w:rPr>
        <w:t>已经于本协议下的非保密资料提供方订立过有约束力的保密协议，且接受方有理由认为资料披露者未被禁止向接收方提供该资料。</w:t>
      </w:r>
    </w:p>
    <w:p w14:paraId="113A36B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双方互为保密资料的提供方和接受方，负有保密义务，承担保密责任。本协议的保密期限，即任何一方对对方保密资料负有保密义务的期限，为双方合同履行期起始之日至工程正式完工。</w:t>
      </w:r>
    </w:p>
    <w:p w14:paraId="72FB9AA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双方中任何一方未经对方同意不得向第三方（包括但不限于新闻媒体）公开和披露任何保密资料或以其他方式提供及使用保密资料。否则违约方须承担违约责任及承担因此造成的一切损失及相应的法律责任。</w:t>
      </w:r>
    </w:p>
    <w:p w14:paraId="2FE3DB0A">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8.3联络</w:t>
      </w:r>
    </w:p>
    <w:p w14:paraId="367D30E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8.3.1任何一方与合同有关的通知、指示、要求、决定等，均应在</w:t>
      </w:r>
      <w:r>
        <w:rPr>
          <w:rFonts w:hint="eastAsia" w:ascii="宋体" w:hAnsi="宋体" w:cs="宋体"/>
          <w:kern w:val="2"/>
          <w:sz w:val="24"/>
          <w:szCs w:val="24"/>
          <w:highlight w:val="none"/>
          <w:u w:val="single" w:color="000000"/>
        </w:rPr>
        <w:t xml:space="preserve">  3  </w:t>
      </w:r>
      <w:r>
        <w:rPr>
          <w:rFonts w:hint="eastAsia" w:ascii="宋体" w:hAnsi="宋体" w:cs="宋体"/>
          <w:kern w:val="2"/>
          <w:sz w:val="24"/>
          <w:szCs w:val="24"/>
          <w:highlight w:val="none"/>
        </w:rPr>
        <w:t>日内送达对方指定的接收人和送达地点。</w:t>
      </w:r>
    </w:p>
    <w:p w14:paraId="51C3CDB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8.3.2甲方指定的送达接收人：</w:t>
      </w:r>
      <w:r>
        <w:rPr>
          <w:rFonts w:hint="eastAsia" w:ascii="宋体" w:hAnsi="宋体" w:cs="宋体"/>
          <w:kern w:val="2"/>
          <w:sz w:val="24"/>
          <w:szCs w:val="24"/>
          <w:highlight w:val="none"/>
          <w:u w:val="single"/>
        </w:rPr>
        <w:t xml:space="preserve">     </w:t>
      </w:r>
      <w:r>
        <w:rPr>
          <w:rFonts w:hint="eastAsia" w:ascii="宋体" w:hAnsi="宋体" w:cs="宋体"/>
          <w:kern w:val="2"/>
          <w:sz w:val="24"/>
          <w:szCs w:val="24"/>
          <w:highlight w:val="none"/>
        </w:rPr>
        <w:t>，送达地点：</w:t>
      </w:r>
      <w:r>
        <w:rPr>
          <w:rFonts w:hint="eastAsia" w:ascii="宋体" w:hAnsi="宋体" w:cs="宋体"/>
          <w:kern w:val="2"/>
          <w:sz w:val="24"/>
          <w:szCs w:val="24"/>
          <w:highlight w:val="none"/>
          <w:u w:val="single"/>
        </w:rPr>
        <w:t xml:space="preserve">     </w:t>
      </w:r>
      <w:r>
        <w:rPr>
          <w:rFonts w:hint="eastAsia" w:ascii="宋体" w:hAnsi="宋体" w:cs="宋体"/>
          <w:kern w:val="2"/>
          <w:sz w:val="24"/>
          <w:szCs w:val="24"/>
          <w:highlight w:val="none"/>
        </w:rPr>
        <w:t>，电子邮箱：</w:t>
      </w:r>
      <w:r>
        <w:rPr>
          <w:rFonts w:hint="eastAsia" w:ascii="宋体" w:hAnsi="宋体" w:cs="宋体"/>
          <w:kern w:val="2"/>
          <w:sz w:val="24"/>
          <w:szCs w:val="24"/>
          <w:highlight w:val="none"/>
          <w:u w:val="single"/>
        </w:rPr>
        <w:t xml:space="preserve">     </w:t>
      </w:r>
      <w:r>
        <w:rPr>
          <w:rFonts w:hint="eastAsia" w:ascii="宋体" w:hAnsi="宋体" w:cs="宋体"/>
          <w:kern w:val="2"/>
          <w:sz w:val="24"/>
          <w:szCs w:val="24"/>
          <w:highlight w:val="none"/>
        </w:rPr>
        <w:t>。</w:t>
      </w:r>
    </w:p>
    <w:p w14:paraId="34A325E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乙方指定的送达接收人：：</w:t>
      </w:r>
      <w:r>
        <w:rPr>
          <w:rFonts w:hint="eastAsia" w:ascii="宋体" w:hAnsi="宋体" w:cs="宋体"/>
          <w:kern w:val="2"/>
          <w:sz w:val="24"/>
          <w:szCs w:val="24"/>
          <w:highlight w:val="none"/>
          <w:u w:val="single"/>
        </w:rPr>
        <w:t xml:space="preserve">     </w:t>
      </w:r>
      <w:r>
        <w:rPr>
          <w:rFonts w:hint="eastAsia" w:ascii="宋体" w:hAnsi="宋体" w:cs="宋体"/>
          <w:kern w:val="2"/>
          <w:sz w:val="24"/>
          <w:szCs w:val="24"/>
          <w:highlight w:val="none"/>
        </w:rPr>
        <w:t>，送达地点：</w:t>
      </w:r>
      <w:r>
        <w:rPr>
          <w:rFonts w:hint="eastAsia" w:ascii="宋体" w:hAnsi="宋体" w:cs="宋体"/>
          <w:kern w:val="2"/>
          <w:sz w:val="24"/>
          <w:szCs w:val="24"/>
          <w:highlight w:val="none"/>
          <w:u w:val="single"/>
        </w:rPr>
        <w:t xml:space="preserve">     </w:t>
      </w:r>
      <w:r>
        <w:rPr>
          <w:rFonts w:hint="eastAsia" w:ascii="宋体" w:hAnsi="宋体" w:cs="宋体"/>
          <w:kern w:val="2"/>
          <w:sz w:val="24"/>
          <w:szCs w:val="24"/>
          <w:highlight w:val="none"/>
        </w:rPr>
        <w:t>，电子邮箱：</w:t>
      </w:r>
      <w:r>
        <w:rPr>
          <w:rFonts w:hint="eastAsia" w:ascii="宋体" w:hAnsi="宋体" w:cs="宋体"/>
          <w:kern w:val="2"/>
          <w:sz w:val="24"/>
          <w:szCs w:val="24"/>
          <w:highlight w:val="none"/>
          <w:u w:val="single"/>
        </w:rPr>
        <w:t xml:space="preserve">     </w:t>
      </w:r>
      <w:r>
        <w:rPr>
          <w:rFonts w:hint="eastAsia" w:ascii="宋体" w:hAnsi="宋体" w:cs="宋体"/>
          <w:kern w:val="2"/>
          <w:sz w:val="24"/>
          <w:szCs w:val="24"/>
          <w:highlight w:val="none"/>
          <w:u w:val="none"/>
        </w:rPr>
        <w:t>。</w:t>
      </w:r>
    </w:p>
    <w:p w14:paraId="5D62ABD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8.4知识产权</w:t>
      </w:r>
    </w:p>
    <w:p w14:paraId="28931059">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甲方提供给乙方的图纸、甲方为实施工程自行编制或委托编制的技术规范以及反映甲方要求的或其他类似性质文件的著作权属于</w:t>
      </w:r>
      <w:r>
        <w:rPr>
          <w:rFonts w:hint="eastAsia" w:ascii="宋体" w:hAnsi="宋体" w:cs="宋体"/>
          <w:kern w:val="2"/>
          <w:sz w:val="24"/>
          <w:szCs w:val="24"/>
          <w:highlight w:val="none"/>
          <w:u w:val="single"/>
        </w:rPr>
        <w:t xml:space="preserve">  甲方  </w:t>
      </w:r>
      <w:r>
        <w:rPr>
          <w:rFonts w:hint="eastAsia" w:ascii="宋体" w:hAnsi="宋体" w:cs="宋体"/>
          <w:kern w:val="2"/>
          <w:sz w:val="24"/>
          <w:szCs w:val="24"/>
          <w:highlight w:val="none"/>
        </w:rPr>
        <w:t>。乙方可以为实现合同目的而复制、使用此类文件，但不得用于与本合同无关的其他事项，未经甲方同意，乙方不得为了本合同以外的目的而将其提供给任何第三方。</w:t>
      </w:r>
    </w:p>
    <w:p w14:paraId="342BD383">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乙方为履行本合同约定而编制的成果文件，其著作权属于</w:t>
      </w:r>
      <w:r>
        <w:rPr>
          <w:rFonts w:hint="eastAsia" w:ascii="宋体" w:hAnsi="宋体" w:cs="宋体"/>
          <w:kern w:val="2"/>
          <w:sz w:val="24"/>
          <w:szCs w:val="24"/>
          <w:highlight w:val="none"/>
          <w:u w:val="single"/>
        </w:rPr>
        <w:t xml:space="preserve">  乙方  </w:t>
      </w:r>
      <w:r>
        <w:rPr>
          <w:rFonts w:hint="eastAsia" w:ascii="宋体" w:hAnsi="宋体" w:cs="宋体"/>
          <w:kern w:val="2"/>
          <w:sz w:val="24"/>
          <w:szCs w:val="24"/>
          <w:highlight w:val="none"/>
        </w:rPr>
        <w:t>，甲方可以为实现合同目的而复制、使用此类文件，但不得用于与本合同无关的其他事项，未经乙方同意，甲方不得为了本合同以外的目的而将其提供给任何第三方。</w:t>
      </w:r>
    </w:p>
    <w:p w14:paraId="0CBA2906">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双方保证在履行本合同期间不侵犯对方或第三方的知识产权，否则因此导致的一切后果由对方全部承担。</w:t>
      </w:r>
    </w:p>
    <w:p w14:paraId="24B399EC">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双方将履行本合同形成的有关成果文件用于企业宣传、申报奖项以及接受上级主管部门的检查须遵守以下约定：</w:t>
      </w:r>
    </w:p>
    <w:p w14:paraId="70854A3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①双方承诺严格履行本合同的保密义务。</w:t>
      </w:r>
    </w:p>
    <w:p w14:paraId="4F98158B">
      <w:pPr>
        <w:widowControl w:val="0"/>
        <w:adjustRightInd w:val="0"/>
        <w:snapToGrid w:val="0"/>
        <w:spacing w:line="384"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rPr>
        <w:t>②双方承诺不损害对方及相互间的利益。</w:t>
      </w:r>
      <w:bookmarkStart w:id="780" w:name="_Toc531884919"/>
      <w:bookmarkStart w:id="781" w:name="_Toc531797793"/>
    </w:p>
    <w:p w14:paraId="36A28183">
      <w:pPr>
        <w:widowControl w:val="0"/>
        <w:adjustRightInd w:val="0"/>
        <w:snapToGrid w:val="0"/>
        <w:spacing w:line="384" w:lineRule="auto"/>
        <w:ind w:firstLine="480" w:firstLineChars="200"/>
        <w:jc w:val="both"/>
        <w:rPr>
          <w:rFonts w:hint="eastAsia" w:ascii="宋体" w:hAnsi="宋体" w:cs="宋体"/>
          <w:kern w:val="2"/>
          <w:sz w:val="24"/>
          <w:szCs w:val="24"/>
          <w:highlight w:val="none"/>
          <w:lang w:val="en-US" w:eastAsia="zh-CN"/>
        </w:rPr>
      </w:pPr>
      <w:r>
        <w:rPr>
          <w:rFonts w:hint="eastAsia" w:ascii="宋体" w:hAnsi="宋体" w:cs="宋体"/>
          <w:kern w:val="2"/>
          <w:sz w:val="24"/>
          <w:szCs w:val="24"/>
          <w:highlight w:val="none"/>
          <w:lang w:val="en-US" w:eastAsia="zh-CN"/>
        </w:rPr>
        <w:t>8.5</w:t>
      </w:r>
      <w:r>
        <w:rPr>
          <w:rFonts w:hint="eastAsia" w:ascii="宋体" w:hAnsi="宋体" w:cs="宋体"/>
          <w:kern w:val="2"/>
          <w:sz w:val="24"/>
          <w:szCs w:val="24"/>
          <w:highlight w:val="none"/>
        </w:rPr>
        <w:t>由于非合同双方原因，导致本项目终止，则双方和平签订解除合同，双方均不存在任何违约责任。</w:t>
      </w:r>
    </w:p>
    <w:p w14:paraId="0BB337AA">
      <w:pPr>
        <w:widowControl w:val="0"/>
        <w:numPr>
          <w:ilvl w:val="-1"/>
          <w:numId w:val="0"/>
        </w:numPr>
        <w:adjustRightInd w:val="0"/>
        <w:snapToGrid w:val="0"/>
        <w:spacing w:before="120" w:after="120" w:line="384" w:lineRule="auto"/>
        <w:ind w:firstLine="480" w:firstLineChars="200"/>
        <w:jc w:val="both"/>
        <w:rPr>
          <w:rFonts w:hint="eastAsia" w:ascii="宋体" w:hAnsi="宋体" w:eastAsia="宋体" w:cs="宋体"/>
          <w:kern w:val="2"/>
          <w:sz w:val="24"/>
          <w:szCs w:val="24"/>
          <w:highlight w:val="none"/>
          <w:lang w:val="en-US" w:eastAsia="zh-CN"/>
        </w:rPr>
      </w:pPr>
      <w:r>
        <w:rPr>
          <w:rFonts w:hint="eastAsia" w:ascii="宋体" w:hAnsi="宋体" w:cs="宋体"/>
          <w:kern w:val="2"/>
          <w:sz w:val="24"/>
          <w:szCs w:val="24"/>
          <w:highlight w:val="none"/>
          <w:lang w:val="en-US" w:eastAsia="zh-CN"/>
        </w:rPr>
        <w:t>8.6</w:t>
      </w:r>
      <w:r>
        <w:rPr>
          <w:rFonts w:hint="eastAsia" w:ascii="宋体" w:hAnsi="宋体" w:eastAsia="宋体" w:cs="宋体"/>
          <w:kern w:val="2"/>
          <w:sz w:val="24"/>
          <w:szCs w:val="24"/>
          <w:highlight w:val="none"/>
          <w:lang w:val="en-US" w:eastAsia="zh-CN"/>
        </w:rPr>
        <w:t>本条附录为本合同的组成部分，与本合同具有同等法律效力。包括但不限于：</w:t>
      </w:r>
    </w:p>
    <w:p w14:paraId="6A235AF9">
      <w:pPr>
        <w:widowControl w:val="0"/>
        <w:numPr>
          <w:ilvl w:val="-1"/>
          <w:numId w:val="0"/>
        </w:numPr>
        <w:adjustRightInd w:val="0"/>
        <w:snapToGrid w:val="0"/>
        <w:spacing w:before="120" w:after="120" w:line="384" w:lineRule="auto"/>
        <w:ind w:firstLine="480" w:firstLineChars="20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8.6.1附录A《服务费用一栏表》；</w:t>
      </w:r>
    </w:p>
    <w:p w14:paraId="779E03C7">
      <w:pPr>
        <w:widowControl w:val="0"/>
        <w:numPr>
          <w:ilvl w:val="-1"/>
          <w:numId w:val="0"/>
        </w:numPr>
        <w:adjustRightInd w:val="0"/>
        <w:snapToGrid w:val="0"/>
        <w:spacing w:before="120" w:after="120" w:line="384" w:lineRule="auto"/>
        <w:ind w:firstLine="480" w:firstLineChars="200"/>
        <w:jc w:val="both"/>
        <w:rPr>
          <w:rFonts w:hint="eastAsia" w:ascii="宋体" w:hAnsi="宋体" w:eastAsia="宋体" w:cs="宋体"/>
          <w:kern w:val="2"/>
          <w:sz w:val="24"/>
          <w:szCs w:val="24"/>
          <w:highlight w:val="none"/>
          <w:lang w:val="en-US" w:eastAsia="zh-CN"/>
        </w:rPr>
      </w:pPr>
      <w:r>
        <w:rPr>
          <w:rFonts w:hint="eastAsia" w:ascii="宋体" w:hAnsi="宋体" w:eastAsia="宋体" w:cs="宋体"/>
          <w:kern w:val="2"/>
          <w:sz w:val="24"/>
          <w:szCs w:val="24"/>
          <w:highlight w:val="none"/>
          <w:lang w:val="en-US" w:eastAsia="zh-CN"/>
        </w:rPr>
        <w:t>8.6.2附录B《甲方提供资料一览表》；</w:t>
      </w:r>
    </w:p>
    <w:p w14:paraId="79727B9E">
      <w:pPr>
        <w:ind w:firstLine="480"/>
        <w:jc w:val="both"/>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8.6.3附录C《乙方提交成果文件一览表》。</w:t>
      </w:r>
    </w:p>
    <w:p w14:paraId="1F4C67A3">
      <w:pP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br w:type="page"/>
      </w:r>
    </w:p>
    <w:p w14:paraId="1F6E1F9B">
      <w:pPr>
        <w:pStyle w:val="2"/>
        <w:rPr>
          <w:rFonts w:hint="eastAsia"/>
          <w:highlight w:val="none"/>
          <w:lang w:val="en-US" w:eastAsia="zh-CN"/>
        </w:rPr>
      </w:pPr>
    </w:p>
    <w:p w14:paraId="01C172D8">
      <w:pPr>
        <w:keepNext/>
        <w:keepLines/>
        <w:widowControl w:val="0"/>
        <w:tabs>
          <w:tab w:val="left" w:pos="-567"/>
        </w:tabs>
        <w:adjustRightInd w:val="0"/>
        <w:snapToGrid w:val="0"/>
        <w:spacing w:before="120" w:after="120" w:line="324" w:lineRule="auto"/>
        <w:jc w:val="center"/>
        <w:outlineLvl w:val="1"/>
        <w:rPr>
          <w:rFonts w:ascii="宋体" w:hAnsi="宋体" w:cs="宋体"/>
          <w:b/>
          <w:sz w:val="32"/>
          <w:szCs w:val="32"/>
          <w:highlight w:val="none"/>
        </w:rPr>
      </w:pPr>
      <w:bookmarkStart w:id="782" w:name="_Toc4723"/>
      <w:bookmarkStart w:id="783" w:name="_Toc14128"/>
      <w:bookmarkStart w:id="784" w:name="_Toc32287"/>
      <w:bookmarkStart w:id="785" w:name="_Toc3263"/>
      <w:bookmarkStart w:id="786" w:name="_Toc24367"/>
      <w:bookmarkStart w:id="787" w:name="_Toc11588"/>
      <w:bookmarkStart w:id="788" w:name="_Toc89441294"/>
      <w:bookmarkStart w:id="789" w:name="_Toc20669"/>
      <w:bookmarkStart w:id="790" w:name="_Toc1431"/>
      <w:bookmarkStart w:id="791" w:name="_Toc9579"/>
      <w:bookmarkStart w:id="792" w:name="_Toc13998"/>
      <w:bookmarkStart w:id="793" w:name="_Toc441336797"/>
      <w:bookmarkStart w:id="794" w:name="_Toc32635"/>
      <w:bookmarkStart w:id="795" w:name="_Toc12233"/>
      <w:bookmarkStart w:id="796" w:name="_Toc13661"/>
      <w:bookmarkStart w:id="797" w:name="_Toc11950"/>
      <w:bookmarkStart w:id="798" w:name="_Toc31259"/>
      <w:bookmarkStart w:id="799" w:name="_Toc17731"/>
      <w:bookmarkStart w:id="800" w:name="_Toc29562"/>
      <w:bookmarkStart w:id="801" w:name="_Toc31453"/>
      <w:r>
        <w:rPr>
          <w:rFonts w:hint="eastAsia" w:ascii="宋体" w:hAnsi="宋体" w:cs="宋体"/>
          <w:b/>
          <w:sz w:val="32"/>
          <w:szCs w:val="32"/>
          <w:highlight w:val="none"/>
        </w:rPr>
        <w:t>附录A  服务费用一览表</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tbl>
      <w:tblPr>
        <w:tblStyle w:val="49"/>
        <w:tblW w:w="9331" w:type="dxa"/>
        <w:tblInd w:w="0" w:type="dxa"/>
        <w:tblLayout w:type="fixed"/>
        <w:tblCellMar>
          <w:top w:w="0" w:type="dxa"/>
          <w:left w:w="0" w:type="dxa"/>
          <w:bottom w:w="0" w:type="dxa"/>
          <w:right w:w="0" w:type="dxa"/>
        </w:tblCellMar>
      </w:tblPr>
      <w:tblGrid>
        <w:gridCol w:w="759"/>
        <w:gridCol w:w="2025"/>
        <w:gridCol w:w="1606"/>
        <w:gridCol w:w="4941"/>
      </w:tblGrid>
      <w:tr w14:paraId="7A44BC3B">
        <w:trPr>
          <w:trHeight w:val="1110" w:hRule="atLeast"/>
        </w:trPr>
        <w:tc>
          <w:tcPr>
            <w:tcW w:w="7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5C273C">
            <w:pPr>
              <w:jc w:val="center"/>
              <w:textAlignment w:val="center"/>
              <w:rPr>
                <w:rFonts w:ascii="宋体" w:hAnsi="宋体" w:cs="宋体"/>
                <w:b/>
                <w:sz w:val="20"/>
                <w:szCs w:val="20"/>
                <w:highlight w:val="none"/>
              </w:rPr>
            </w:pPr>
            <w:r>
              <w:rPr>
                <w:rFonts w:hint="eastAsia" w:ascii="宋体" w:hAnsi="宋体" w:cs="宋体"/>
                <w:b/>
                <w:sz w:val="20"/>
                <w:szCs w:val="20"/>
                <w:highlight w:val="none"/>
              </w:rPr>
              <w:t>序号</w:t>
            </w:r>
          </w:p>
        </w:tc>
        <w:tc>
          <w:tcPr>
            <w:tcW w:w="2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0B717A">
            <w:pPr>
              <w:jc w:val="center"/>
              <w:textAlignment w:val="center"/>
              <w:rPr>
                <w:rFonts w:ascii="宋体" w:hAnsi="宋体" w:cs="宋体"/>
                <w:b/>
                <w:sz w:val="20"/>
                <w:szCs w:val="20"/>
                <w:highlight w:val="none"/>
              </w:rPr>
            </w:pPr>
            <w:r>
              <w:rPr>
                <w:rFonts w:hint="eastAsia" w:ascii="宋体" w:hAnsi="宋体" w:cs="宋体"/>
                <w:b/>
                <w:sz w:val="20"/>
                <w:szCs w:val="20"/>
                <w:highlight w:val="none"/>
              </w:rPr>
              <w:t>咨询项目名称</w:t>
            </w:r>
          </w:p>
        </w:tc>
        <w:tc>
          <w:tcPr>
            <w:tcW w:w="160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CCF68A">
            <w:pPr>
              <w:jc w:val="center"/>
              <w:textAlignment w:val="center"/>
              <w:rPr>
                <w:rFonts w:ascii="宋体" w:hAnsi="宋体" w:cs="宋体"/>
                <w:b/>
                <w:sz w:val="20"/>
                <w:szCs w:val="20"/>
                <w:highlight w:val="none"/>
              </w:rPr>
            </w:pPr>
            <w:r>
              <w:rPr>
                <w:rFonts w:hint="eastAsia" w:ascii="宋体" w:hAnsi="宋体" w:cs="宋体"/>
                <w:b/>
                <w:sz w:val="20"/>
                <w:szCs w:val="20"/>
                <w:highlight w:val="none"/>
              </w:rPr>
              <w:t>合同金额</w:t>
            </w:r>
          </w:p>
        </w:tc>
        <w:tc>
          <w:tcPr>
            <w:tcW w:w="494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135318">
            <w:pPr>
              <w:jc w:val="center"/>
              <w:textAlignment w:val="center"/>
              <w:rPr>
                <w:rFonts w:ascii="宋体" w:hAnsi="宋体" w:cs="宋体"/>
                <w:b/>
                <w:sz w:val="20"/>
                <w:szCs w:val="20"/>
                <w:highlight w:val="none"/>
              </w:rPr>
            </w:pPr>
            <w:r>
              <w:rPr>
                <w:rFonts w:hint="eastAsia" w:ascii="宋体" w:hAnsi="宋体" w:cs="宋体"/>
                <w:b/>
                <w:sz w:val="20"/>
                <w:szCs w:val="20"/>
                <w:highlight w:val="none"/>
              </w:rPr>
              <w:t>备注</w:t>
            </w:r>
          </w:p>
        </w:tc>
      </w:tr>
      <w:tr w14:paraId="2D21C96D">
        <w:trPr>
          <w:trHeight w:val="480" w:hRule="atLeast"/>
        </w:trPr>
        <w:tc>
          <w:tcPr>
            <w:tcW w:w="7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722EBB">
            <w:pPr>
              <w:jc w:val="center"/>
              <w:textAlignment w:val="center"/>
              <w:rPr>
                <w:rFonts w:ascii="宋体" w:hAnsi="宋体" w:cs="宋体"/>
                <w:sz w:val="20"/>
                <w:szCs w:val="20"/>
                <w:highlight w:val="none"/>
              </w:rPr>
            </w:pPr>
            <w:r>
              <w:rPr>
                <w:rFonts w:hint="eastAsia" w:ascii="宋体" w:hAnsi="宋体" w:cs="宋体"/>
                <w:sz w:val="20"/>
                <w:szCs w:val="20"/>
                <w:highlight w:val="none"/>
              </w:rPr>
              <w:t>1</w:t>
            </w:r>
          </w:p>
        </w:tc>
        <w:tc>
          <w:tcPr>
            <w:tcW w:w="2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72DC67">
            <w:pPr>
              <w:textAlignment w:val="center"/>
              <w:rPr>
                <w:rFonts w:ascii="宋体" w:hAnsi="宋体" w:cs="宋体"/>
                <w:sz w:val="20"/>
                <w:szCs w:val="20"/>
                <w:highlight w:val="none"/>
              </w:rPr>
            </w:pPr>
            <w:r>
              <w:rPr>
                <w:rFonts w:hint="eastAsia" w:ascii="宋体" w:hAnsi="宋体" w:cs="宋体"/>
                <w:sz w:val="20"/>
                <w:szCs w:val="20"/>
                <w:highlight w:val="none"/>
              </w:rPr>
              <w:t>全过程造价控制咨询服务费</w:t>
            </w:r>
          </w:p>
        </w:tc>
        <w:tc>
          <w:tcPr>
            <w:tcW w:w="1606"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6358BD49">
            <w:pPr>
              <w:jc w:val="both"/>
              <w:textAlignment w:val="center"/>
              <w:rPr>
                <w:rFonts w:hint="default" w:ascii="宋体" w:hAnsi="宋体" w:eastAsia="宋体" w:cs="宋体"/>
                <w:sz w:val="20"/>
                <w:szCs w:val="20"/>
                <w:highlight w:val="none"/>
                <w:u w:val="single"/>
                <w:lang w:val="en-US" w:eastAsia="zh-CN"/>
              </w:rPr>
            </w:pPr>
            <w:r>
              <w:rPr>
                <w:rFonts w:hint="eastAsia" w:ascii="宋体" w:hAnsi="宋体" w:cs="宋体"/>
                <w:sz w:val="20"/>
                <w:szCs w:val="20"/>
                <w:highlight w:val="none"/>
                <w:lang w:val="en-US" w:eastAsia="zh-CN"/>
              </w:rPr>
              <w:t>总金额：</w:t>
            </w:r>
            <w:r>
              <w:rPr>
                <w:rFonts w:hint="eastAsia" w:ascii="宋体" w:hAnsi="宋体" w:cs="宋体"/>
                <w:sz w:val="20"/>
                <w:szCs w:val="20"/>
                <w:highlight w:val="none"/>
                <w:u w:val="single"/>
                <w:lang w:val="en-US" w:eastAsia="zh-CN"/>
              </w:rPr>
              <w:t xml:space="preserve">      </w:t>
            </w:r>
          </w:p>
        </w:tc>
        <w:tc>
          <w:tcPr>
            <w:tcW w:w="4941"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14:paraId="7C2682F4">
            <w:pPr>
              <w:jc w:val="left"/>
              <w:rPr>
                <w:rFonts w:ascii="宋体" w:hAnsi="宋体"/>
                <w:bCs/>
                <w:highlight w:val="none"/>
              </w:rPr>
            </w:pPr>
            <w:r>
              <w:rPr>
                <w:rFonts w:hint="eastAsia" w:ascii="宋体" w:hAnsi="宋体"/>
                <w:bCs/>
                <w:highlight w:val="none"/>
                <w:lang w:val="en-US" w:eastAsia="zh-CN"/>
              </w:rPr>
              <w:t>1.谈判申请</w:t>
            </w:r>
            <w:r>
              <w:rPr>
                <w:rFonts w:hint="eastAsia" w:ascii="宋体" w:hAnsi="宋体"/>
                <w:bCs/>
                <w:highlight w:val="none"/>
              </w:rPr>
              <w:t>人应充分了解该项目的总体情况以及影响报价的其他要素，结合企业实际情况填报报价，</w:t>
            </w:r>
            <w:r>
              <w:rPr>
                <w:rFonts w:hint="eastAsia" w:ascii="宋体" w:hAnsi="宋体"/>
                <w:bCs/>
                <w:highlight w:val="none"/>
                <w:lang w:val="en-US" w:eastAsia="zh-CN"/>
              </w:rPr>
              <w:t>谈判申请</w:t>
            </w:r>
            <w:r>
              <w:rPr>
                <w:rFonts w:hint="eastAsia" w:ascii="宋体" w:hAnsi="宋体"/>
                <w:bCs/>
                <w:highlight w:val="none"/>
              </w:rPr>
              <w:t>人须把与本项目</w:t>
            </w:r>
            <w:r>
              <w:rPr>
                <w:rFonts w:hint="eastAsia" w:ascii="宋体" w:hAnsi="宋体"/>
                <w:bCs/>
                <w:highlight w:val="none"/>
                <w:lang w:val="en-US" w:eastAsia="zh-CN"/>
              </w:rPr>
              <w:t>采购</w:t>
            </w:r>
            <w:r>
              <w:rPr>
                <w:rFonts w:hint="eastAsia" w:ascii="宋体" w:hAnsi="宋体"/>
                <w:bCs/>
                <w:highlight w:val="none"/>
              </w:rPr>
              <w:t>范围所包含的所有全过程造价控制及其他咨询服务工作内容综合考虑在该项报价中。</w:t>
            </w:r>
          </w:p>
          <w:p w14:paraId="21DD90BA">
            <w:pPr>
              <w:textAlignment w:val="center"/>
              <w:rPr>
                <w:rFonts w:ascii="宋体" w:hAnsi="宋体" w:cs="宋体"/>
                <w:sz w:val="20"/>
                <w:szCs w:val="20"/>
                <w:highlight w:val="none"/>
              </w:rPr>
            </w:pPr>
            <w:r>
              <w:rPr>
                <w:rFonts w:hint="eastAsia" w:ascii="宋体" w:hAnsi="宋体"/>
                <w:bCs/>
                <w:highlight w:val="none"/>
                <w:lang w:val="en-US" w:eastAsia="zh-CN"/>
              </w:rPr>
              <w:t>2.谈判申请</w:t>
            </w:r>
            <w:r>
              <w:rPr>
                <w:rFonts w:hint="eastAsia" w:ascii="宋体" w:hAnsi="宋体"/>
                <w:bCs/>
                <w:highlight w:val="none"/>
              </w:rPr>
              <w:t>人应充分考虑因各种原因可能发生的费用，也可以自行踏勘以充分了解项目位置、交通、环境及任何其他足以影响报价的情况，任何因忽视或误解项目服务情况而导致的索赔将不被批准。</w:t>
            </w:r>
          </w:p>
        </w:tc>
      </w:tr>
    </w:tbl>
    <w:p w14:paraId="74D2C5D9">
      <w:pPr>
        <w:keepNext/>
        <w:keepLines/>
        <w:widowControl w:val="0"/>
        <w:tabs>
          <w:tab w:val="left" w:pos="-567"/>
        </w:tabs>
        <w:adjustRightInd w:val="0"/>
        <w:snapToGrid w:val="0"/>
        <w:spacing w:before="120" w:after="120" w:line="324" w:lineRule="auto"/>
        <w:jc w:val="center"/>
        <w:outlineLvl w:val="1"/>
        <w:rPr>
          <w:rFonts w:ascii="宋体" w:hAnsi="宋体" w:cs="宋体"/>
          <w:b/>
          <w:bCs/>
          <w:sz w:val="32"/>
          <w:szCs w:val="32"/>
          <w:highlight w:val="none"/>
        </w:rPr>
      </w:pPr>
      <w:bookmarkStart w:id="802" w:name="_Toc531797795"/>
      <w:bookmarkStart w:id="803" w:name="_Toc531884921"/>
      <w:bookmarkStart w:id="804" w:name="_Toc23694"/>
      <w:bookmarkStart w:id="805" w:name="_Toc14013"/>
      <w:bookmarkStart w:id="806" w:name="_Toc18140"/>
      <w:bookmarkStart w:id="807" w:name="_Toc15836"/>
      <w:bookmarkStart w:id="808" w:name="_Toc17807"/>
      <w:r>
        <w:rPr>
          <w:rFonts w:hint="eastAsia" w:ascii="宋体" w:hAnsi="宋体" w:cs="宋体"/>
          <w:b/>
          <w:bCs/>
          <w:sz w:val="32"/>
          <w:szCs w:val="32"/>
          <w:highlight w:val="none"/>
        </w:rPr>
        <w:br w:type="page"/>
      </w:r>
      <w:bookmarkStart w:id="809" w:name="_Toc2697"/>
      <w:bookmarkStart w:id="810" w:name="_Toc8254"/>
      <w:bookmarkStart w:id="811" w:name="_Toc5430"/>
      <w:bookmarkStart w:id="812" w:name="_Toc16821"/>
      <w:bookmarkStart w:id="813" w:name="_Toc4755"/>
      <w:bookmarkStart w:id="814" w:name="_Toc4312"/>
      <w:bookmarkStart w:id="815" w:name="_Toc8637"/>
      <w:bookmarkStart w:id="816" w:name="_Toc5048"/>
      <w:bookmarkStart w:id="817" w:name="_Toc24308"/>
      <w:bookmarkStart w:id="818" w:name="_Toc31448"/>
      <w:bookmarkStart w:id="819" w:name="_Toc2480"/>
      <w:bookmarkStart w:id="820" w:name="_Toc89441295"/>
      <w:bookmarkStart w:id="821" w:name="_Toc13988"/>
      <w:bookmarkStart w:id="822" w:name="_Toc22093"/>
      <w:r>
        <w:rPr>
          <w:rFonts w:hint="eastAsia" w:ascii="宋体" w:hAnsi="宋体" w:cs="宋体"/>
          <w:b/>
          <w:sz w:val="32"/>
          <w:szCs w:val="32"/>
          <w:highlight w:val="none"/>
        </w:rPr>
        <w:t>附录B</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甲方提供资料一览表</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0509EFC0">
      <w:pPr>
        <w:widowControl w:val="0"/>
        <w:adjustRightInd w:val="0"/>
        <w:snapToGrid w:val="0"/>
        <w:spacing w:before="120" w:after="120" w:line="260" w:lineRule="exact"/>
        <w:ind w:firstLine="520" w:firstLineChars="200"/>
        <w:jc w:val="both"/>
        <w:rPr>
          <w:rFonts w:ascii="宋体" w:hAnsi="宋体" w:cs="宋体"/>
          <w:kern w:val="2"/>
          <w:sz w:val="26"/>
          <w:szCs w:val="26"/>
          <w:highlight w:val="none"/>
        </w:rPr>
      </w:pPr>
    </w:p>
    <w:tbl>
      <w:tblPr>
        <w:tblStyle w:val="49"/>
        <w:tblW w:w="9071" w:type="dxa"/>
        <w:jc w:val="center"/>
        <w:tblLayout w:type="fixed"/>
        <w:tblCellMar>
          <w:top w:w="0" w:type="dxa"/>
          <w:left w:w="108" w:type="dxa"/>
          <w:bottom w:w="0" w:type="dxa"/>
          <w:right w:w="108" w:type="dxa"/>
        </w:tblCellMar>
      </w:tblPr>
      <w:tblGrid>
        <w:gridCol w:w="2439"/>
        <w:gridCol w:w="1048"/>
        <w:gridCol w:w="4544"/>
        <w:gridCol w:w="1040"/>
      </w:tblGrid>
      <w:tr w14:paraId="07BE464C">
        <w:trPr>
          <w:trHeight w:val="476"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6D503751">
            <w:pPr>
              <w:widowControl w:val="0"/>
              <w:adjustRightInd w:val="0"/>
              <w:snapToGrid w:val="0"/>
              <w:spacing w:before="120" w:after="120" w:line="276" w:lineRule="exact"/>
              <w:jc w:val="center"/>
              <w:rPr>
                <w:rFonts w:ascii="宋体" w:hAnsi="宋体" w:cs="宋体"/>
                <w:sz w:val="24"/>
                <w:szCs w:val="24"/>
                <w:highlight w:val="none"/>
              </w:rPr>
            </w:pPr>
            <w:r>
              <w:rPr>
                <w:rFonts w:hint="eastAsia" w:ascii="宋体" w:hAnsi="宋体" w:cs="宋体"/>
                <w:sz w:val="24"/>
                <w:szCs w:val="24"/>
                <w:highlight w:val="none"/>
              </w:rPr>
              <w:t>名称</w:t>
            </w:r>
          </w:p>
        </w:tc>
        <w:tc>
          <w:tcPr>
            <w:tcW w:w="1048" w:type="dxa"/>
            <w:tcBorders>
              <w:top w:val="single" w:color="000000" w:sz="4" w:space="0"/>
              <w:left w:val="single" w:color="000000" w:sz="4" w:space="0"/>
              <w:bottom w:val="single" w:color="000000" w:sz="4" w:space="0"/>
              <w:right w:val="single" w:color="000000" w:sz="4" w:space="0"/>
            </w:tcBorders>
            <w:vAlign w:val="center"/>
          </w:tcPr>
          <w:p w14:paraId="63BB1251">
            <w:pPr>
              <w:widowControl w:val="0"/>
              <w:adjustRightInd w:val="0"/>
              <w:snapToGrid w:val="0"/>
              <w:spacing w:before="120" w:after="120" w:line="276" w:lineRule="exact"/>
              <w:jc w:val="center"/>
              <w:rPr>
                <w:rFonts w:ascii="宋体" w:hAnsi="宋体" w:cs="宋体"/>
                <w:sz w:val="24"/>
                <w:szCs w:val="24"/>
                <w:highlight w:val="none"/>
              </w:rPr>
            </w:pPr>
            <w:r>
              <w:rPr>
                <w:rFonts w:hint="eastAsia" w:ascii="宋体" w:hAnsi="宋体" w:cs="宋体"/>
                <w:sz w:val="24"/>
                <w:szCs w:val="24"/>
                <w:highlight w:val="none"/>
              </w:rPr>
              <w:t>份数</w:t>
            </w:r>
          </w:p>
        </w:tc>
        <w:tc>
          <w:tcPr>
            <w:tcW w:w="4544" w:type="dxa"/>
            <w:tcBorders>
              <w:top w:val="single" w:color="000000" w:sz="4" w:space="0"/>
              <w:left w:val="single" w:color="000000" w:sz="4" w:space="0"/>
              <w:bottom w:val="single" w:color="000000" w:sz="4" w:space="0"/>
              <w:right w:val="single" w:color="000000" w:sz="4" w:space="0"/>
            </w:tcBorders>
            <w:vAlign w:val="center"/>
          </w:tcPr>
          <w:p w14:paraId="38BCFA47">
            <w:pPr>
              <w:widowControl w:val="0"/>
              <w:adjustRightInd w:val="0"/>
              <w:snapToGrid w:val="0"/>
              <w:spacing w:before="120" w:after="120" w:line="276" w:lineRule="exact"/>
              <w:jc w:val="center"/>
              <w:rPr>
                <w:rFonts w:ascii="宋体" w:hAnsi="宋体" w:cs="宋体"/>
                <w:sz w:val="24"/>
                <w:szCs w:val="24"/>
                <w:highlight w:val="none"/>
              </w:rPr>
            </w:pPr>
            <w:r>
              <w:rPr>
                <w:rFonts w:hint="eastAsia" w:ascii="宋体" w:hAnsi="宋体" w:cs="宋体"/>
                <w:sz w:val="24"/>
                <w:szCs w:val="24"/>
                <w:highlight w:val="none"/>
              </w:rPr>
              <w:t>提供时间</w:t>
            </w:r>
          </w:p>
        </w:tc>
        <w:tc>
          <w:tcPr>
            <w:tcW w:w="1040" w:type="dxa"/>
            <w:tcBorders>
              <w:top w:val="single" w:color="000000" w:sz="4" w:space="0"/>
              <w:left w:val="single" w:color="000000" w:sz="4" w:space="0"/>
              <w:bottom w:val="single" w:color="000000" w:sz="4" w:space="0"/>
              <w:right w:val="single" w:color="000000" w:sz="4" w:space="0"/>
            </w:tcBorders>
            <w:vAlign w:val="center"/>
          </w:tcPr>
          <w:p w14:paraId="71CAEDC9">
            <w:pPr>
              <w:widowControl w:val="0"/>
              <w:adjustRightInd w:val="0"/>
              <w:snapToGrid w:val="0"/>
              <w:spacing w:before="120" w:after="120" w:line="276" w:lineRule="exact"/>
              <w:ind w:right="3"/>
              <w:jc w:val="center"/>
              <w:rPr>
                <w:rFonts w:ascii="宋体" w:hAnsi="宋体" w:cs="宋体"/>
                <w:sz w:val="24"/>
                <w:szCs w:val="24"/>
                <w:highlight w:val="none"/>
              </w:rPr>
            </w:pPr>
            <w:r>
              <w:rPr>
                <w:rFonts w:hint="eastAsia" w:ascii="宋体" w:hAnsi="宋体" w:cs="宋体"/>
                <w:sz w:val="24"/>
                <w:szCs w:val="24"/>
                <w:highlight w:val="none"/>
              </w:rPr>
              <w:t>备注</w:t>
            </w:r>
          </w:p>
        </w:tc>
      </w:tr>
      <w:tr w14:paraId="2652C651">
        <w:trPr>
          <w:trHeight w:val="491"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648DCA37">
            <w:pPr>
              <w:widowControl w:val="0"/>
              <w:adjustRightInd w:val="0"/>
              <w:snapToGrid w:val="0"/>
              <w:spacing w:before="120" w:after="120" w:line="384" w:lineRule="auto"/>
              <w:ind w:firstLine="480" w:firstLineChars="200"/>
              <w:jc w:val="both"/>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78F592DC">
            <w:pPr>
              <w:widowControl w:val="0"/>
              <w:adjustRightInd w:val="0"/>
              <w:snapToGrid w:val="0"/>
              <w:spacing w:before="120" w:after="120" w:line="384" w:lineRule="auto"/>
              <w:jc w:val="both"/>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23E3F4D4">
            <w:pPr>
              <w:widowControl w:val="0"/>
              <w:adjustRightInd w:val="0"/>
              <w:snapToGrid w:val="0"/>
              <w:spacing w:before="120" w:after="120"/>
              <w:jc w:val="both"/>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4CB27F11">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20FABBA1">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3A988F72">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10DF241B">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150F5979">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582EB511">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02FEBCAE">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4ECE259A">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3504E4EB">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58102868">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41B4308">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6F179814">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32607F1B">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17528691">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46AAA7A3">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62689328">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71730320">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081CD9D2">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36FBEBEA">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19526B6C">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622AB6E4">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3E66ABFE">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727DEEF9">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20ABEB8E">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66640E1A">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1A630AEB">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76E644BD">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67700D46">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607CF403">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4CAF0D99">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00A69ECD">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5730D577">
        <w:trPr>
          <w:trHeight w:val="476"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4BBA78FA">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27B44C6A">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1BB77EF9">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35210674">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3706E7FB">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145BAF3F">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190AC45F">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4F4BEEAF">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6DFE045D">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r w14:paraId="271678E9">
        <w:trPr>
          <w:trHeight w:val="477" w:hRule="exact"/>
          <w:jc w:val="center"/>
        </w:trPr>
        <w:tc>
          <w:tcPr>
            <w:tcW w:w="2439" w:type="dxa"/>
            <w:tcBorders>
              <w:top w:val="single" w:color="000000" w:sz="4" w:space="0"/>
              <w:left w:val="single" w:color="000000" w:sz="4" w:space="0"/>
              <w:bottom w:val="single" w:color="000000" w:sz="4" w:space="0"/>
              <w:right w:val="single" w:color="000000" w:sz="4" w:space="0"/>
            </w:tcBorders>
            <w:vAlign w:val="center"/>
          </w:tcPr>
          <w:p w14:paraId="0E9574A0">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8" w:type="dxa"/>
            <w:tcBorders>
              <w:top w:val="single" w:color="000000" w:sz="4" w:space="0"/>
              <w:left w:val="single" w:color="000000" w:sz="4" w:space="0"/>
              <w:bottom w:val="single" w:color="000000" w:sz="4" w:space="0"/>
              <w:right w:val="single" w:color="000000" w:sz="4" w:space="0"/>
            </w:tcBorders>
            <w:vAlign w:val="center"/>
          </w:tcPr>
          <w:p w14:paraId="6026FA46">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4544" w:type="dxa"/>
            <w:tcBorders>
              <w:top w:val="single" w:color="000000" w:sz="4" w:space="0"/>
              <w:left w:val="single" w:color="000000" w:sz="4" w:space="0"/>
              <w:bottom w:val="single" w:color="000000" w:sz="4" w:space="0"/>
              <w:right w:val="single" w:color="000000" w:sz="4" w:space="0"/>
            </w:tcBorders>
            <w:vAlign w:val="center"/>
          </w:tcPr>
          <w:p w14:paraId="18B6CD4C">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c>
          <w:tcPr>
            <w:tcW w:w="1040" w:type="dxa"/>
            <w:tcBorders>
              <w:top w:val="single" w:color="000000" w:sz="4" w:space="0"/>
              <w:left w:val="single" w:color="000000" w:sz="4" w:space="0"/>
              <w:bottom w:val="single" w:color="000000" w:sz="4" w:space="0"/>
              <w:right w:val="single" w:color="000000" w:sz="4" w:space="0"/>
            </w:tcBorders>
            <w:vAlign w:val="center"/>
          </w:tcPr>
          <w:p w14:paraId="5BE0F4EF">
            <w:pPr>
              <w:widowControl w:val="0"/>
              <w:adjustRightInd w:val="0"/>
              <w:snapToGrid w:val="0"/>
              <w:spacing w:before="120" w:after="120" w:line="384" w:lineRule="auto"/>
              <w:ind w:firstLine="480" w:firstLineChars="200"/>
              <w:jc w:val="center"/>
              <w:rPr>
                <w:rFonts w:ascii="宋体" w:hAnsi="宋体" w:cs="宋体"/>
                <w:kern w:val="2"/>
                <w:sz w:val="24"/>
                <w:szCs w:val="24"/>
                <w:highlight w:val="none"/>
              </w:rPr>
            </w:pPr>
          </w:p>
        </w:tc>
      </w:tr>
    </w:tbl>
    <w:p w14:paraId="51C32DCA">
      <w:pPr>
        <w:rPr>
          <w:rFonts w:ascii="宋体" w:hAnsi="宋体" w:cs="宋体"/>
          <w:highlight w:val="none"/>
        </w:rPr>
      </w:pPr>
    </w:p>
    <w:p w14:paraId="5BCFF0D6">
      <w:pPr>
        <w:pStyle w:val="15"/>
        <w:rPr>
          <w:rFonts w:ascii="宋体" w:hAnsi="宋体" w:cs="宋体"/>
          <w:highlight w:val="none"/>
        </w:rPr>
      </w:pPr>
    </w:p>
    <w:p w14:paraId="67CA8E51">
      <w:pPr>
        <w:rPr>
          <w:rFonts w:ascii="宋体" w:hAnsi="宋体" w:cs="宋体"/>
          <w:b/>
          <w:sz w:val="32"/>
          <w:szCs w:val="32"/>
          <w:highlight w:val="none"/>
        </w:rPr>
      </w:pPr>
      <w:r>
        <w:rPr>
          <w:rFonts w:hint="eastAsia" w:ascii="宋体" w:hAnsi="宋体" w:cs="宋体"/>
          <w:b/>
          <w:sz w:val="32"/>
          <w:szCs w:val="32"/>
          <w:highlight w:val="none"/>
        </w:rPr>
        <w:br w:type="page"/>
      </w:r>
    </w:p>
    <w:p w14:paraId="16EEBFD9">
      <w:pPr>
        <w:keepNext/>
        <w:keepLines/>
        <w:widowControl w:val="0"/>
        <w:tabs>
          <w:tab w:val="left" w:pos="-567"/>
        </w:tabs>
        <w:adjustRightInd w:val="0"/>
        <w:snapToGrid w:val="0"/>
        <w:spacing w:before="120" w:after="120" w:line="324" w:lineRule="auto"/>
        <w:jc w:val="center"/>
        <w:outlineLvl w:val="1"/>
        <w:rPr>
          <w:rFonts w:hint="eastAsia" w:ascii="宋体" w:hAnsi="宋体" w:cs="宋体"/>
          <w:b/>
          <w:sz w:val="32"/>
          <w:szCs w:val="32"/>
          <w:highlight w:val="none"/>
        </w:rPr>
      </w:pPr>
      <w:bookmarkStart w:id="823" w:name="_Toc89441296"/>
      <w:bookmarkStart w:id="824" w:name="_Toc24770"/>
      <w:bookmarkStart w:id="825" w:name="_Toc31260"/>
      <w:r>
        <w:rPr>
          <w:rFonts w:hint="eastAsia" w:ascii="宋体" w:hAnsi="宋体" w:cs="宋体"/>
          <w:b/>
          <w:sz w:val="32"/>
          <w:szCs w:val="32"/>
          <w:highlight w:val="none"/>
        </w:rPr>
        <w:t>附录C</w:t>
      </w:r>
      <w:r>
        <w:rPr>
          <w:rFonts w:hint="eastAsia" w:ascii="宋体" w:hAnsi="宋体" w:cs="宋体"/>
          <w:b/>
          <w:sz w:val="32"/>
          <w:szCs w:val="32"/>
          <w:highlight w:val="none"/>
          <w:lang w:val="en-US" w:eastAsia="zh-CN"/>
        </w:rPr>
        <w:t xml:space="preserve">  </w:t>
      </w:r>
      <w:r>
        <w:rPr>
          <w:rFonts w:hint="eastAsia" w:ascii="宋体" w:hAnsi="宋体" w:cs="宋体"/>
          <w:b/>
          <w:sz w:val="32"/>
          <w:szCs w:val="32"/>
          <w:highlight w:val="none"/>
        </w:rPr>
        <w:t>乙方提交成果文件一览表</w:t>
      </w:r>
      <w:bookmarkEnd w:id="823"/>
      <w:bookmarkEnd w:id="824"/>
      <w:bookmarkEnd w:id="825"/>
    </w:p>
    <w:p w14:paraId="2053CD9D">
      <w:pPr>
        <w:widowControl w:val="0"/>
        <w:adjustRightInd w:val="0"/>
        <w:snapToGrid w:val="0"/>
        <w:spacing w:line="360" w:lineRule="auto"/>
        <w:ind w:firstLine="199" w:firstLineChars="83"/>
        <w:jc w:val="both"/>
        <w:rPr>
          <w:rFonts w:ascii="宋体" w:hAnsi="宋体" w:cs="宋体"/>
          <w:kern w:val="2"/>
          <w:sz w:val="24"/>
          <w:szCs w:val="24"/>
          <w:highlight w:val="none"/>
        </w:rPr>
      </w:pPr>
    </w:p>
    <w:p w14:paraId="076CDF52">
      <w:pPr>
        <w:widowControl w:val="0"/>
        <w:adjustRightInd w:val="0"/>
        <w:snapToGrid w:val="0"/>
        <w:spacing w:line="360" w:lineRule="auto"/>
        <w:ind w:firstLine="199" w:firstLineChars="83"/>
        <w:jc w:val="both"/>
        <w:rPr>
          <w:rFonts w:ascii="宋体" w:hAnsi="宋体" w:cs="宋体"/>
          <w:kern w:val="2"/>
          <w:sz w:val="24"/>
          <w:szCs w:val="24"/>
          <w:highlight w:val="none"/>
          <w:u w:val="single"/>
        </w:rPr>
      </w:pPr>
      <w:r>
        <w:rPr>
          <w:rFonts w:hint="eastAsia" w:ascii="宋体" w:hAnsi="宋体" w:cs="宋体"/>
          <w:kern w:val="2"/>
          <w:sz w:val="24"/>
          <w:szCs w:val="24"/>
          <w:highlight w:val="none"/>
        </w:rPr>
        <w:t>甲方（全称）：</w:t>
      </w:r>
      <w:r>
        <w:rPr>
          <w:rFonts w:hint="eastAsia" w:ascii="宋体" w:hAnsi="宋体" w:cs="宋体"/>
          <w:kern w:val="2"/>
          <w:sz w:val="24"/>
          <w:szCs w:val="24"/>
          <w:highlight w:val="none"/>
          <w:lang w:val="en-US" w:eastAsia="zh-CN"/>
        </w:rPr>
        <w:t>华宁云能投新能源开发有限公司</w:t>
      </w:r>
    </w:p>
    <w:p w14:paraId="211E2C8A">
      <w:pPr>
        <w:widowControl w:val="0"/>
        <w:adjustRightInd w:val="0"/>
        <w:snapToGrid w:val="0"/>
        <w:spacing w:before="163" w:after="163" w:line="360" w:lineRule="auto"/>
        <w:ind w:firstLine="199" w:firstLineChars="83"/>
        <w:jc w:val="both"/>
        <w:rPr>
          <w:rFonts w:ascii="宋体" w:hAnsi="宋体" w:cs="宋体"/>
          <w:kern w:val="2"/>
          <w:sz w:val="24"/>
          <w:szCs w:val="24"/>
          <w:highlight w:val="none"/>
        </w:rPr>
      </w:pPr>
      <w:r>
        <w:rPr>
          <w:rFonts w:hint="eastAsia" w:ascii="宋体" w:hAnsi="宋体" w:cs="宋体"/>
          <w:kern w:val="2"/>
          <w:sz w:val="24"/>
          <w:szCs w:val="24"/>
          <w:highlight w:val="none"/>
        </w:rPr>
        <w:t>乙方（全称）：</w:t>
      </w:r>
    </w:p>
    <w:tbl>
      <w:tblPr>
        <w:tblStyle w:val="49"/>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8"/>
        <w:gridCol w:w="1948"/>
        <w:gridCol w:w="1875"/>
        <w:gridCol w:w="1580"/>
        <w:gridCol w:w="892"/>
        <w:gridCol w:w="1298"/>
      </w:tblGrid>
      <w:tr w14:paraId="143DD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Align w:val="center"/>
          </w:tcPr>
          <w:p w14:paraId="6E0E1D1C">
            <w:pPr>
              <w:spacing w:line="360" w:lineRule="auto"/>
              <w:jc w:val="center"/>
              <w:rPr>
                <w:rFonts w:ascii="宋体" w:hAnsi="宋体"/>
                <w:highlight w:val="none"/>
              </w:rPr>
            </w:pPr>
            <w:r>
              <w:rPr>
                <w:rFonts w:hint="eastAsia" w:ascii="宋体" w:hAnsi="宋体"/>
                <w:highlight w:val="none"/>
              </w:rPr>
              <w:t>服务阶段</w:t>
            </w:r>
          </w:p>
        </w:tc>
        <w:tc>
          <w:tcPr>
            <w:tcW w:w="1948" w:type="dxa"/>
            <w:tcBorders>
              <w:left w:val="nil"/>
            </w:tcBorders>
          </w:tcPr>
          <w:p w14:paraId="3636DD36">
            <w:pPr>
              <w:spacing w:line="360" w:lineRule="auto"/>
              <w:jc w:val="center"/>
              <w:rPr>
                <w:rFonts w:ascii="宋体" w:hAnsi="宋体"/>
                <w:highlight w:val="none"/>
              </w:rPr>
            </w:pPr>
            <w:r>
              <w:rPr>
                <w:rFonts w:hint="eastAsia" w:ascii="宋体" w:hAnsi="宋体"/>
                <w:highlight w:val="none"/>
              </w:rPr>
              <w:t>成果文件名称</w:t>
            </w:r>
          </w:p>
        </w:tc>
        <w:tc>
          <w:tcPr>
            <w:tcW w:w="1875" w:type="dxa"/>
            <w:tcBorders>
              <w:left w:val="nil"/>
            </w:tcBorders>
          </w:tcPr>
          <w:p w14:paraId="1805CB02">
            <w:pPr>
              <w:spacing w:line="360" w:lineRule="auto"/>
              <w:jc w:val="center"/>
              <w:rPr>
                <w:rFonts w:ascii="宋体" w:hAnsi="宋体"/>
                <w:highlight w:val="none"/>
              </w:rPr>
            </w:pPr>
            <w:r>
              <w:rPr>
                <w:rFonts w:hint="eastAsia" w:ascii="宋体" w:hAnsi="宋体"/>
                <w:highlight w:val="none"/>
              </w:rPr>
              <w:t>成果文件组成</w:t>
            </w:r>
          </w:p>
        </w:tc>
        <w:tc>
          <w:tcPr>
            <w:tcW w:w="1580" w:type="dxa"/>
            <w:tcBorders>
              <w:left w:val="nil"/>
            </w:tcBorders>
          </w:tcPr>
          <w:p w14:paraId="71ED0E8A">
            <w:pPr>
              <w:spacing w:line="360" w:lineRule="auto"/>
              <w:jc w:val="center"/>
              <w:rPr>
                <w:rFonts w:ascii="宋体" w:hAnsi="宋体"/>
                <w:highlight w:val="none"/>
              </w:rPr>
            </w:pPr>
            <w:r>
              <w:rPr>
                <w:rFonts w:hint="eastAsia" w:ascii="宋体" w:hAnsi="宋体"/>
                <w:highlight w:val="none"/>
              </w:rPr>
              <w:t>提交时间</w:t>
            </w:r>
          </w:p>
        </w:tc>
        <w:tc>
          <w:tcPr>
            <w:tcW w:w="892" w:type="dxa"/>
            <w:tcBorders>
              <w:left w:val="nil"/>
            </w:tcBorders>
          </w:tcPr>
          <w:p w14:paraId="3B66B59B">
            <w:pPr>
              <w:spacing w:line="360" w:lineRule="auto"/>
              <w:jc w:val="center"/>
              <w:rPr>
                <w:rFonts w:ascii="宋体" w:hAnsi="宋体"/>
                <w:highlight w:val="none"/>
              </w:rPr>
            </w:pPr>
            <w:r>
              <w:rPr>
                <w:rFonts w:hint="eastAsia" w:ascii="宋体" w:hAnsi="宋体"/>
                <w:highlight w:val="none"/>
              </w:rPr>
              <w:t>份数</w:t>
            </w:r>
          </w:p>
        </w:tc>
        <w:tc>
          <w:tcPr>
            <w:tcW w:w="1298" w:type="dxa"/>
            <w:tcBorders>
              <w:left w:val="nil"/>
            </w:tcBorders>
          </w:tcPr>
          <w:p w14:paraId="55DF91C5">
            <w:pPr>
              <w:spacing w:line="360" w:lineRule="auto"/>
              <w:jc w:val="center"/>
              <w:rPr>
                <w:rFonts w:ascii="宋体" w:hAnsi="宋体"/>
                <w:highlight w:val="none"/>
              </w:rPr>
            </w:pPr>
            <w:r>
              <w:rPr>
                <w:rFonts w:hint="eastAsia" w:ascii="宋体" w:hAnsi="宋体"/>
                <w:highlight w:val="none"/>
              </w:rPr>
              <w:t>质量标准</w:t>
            </w:r>
          </w:p>
        </w:tc>
      </w:tr>
      <w:tr w14:paraId="15532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restart"/>
            <w:tcBorders>
              <w:top w:val="nil"/>
            </w:tcBorders>
            <w:vAlign w:val="center"/>
          </w:tcPr>
          <w:p w14:paraId="09344402">
            <w:pPr>
              <w:spacing w:line="360" w:lineRule="auto"/>
              <w:jc w:val="center"/>
              <w:rPr>
                <w:rFonts w:ascii="宋体" w:hAnsi="宋体"/>
                <w:highlight w:val="none"/>
              </w:rPr>
            </w:pPr>
          </w:p>
        </w:tc>
        <w:tc>
          <w:tcPr>
            <w:tcW w:w="1948" w:type="dxa"/>
            <w:tcBorders>
              <w:left w:val="nil"/>
            </w:tcBorders>
          </w:tcPr>
          <w:p w14:paraId="5F7002C4">
            <w:pPr>
              <w:spacing w:line="360" w:lineRule="auto"/>
              <w:rPr>
                <w:rFonts w:ascii="宋体" w:hAnsi="宋体"/>
                <w:highlight w:val="none"/>
              </w:rPr>
            </w:pPr>
          </w:p>
        </w:tc>
        <w:tc>
          <w:tcPr>
            <w:tcW w:w="1875" w:type="dxa"/>
            <w:tcBorders>
              <w:left w:val="nil"/>
            </w:tcBorders>
          </w:tcPr>
          <w:p w14:paraId="0C2F9A72">
            <w:pPr>
              <w:spacing w:line="360" w:lineRule="auto"/>
              <w:rPr>
                <w:rFonts w:ascii="宋体" w:hAnsi="宋体"/>
                <w:highlight w:val="none"/>
              </w:rPr>
            </w:pPr>
          </w:p>
        </w:tc>
        <w:tc>
          <w:tcPr>
            <w:tcW w:w="1580" w:type="dxa"/>
            <w:tcBorders>
              <w:left w:val="nil"/>
            </w:tcBorders>
          </w:tcPr>
          <w:p w14:paraId="25B335CA">
            <w:pPr>
              <w:spacing w:line="360" w:lineRule="auto"/>
              <w:rPr>
                <w:rFonts w:ascii="宋体" w:hAnsi="宋体"/>
                <w:highlight w:val="none"/>
              </w:rPr>
            </w:pPr>
          </w:p>
        </w:tc>
        <w:tc>
          <w:tcPr>
            <w:tcW w:w="892" w:type="dxa"/>
            <w:tcBorders>
              <w:left w:val="nil"/>
            </w:tcBorders>
          </w:tcPr>
          <w:p w14:paraId="4CF29FDB">
            <w:pPr>
              <w:spacing w:line="360" w:lineRule="auto"/>
              <w:rPr>
                <w:rFonts w:ascii="宋体" w:hAnsi="宋体"/>
                <w:highlight w:val="none"/>
              </w:rPr>
            </w:pPr>
          </w:p>
        </w:tc>
        <w:tc>
          <w:tcPr>
            <w:tcW w:w="1298" w:type="dxa"/>
            <w:tcBorders>
              <w:left w:val="nil"/>
            </w:tcBorders>
          </w:tcPr>
          <w:p w14:paraId="60C2A5DE">
            <w:pPr>
              <w:spacing w:line="360" w:lineRule="auto"/>
              <w:rPr>
                <w:rFonts w:ascii="宋体" w:hAnsi="宋体"/>
                <w:highlight w:val="none"/>
              </w:rPr>
            </w:pPr>
          </w:p>
        </w:tc>
      </w:tr>
      <w:tr w14:paraId="257EF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vAlign w:val="center"/>
          </w:tcPr>
          <w:p w14:paraId="46F747A4">
            <w:pPr>
              <w:spacing w:line="360" w:lineRule="auto"/>
              <w:jc w:val="center"/>
              <w:rPr>
                <w:rFonts w:ascii="宋体" w:hAnsi="宋体"/>
                <w:highlight w:val="none"/>
              </w:rPr>
            </w:pPr>
          </w:p>
        </w:tc>
        <w:tc>
          <w:tcPr>
            <w:tcW w:w="1948" w:type="dxa"/>
            <w:tcBorders>
              <w:left w:val="nil"/>
            </w:tcBorders>
          </w:tcPr>
          <w:p w14:paraId="609FB487">
            <w:pPr>
              <w:spacing w:line="360" w:lineRule="auto"/>
              <w:rPr>
                <w:rFonts w:ascii="宋体" w:hAnsi="宋体"/>
                <w:highlight w:val="none"/>
              </w:rPr>
            </w:pPr>
          </w:p>
        </w:tc>
        <w:tc>
          <w:tcPr>
            <w:tcW w:w="1875" w:type="dxa"/>
            <w:tcBorders>
              <w:left w:val="nil"/>
            </w:tcBorders>
          </w:tcPr>
          <w:p w14:paraId="5C90B11F">
            <w:pPr>
              <w:spacing w:line="360" w:lineRule="auto"/>
              <w:rPr>
                <w:rFonts w:ascii="宋体" w:hAnsi="宋体"/>
                <w:highlight w:val="none"/>
              </w:rPr>
            </w:pPr>
          </w:p>
        </w:tc>
        <w:tc>
          <w:tcPr>
            <w:tcW w:w="1580" w:type="dxa"/>
            <w:tcBorders>
              <w:left w:val="nil"/>
            </w:tcBorders>
          </w:tcPr>
          <w:p w14:paraId="7C99B288">
            <w:pPr>
              <w:spacing w:line="360" w:lineRule="auto"/>
              <w:rPr>
                <w:rFonts w:ascii="宋体" w:hAnsi="宋体"/>
                <w:highlight w:val="none"/>
              </w:rPr>
            </w:pPr>
          </w:p>
        </w:tc>
        <w:tc>
          <w:tcPr>
            <w:tcW w:w="892" w:type="dxa"/>
            <w:tcBorders>
              <w:left w:val="nil"/>
            </w:tcBorders>
          </w:tcPr>
          <w:p w14:paraId="7C0F6B7A">
            <w:pPr>
              <w:spacing w:line="360" w:lineRule="auto"/>
              <w:rPr>
                <w:rFonts w:ascii="宋体" w:hAnsi="宋体"/>
                <w:highlight w:val="none"/>
              </w:rPr>
            </w:pPr>
          </w:p>
        </w:tc>
        <w:tc>
          <w:tcPr>
            <w:tcW w:w="1298" w:type="dxa"/>
            <w:tcBorders>
              <w:left w:val="nil"/>
            </w:tcBorders>
          </w:tcPr>
          <w:p w14:paraId="4B699DCB">
            <w:pPr>
              <w:spacing w:line="360" w:lineRule="auto"/>
              <w:rPr>
                <w:rFonts w:ascii="宋体" w:hAnsi="宋体"/>
                <w:highlight w:val="none"/>
              </w:rPr>
            </w:pPr>
          </w:p>
        </w:tc>
      </w:tr>
      <w:tr w14:paraId="5E6D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restart"/>
            <w:tcBorders>
              <w:top w:val="nil"/>
            </w:tcBorders>
            <w:vAlign w:val="center"/>
          </w:tcPr>
          <w:p w14:paraId="2486A47E">
            <w:pPr>
              <w:spacing w:line="360" w:lineRule="auto"/>
              <w:jc w:val="center"/>
              <w:rPr>
                <w:rFonts w:ascii="宋体" w:hAnsi="宋体"/>
                <w:highlight w:val="none"/>
              </w:rPr>
            </w:pPr>
          </w:p>
        </w:tc>
        <w:tc>
          <w:tcPr>
            <w:tcW w:w="1948" w:type="dxa"/>
            <w:tcBorders>
              <w:left w:val="nil"/>
            </w:tcBorders>
          </w:tcPr>
          <w:p w14:paraId="7F3B01CE">
            <w:pPr>
              <w:spacing w:line="360" w:lineRule="auto"/>
              <w:rPr>
                <w:rFonts w:ascii="宋体" w:hAnsi="宋体"/>
                <w:highlight w:val="none"/>
              </w:rPr>
            </w:pPr>
          </w:p>
        </w:tc>
        <w:tc>
          <w:tcPr>
            <w:tcW w:w="1875" w:type="dxa"/>
            <w:tcBorders>
              <w:left w:val="nil"/>
            </w:tcBorders>
          </w:tcPr>
          <w:p w14:paraId="33EC6EB1">
            <w:pPr>
              <w:spacing w:line="360" w:lineRule="auto"/>
              <w:rPr>
                <w:rFonts w:ascii="宋体" w:hAnsi="宋体"/>
                <w:highlight w:val="none"/>
              </w:rPr>
            </w:pPr>
          </w:p>
        </w:tc>
        <w:tc>
          <w:tcPr>
            <w:tcW w:w="1580" w:type="dxa"/>
            <w:tcBorders>
              <w:left w:val="nil"/>
            </w:tcBorders>
          </w:tcPr>
          <w:p w14:paraId="156F4250">
            <w:pPr>
              <w:spacing w:line="360" w:lineRule="auto"/>
              <w:rPr>
                <w:rFonts w:ascii="宋体" w:hAnsi="宋体"/>
                <w:highlight w:val="none"/>
              </w:rPr>
            </w:pPr>
          </w:p>
        </w:tc>
        <w:tc>
          <w:tcPr>
            <w:tcW w:w="892" w:type="dxa"/>
            <w:tcBorders>
              <w:left w:val="nil"/>
            </w:tcBorders>
          </w:tcPr>
          <w:p w14:paraId="64BF1718">
            <w:pPr>
              <w:spacing w:line="360" w:lineRule="auto"/>
              <w:rPr>
                <w:rFonts w:ascii="宋体" w:hAnsi="宋体"/>
                <w:highlight w:val="none"/>
              </w:rPr>
            </w:pPr>
          </w:p>
        </w:tc>
        <w:tc>
          <w:tcPr>
            <w:tcW w:w="1298" w:type="dxa"/>
            <w:tcBorders>
              <w:left w:val="nil"/>
            </w:tcBorders>
          </w:tcPr>
          <w:p w14:paraId="7E1A2B26">
            <w:pPr>
              <w:spacing w:line="360" w:lineRule="auto"/>
              <w:rPr>
                <w:rFonts w:ascii="宋体" w:hAnsi="宋体"/>
                <w:highlight w:val="none"/>
              </w:rPr>
            </w:pPr>
          </w:p>
        </w:tc>
      </w:tr>
      <w:tr w14:paraId="7F34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478" w:type="dxa"/>
            <w:vMerge w:val="continue"/>
            <w:vAlign w:val="center"/>
          </w:tcPr>
          <w:p w14:paraId="40D2484A">
            <w:pPr>
              <w:spacing w:line="360" w:lineRule="auto"/>
              <w:jc w:val="center"/>
              <w:rPr>
                <w:rFonts w:ascii="宋体" w:hAnsi="宋体"/>
                <w:highlight w:val="none"/>
              </w:rPr>
            </w:pPr>
          </w:p>
        </w:tc>
        <w:tc>
          <w:tcPr>
            <w:tcW w:w="1948" w:type="dxa"/>
            <w:tcBorders>
              <w:left w:val="nil"/>
            </w:tcBorders>
          </w:tcPr>
          <w:p w14:paraId="154AD9B0">
            <w:pPr>
              <w:spacing w:line="360" w:lineRule="auto"/>
              <w:rPr>
                <w:rFonts w:ascii="宋体" w:hAnsi="宋体"/>
                <w:highlight w:val="none"/>
              </w:rPr>
            </w:pPr>
          </w:p>
        </w:tc>
        <w:tc>
          <w:tcPr>
            <w:tcW w:w="1875" w:type="dxa"/>
            <w:tcBorders>
              <w:left w:val="nil"/>
            </w:tcBorders>
          </w:tcPr>
          <w:p w14:paraId="1E8E11CF">
            <w:pPr>
              <w:spacing w:line="360" w:lineRule="auto"/>
              <w:rPr>
                <w:rFonts w:ascii="宋体" w:hAnsi="宋体"/>
                <w:highlight w:val="none"/>
              </w:rPr>
            </w:pPr>
          </w:p>
        </w:tc>
        <w:tc>
          <w:tcPr>
            <w:tcW w:w="1580" w:type="dxa"/>
            <w:tcBorders>
              <w:left w:val="nil"/>
            </w:tcBorders>
          </w:tcPr>
          <w:p w14:paraId="05EE2537">
            <w:pPr>
              <w:spacing w:line="360" w:lineRule="auto"/>
              <w:rPr>
                <w:rFonts w:ascii="宋体" w:hAnsi="宋体"/>
                <w:highlight w:val="none"/>
              </w:rPr>
            </w:pPr>
          </w:p>
        </w:tc>
        <w:tc>
          <w:tcPr>
            <w:tcW w:w="892" w:type="dxa"/>
            <w:tcBorders>
              <w:left w:val="nil"/>
            </w:tcBorders>
          </w:tcPr>
          <w:p w14:paraId="1BD1BC2D">
            <w:pPr>
              <w:spacing w:line="360" w:lineRule="auto"/>
              <w:rPr>
                <w:rFonts w:ascii="宋体" w:hAnsi="宋体"/>
                <w:highlight w:val="none"/>
              </w:rPr>
            </w:pPr>
          </w:p>
        </w:tc>
        <w:tc>
          <w:tcPr>
            <w:tcW w:w="1298" w:type="dxa"/>
            <w:tcBorders>
              <w:left w:val="nil"/>
            </w:tcBorders>
          </w:tcPr>
          <w:p w14:paraId="6C8AC1B6">
            <w:pPr>
              <w:spacing w:line="360" w:lineRule="auto"/>
              <w:rPr>
                <w:rFonts w:ascii="宋体" w:hAnsi="宋体"/>
                <w:highlight w:val="none"/>
              </w:rPr>
            </w:pPr>
          </w:p>
        </w:tc>
      </w:tr>
      <w:tr w14:paraId="7C81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vAlign w:val="center"/>
          </w:tcPr>
          <w:p w14:paraId="48168463">
            <w:pPr>
              <w:spacing w:line="360" w:lineRule="auto"/>
              <w:jc w:val="center"/>
              <w:rPr>
                <w:rFonts w:ascii="宋体" w:hAnsi="宋体"/>
                <w:highlight w:val="none"/>
              </w:rPr>
            </w:pPr>
          </w:p>
        </w:tc>
        <w:tc>
          <w:tcPr>
            <w:tcW w:w="1948" w:type="dxa"/>
            <w:tcBorders>
              <w:left w:val="nil"/>
            </w:tcBorders>
          </w:tcPr>
          <w:p w14:paraId="5CCAFC69">
            <w:pPr>
              <w:spacing w:line="360" w:lineRule="auto"/>
              <w:rPr>
                <w:rFonts w:ascii="宋体" w:hAnsi="宋体"/>
                <w:highlight w:val="none"/>
              </w:rPr>
            </w:pPr>
          </w:p>
        </w:tc>
        <w:tc>
          <w:tcPr>
            <w:tcW w:w="1875" w:type="dxa"/>
            <w:tcBorders>
              <w:left w:val="nil"/>
            </w:tcBorders>
          </w:tcPr>
          <w:p w14:paraId="3E591D96">
            <w:pPr>
              <w:spacing w:line="360" w:lineRule="auto"/>
              <w:rPr>
                <w:rFonts w:ascii="宋体" w:hAnsi="宋体"/>
                <w:highlight w:val="none"/>
              </w:rPr>
            </w:pPr>
          </w:p>
        </w:tc>
        <w:tc>
          <w:tcPr>
            <w:tcW w:w="1580" w:type="dxa"/>
            <w:tcBorders>
              <w:left w:val="nil"/>
            </w:tcBorders>
          </w:tcPr>
          <w:p w14:paraId="4CB91CF3">
            <w:pPr>
              <w:spacing w:line="360" w:lineRule="auto"/>
              <w:rPr>
                <w:rFonts w:ascii="宋体" w:hAnsi="宋体"/>
                <w:highlight w:val="none"/>
              </w:rPr>
            </w:pPr>
          </w:p>
        </w:tc>
        <w:tc>
          <w:tcPr>
            <w:tcW w:w="892" w:type="dxa"/>
            <w:tcBorders>
              <w:left w:val="nil"/>
            </w:tcBorders>
          </w:tcPr>
          <w:p w14:paraId="45196D8F">
            <w:pPr>
              <w:spacing w:line="360" w:lineRule="auto"/>
              <w:rPr>
                <w:rFonts w:ascii="宋体" w:hAnsi="宋体"/>
                <w:highlight w:val="none"/>
              </w:rPr>
            </w:pPr>
          </w:p>
        </w:tc>
        <w:tc>
          <w:tcPr>
            <w:tcW w:w="1298" w:type="dxa"/>
            <w:tcBorders>
              <w:left w:val="nil"/>
            </w:tcBorders>
          </w:tcPr>
          <w:p w14:paraId="29B369E5">
            <w:pPr>
              <w:spacing w:line="360" w:lineRule="auto"/>
              <w:rPr>
                <w:rFonts w:ascii="宋体" w:hAnsi="宋体"/>
                <w:highlight w:val="none"/>
              </w:rPr>
            </w:pPr>
          </w:p>
        </w:tc>
      </w:tr>
      <w:tr w14:paraId="31C6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vAlign w:val="center"/>
          </w:tcPr>
          <w:p w14:paraId="6F2CA6B0">
            <w:pPr>
              <w:spacing w:line="360" w:lineRule="auto"/>
              <w:jc w:val="center"/>
              <w:rPr>
                <w:rFonts w:ascii="宋体" w:hAnsi="宋体"/>
                <w:highlight w:val="none"/>
              </w:rPr>
            </w:pPr>
          </w:p>
        </w:tc>
        <w:tc>
          <w:tcPr>
            <w:tcW w:w="1948" w:type="dxa"/>
            <w:tcBorders>
              <w:left w:val="nil"/>
            </w:tcBorders>
          </w:tcPr>
          <w:p w14:paraId="16F295F7">
            <w:pPr>
              <w:spacing w:line="360" w:lineRule="auto"/>
              <w:rPr>
                <w:rFonts w:ascii="宋体" w:hAnsi="宋体"/>
                <w:highlight w:val="none"/>
              </w:rPr>
            </w:pPr>
          </w:p>
        </w:tc>
        <w:tc>
          <w:tcPr>
            <w:tcW w:w="1875" w:type="dxa"/>
            <w:tcBorders>
              <w:left w:val="nil"/>
            </w:tcBorders>
          </w:tcPr>
          <w:p w14:paraId="51AC07B7">
            <w:pPr>
              <w:spacing w:line="360" w:lineRule="auto"/>
              <w:rPr>
                <w:rFonts w:ascii="宋体" w:hAnsi="宋体"/>
                <w:highlight w:val="none"/>
              </w:rPr>
            </w:pPr>
          </w:p>
        </w:tc>
        <w:tc>
          <w:tcPr>
            <w:tcW w:w="1580" w:type="dxa"/>
            <w:tcBorders>
              <w:left w:val="nil"/>
            </w:tcBorders>
          </w:tcPr>
          <w:p w14:paraId="7354A1E3">
            <w:pPr>
              <w:spacing w:line="360" w:lineRule="auto"/>
              <w:rPr>
                <w:rFonts w:ascii="宋体" w:hAnsi="宋体"/>
                <w:highlight w:val="none"/>
              </w:rPr>
            </w:pPr>
          </w:p>
        </w:tc>
        <w:tc>
          <w:tcPr>
            <w:tcW w:w="892" w:type="dxa"/>
            <w:tcBorders>
              <w:left w:val="nil"/>
            </w:tcBorders>
          </w:tcPr>
          <w:p w14:paraId="164F86E8">
            <w:pPr>
              <w:spacing w:line="360" w:lineRule="auto"/>
              <w:rPr>
                <w:rFonts w:ascii="宋体" w:hAnsi="宋体"/>
                <w:highlight w:val="none"/>
              </w:rPr>
            </w:pPr>
          </w:p>
        </w:tc>
        <w:tc>
          <w:tcPr>
            <w:tcW w:w="1298" w:type="dxa"/>
            <w:tcBorders>
              <w:left w:val="nil"/>
            </w:tcBorders>
          </w:tcPr>
          <w:p w14:paraId="1A7A07FA">
            <w:pPr>
              <w:spacing w:line="360" w:lineRule="auto"/>
              <w:rPr>
                <w:rFonts w:ascii="宋体" w:hAnsi="宋体"/>
                <w:highlight w:val="none"/>
              </w:rPr>
            </w:pPr>
          </w:p>
        </w:tc>
      </w:tr>
      <w:tr w14:paraId="7C06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vAlign w:val="center"/>
          </w:tcPr>
          <w:p w14:paraId="63CF5CA2">
            <w:pPr>
              <w:spacing w:line="360" w:lineRule="auto"/>
              <w:jc w:val="center"/>
              <w:rPr>
                <w:rFonts w:ascii="宋体" w:hAnsi="宋体"/>
                <w:highlight w:val="none"/>
              </w:rPr>
            </w:pPr>
          </w:p>
        </w:tc>
        <w:tc>
          <w:tcPr>
            <w:tcW w:w="1948" w:type="dxa"/>
            <w:tcBorders>
              <w:left w:val="nil"/>
            </w:tcBorders>
          </w:tcPr>
          <w:p w14:paraId="6F5C8752">
            <w:pPr>
              <w:spacing w:line="360" w:lineRule="auto"/>
              <w:rPr>
                <w:rFonts w:ascii="宋体" w:hAnsi="宋体"/>
                <w:highlight w:val="none"/>
              </w:rPr>
            </w:pPr>
          </w:p>
        </w:tc>
        <w:tc>
          <w:tcPr>
            <w:tcW w:w="1875" w:type="dxa"/>
            <w:tcBorders>
              <w:left w:val="nil"/>
            </w:tcBorders>
          </w:tcPr>
          <w:p w14:paraId="7863E3AE">
            <w:pPr>
              <w:spacing w:line="360" w:lineRule="auto"/>
              <w:rPr>
                <w:rFonts w:ascii="宋体" w:hAnsi="宋体"/>
                <w:highlight w:val="none"/>
              </w:rPr>
            </w:pPr>
          </w:p>
        </w:tc>
        <w:tc>
          <w:tcPr>
            <w:tcW w:w="1580" w:type="dxa"/>
            <w:tcBorders>
              <w:left w:val="nil"/>
            </w:tcBorders>
          </w:tcPr>
          <w:p w14:paraId="1A136654">
            <w:pPr>
              <w:spacing w:line="360" w:lineRule="auto"/>
              <w:rPr>
                <w:rFonts w:ascii="宋体" w:hAnsi="宋体"/>
                <w:highlight w:val="none"/>
              </w:rPr>
            </w:pPr>
          </w:p>
        </w:tc>
        <w:tc>
          <w:tcPr>
            <w:tcW w:w="892" w:type="dxa"/>
            <w:tcBorders>
              <w:left w:val="nil"/>
            </w:tcBorders>
          </w:tcPr>
          <w:p w14:paraId="40C759A6">
            <w:pPr>
              <w:spacing w:line="360" w:lineRule="auto"/>
              <w:rPr>
                <w:rFonts w:ascii="宋体" w:hAnsi="宋体"/>
                <w:highlight w:val="none"/>
              </w:rPr>
            </w:pPr>
          </w:p>
        </w:tc>
        <w:tc>
          <w:tcPr>
            <w:tcW w:w="1298" w:type="dxa"/>
            <w:tcBorders>
              <w:left w:val="nil"/>
            </w:tcBorders>
          </w:tcPr>
          <w:p w14:paraId="3ABF771E">
            <w:pPr>
              <w:spacing w:line="360" w:lineRule="auto"/>
              <w:rPr>
                <w:rFonts w:ascii="宋体" w:hAnsi="宋体"/>
                <w:highlight w:val="none"/>
              </w:rPr>
            </w:pPr>
          </w:p>
        </w:tc>
      </w:tr>
      <w:tr w14:paraId="4E46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restart"/>
            <w:tcBorders>
              <w:top w:val="nil"/>
            </w:tcBorders>
            <w:vAlign w:val="center"/>
          </w:tcPr>
          <w:p w14:paraId="5B965AB9">
            <w:pPr>
              <w:spacing w:line="360" w:lineRule="auto"/>
              <w:jc w:val="center"/>
              <w:rPr>
                <w:rFonts w:ascii="宋体" w:hAnsi="宋体"/>
                <w:highlight w:val="none"/>
              </w:rPr>
            </w:pPr>
          </w:p>
        </w:tc>
        <w:tc>
          <w:tcPr>
            <w:tcW w:w="1948" w:type="dxa"/>
            <w:tcBorders>
              <w:left w:val="nil"/>
            </w:tcBorders>
          </w:tcPr>
          <w:p w14:paraId="6BF36164">
            <w:pPr>
              <w:spacing w:line="360" w:lineRule="auto"/>
              <w:rPr>
                <w:rFonts w:ascii="宋体" w:hAnsi="宋体"/>
                <w:highlight w:val="none"/>
              </w:rPr>
            </w:pPr>
          </w:p>
        </w:tc>
        <w:tc>
          <w:tcPr>
            <w:tcW w:w="1875" w:type="dxa"/>
            <w:tcBorders>
              <w:left w:val="nil"/>
            </w:tcBorders>
          </w:tcPr>
          <w:p w14:paraId="7DAC7067">
            <w:pPr>
              <w:spacing w:line="360" w:lineRule="auto"/>
              <w:rPr>
                <w:rFonts w:ascii="宋体" w:hAnsi="宋体"/>
                <w:highlight w:val="none"/>
              </w:rPr>
            </w:pPr>
          </w:p>
        </w:tc>
        <w:tc>
          <w:tcPr>
            <w:tcW w:w="1580" w:type="dxa"/>
            <w:tcBorders>
              <w:left w:val="nil"/>
            </w:tcBorders>
          </w:tcPr>
          <w:p w14:paraId="02EBDDBD">
            <w:pPr>
              <w:spacing w:line="360" w:lineRule="auto"/>
              <w:rPr>
                <w:rFonts w:ascii="宋体" w:hAnsi="宋体"/>
                <w:highlight w:val="none"/>
              </w:rPr>
            </w:pPr>
          </w:p>
        </w:tc>
        <w:tc>
          <w:tcPr>
            <w:tcW w:w="892" w:type="dxa"/>
            <w:tcBorders>
              <w:left w:val="nil"/>
            </w:tcBorders>
          </w:tcPr>
          <w:p w14:paraId="6C522219">
            <w:pPr>
              <w:spacing w:line="360" w:lineRule="auto"/>
              <w:rPr>
                <w:rFonts w:ascii="宋体" w:hAnsi="宋体"/>
                <w:highlight w:val="none"/>
              </w:rPr>
            </w:pPr>
          </w:p>
        </w:tc>
        <w:tc>
          <w:tcPr>
            <w:tcW w:w="1298" w:type="dxa"/>
            <w:tcBorders>
              <w:left w:val="nil"/>
            </w:tcBorders>
          </w:tcPr>
          <w:p w14:paraId="37FF001B">
            <w:pPr>
              <w:spacing w:line="360" w:lineRule="auto"/>
              <w:rPr>
                <w:rFonts w:ascii="宋体" w:hAnsi="宋体"/>
                <w:highlight w:val="none"/>
              </w:rPr>
            </w:pPr>
          </w:p>
        </w:tc>
      </w:tr>
      <w:tr w14:paraId="2EDB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11E4E688">
            <w:pPr>
              <w:spacing w:line="360" w:lineRule="auto"/>
              <w:jc w:val="center"/>
              <w:rPr>
                <w:rFonts w:ascii="宋体" w:hAnsi="宋体"/>
                <w:highlight w:val="none"/>
              </w:rPr>
            </w:pPr>
          </w:p>
        </w:tc>
        <w:tc>
          <w:tcPr>
            <w:tcW w:w="1948" w:type="dxa"/>
            <w:tcBorders>
              <w:left w:val="nil"/>
            </w:tcBorders>
          </w:tcPr>
          <w:p w14:paraId="5EED3EA6">
            <w:pPr>
              <w:spacing w:line="360" w:lineRule="auto"/>
              <w:jc w:val="center"/>
              <w:rPr>
                <w:rFonts w:ascii="宋体" w:hAnsi="宋体"/>
                <w:highlight w:val="none"/>
              </w:rPr>
            </w:pPr>
          </w:p>
        </w:tc>
        <w:tc>
          <w:tcPr>
            <w:tcW w:w="1875" w:type="dxa"/>
            <w:tcBorders>
              <w:left w:val="nil"/>
            </w:tcBorders>
          </w:tcPr>
          <w:p w14:paraId="4C9288B4">
            <w:pPr>
              <w:spacing w:line="360" w:lineRule="auto"/>
              <w:jc w:val="center"/>
              <w:rPr>
                <w:rFonts w:ascii="宋体" w:hAnsi="宋体"/>
                <w:highlight w:val="none"/>
              </w:rPr>
            </w:pPr>
          </w:p>
        </w:tc>
        <w:tc>
          <w:tcPr>
            <w:tcW w:w="1580" w:type="dxa"/>
            <w:tcBorders>
              <w:left w:val="nil"/>
            </w:tcBorders>
          </w:tcPr>
          <w:p w14:paraId="1B90776E">
            <w:pPr>
              <w:spacing w:line="360" w:lineRule="auto"/>
              <w:rPr>
                <w:rFonts w:ascii="宋体" w:hAnsi="宋体"/>
                <w:highlight w:val="none"/>
              </w:rPr>
            </w:pPr>
          </w:p>
        </w:tc>
        <w:tc>
          <w:tcPr>
            <w:tcW w:w="892" w:type="dxa"/>
            <w:tcBorders>
              <w:left w:val="nil"/>
            </w:tcBorders>
          </w:tcPr>
          <w:p w14:paraId="74E15E72">
            <w:pPr>
              <w:spacing w:line="360" w:lineRule="auto"/>
              <w:rPr>
                <w:rFonts w:ascii="宋体" w:hAnsi="宋体"/>
                <w:highlight w:val="none"/>
              </w:rPr>
            </w:pPr>
          </w:p>
        </w:tc>
        <w:tc>
          <w:tcPr>
            <w:tcW w:w="1298" w:type="dxa"/>
            <w:tcBorders>
              <w:left w:val="nil"/>
            </w:tcBorders>
          </w:tcPr>
          <w:p w14:paraId="197266B0">
            <w:pPr>
              <w:spacing w:line="360" w:lineRule="auto"/>
              <w:rPr>
                <w:rFonts w:ascii="宋体" w:hAnsi="宋体"/>
                <w:highlight w:val="none"/>
              </w:rPr>
            </w:pPr>
          </w:p>
        </w:tc>
      </w:tr>
      <w:tr w14:paraId="34BC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576C10E0">
            <w:pPr>
              <w:spacing w:line="360" w:lineRule="auto"/>
              <w:jc w:val="center"/>
              <w:rPr>
                <w:rFonts w:ascii="宋体" w:hAnsi="宋体"/>
                <w:highlight w:val="none"/>
              </w:rPr>
            </w:pPr>
          </w:p>
        </w:tc>
        <w:tc>
          <w:tcPr>
            <w:tcW w:w="1948" w:type="dxa"/>
            <w:tcBorders>
              <w:left w:val="nil"/>
            </w:tcBorders>
          </w:tcPr>
          <w:p w14:paraId="209659EB">
            <w:pPr>
              <w:spacing w:line="360" w:lineRule="auto"/>
              <w:rPr>
                <w:rFonts w:ascii="宋体" w:hAnsi="宋体"/>
                <w:highlight w:val="none"/>
              </w:rPr>
            </w:pPr>
          </w:p>
        </w:tc>
        <w:tc>
          <w:tcPr>
            <w:tcW w:w="1875" w:type="dxa"/>
            <w:tcBorders>
              <w:left w:val="nil"/>
            </w:tcBorders>
          </w:tcPr>
          <w:p w14:paraId="746C2A6C">
            <w:pPr>
              <w:spacing w:line="360" w:lineRule="auto"/>
              <w:rPr>
                <w:rFonts w:ascii="宋体" w:hAnsi="宋体"/>
                <w:highlight w:val="none"/>
              </w:rPr>
            </w:pPr>
          </w:p>
        </w:tc>
        <w:tc>
          <w:tcPr>
            <w:tcW w:w="1580" w:type="dxa"/>
            <w:tcBorders>
              <w:left w:val="nil"/>
            </w:tcBorders>
          </w:tcPr>
          <w:p w14:paraId="3060B6F7">
            <w:pPr>
              <w:spacing w:line="360" w:lineRule="auto"/>
              <w:rPr>
                <w:rFonts w:ascii="宋体" w:hAnsi="宋体"/>
                <w:highlight w:val="none"/>
              </w:rPr>
            </w:pPr>
          </w:p>
        </w:tc>
        <w:tc>
          <w:tcPr>
            <w:tcW w:w="892" w:type="dxa"/>
            <w:tcBorders>
              <w:left w:val="nil"/>
            </w:tcBorders>
          </w:tcPr>
          <w:p w14:paraId="7506D093">
            <w:pPr>
              <w:spacing w:line="360" w:lineRule="auto"/>
              <w:rPr>
                <w:rFonts w:ascii="宋体" w:hAnsi="宋体"/>
                <w:highlight w:val="none"/>
              </w:rPr>
            </w:pPr>
          </w:p>
        </w:tc>
        <w:tc>
          <w:tcPr>
            <w:tcW w:w="1298" w:type="dxa"/>
            <w:tcBorders>
              <w:left w:val="nil"/>
            </w:tcBorders>
          </w:tcPr>
          <w:p w14:paraId="2FD2163F">
            <w:pPr>
              <w:spacing w:line="360" w:lineRule="auto"/>
              <w:rPr>
                <w:rFonts w:ascii="宋体" w:hAnsi="宋体"/>
                <w:highlight w:val="none"/>
              </w:rPr>
            </w:pPr>
          </w:p>
        </w:tc>
      </w:tr>
      <w:tr w14:paraId="5424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3D9A5A2A">
            <w:pPr>
              <w:spacing w:line="360" w:lineRule="auto"/>
              <w:jc w:val="center"/>
              <w:rPr>
                <w:rFonts w:ascii="宋体" w:hAnsi="宋体"/>
                <w:highlight w:val="none"/>
              </w:rPr>
            </w:pPr>
          </w:p>
        </w:tc>
        <w:tc>
          <w:tcPr>
            <w:tcW w:w="1948" w:type="dxa"/>
            <w:tcBorders>
              <w:left w:val="nil"/>
            </w:tcBorders>
          </w:tcPr>
          <w:p w14:paraId="5AF49932">
            <w:pPr>
              <w:spacing w:line="360" w:lineRule="auto"/>
              <w:rPr>
                <w:rFonts w:ascii="宋体" w:hAnsi="宋体"/>
                <w:highlight w:val="none"/>
              </w:rPr>
            </w:pPr>
          </w:p>
        </w:tc>
        <w:tc>
          <w:tcPr>
            <w:tcW w:w="1875" w:type="dxa"/>
            <w:tcBorders>
              <w:left w:val="nil"/>
            </w:tcBorders>
          </w:tcPr>
          <w:p w14:paraId="1E0FF4AD">
            <w:pPr>
              <w:spacing w:line="360" w:lineRule="auto"/>
              <w:rPr>
                <w:rFonts w:ascii="宋体" w:hAnsi="宋体"/>
                <w:highlight w:val="none"/>
              </w:rPr>
            </w:pPr>
          </w:p>
        </w:tc>
        <w:tc>
          <w:tcPr>
            <w:tcW w:w="1580" w:type="dxa"/>
            <w:tcBorders>
              <w:left w:val="nil"/>
            </w:tcBorders>
          </w:tcPr>
          <w:p w14:paraId="650BF79A">
            <w:pPr>
              <w:spacing w:line="360" w:lineRule="auto"/>
              <w:rPr>
                <w:rFonts w:ascii="宋体" w:hAnsi="宋体"/>
                <w:highlight w:val="none"/>
              </w:rPr>
            </w:pPr>
          </w:p>
        </w:tc>
        <w:tc>
          <w:tcPr>
            <w:tcW w:w="892" w:type="dxa"/>
            <w:tcBorders>
              <w:left w:val="nil"/>
            </w:tcBorders>
          </w:tcPr>
          <w:p w14:paraId="790AF704">
            <w:pPr>
              <w:spacing w:line="360" w:lineRule="auto"/>
              <w:rPr>
                <w:rFonts w:ascii="宋体" w:hAnsi="宋体"/>
                <w:highlight w:val="none"/>
              </w:rPr>
            </w:pPr>
          </w:p>
        </w:tc>
        <w:tc>
          <w:tcPr>
            <w:tcW w:w="1298" w:type="dxa"/>
            <w:tcBorders>
              <w:left w:val="nil"/>
            </w:tcBorders>
          </w:tcPr>
          <w:p w14:paraId="22CCFDAF">
            <w:pPr>
              <w:spacing w:line="360" w:lineRule="auto"/>
              <w:rPr>
                <w:rFonts w:ascii="宋体" w:hAnsi="宋体"/>
                <w:highlight w:val="none"/>
              </w:rPr>
            </w:pPr>
          </w:p>
        </w:tc>
      </w:tr>
      <w:tr w14:paraId="54FB9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67298209">
            <w:pPr>
              <w:spacing w:line="360" w:lineRule="auto"/>
              <w:jc w:val="center"/>
              <w:rPr>
                <w:rFonts w:ascii="宋体" w:hAnsi="宋体"/>
                <w:highlight w:val="none"/>
              </w:rPr>
            </w:pPr>
          </w:p>
        </w:tc>
        <w:tc>
          <w:tcPr>
            <w:tcW w:w="1948" w:type="dxa"/>
            <w:tcBorders>
              <w:left w:val="nil"/>
            </w:tcBorders>
          </w:tcPr>
          <w:p w14:paraId="0CB9467C">
            <w:pPr>
              <w:spacing w:line="360" w:lineRule="auto"/>
              <w:rPr>
                <w:rFonts w:ascii="宋体" w:hAnsi="宋体"/>
                <w:highlight w:val="none"/>
              </w:rPr>
            </w:pPr>
          </w:p>
        </w:tc>
        <w:tc>
          <w:tcPr>
            <w:tcW w:w="1875" w:type="dxa"/>
            <w:tcBorders>
              <w:left w:val="nil"/>
            </w:tcBorders>
          </w:tcPr>
          <w:p w14:paraId="13BAD042">
            <w:pPr>
              <w:spacing w:line="360" w:lineRule="auto"/>
              <w:rPr>
                <w:rFonts w:ascii="宋体" w:hAnsi="宋体"/>
                <w:highlight w:val="none"/>
              </w:rPr>
            </w:pPr>
          </w:p>
        </w:tc>
        <w:tc>
          <w:tcPr>
            <w:tcW w:w="1580" w:type="dxa"/>
            <w:tcBorders>
              <w:left w:val="nil"/>
            </w:tcBorders>
          </w:tcPr>
          <w:p w14:paraId="7F7053FD">
            <w:pPr>
              <w:spacing w:line="360" w:lineRule="auto"/>
              <w:rPr>
                <w:rFonts w:ascii="宋体" w:hAnsi="宋体"/>
                <w:highlight w:val="none"/>
              </w:rPr>
            </w:pPr>
          </w:p>
        </w:tc>
        <w:tc>
          <w:tcPr>
            <w:tcW w:w="892" w:type="dxa"/>
            <w:tcBorders>
              <w:left w:val="nil"/>
            </w:tcBorders>
          </w:tcPr>
          <w:p w14:paraId="3E453C08">
            <w:pPr>
              <w:spacing w:line="360" w:lineRule="auto"/>
              <w:rPr>
                <w:rFonts w:ascii="宋体" w:hAnsi="宋体"/>
                <w:highlight w:val="none"/>
              </w:rPr>
            </w:pPr>
          </w:p>
        </w:tc>
        <w:tc>
          <w:tcPr>
            <w:tcW w:w="1298" w:type="dxa"/>
            <w:tcBorders>
              <w:left w:val="nil"/>
            </w:tcBorders>
          </w:tcPr>
          <w:p w14:paraId="0F795F93">
            <w:pPr>
              <w:spacing w:line="360" w:lineRule="auto"/>
              <w:rPr>
                <w:rFonts w:ascii="宋体" w:hAnsi="宋体"/>
                <w:highlight w:val="none"/>
              </w:rPr>
            </w:pPr>
          </w:p>
        </w:tc>
      </w:tr>
      <w:tr w14:paraId="24951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4EF53922">
            <w:pPr>
              <w:spacing w:line="360" w:lineRule="auto"/>
              <w:jc w:val="center"/>
              <w:rPr>
                <w:rFonts w:ascii="宋体" w:hAnsi="宋体"/>
                <w:highlight w:val="none"/>
              </w:rPr>
            </w:pPr>
          </w:p>
        </w:tc>
        <w:tc>
          <w:tcPr>
            <w:tcW w:w="1948" w:type="dxa"/>
            <w:tcBorders>
              <w:left w:val="nil"/>
            </w:tcBorders>
          </w:tcPr>
          <w:p w14:paraId="4F42A280">
            <w:pPr>
              <w:spacing w:line="360" w:lineRule="auto"/>
              <w:rPr>
                <w:rFonts w:ascii="宋体" w:hAnsi="宋体"/>
                <w:highlight w:val="none"/>
              </w:rPr>
            </w:pPr>
          </w:p>
        </w:tc>
        <w:tc>
          <w:tcPr>
            <w:tcW w:w="1875" w:type="dxa"/>
            <w:tcBorders>
              <w:left w:val="nil"/>
            </w:tcBorders>
          </w:tcPr>
          <w:p w14:paraId="387532A1">
            <w:pPr>
              <w:spacing w:line="360" w:lineRule="auto"/>
              <w:rPr>
                <w:rFonts w:ascii="宋体" w:hAnsi="宋体"/>
                <w:highlight w:val="none"/>
              </w:rPr>
            </w:pPr>
          </w:p>
        </w:tc>
        <w:tc>
          <w:tcPr>
            <w:tcW w:w="1580" w:type="dxa"/>
            <w:tcBorders>
              <w:left w:val="nil"/>
            </w:tcBorders>
          </w:tcPr>
          <w:p w14:paraId="0F25B6C1">
            <w:pPr>
              <w:spacing w:line="360" w:lineRule="auto"/>
              <w:rPr>
                <w:rFonts w:ascii="宋体" w:hAnsi="宋体"/>
                <w:highlight w:val="none"/>
              </w:rPr>
            </w:pPr>
          </w:p>
        </w:tc>
        <w:tc>
          <w:tcPr>
            <w:tcW w:w="892" w:type="dxa"/>
            <w:tcBorders>
              <w:left w:val="nil"/>
            </w:tcBorders>
          </w:tcPr>
          <w:p w14:paraId="13F47F4B">
            <w:pPr>
              <w:spacing w:line="360" w:lineRule="auto"/>
              <w:rPr>
                <w:rFonts w:ascii="宋体" w:hAnsi="宋体"/>
                <w:highlight w:val="none"/>
              </w:rPr>
            </w:pPr>
          </w:p>
        </w:tc>
        <w:tc>
          <w:tcPr>
            <w:tcW w:w="1298" w:type="dxa"/>
            <w:tcBorders>
              <w:left w:val="nil"/>
            </w:tcBorders>
          </w:tcPr>
          <w:p w14:paraId="5EE44A28">
            <w:pPr>
              <w:spacing w:line="360" w:lineRule="auto"/>
              <w:rPr>
                <w:rFonts w:ascii="宋体" w:hAnsi="宋体"/>
                <w:highlight w:val="none"/>
              </w:rPr>
            </w:pPr>
          </w:p>
        </w:tc>
      </w:tr>
      <w:tr w14:paraId="4E02F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3A7DF9A3">
            <w:pPr>
              <w:spacing w:line="360" w:lineRule="auto"/>
              <w:jc w:val="center"/>
              <w:rPr>
                <w:rFonts w:ascii="宋体" w:hAnsi="宋体"/>
                <w:highlight w:val="none"/>
              </w:rPr>
            </w:pPr>
          </w:p>
        </w:tc>
        <w:tc>
          <w:tcPr>
            <w:tcW w:w="1948" w:type="dxa"/>
            <w:tcBorders>
              <w:left w:val="nil"/>
            </w:tcBorders>
          </w:tcPr>
          <w:p w14:paraId="489CB67F">
            <w:pPr>
              <w:spacing w:line="360" w:lineRule="auto"/>
              <w:rPr>
                <w:rFonts w:ascii="宋体" w:hAnsi="宋体"/>
                <w:highlight w:val="none"/>
              </w:rPr>
            </w:pPr>
          </w:p>
        </w:tc>
        <w:tc>
          <w:tcPr>
            <w:tcW w:w="1875" w:type="dxa"/>
            <w:tcBorders>
              <w:left w:val="nil"/>
            </w:tcBorders>
          </w:tcPr>
          <w:p w14:paraId="29B363E3">
            <w:pPr>
              <w:spacing w:line="360" w:lineRule="auto"/>
              <w:rPr>
                <w:rFonts w:ascii="宋体" w:hAnsi="宋体"/>
                <w:highlight w:val="none"/>
              </w:rPr>
            </w:pPr>
          </w:p>
        </w:tc>
        <w:tc>
          <w:tcPr>
            <w:tcW w:w="1580" w:type="dxa"/>
            <w:tcBorders>
              <w:left w:val="nil"/>
            </w:tcBorders>
          </w:tcPr>
          <w:p w14:paraId="13EB3BE2">
            <w:pPr>
              <w:spacing w:line="360" w:lineRule="auto"/>
              <w:rPr>
                <w:rFonts w:ascii="宋体" w:hAnsi="宋体"/>
                <w:highlight w:val="none"/>
              </w:rPr>
            </w:pPr>
          </w:p>
        </w:tc>
        <w:tc>
          <w:tcPr>
            <w:tcW w:w="892" w:type="dxa"/>
            <w:tcBorders>
              <w:left w:val="nil"/>
            </w:tcBorders>
          </w:tcPr>
          <w:p w14:paraId="63F6ECDD">
            <w:pPr>
              <w:spacing w:line="360" w:lineRule="auto"/>
              <w:rPr>
                <w:rFonts w:ascii="宋体" w:hAnsi="宋体"/>
                <w:highlight w:val="none"/>
              </w:rPr>
            </w:pPr>
          </w:p>
        </w:tc>
        <w:tc>
          <w:tcPr>
            <w:tcW w:w="1298" w:type="dxa"/>
            <w:tcBorders>
              <w:left w:val="nil"/>
            </w:tcBorders>
          </w:tcPr>
          <w:p w14:paraId="7D90EA73">
            <w:pPr>
              <w:spacing w:line="360" w:lineRule="auto"/>
              <w:rPr>
                <w:rFonts w:ascii="宋体" w:hAnsi="宋体"/>
                <w:highlight w:val="none"/>
              </w:rPr>
            </w:pPr>
          </w:p>
        </w:tc>
      </w:tr>
      <w:tr w14:paraId="0CA70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restart"/>
            <w:tcBorders>
              <w:top w:val="nil"/>
            </w:tcBorders>
            <w:vAlign w:val="center"/>
          </w:tcPr>
          <w:p w14:paraId="08D9FF92">
            <w:pPr>
              <w:spacing w:line="360" w:lineRule="auto"/>
              <w:jc w:val="center"/>
              <w:rPr>
                <w:rFonts w:ascii="宋体" w:hAnsi="宋体"/>
                <w:highlight w:val="none"/>
              </w:rPr>
            </w:pPr>
          </w:p>
        </w:tc>
        <w:tc>
          <w:tcPr>
            <w:tcW w:w="1948" w:type="dxa"/>
            <w:tcBorders>
              <w:left w:val="nil"/>
            </w:tcBorders>
          </w:tcPr>
          <w:p w14:paraId="20C22612">
            <w:pPr>
              <w:spacing w:line="360" w:lineRule="auto"/>
              <w:rPr>
                <w:rFonts w:ascii="宋体" w:hAnsi="宋体"/>
                <w:highlight w:val="none"/>
              </w:rPr>
            </w:pPr>
          </w:p>
        </w:tc>
        <w:tc>
          <w:tcPr>
            <w:tcW w:w="1875" w:type="dxa"/>
            <w:tcBorders>
              <w:left w:val="nil"/>
            </w:tcBorders>
          </w:tcPr>
          <w:p w14:paraId="75399475">
            <w:pPr>
              <w:spacing w:line="360" w:lineRule="auto"/>
              <w:rPr>
                <w:rFonts w:ascii="宋体" w:hAnsi="宋体"/>
                <w:highlight w:val="none"/>
              </w:rPr>
            </w:pPr>
          </w:p>
        </w:tc>
        <w:tc>
          <w:tcPr>
            <w:tcW w:w="1580" w:type="dxa"/>
            <w:tcBorders>
              <w:left w:val="nil"/>
            </w:tcBorders>
          </w:tcPr>
          <w:p w14:paraId="1E4E1664">
            <w:pPr>
              <w:spacing w:line="360" w:lineRule="auto"/>
              <w:rPr>
                <w:rFonts w:ascii="宋体" w:hAnsi="宋体"/>
                <w:highlight w:val="none"/>
              </w:rPr>
            </w:pPr>
          </w:p>
        </w:tc>
        <w:tc>
          <w:tcPr>
            <w:tcW w:w="892" w:type="dxa"/>
            <w:tcBorders>
              <w:left w:val="nil"/>
            </w:tcBorders>
          </w:tcPr>
          <w:p w14:paraId="36C18EB6">
            <w:pPr>
              <w:spacing w:line="360" w:lineRule="auto"/>
              <w:rPr>
                <w:rFonts w:ascii="宋体" w:hAnsi="宋体"/>
                <w:highlight w:val="none"/>
              </w:rPr>
            </w:pPr>
          </w:p>
        </w:tc>
        <w:tc>
          <w:tcPr>
            <w:tcW w:w="1298" w:type="dxa"/>
            <w:tcBorders>
              <w:left w:val="nil"/>
            </w:tcBorders>
          </w:tcPr>
          <w:p w14:paraId="5C1C29BA">
            <w:pPr>
              <w:spacing w:line="360" w:lineRule="auto"/>
              <w:rPr>
                <w:rFonts w:ascii="宋体" w:hAnsi="宋体"/>
                <w:highlight w:val="none"/>
              </w:rPr>
            </w:pPr>
          </w:p>
        </w:tc>
      </w:tr>
      <w:tr w14:paraId="2A9B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478" w:type="dxa"/>
            <w:vMerge w:val="continue"/>
            <w:tcBorders>
              <w:top w:val="nil"/>
            </w:tcBorders>
            <w:vAlign w:val="center"/>
          </w:tcPr>
          <w:p w14:paraId="5673F908">
            <w:pPr>
              <w:spacing w:line="360" w:lineRule="auto"/>
              <w:jc w:val="center"/>
              <w:rPr>
                <w:rFonts w:ascii="宋体" w:hAnsi="宋体"/>
                <w:highlight w:val="none"/>
              </w:rPr>
            </w:pPr>
          </w:p>
        </w:tc>
        <w:tc>
          <w:tcPr>
            <w:tcW w:w="1948" w:type="dxa"/>
            <w:tcBorders>
              <w:left w:val="nil"/>
            </w:tcBorders>
          </w:tcPr>
          <w:p w14:paraId="7DCCA7DB">
            <w:pPr>
              <w:spacing w:line="360" w:lineRule="auto"/>
              <w:rPr>
                <w:rFonts w:ascii="宋体" w:hAnsi="宋体"/>
                <w:highlight w:val="none"/>
              </w:rPr>
            </w:pPr>
          </w:p>
        </w:tc>
        <w:tc>
          <w:tcPr>
            <w:tcW w:w="1875" w:type="dxa"/>
            <w:tcBorders>
              <w:left w:val="nil"/>
            </w:tcBorders>
          </w:tcPr>
          <w:p w14:paraId="3D476C13">
            <w:pPr>
              <w:spacing w:line="360" w:lineRule="auto"/>
              <w:rPr>
                <w:rFonts w:ascii="宋体" w:hAnsi="宋体"/>
                <w:highlight w:val="none"/>
              </w:rPr>
            </w:pPr>
          </w:p>
        </w:tc>
        <w:tc>
          <w:tcPr>
            <w:tcW w:w="1580" w:type="dxa"/>
            <w:tcBorders>
              <w:left w:val="nil"/>
            </w:tcBorders>
          </w:tcPr>
          <w:p w14:paraId="4622D7F1">
            <w:pPr>
              <w:spacing w:line="360" w:lineRule="auto"/>
              <w:rPr>
                <w:rFonts w:ascii="宋体" w:hAnsi="宋体"/>
                <w:highlight w:val="none"/>
              </w:rPr>
            </w:pPr>
          </w:p>
        </w:tc>
        <w:tc>
          <w:tcPr>
            <w:tcW w:w="892" w:type="dxa"/>
            <w:tcBorders>
              <w:left w:val="nil"/>
            </w:tcBorders>
          </w:tcPr>
          <w:p w14:paraId="6AE13843">
            <w:pPr>
              <w:spacing w:line="360" w:lineRule="auto"/>
              <w:rPr>
                <w:rFonts w:ascii="宋体" w:hAnsi="宋体"/>
                <w:highlight w:val="none"/>
              </w:rPr>
            </w:pPr>
          </w:p>
        </w:tc>
        <w:tc>
          <w:tcPr>
            <w:tcW w:w="1298" w:type="dxa"/>
            <w:tcBorders>
              <w:left w:val="nil"/>
            </w:tcBorders>
          </w:tcPr>
          <w:p w14:paraId="3AF75577">
            <w:pPr>
              <w:spacing w:line="360" w:lineRule="auto"/>
              <w:rPr>
                <w:rFonts w:ascii="宋体" w:hAnsi="宋体"/>
                <w:highlight w:val="none"/>
              </w:rPr>
            </w:pPr>
          </w:p>
        </w:tc>
      </w:tr>
    </w:tbl>
    <w:p w14:paraId="7A1CF7D0">
      <w:pPr>
        <w:jc w:val="both"/>
        <w:rPr>
          <w:rFonts w:hint="eastAsia" w:ascii="宋体" w:hAnsi="宋体"/>
          <w:sz w:val="24"/>
          <w:szCs w:val="24"/>
          <w:highlight w:val="none"/>
        </w:rPr>
      </w:pPr>
      <w:r>
        <w:rPr>
          <w:rFonts w:hint="eastAsia" w:ascii="宋体" w:hAnsi="宋体"/>
          <w:sz w:val="24"/>
          <w:szCs w:val="24"/>
          <w:highlight w:val="none"/>
        </w:rPr>
        <w:t>注：1.根据本项目的委托目标及服务原则，乙方必须在合同生效后30日内，完成本项目建设管理程序及相关内部控制的风险识别，初步完成投资控制体系的建立，提出完整可行的工作计划、过程控制资料或工作底稿、工作制度或沟通协调机制、质量控制方案、工作成果形式等与本次招标服务内容有关的过程资料和结果文件，上述资料经甲方审核同意后正式实施。</w:t>
      </w:r>
    </w:p>
    <w:p w14:paraId="5EC110D9">
      <w:pPr>
        <w:ind w:firstLine="480" w:firstLineChars="200"/>
        <w:jc w:val="both"/>
        <w:rPr>
          <w:rFonts w:hint="eastAsia" w:ascii="宋体" w:hAnsi="宋体"/>
          <w:sz w:val="24"/>
          <w:szCs w:val="24"/>
          <w:highlight w:val="none"/>
        </w:rPr>
      </w:pPr>
      <w:r>
        <w:rPr>
          <w:rFonts w:hint="eastAsia" w:ascii="宋体" w:hAnsi="宋体"/>
          <w:sz w:val="24"/>
          <w:szCs w:val="24"/>
          <w:highlight w:val="none"/>
          <w:lang w:val="en-US" w:eastAsia="zh-CN"/>
        </w:rPr>
        <w:t>2.</w:t>
      </w:r>
      <w:r>
        <w:rPr>
          <w:rFonts w:hint="eastAsia" w:ascii="宋体" w:hAnsi="宋体"/>
          <w:sz w:val="24"/>
          <w:szCs w:val="24"/>
          <w:highlight w:val="none"/>
        </w:rPr>
        <w:t>乙方要做好过程控制资料的交底，指导甲方及各参建单位按规定实施。</w:t>
      </w:r>
    </w:p>
    <w:p w14:paraId="6511EE9A">
      <w:pPr>
        <w:ind w:firstLine="480" w:firstLineChars="200"/>
        <w:jc w:val="both"/>
        <w:rPr>
          <w:rFonts w:ascii="宋体" w:hAnsi="宋体"/>
          <w:sz w:val="24"/>
          <w:highlight w:val="none"/>
        </w:rPr>
      </w:pPr>
      <w:r>
        <w:rPr>
          <w:rFonts w:hint="eastAsia" w:ascii="宋体" w:hAnsi="宋体"/>
          <w:sz w:val="24"/>
          <w:szCs w:val="24"/>
          <w:highlight w:val="none"/>
          <w:lang w:val="en-US" w:eastAsia="zh-CN"/>
        </w:rPr>
        <w:t>3.</w:t>
      </w:r>
      <w:r>
        <w:rPr>
          <w:rFonts w:hint="eastAsia" w:ascii="宋体" w:hAnsi="宋体"/>
          <w:sz w:val="24"/>
          <w:highlight w:val="none"/>
        </w:rPr>
        <w:t>过程成果资料按照甲方需求提供。</w:t>
      </w:r>
    </w:p>
    <w:p w14:paraId="587F457C">
      <w:pPr>
        <w:adjustRightInd w:val="0"/>
        <w:snapToGrid w:val="0"/>
        <w:spacing w:line="360" w:lineRule="auto"/>
        <w:jc w:val="left"/>
        <w:rPr>
          <w:rFonts w:ascii="宋体" w:hAnsi="宋体"/>
          <w:sz w:val="20"/>
          <w:szCs w:val="20"/>
          <w:highlight w:val="none"/>
        </w:rPr>
      </w:pPr>
      <w:r>
        <w:rPr>
          <w:rFonts w:ascii="宋体" w:hAnsi="宋体"/>
          <w:sz w:val="32"/>
          <w:szCs w:val="32"/>
          <w:highlight w:val="none"/>
        </w:rPr>
        <w:br w:type="page"/>
      </w:r>
    </w:p>
    <w:p w14:paraId="7821AE06">
      <w:pPr>
        <w:pStyle w:val="45"/>
        <w:keepNext w:val="0"/>
        <w:keepLines w:val="0"/>
        <w:pageBreakBefore w:val="0"/>
        <w:widowControl w:val="0"/>
        <w:kinsoku/>
        <w:wordWrap/>
        <w:overflowPunct/>
        <w:topLinePunct w:val="0"/>
        <w:autoSpaceDE/>
        <w:autoSpaceDN/>
        <w:bidi w:val="0"/>
        <w:spacing w:line="360" w:lineRule="auto"/>
        <w:textAlignment w:val="auto"/>
        <w:rPr>
          <w:rFonts w:hint="eastAsia" w:ascii="宋体" w:hAnsi="宋体" w:eastAsia="宋体" w:cs="宋体"/>
          <w:color w:val="auto"/>
          <w:highlight w:val="none"/>
          <w:lang w:eastAsia="zh-CN"/>
        </w:rPr>
      </w:pPr>
      <w:bookmarkStart w:id="826" w:name="_Toc118621427"/>
      <w:bookmarkStart w:id="827" w:name="_Toc69516034"/>
      <w:bookmarkStart w:id="828" w:name="_Toc1665394662"/>
      <w:bookmarkStart w:id="829" w:name="_Toc1288272627"/>
      <w:bookmarkStart w:id="830" w:name="_Toc1323697249"/>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val="en-US" w:eastAsia="zh-CN"/>
        </w:rPr>
        <w:t>采购人</w:t>
      </w:r>
      <w:r>
        <w:rPr>
          <w:rFonts w:hint="eastAsia" w:ascii="宋体" w:hAnsi="宋体" w:eastAsia="宋体" w:cs="宋体"/>
          <w:color w:val="auto"/>
          <w:highlight w:val="none"/>
        </w:rPr>
        <w:t>要求</w:t>
      </w:r>
      <w:bookmarkEnd w:id="826"/>
      <w:bookmarkEnd w:id="827"/>
      <w:bookmarkEnd w:id="828"/>
      <w:bookmarkEnd w:id="829"/>
      <w:bookmarkEnd w:id="830"/>
    </w:p>
    <w:p w14:paraId="4427A404">
      <w:pPr>
        <w:overflowPunct w:val="0"/>
        <w:spacing w:line="360" w:lineRule="auto"/>
        <w:ind w:firstLine="0" w:firstLineChars="0"/>
        <w:rPr>
          <w:rFonts w:hint="default" w:hAnsi="宋体"/>
          <w:w w:val="95"/>
          <w:sz w:val="21"/>
          <w:szCs w:val="24"/>
          <w:highlight w:val="none"/>
        </w:rPr>
      </w:pPr>
      <w:r>
        <w:rPr>
          <w:rFonts w:hint="eastAsia" w:hAnsi="宋体"/>
          <w:sz w:val="21"/>
          <w:szCs w:val="24"/>
          <w:highlight w:val="none"/>
          <w:lang w:eastAsia="zh-CN"/>
        </w:rPr>
        <w:t>采购人</w:t>
      </w:r>
      <w:r>
        <w:rPr>
          <w:rFonts w:hint="default" w:hAnsi="宋体"/>
          <w:sz w:val="21"/>
          <w:szCs w:val="24"/>
          <w:highlight w:val="none"/>
        </w:rPr>
        <w:t>要求通常包括但不限于以下内容：</w:t>
      </w:r>
    </w:p>
    <w:p w14:paraId="63990527">
      <w:pPr>
        <w:ind w:firstLine="482" w:firstLineChars="200"/>
        <w:jc w:val="both"/>
        <w:rPr>
          <w:rFonts w:hint="default" w:ascii="宋体" w:hAnsi="宋体" w:eastAsia="宋体" w:cs="Times New Roman"/>
          <w:b/>
          <w:bCs/>
          <w:sz w:val="24"/>
          <w:szCs w:val="24"/>
          <w:highlight w:val="none"/>
        </w:rPr>
      </w:pPr>
      <w:bookmarkStart w:id="831" w:name="bookmark163"/>
      <w:bookmarkEnd w:id="831"/>
      <w:bookmarkStart w:id="832" w:name="_Toc146500128"/>
      <w:r>
        <w:rPr>
          <w:rFonts w:hint="default" w:ascii="宋体" w:hAnsi="宋体" w:eastAsia="宋体" w:cs="Times New Roman"/>
          <w:b/>
          <w:bCs/>
          <w:sz w:val="24"/>
          <w:szCs w:val="24"/>
          <w:highlight w:val="none"/>
        </w:rPr>
        <w:t>一、</w:t>
      </w:r>
      <w:bookmarkEnd w:id="832"/>
      <w:r>
        <w:rPr>
          <w:rFonts w:hint="eastAsia" w:ascii="宋体" w:hAnsi="宋体" w:eastAsia="宋体" w:cs="Times New Roman"/>
          <w:b/>
          <w:bCs/>
          <w:sz w:val="24"/>
          <w:szCs w:val="24"/>
          <w:highlight w:val="none"/>
        </w:rPr>
        <w:t>本项目委托服务目标</w:t>
      </w:r>
    </w:p>
    <w:p w14:paraId="6806494B">
      <w:pPr>
        <w:ind w:firstLine="480" w:firstLineChars="200"/>
        <w:jc w:val="both"/>
        <w:rPr>
          <w:rFonts w:hint="default" w:ascii="宋体" w:hAnsi="宋体" w:eastAsia="宋体" w:cs="Times New Roman"/>
          <w:sz w:val="24"/>
          <w:szCs w:val="24"/>
          <w:highlight w:val="none"/>
        </w:rPr>
      </w:pPr>
      <w:bookmarkStart w:id="833" w:name="_Toc146500129"/>
      <w:r>
        <w:rPr>
          <w:rFonts w:hint="default" w:ascii="宋体" w:hAnsi="宋体" w:eastAsia="宋体" w:cs="Times New Roman"/>
          <w:sz w:val="24"/>
          <w:szCs w:val="24"/>
          <w:highlight w:val="none"/>
        </w:rPr>
        <w:t>1.项目概况</w:t>
      </w:r>
      <w:bookmarkEnd w:id="833"/>
    </w:p>
    <w:p w14:paraId="12BC55F4">
      <w:pPr>
        <w:pStyle w:val="2"/>
        <w:keepNext w:val="0"/>
        <w:keepLines w:val="0"/>
        <w:pageBreakBefore w:val="0"/>
        <w:kinsoku/>
        <w:wordWrap/>
        <w:overflowPunct/>
        <w:topLinePunct w:val="0"/>
        <w:autoSpaceDE/>
        <w:autoSpaceDN/>
        <w:bidi w:val="0"/>
        <w:spacing w:line="56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bookmarkStart w:id="834" w:name="_Toc146500130"/>
      <w:r>
        <w:rPr>
          <w:rFonts w:hint="eastAsia" w:ascii="宋体" w:hAnsi="宋体" w:eastAsia="宋体" w:cs="宋体"/>
          <w:color w:val="auto"/>
          <w:kern w:val="2"/>
          <w:sz w:val="24"/>
          <w:szCs w:val="24"/>
          <w:highlight w:val="none"/>
          <w:lang w:val="en-US" w:eastAsia="zh-CN" w:bidi="ar-SA"/>
        </w:rPr>
        <w:t>大龙山风电场（二期）项目已列入“云南省2025年第三批新能源项目开发建设清单”，项目位于玉溪市华宁县青龙镇东北部的山脊及山顶台地上，地理坐标介于北纬 24°27′08"～24°31′09"、东经 103°00′58"～103°02′57"之间，场址高程在 1700m~2100m 之间。此为大龙山风电场的扩建项目，</w:t>
      </w:r>
      <w:r>
        <w:rPr>
          <w:rFonts w:hint="default" w:ascii="宋体" w:hAnsi="宋体" w:eastAsia="宋体" w:cs="宋体"/>
          <w:color w:val="auto"/>
          <w:kern w:val="2"/>
          <w:sz w:val="24"/>
          <w:szCs w:val="24"/>
          <w:highlight w:val="none"/>
          <w:lang w:val="en-US" w:eastAsia="zh-CN" w:bidi="ar-SA"/>
        </w:rPr>
        <w:t>不安装升压站，与大龙山风电场项目共用一座</w:t>
      </w:r>
      <w:r>
        <w:rPr>
          <w:rFonts w:hint="eastAsia" w:ascii="宋体" w:hAnsi="宋体" w:eastAsia="宋体" w:cs="宋体"/>
          <w:color w:val="auto"/>
          <w:kern w:val="2"/>
          <w:sz w:val="24"/>
          <w:szCs w:val="24"/>
          <w:highlight w:val="none"/>
          <w:lang w:val="en-US" w:eastAsia="zh-CN" w:bidi="ar-SA"/>
        </w:rPr>
        <w:t>，装机容量为30MW，拟安装6台5.0MW-220m风电机组，</w:t>
      </w:r>
      <w:r>
        <w:rPr>
          <w:rFonts w:hint="default" w:ascii="宋体" w:hAnsi="宋体" w:eastAsia="宋体" w:cs="宋体"/>
          <w:color w:val="auto"/>
          <w:kern w:val="2"/>
          <w:sz w:val="24"/>
          <w:szCs w:val="24"/>
          <w:highlight w:val="none"/>
          <w:lang w:val="en-US" w:eastAsia="zh-CN" w:bidi="ar-SA"/>
        </w:rPr>
        <w:t>6台箱变</w:t>
      </w:r>
      <w:r>
        <w:rPr>
          <w:rFonts w:hint="eastAsia" w:ascii="宋体" w:hAnsi="宋体" w:eastAsia="宋体" w:cs="宋体"/>
          <w:color w:val="auto"/>
          <w:kern w:val="2"/>
          <w:sz w:val="24"/>
          <w:szCs w:val="24"/>
          <w:highlight w:val="none"/>
          <w:lang w:val="en-US" w:eastAsia="zh-CN" w:bidi="ar-SA"/>
        </w:rPr>
        <w:t>。</w:t>
      </w:r>
    </w:p>
    <w:p w14:paraId="433648A4">
      <w:pPr>
        <w:ind w:firstLine="480" w:firstLineChars="200"/>
        <w:jc w:val="both"/>
        <w:rPr>
          <w:rFonts w:hint="eastAsia" w:ascii="宋体" w:hAnsi="宋体" w:eastAsia="宋体" w:cs="Times New Roman"/>
          <w:sz w:val="24"/>
          <w:szCs w:val="24"/>
          <w:highlight w:val="none"/>
          <w:lang w:eastAsia="zh-CN"/>
        </w:rPr>
      </w:pPr>
      <w:r>
        <w:rPr>
          <w:rFonts w:hint="default" w:ascii="宋体" w:hAnsi="宋体" w:eastAsia="宋体" w:cs="Times New Roman"/>
          <w:sz w:val="24"/>
          <w:szCs w:val="24"/>
          <w:highlight w:val="none"/>
        </w:rPr>
        <w:t>2.</w:t>
      </w:r>
      <w:r>
        <w:rPr>
          <w:rFonts w:hint="eastAsia" w:ascii="宋体" w:hAnsi="宋体" w:eastAsia="宋体" w:cs="Times New Roman"/>
          <w:sz w:val="24"/>
          <w:szCs w:val="24"/>
          <w:highlight w:val="none"/>
          <w:lang w:eastAsia="zh-CN"/>
        </w:rPr>
        <w:t>采购</w:t>
      </w:r>
      <w:r>
        <w:rPr>
          <w:rFonts w:hint="default" w:ascii="宋体" w:hAnsi="宋体" w:eastAsia="宋体" w:cs="Times New Roman"/>
          <w:sz w:val="24"/>
          <w:szCs w:val="24"/>
          <w:highlight w:val="none"/>
        </w:rPr>
        <w:t>范围及内容</w:t>
      </w:r>
      <w:bookmarkEnd w:id="834"/>
      <w:r>
        <w:rPr>
          <w:rFonts w:hint="eastAsia" w:ascii="宋体" w:hAnsi="宋体" w:eastAsia="宋体" w:cs="Times New Roman"/>
          <w:sz w:val="24"/>
          <w:szCs w:val="24"/>
          <w:highlight w:val="none"/>
          <w:lang w:eastAsia="zh-CN"/>
        </w:rPr>
        <w:t>（详见第一章</w:t>
      </w:r>
      <w:r>
        <w:rPr>
          <w:rFonts w:hint="eastAsia" w:ascii="宋体" w:hAnsi="宋体" w:eastAsia="宋体" w:cs="Times New Roman"/>
          <w:sz w:val="24"/>
          <w:szCs w:val="24"/>
          <w:highlight w:val="none"/>
          <w:lang w:val="en-US" w:eastAsia="zh-CN"/>
        </w:rPr>
        <w:t xml:space="preserve"> </w:t>
      </w:r>
      <w:r>
        <w:rPr>
          <w:rFonts w:hint="eastAsia" w:ascii="宋体" w:hAnsi="宋体" w:eastAsia="宋体" w:cs="Times New Roman"/>
          <w:sz w:val="24"/>
          <w:szCs w:val="24"/>
          <w:highlight w:val="none"/>
          <w:lang w:eastAsia="zh-CN"/>
        </w:rPr>
        <w:t>采购公告：“二、</w:t>
      </w:r>
      <w:r>
        <w:rPr>
          <w:rFonts w:hint="eastAsia" w:ascii="宋体" w:hAnsi="宋体" w:eastAsia="宋体" w:cs="Times New Roman"/>
          <w:sz w:val="24"/>
          <w:szCs w:val="24"/>
          <w:highlight w:val="none"/>
          <w:lang w:val="en-US" w:eastAsia="zh-CN"/>
        </w:rPr>
        <w:t>采购内容</w:t>
      </w:r>
      <w:r>
        <w:rPr>
          <w:rFonts w:hint="eastAsia" w:ascii="宋体" w:hAnsi="宋体" w:eastAsia="宋体" w:cs="Times New Roman"/>
          <w:sz w:val="24"/>
          <w:szCs w:val="24"/>
          <w:highlight w:val="none"/>
          <w:lang w:eastAsia="zh-CN"/>
        </w:rPr>
        <w:t>”）</w:t>
      </w:r>
    </w:p>
    <w:p w14:paraId="64B0CA75">
      <w:pPr>
        <w:numPr>
          <w:ilvl w:val="0"/>
          <w:numId w:val="10"/>
        </w:numPr>
        <w:spacing w:line="360" w:lineRule="auto"/>
        <w:ind w:firstLine="480" w:firstLineChars="200"/>
        <w:rPr>
          <w:rFonts w:hint="eastAsia" w:ascii="宋体" w:hAnsi="宋体"/>
          <w:sz w:val="24"/>
          <w:szCs w:val="24"/>
          <w:highlight w:val="none"/>
          <w:lang w:eastAsia="zh-CN"/>
        </w:rPr>
      </w:pPr>
      <w:bookmarkStart w:id="835" w:name="_Toc146500131"/>
      <w:r>
        <w:rPr>
          <w:rFonts w:hint="eastAsia" w:ascii="宋体" w:hAnsi="宋体"/>
          <w:sz w:val="24"/>
          <w:szCs w:val="24"/>
          <w:highlight w:val="none"/>
        </w:rPr>
        <w:t>本项目委托服务目标</w:t>
      </w:r>
      <w:r>
        <w:rPr>
          <w:rFonts w:hint="eastAsia" w:ascii="宋体" w:hAnsi="宋体"/>
          <w:sz w:val="24"/>
          <w:szCs w:val="24"/>
          <w:highlight w:val="none"/>
          <w:lang w:eastAsia="zh-CN"/>
        </w:rPr>
        <w:t>：</w:t>
      </w:r>
    </w:p>
    <w:p w14:paraId="3F7B5AAD">
      <w:pPr>
        <w:numPr>
          <w:ilvl w:val="0"/>
          <w:numId w:val="0"/>
        </w:num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成交</w:t>
      </w:r>
      <w:r>
        <w:rPr>
          <w:rFonts w:hint="eastAsia" w:ascii="宋体" w:hAnsi="宋体"/>
          <w:sz w:val="24"/>
          <w:szCs w:val="24"/>
          <w:highlight w:val="none"/>
        </w:rPr>
        <w:t>人应根据双方合同及相关法律法规要求，认真履行全过程造价控制和工程咨询服务职能，协助</w:t>
      </w:r>
      <w:r>
        <w:rPr>
          <w:rFonts w:hint="eastAsia" w:ascii="宋体" w:hAnsi="宋体"/>
          <w:sz w:val="24"/>
          <w:szCs w:val="24"/>
          <w:highlight w:val="none"/>
          <w:lang w:val="en-US" w:eastAsia="zh-CN"/>
        </w:rPr>
        <w:t>采购</w:t>
      </w:r>
      <w:r>
        <w:rPr>
          <w:rFonts w:hint="eastAsia" w:ascii="宋体" w:hAnsi="宋体"/>
          <w:sz w:val="24"/>
          <w:szCs w:val="24"/>
          <w:highlight w:val="none"/>
        </w:rPr>
        <w:t>人达到以下目标：</w:t>
      </w:r>
    </w:p>
    <w:p w14:paraId="1F25E77C">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3.1</w:t>
      </w:r>
      <w:r>
        <w:rPr>
          <w:rFonts w:hint="eastAsia" w:ascii="宋体" w:hAnsi="宋体"/>
          <w:sz w:val="24"/>
          <w:szCs w:val="24"/>
          <w:highlight w:val="none"/>
        </w:rPr>
        <w:t>协助</w:t>
      </w:r>
      <w:r>
        <w:rPr>
          <w:rFonts w:hint="eastAsia" w:ascii="宋体" w:hAnsi="宋体"/>
          <w:sz w:val="24"/>
          <w:szCs w:val="24"/>
          <w:highlight w:val="none"/>
          <w:lang w:val="en-US" w:eastAsia="zh-CN"/>
        </w:rPr>
        <w:t>采购</w:t>
      </w:r>
      <w:r>
        <w:rPr>
          <w:rFonts w:hint="eastAsia" w:ascii="宋体" w:hAnsi="宋体"/>
          <w:sz w:val="24"/>
          <w:szCs w:val="24"/>
          <w:highlight w:val="none"/>
        </w:rPr>
        <w:t>人切实加强本项目的事前管理、事中管理、事后管理；</w:t>
      </w:r>
    </w:p>
    <w:p w14:paraId="7705E304">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3.2</w:t>
      </w:r>
      <w:r>
        <w:rPr>
          <w:rFonts w:hint="eastAsia" w:ascii="宋体" w:hAnsi="宋体"/>
          <w:sz w:val="24"/>
          <w:szCs w:val="24"/>
          <w:highlight w:val="none"/>
        </w:rPr>
        <w:t>在保证项目质量及安全的前提下尽可能节约投资；</w:t>
      </w:r>
    </w:p>
    <w:p w14:paraId="22A3E0F8">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3.3</w:t>
      </w:r>
      <w:r>
        <w:rPr>
          <w:rFonts w:hint="eastAsia" w:ascii="宋体" w:hAnsi="宋体"/>
          <w:sz w:val="24"/>
          <w:szCs w:val="24"/>
          <w:highlight w:val="none"/>
        </w:rPr>
        <w:t>规范项目建设基本程序，确保项目的合法合规；</w:t>
      </w:r>
    </w:p>
    <w:p w14:paraId="752333B1">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3.4</w:t>
      </w:r>
      <w:r>
        <w:rPr>
          <w:rFonts w:hint="eastAsia" w:ascii="宋体" w:hAnsi="宋体"/>
          <w:sz w:val="24"/>
          <w:szCs w:val="24"/>
          <w:highlight w:val="none"/>
        </w:rPr>
        <w:t>确保项目建设资金的安全完整，坚决杜绝项目建设过程中的违纪违规现象；</w:t>
      </w:r>
    </w:p>
    <w:p w14:paraId="1217C62A">
      <w:pPr>
        <w:spacing w:line="360" w:lineRule="auto"/>
        <w:ind w:firstLine="480" w:firstLineChars="200"/>
        <w:rPr>
          <w:rFonts w:hint="default" w:ascii="宋体" w:hAnsi="宋体" w:eastAsia="宋体" w:cs="Times New Roman"/>
          <w:sz w:val="24"/>
          <w:szCs w:val="24"/>
          <w:highlight w:val="none"/>
        </w:rPr>
      </w:pPr>
      <w:r>
        <w:rPr>
          <w:rFonts w:hint="eastAsia" w:ascii="宋体" w:hAnsi="宋体"/>
          <w:sz w:val="24"/>
          <w:szCs w:val="24"/>
          <w:highlight w:val="none"/>
          <w:lang w:val="en-US" w:eastAsia="zh-CN"/>
        </w:rPr>
        <w:t>3.5</w:t>
      </w:r>
      <w:r>
        <w:rPr>
          <w:rFonts w:hint="eastAsia" w:ascii="宋体" w:hAnsi="宋体"/>
          <w:sz w:val="24"/>
          <w:szCs w:val="24"/>
          <w:highlight w:val="none"/>
        </w:rPr>
        <w:t>确保项目全部工程竣工</w:t>
      </w:r>
      <w:r>
        <w:rPr>
          <w:rFonts w:hint="eastAsia" w:ascii="宋体" w:hAnsi="宋体"/>
          <w:sz w:val="24"/>
          <w:szCs w:val="24"/>
          <w:highlight w:val="none"/>
          <w:lang w:val="en-US" w:eastAsia="zh-CN"/>
        </w:rPr>
        <w:t>结算</w:t>
      </w:r>
      <w:r>
        <w:rPr>
          <w:rFonts w:hint="eastAsia" w:ascii="宋体" w:hAnsi="宋体"/>
          <w:sz w:val="24"/>
          <w:szCs w:val="24"/>
          <w:highlight w:val="none"/>
        </w:rPr>
        <w:t>按时按要求顺利通过各方确认，最终完成竣工验收备案。</w:t>
      </w:r>
    </w:p>
    <w:bookmarkEnd w:id="835"/>
    <w:p w14:paraId="20846D5B">
      <w:pPr>
        <w:spacing w:line="360" w:lineRule="auto"/>
        <w:ind w:firstLine="460" w:firstLineChars="192"/>
        <w:rPr>
          <w:rFonts w:hint="default" w:asciiTheme="minorEastAsia" w:hAnsiTheme="minorEastAsia" w:eastAsiaTheme="minorEastAsia" w:cstheme="minorEastAsia"/>
          <w:color w:val="000000"/>
          <w:sz w:val="24"/>
          <w:szCs w:val="24"/>
          <w:highlight w:val="none"/>
          <w:lang w:val="en-US" w:eastAsia="zh-CN"/>
        </w:rPr>
      </w:pPr>
      <w:bookmarkStart w:id="836" w:name="bookmark165"/>
      <w:bookmarkEnd w:id="836"/>
      <w:bookmarkStart w:id="837" w:name="_Toc64874053"/>
      <w:bookmarkStart w:id="838" w:name="_Toc363984053"/>
      <w:bookmarkStart w:id="839" w:name="_Toc1501766812"/>
      <w:bookmarkStart w:id="840" w:name="_Toc1337276182"/>
      <w:bookmarkStart w:id="841" w:name="_Toc146500139"/>
      <w:bookmarkStart w:id="842" w:name="_Toc434608349"/>
      <w:r>
        <w:rPr>
          <w:rFonts w:hint="eastAsia" w:asciiTheme="minorEastAsia" w:hAnsiTheme="minorEastAsia" w:eastAsiaTheme="minorEastAsia" w:cstheme="minorEastAsia"/>
          <w:b w:val="0"/>
          <w:bCs w:val="0"/>
          <w:color w:val="000000"/>
          <w:sz w:val="24"/>
          <w:szCs w:val="24"/>
          <w:highlight w:val="none"/>
          <w:lang w:val="en-US" w:eastAsia="zh-CN"/>
        </w:rPr>
        <w:t>4、</w:t>
      </w:r>
      <w:r>
        <w:rPr>
          <w:rFonts w:hint="eastAsia" w:asciiTheme="minorEastAsia" w:hAnsiTheme="minorEastAsia" w:eastAsiaTheme="minorEastAsia" w:cstheme="minorEastAsia"/>
          <w:b w:val="0"/>
          <w:bCs w:val="0"/>
          <w:color w:val="000000"/>
          <w:sz w:val="24"/>
          <w:szCs w:val="24"/>
          <w:highlight w:val="none"/>
        </w:rPr>
        <w:t>服务地点：</w:t>
      </w:r>
      <w:r>
        <w:rPr>
          <w:rFonts w:hint="eastAsia" w:asciiTheme="minorEastAsia" w:hAnsiTheme="minorEastAsia" w:eastAsiaTheme="minorEastAsia" w:cstheme="minorEastAsia"/>
          <w:color w:val="000000"/>
          <w:sz w:val="24"/>
          <w:szCs w:val="24"/>
          <w:highlight w:val="none"/>
          <w:lang w:eastAsia="zh-CN"/>
        </w:rPr>
        <w:t>云南省玉溪市</w:t>
      </w:r>
    </w:p>
    <w:p w14:paraId="3A1317C6">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5、</w:t>
      </w:r>
      <w:r>
        <w:rPr>
          <w:rFonts w:hint="eastAsia" w:ascii="宋体" w:hAnsi="宋体"/>
          <w:sz w:val="24"/>
          <w:szCs w:val="24"/>
          <w:highlight w:val="none"/>
        </w:rPr>
        <w:t>服务原则</w:t>
      </w:r>
    </w:p>
    <w:p w14:paraId="3E5FEC99">
      <w:pPr>
        <w:spacing w:line="360" w:lineRule="auto"/>
        <w:ind w:firstLine="480" w:firstLineChars="200"/>
        <w:rPr>
          <w:rFonts w:ascii="宋体" w:hAnsi="宋体"/>
          <w:sz w:val="24"/>
          <w:szCs w:val="24"/>
          <w:highlight w:val="none"/>
        </w:rPr>
      </w:pPr>
      <w:r>
        <w:rPr>
          <w:rFonts w:hint="eastAsia" w:ascii="宋体" w:hAnsi="宋体"/>
          <w:sz w:val="24"/>
          <w:szCs w:val="24"/>
          <w:highlight w:val="none"/>
        </w:rPr>
        <w:t>由于本项目投资金额较大、工期紧张、参建单位较多，为确保本项目达到预期目标，</w:t>
      </w:r>
      <w:r>
        <w:rPr>
          <w:rFonts w:hint="eastAsia" w:ascii="宋体" w:hAnsi="宋体"/>
          <w:sz w:val="24"/>
          <w:szCs w:val="24"/>
          <w:highlight w:val="none"/>
          <w:lang w:val="en-US" w:eastAsia="zh-CN"/>
        </w:rPr>
        <w:t>采购</w:t>
      </w:r>
      <w:r>
        <w:rPr>
          <w:rFonts w:hint="eastAsia" w:ascii="宋体" w:hAnsi="宋体"/>
          <w:sz w:val="24"/>
          <w:szCs w:val="24"/>
          <w:highlight w:val="none"/>
        </w:rPr>
        <w:t>人应当把造价、管理有机整合并发挥其优势，创新服务模式，系统处理好造价控制与项目建设的关系，</w:t>
      </w:r>
      <w:r>
        <w:rPr>
          <w:rFonts w:hint="eastAsia" w:ascii="宋体" w:hAnsi="宋体"/>
          <w:sz w:val="24"/>
          <w:szCs w:val="24"/>
          <w:highlight w:val="none"/>
          <w:u w:val="single"/>
        </w:rPr>
        <w:t>通过制度理顺</w:t>
      </w:r>
      <w:r>
        <w:rPr>
          <w:rFonts w:hint="eastAsia" w:ascii="宋体" w:hAnsi="宋体"/>
          <w:sz w:val="24"/>
          <w:szCs w:val="24"/>
          <w:highlight w:val="none"/>
          <w:u w:val="single"/>
          <w:lang w:val="en-US" w:eastAsia="zh-CN"/>
        </w:rPr>
        <w:t>成交</w:t>
      </w:r>
      <w:r>
        <w:rPr>
          <w:rFonts w:hint="eastAsia" w:ascii="宋体" w:hAnsi="宋体"/>
          <w:sz w:val="24"/>
          <w:szCs w:val="24"/>
          <w:highlight w:val="none"/>
          <w:u w:val="single"/>
        </w:rPr>
        <w:t>人与</w:t>
      </w:r>
      <w:r>
        <w:rPr>
          <w:rFonts w:hint="eastAsia" w:ascii="宋体" w:hAnsi="宋体"/>
          <w:sz w:val="24"/>
          <w:szCs w:val="24"/>
          <w:highlight w:val="none"/>
          <w:u w:val="single"/>
          <w:lang w:val="en-US" w:eastAsia="zh-CN"/>
        </w:rPr>
        <w:t>采购</w:t>
      </w:r>
      <w:r>
        <w:rPr>
          <w:rFonts w:hint="eastAsia" w:ascii="宋体" w:hAnsi="宋体"/>
          <w:sz w:val="24"/>
          <w:szCs w:val="24"/>
          <w:highlight w:val="none"/>
          <w:u w:val="single"/>
        </w:rPr>
        <w:t>人及各参建方（包括设计、监理、施工、供应商等）的工作方式</w:t>
      </w:r>
      <w:r>
        <w:rPr>
          <w:rFonts w:hint="eastAsia" w:ascii="宋体" w:hAnsi="宋体"/>
          <w:sz w:val="24"/>
          <w:szCs w:val="24"/>
          <w:highlight w:val="none"/>
        </w:rPr>
        <w:t>，形成完整可行的工作计划及过程方案，定期或不定期提交高质量的工作成果，及时提出整改意见或管理建议。</w:t>
      </w:r>
    </w:p>
    <w:p w14:paraId="5AC0A59A">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5.1</w:t>
      </w:r>
      <w:r>
        <w:rPr>
          <w:rFonts w:hint="eastAsia" w:ascii="宋体" w:hAnsi="宋体"/>
          <w:sz w:val="24"/>
          <w:szCs w:val="24"/>
          <w:highlight w:val="none"/>
        </w:rPr>
        <w:t>在合同约定的服务期内，如</w:t>
      </w:r>
      <w:r>
        <w:rPr>
          <w:rFonts w:hint="eastAsia" w:ascii="宋体" w:hAnsi="宋体"/>
          <w:sz w:val="24"/>
          <w:szCs w:val="24"/>
          <w:highlight w:val="none"/>
          <w:lang w:val="en-US" w:eastAsia="zh-CN"/>
        </w:rPr>
        <w:t>成交</w:t>
      </w:r>
      <w:r>
        <w:rPr>
          <w:rFonts w:hint="eastAsia" w:ascii="宋体" w:hAnsi="宋体"/>
          <w:sz w:val="24"/>
          <w:szCs w:val="24"/>
          <w:highlight w:val="none"/>
        </w:rPr>
        <w:t>人提供的服务无法满足</w:t>
      </w:r>
      <w:r>
        <w:rPr>
          <w:rFonts w:hint="eastAsia" w:ascii="宋体" w:hAnsi="宋体"/>
          <w:sz w:val="24"/>
          <w:szCs w:val="24"/>
          <w:highlight w:val="none"/>
          <w:lang w:val="en-US" w:eastAsia="zh-CN"/>
        </w:rPr>
        <w:t>采购</w:t>
      </w:r>
      <w:r>
        <w:rPr>
          <w:rFonts w:hint="eastAsia" w:ascii="宋体" w:hAnsi="宋体"/>
          <w:sz w:val="24"/>
          <w:szCs w:val="24"/>
          <w:highlight w:val="none"/>
        </w:rPr>
        <w:t>人的需要或未达到</w:t>
      </w:r>
      <w:r>
        <w:rPr>
          <w:rFonts w:hint="eastAsia" w:ascii="宋体" w:hAnsi="宋体"/>
          <w:sz w:val="24"/>
          <w:szCs w:val="24"/>
          <w:highlight w:val="none"/>
          <w:lang w:val="en-US" w:eastAsia="zh-CN"/>
        </w:rPr>
        <w:t>竞谈</w:t>
      </w:r>
      <w:r>
        <w:rPr>
          <w:rFonts w:hint="eastAsia" w:ascii="宋体" w:hAnsi="宋体"/>
          <w:sz w:val="24"/>
          <w:szCs w:val="24"/>
          <w:highlight w:val="none"/>
        </w:rPr>
        <w:t>承诺的标准，经</w:t>
      </w:r>
      <w:r>
        <w:rPr>
          <w:rFonts w:hint="eastAsia" w:ascii="宋体" w:hAnsi="宋体"/>
          <w:sz w:val="24"/>
          <w:szCs w:val="24"/>
          <w:highlight w:val="none"/>
          <w:lang w:val="en-US" w:eastAsia="zh-CN"/>
        </w:rPr>
        <w:t>采购</w:t>
      </w:r>
      <w:r>
        <w:rPr>
          <w:rFonts w:hint="eastAsia" w:ascii="宋体" w:hAnsi="宋体"/>
          <w:sz w:val="24"/>
          <w:szCs w:val="24"/>
          <w:highlight w:val="none"/>
        </w:rPr>
        <w:t>人指出后仍未有改进的，</w:t>
      </w:r>
      <w:r>
        <w:rPr>
          <w:rFonts w:hint="eastAsia" w:ascii="宋体" w:hAnsi="宋体"/>
          <w:sz w:val="24"/>
          <w:szCs w:val="24"/>
          <w:highlight w:val="none"/>
          <w:lang w:val="en-US" w:eastAsia="zh-CN"/>
        </w:rPr>
        <w:t>采购</w:t>
      </w:r>
      <w:r>
        <w:rPr>
          <w:rFonts w:hint="eastAsia" w:ascii="宋体" w:hAnsi="宋体"/>
          <w:sz w:val="24"/>
          <w:szCs w:val="24"/>
          <w:highlight w:val="none"/>
        </w:rPr>
        <w:t>人可单方解除合同且不承担违约责任，由此造成</w:t>
      </w:r>
      <w:r>
        <w:rPr>
          <w:rFonts w:hint="eastAsia" w:ascii="宋体" w:hAnsi="宋体"/>
          <w:sz w:val="24"/>
          <w:szCs w:val="24"/>
          <w:highlight w:val="none"/>
          <w:lang w:val="en-US" w:eastAsia="zh-CN"/>
        </w:rPr>
        <w:t>采购人</w:t>
      </w:r>
      <w:r>
        <w:rPr>
          <w:rFonts w:hint="eastAsia" w:ascii="宋体" w:hAnsi="宋体"/>
          <w:sz w:val="24"/>
          <w:szCs w:val="24"/>
          <w:highlight w:val="none"/>
        </w:rPr>
        <w:t>的一切损失均由</w:t>
      </w:r>
      <w:r>
        <w:rPr>
          <w:rFonts w:hint="eastAsia" w:ascii="宋体" w:hAnsi="宋体"/>
          <w:sz w:val="24"/>
          <w:szCs w:val="24"/>
          <w:highlight w:val="none"/>
          <w:lang w:val="en-US" w:eastAsia="zh-CN"/>
        </w:rPr>
        <w:t>成交</w:t>
      </w:r>
      <w:r>
        <w:rPr>
          <w:rFonts w:hint="eastAsia" w:ascii="宋体" w:hAnsi="宋体"/>
          <w:sz w:val="24"/>
          <w:szCs w:val="24"/>
          <w:highlight w:val="none"/>
        </w:rPr>
        <w:t>人承担。</w:t>
      </w:r>
    </w:p>
    <w:p w14:paraId="54050F57">
      <w:pPr>
        <w:spacing w:line="360" w:lineRule="auto"/>
        <w:ind w:firstLine="480" w:firstLineChars="200"/>
        <w:rPr>
          <w:rFonts w:ascii="宋体" w:hAnsi="宋体"/>
          <w:sz w:val="24"/>
          <w:szCs w:val="24"/>
          <w:highlight w:val="none"/>
        </w:rPr>
      </w:pPr>
      <w:r>
        <w:rPr>
          <w:rFonts w:hint="eastAsia" w:ascii="宋体" w:hAnsi="宋体"/>
          <w:sz w:val="24"/>
          <w:szCs w:val="24"/>
          <w:highlight w:val="none"/>
          <w:lang w:val="en-US" w:eastAsia="zh-CN"/>
        </w:rPr>
        <w:t>5.2</w:t>
      </w:r>
      <w:r>
        <w:rPr>
          <w:rFonts w:hint="eastAsia" w:ascii="宋体" w:hAnsi="宋体"/>
          <w:sz w:val="24"/>
          <w:szCs w:val="24"/>
          <w:highlight w:val="none"/>
        </w:rPr>
        <w:t>服务过程中</w:t>
      </w:r>
      <w:r>
        <w:rPr>
          <w:rFonts w:hint="eastAsia" w:ascii="宋体" w:hAnsi="宋体"/>
          <w:sz w:val="24"/>
          <w:szCs w:val="24"/>
          <w:highlight w:val="none"/>
          <w:lang w:val="en-US" w:eastAsia="zh-CN"/>
        </w:rPr>
        <w:t>采购</w:t>
      </w:r>
      <w:r>
        <w:rPr>
          <w:rFonts w:hint="eastAsia" w:ascii="宋体" w:hAnsi="宋体"/>
          <w:sz w:val="24"/>
          <w:szCs w:val="24"/>
          <w:highlight w:val="none"/>
        </w:rPr>
        <w:t>人可根据项目具体实施情况及需要对工作内容进行调整，</w:t>
      </w:r>
      <w:r>
        <w:rPr>
          <w:rFonts w:hint="eastAsia" w:ascii="宋体" w:hAnsi="宋体"/>
          <w:sz w:val="24"/>
          <w:szCs w:val="24"/>
          <w:highlight w:val="none"/>
          <w:lang w:val="en-US" w:eastAsia="zh-CN"/>
        </w:rPr>
        <w:t>成交</w:t>
      </w:r>
      <w:r>
        <w:rPr>
          <w:rFonts w:hint="eastAsia" w:ascii="宋体" w:hAnsi="宋体"/>
          <w:sz w:val="24"/>
          <w:szCs w:val="24"/>
          <w:highlight w:val="none"/>
        </w:rPr>
        <w:t>人需配合</w:t>
      </w:r>
      <w:r>
        <w:rPr>
          <w:rFonts w:hint="eastAsia" w:ascii="宋体" w:hAnsi="宋体"/>
          <w:sz w:val="24"/>
          <w:szCs w:val="24"/>
          <w:highlight w:val="none"/>
          <w:lang w:val="en-US" w:eastAsia="zh-CN"/>
        </w:rPr>
        <w:t>采购</w:t>
      </w:r>
      <w:r>
        <w:rPr>
          <w:rFonts w:hint="eastAsia" w:ascii="宋体" w:hAnsi="宋体"/>
          <w:sz w:val="24"/>
          <w:szCs w:val="24"/>
          <w:highlight w:val="none"/>
        </w:rPr>
        <w:t>人工作且不得以此作为索赔、调整价格的理由。</w:t>
      </w:r>
    </w:p>
    <w:p w14:paraId="5CA1139F">
      <w:pPr>
        <w:pStyle w:val="289"/>
        <w:wordWrap w:val="0"/>
        <w:spacing w:line="360" w:lineRule="auto"/>
        <w:ind w:firstLine="480" w:firstLineChars="200"/>
        <w:jc w:val="left"/>
        <w:rPr>
          <w:rFonts w:hint="eastAsia" w:ascii="宋体" w:hAnsi="宋体"/>
          <w:sz w:val="24"/>
          <w:szCs w:val="24"/>
          <w:highlight w:val="none"/>
        </w:rPr>
      </w:pPr>
      <w:r>
        <w:rPr>
          <w:rFonts w:hint="eastAsia" w:ascii="宋体" w:hAnsi="宋体"/>
          <w:sz w:val="24"/>
          <w:szCs w:val="24"/>
          <w:highlight w:val="none"/>
          <w:lang w:val="en-US" w:eastAsia="zh-CN"/>
        </w:rPr>
        <w:t>5.3</w:t>
      </w:r>
      <w:r>
        <w:rPr>
          <w:rFonts w:hint="eastAsia" w:ascii="宋体" w:hAnsi="宋体"/>
          <w:sz w:val="24"/>
          <w:szCs w:val="24"/>
          <w:highlight w:val="none"/>
        </w:rPr>
        <w:t>项目结束需要向</w:t>
      </w:r>
      <w:r>
        <w:rPr>
          <w:rFonts w:hint="eastAsia" w:ascii="宋体" w:hAnsi="宋体"/>
          <w:sz w:val="24"/>
          <w:szCs w:val="24"/>
          <w:highlight w:val="none"/>
          <w:lang w:val="en-US" w:eastAsia="zh-CN"/>
        </w:rPr>
        <w:t>采购</w:t>
      </w:r>
      <w:r>
        <w:rPr>
          <w:rFonts w:hint="eastAsia" w:ascii="宋体" w:hAnsi="宋体"/>
          <w:sz w:val="24"/>
          <w:szCs w:val="24"/>
          <w:highlight w:val="none"/>
        </w:rPr>
        <w:t>人至少交付一套全部工作过程形成的记录、档案资料。</w:t>
      </w:r>
    </w:p>
    <w:p w14:paraId="124FE946">
      <w:pPr>
        <w:spacing w:line="360" w:lineRule="auto"/>
        <w:ind w:firstLine="480" w:firstLineChars="200"/>
        <w:rPr>
          <w:rFonts w:hint="eastAsia" w:asciiTheme="minorEastAsia" w:hAnsiTheme="minorEastAsia" w:eastAsiaTheme="minorEastAsia" w:cstheme="minorEastAsia"/>
          <w:b w:val="0"/>
          <w:bCs w:val="0"/>
          <w:color w:val="000000"/>
          <w:sz w:val="24"/>
          <w:szCs w:val="24"/>
          <w:highlight w:val="none"/>
          <w:lang w:val="zh-CN"/>
        </w:rPr>
      </w:pPr>
      <w:r>
        <w:rPr>
          <w:rFonts w:hint="eastAsia" w:asciiTheme="minorEastAsia" w:hAnsiTheme="minorEastAsia" w:eastAsiaTheme="minorEastAsia" w:cstheme="minorEastAsia"/>
          <w:b w:val="0"/>
          <w:bCs w:val="0"/>
          <w:color w:val="000000"/>
          <w:sz w:val="24"/>
          <w:szCs w:val="24"/>
          <w:highlight w:val="none"/>
          <w:lang w:val="en-US" w:eastAsia="zh-CN"/>
        </w:rPr>
        <w:t>6、</w:t>
      </w:r>
      <w:r>
        <w:rPr>
          <w:rFonts w:hint="eastAsia" w:asciiTheme="minorEastAsia" w:hAnsiTheme="minorEastAsia" w:eastAsiaTheme="minorEastAsia" w:cstheme="minorEastAsia"/>
          <w:b w:val="0"/>
          <w:bCs w:val="0"/>
          <w:color w:val="000000"/>
          <w:sz w:val="24"/>
          <w:szCs w:val="24"/>
          <w:highlight w:val="none"/>
          <w:lang w:val="zh-CN"/>
        </w:rPr>
        <w:t>质量要求</w:t>
      </w:r>
    </w:p>
    <w:p w14:paraId="79120E0B">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6.1</w:t>
      </w:r>
      <w:r>
        <w:rPr>
          <w:rFonts w:hint="eastAsia" w:ascii="宋体" w:hAnsi="宋体"/>
          <w:sz w:val="24"/>
          <w:szCs w:val="24"/>
          <w:highlight w:val="none"/>
          <w:lang w:val="zh-CN"/>
        </w:rPr>
        <w:t>造价控制过程应当符合国家现行的法律法规及规范，</w:t>
      </w:r>
      <w:r>
        <w:rPr>
          <w:rFonts w:hint="eastAsia" w:ascii="宋体" w:hAnsi="宋体"/>
          <w:sz w:val="24"/>
          <w:szCs w:val="24"/>
          <w:highlight w:val="none"/>
          <w:lang w:val="en-US" w:eastAsia="zh-CN"/>
        </w:rPr>
        <w:t>符合</w:t>
      </w:r>
      <w:r>
        <w:rPr>
          <w:rFonts w:hint="eastAsia" w:ascii="宋体" w:hAnsi="宋体"/>
          <w:sz w:val="24"/>
          <w:szCs w:val="24"/>
          <w:highlight w:val="none"/>
          <w:lang w:val="zh-CN"/>
        </w:rPr>
        <w:t>云南省</w:t>
      </w:r>
      <w:r>
        <w:rPr>
          <w:rFonts w:hint="eastAsia" w:ascii="宋体" w:hAnsi="宋体"/>
          <w:sz w:val="24"/>
          <w:szCs w:val="24"/>
          <w:highlight w:val="none"/>
          <w:lang w:val="en-US" w:eastAsia="zh-CN"/>
        </w:rPr>
        <w:t>和玉溪市</w:t>
      </w:r>
      <w:r>
        <w:rPr>
          <w:rFonts w:hint="eastAsia" w:ascii="宋体" w:hAnsi="宋体"/>
          <w:sz w:val="24"/>
          <w:szCs w:val="24"/>
          <w:highlight w:val="none"/>
          <w:lang w:val="zh-CN"/>
        </w:rPr>
        <w:t>的其他相关规定；</w:t>
      </w:r>
    </w:p>
    <w:p w14:paraId="6794FC78">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6.2</w:t>
      </w:r>
      <w:r>
        <w:rPr>
          <w:rFonts w:hint="eastAsia" w:ascii="宋体" w:hAnsi="宋体"/>
          <w:sz w:val="24"/>
          <w:szCs w:val="24"/>
          <w:highlight w:val="none"/>
          <w:lang w:val="zh-CN"/>
        </w:rPr>
        <w:t>满足工程基本建设有关规章以及住建部、云南省政府、云南省住房和城乡建设厅、审计部门涉及项目造价管理的有关规定、文件及</w:t>
      </w:r>
      <w:r>
        <w:rPr>
          <w:rFonts w:hint="eastAsia" w:ascii="宋体" w:hAnsi="宋体"/>
          <w:sz w:val="24"/>
          <w:szCs w:val="24"/>
          <w:highlight w:val="none"/>
          <w:lang w:val="en-US" w:eastAsia="zh-CN"/>
        </w:rPr>
        <w:t>采购</w:t>
      </w:r>
      <w:r>
        <w:rPr>
          <w:rFonts w:hint="eastAsia" w:ascii="宋体" w:hAnsi="宋体"/>
          <w:sz w:val="24"/>
          <w:szCs w:val="24"/>
          <w:highlight w:val="none"/>
          <w:lang w:val="zh-CN"/>
        </w:rPr>
        <w:t>人的要求。</w:t>
      </w:r>
    </w:p>
    <w:p w14:paraId="141CBCE6">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6.3</w:t>
      </w:r>
      <w:r>
        <w:rPr>
          <w:rFonts w:hint="eastAsia" w:ascii="宋体" w:hAnsi="宋体"/>
          <w:sz w:val="24"/>
          <w:szCs w:val="24"/>
          <w:highlight w:val="none"/>
          <w:lang w:val="zh-CN"/>
        </w:rPr>
        <w:t>严格按照省、市建设行政主管部门及行业有关工程计价、结算的规定开展工作。</w:t>
      </w:r>
    </w:p>
    <w:p w14:paraId="047BAE88">
      <w:pPr>
        <w:pStyle w:val="289"/>
        <w:wordWrap w:val="0"/>
        <w:spacing w:line="360" w:lineRule="auto"/>
        <w:ind w:firstLine="480" w:firstLineChars="200"/>
        <w:jc w:val="left"/>
        <w:rPr>
          <w:rFonts w:hint="eastAsia" w:ascii="宋体" w:hAnsi="宋体" w:eastAsia="宋体"/>
          <w:sz w:val="24"/>
          <w:szCs w:val="24"/>
          <w:highlight w:val="none"/>
          <w:lang w:val="zh-CN" w:eastAsia="zh-CN"/>
        </w:rPr>
      </w:pPr>
      <w:r>
        <w:rPr>
          <w:rFonts w:hint="eastAsia" w:ascii="宋体" w:hAnsi="宋体"/>
          <w:sz w:val="24"/>
          <w:highlight w:val="none"/>
          <w:lang w:val="en-US" w:eastAsia="zh-CN"/>
        </w:rPr>
        <w:t>6.4其他咨询服务的重点是项目的合规性咨询服务，合规性服务应当</w:t>
      </w:r>
      <w:r>
        <w:rPr>
          <w:rFonts w:hint="eastAsia" w:ascii="宋体" w:hAnsi="宋体"/>
          <w:sz w:val="24"/>
          <w:highlight w:val="none"/>
        </w:rPr>
        <w:t>符合国家现行法律、法规、规范及云南</w:t>
      </w:r>
      <w:r>
        <w:rPr>
          <w:rFonts w:hint="eastAsia" w:ascii="宋体" w:hAnsi="宋体"/>
          <w:sz w:val="24"/>
          <w:highlight w:val="none"/>
          <w:lang w:val="en-US" w:eastAsia="zh-CN"/>
        </w:rPr>
        <w:t>省国资委有关国有企业审计工作的相关要求</w:t>
      </w:r>
      <w:r>
        <w:rPr>
          <w:rFonts w:hint="eastAsia" w:ascii="宋体" w:hAnsi="宋体"/>
          <w:sz w:val="24"/>
          <w:highlight w:val="none"/>
        </w:rPr>
        <w:t>的其他相关规定</w:t>
      </w:r>
      <w:r>
        <w:rPr>
          <w:rFonts w:hint="eastAsia" w:ascii="宋体" w:hAnsi="宋体"/>
          <w:sz w:val="24"/>
          <w:highlight w:val="none"/>
          <w:lang w:eastAsia="zh-CN"/>
        </w:rPr>
        <w:t>。</w:t>
      </w:r>
    </w:p>
    <w:p w14:paraId="54A2FCAD">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6.5成交</w:t>
      </w:r>
      <w:r>
        <w:rPr>
          <w:rFonts w:hint="eastAsia" w:ascii="宋体" w:hAnsi="宋体"/>
          <w:sz w:val="24"/>
          <w:szCs w:val="24"/>
          <w:highlight w:val="none"/>
          <w:lang w:val="zh-CN"/>
        </w:rPr>
        <w:t>人应本着“客观、公正、合理、 科学”的原则，遵守国家法律法规和有关文件规定，正确执行计价依据，认真履行职责，同时承担相应的法律责任。</w:t>
      </w:r>
    </w:p>
    <w:p w14:paraId="509EA524">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6.6成交</w:t>
      </w:r>
      <w:r>
        <w:rPr>
          <w:rFonts w:hint="eastAsia" w:ascii="宋体" w:hAnsi="宋体"/>
          <w:sz w:val="24"/>
          <w:szCs w:val="24"/>
          <w:highlight w:val="none"/>
          <w:lang w:val="zh-CN"/>
        </w:rPr>
        <w:t>人不得参加与受委托的工程项目审计有关的经营活动，对项目审计实行回避制度。</w:t>
      </w:r>
    </w:p>
    <w:p w14:paraId="040F18B0">
      <w:pPr>
        <w:pStyle w:val="289"/>
        <w:wordWrap w:val="0"/>
        <w:spacing w:line="360" w:lineRule="auto"/>
        <w:ind w:firstLine="480" w:firstLineChars="200"/>
        <w:jc w:val="left"/>
        <w:rPr>
          <w:rFonts w:hint="eastAsia" w:ascii="宋体" w:hAnsi="宋体"/>
          <w:sz w:val="24"/>
          <w:szCs w:val="24"/>
          <w:highlight w:val="none"/>
          <w:lang w:val="zh-CN"/>
        </w:rPr>
      </w:pPr>
      <w:r>
        <w:rPr>
          <w:rFonts w:hint="eastAsia" w:ascii="宋体" w:hAnsi="宋体"/>
          <w:sz w:val="24"/>
          <w:szCs w:val="24"/>
          <w:highlight w:val="none"/>
          <w:lang w:val="en-US" w:eastAsia="zh-CN"/>
        </w:rPr>
        <w:t>6.7</w:t>
      </w:r>
      <w:r>
        <w:rPr>
          <w:rFonts w:hint="eastAsia" w:ascii="宋体" w:hAnsi="宋体"/>
          <w:sz w:val="24"/>
          <w:szCs w:val="24"/>
          <w:highlight w:val="none"/>
          <w:lang w:val="zh-CN"/>
        </w:rPr>
        <w:t>对</w:t>
      </w:r>
      <w:r>
        <w:rPr>
          <w:rFonts w:hint="eastAsia" w:ascii="宋体" w:hAnsi="宋体"/>
          <w:sz w:val="24"/>
          <w:szCs w:val="24"/>
          <w:highlight w:val="none"/>
          <w:lang w:val="en-US" w:eastAsia="zh-CN"/>
        </w:rPr>
        <w:t>成交</w:t>
      </w:r>
      <w:r>
        <w:rPr>
          <w:rFonts w:hint="eastAsia" w:ascii="宋体" w:hAnsi="宋体"/>
          <w:sz w:val="24"/>
          <w:szCs w:val="24"/>
          <w:highlight w:val="none"/>
          <w:lang w:val="zh-CN"/>
        </w:rPr>
        <w:t>人滥用职权、营私舞弊、玩忽职守应按情节轻重给予取消</w:t>
      </w:r>
      <w:r>
        <w:rPr>
          <w:rFonts w:hint="eastAsia" w:ascii="宋体" w:hAnsi="宋体"/>
          <w:sz w:val="24"/>
          <w:szCs w:val="24"/>
          <w:highlight w:val="none"/>
          <w:lang w:val="en-US" w:eastAsia="zh-CN"/>
        </w:rPr>
        <w:t>成交</w:t>
      </w:r>
      <w:r>
        <w:rPr>
          <w:rFonts w:hint="eastAsia" w:ascii="宋体" w:hAnsi="宋体"/>
          <w:sz w:val="24"/>
          <w:szCs w:val="24"/>
          <w:highlight w:val="none"/>
          <w:lang w:val="zh-CN"/>
        </w:rPr>
        <w:t>资格。情节严重，造成</w:t>
      </w:r>
      <w:r>
        <w:rPr>
          <w:rFonts w:hint="eastAsia" w:ascii="宋体" w:hAnsi="宋体"/>
          <w:sz w:val="24"/>
          <w:szCs w:val="24"/>
          <w:highlight w:val="none"/>
          <w:lang w:val="en-US" w:eastAsia="zh-CN"/>
        </w:rPr>
        <w:t>采购</w:t>
      </w:r>
      <w:r>
        <w:rPr>
          <w:rFonts w:hint="eastAsia" w:ascii="宋体" w:hAnsi="宋体"/>
          <w:sz w:val="24"/>
          <w:szCs w:val="24"/>
          <w:highlight w:val="none"/>
          <w:lang w:val="zh-CN"/>
        </w:rPr>
        <w:t>人重大损失的，移送司法机关追究刑事责任。</w:t>
      </w:r>
    </w:p>
    <w:p w14:paraId="3A4E37ED">
      <w:pPr>
        <w:numPr>
          <w:ilvl w:val="0"/>
          <w:numId w:val="11"/>
        </w:numPr>
        <w:ind w:firstLine="482" w:firstLineChars="200"/>
        <w:jc w:val="left"/>
        <w:rPr>
          <w:rFonts w:hint="eastAsia" w:ascii="宋体" w:hAnsi="宋体" w:eastAsia="宋体" w:cs="Times New Roman"/>
          <w:b/>
          <w:bCs/>
          <w:sz w:val="24"/>
          <w:szCs w:val="24"/>
          <w:highlight w:val="none"/>
        </w:rPr>
      </w:pPr>
      <w:bookmarkStart w:id="843" w:name="_Toc27007"/>
      <w:bookmarkStart w:id="844" w:name="_Toc29939"/>
      <w:bookmarkStart w:id="845" w:name="_Toc1228"/>
      <w:bookmarkStart w:id="846" w:name="_Toc29529"/>
      <w:bookmarkStart w:id="847" w:name="_Toc55303740"/>
      <w:bookmarkStart w:id="848" w:name="_Toc25829"/>
      <w:bookmarkStart w:id="849" w:name="_Toc55229785"/>
      <w:bookmarkStart w:id="850" w:name="_Toc55310053"/>
      <w:bookmarkStart w:id="851" w:name="_Toc32282"/>
      <w:r>
        <w:rPr>
          <w:rFonts w:hint="eastAsia" w:ascii="宋体" w:hAnsi="宋体" w:eastAsia="宋体" w:cs="Times New Roman"/>
          <w:b/>
          <w:bCs/>
          <w:sz w:val="24"/>
          <w:szCs w:val="24"/>
          <w:highlight w:val="none"/>
        </w:rPr>
        <w:t>谈判申请人资格要求</w:t>
      </w:r>
      <w:bookmarkEnd w:id="843"/>
      <w:bookmarkEnd w:id="844"/>
      <w:bookmarkEnd w:id="845"/>
      <w:bookmarkEnd w:id="846"/>
      <w:bookmarkEnd w:id="847"/>
      <w:bookmarkEnd w:id="848"/>
      <w:bookmarkEnd w:id="849"/>
      <w:bookmarkEnd w:id="850"/>
      <w:bookmarkEnd w:id="851"/>
    </w:p>
    <w:p w14:paraId="4ECFFA24">
      <w:pPr>
        <w:numPr>
          <w:ilvl w:val="0"/>
          <w:numId w:val="0"/>
        </w:numPr>
        <w:jc w:val="left"/>
        <w:rPr>
          <w:rFonts w:hint="eastAsia" w:ascii="宋体" w:hAnsi="宋体" w:eastAsia="宋体" w:cs="Times New Roman"/>
          <w:sz w:val="24"/>
          <w:szCs w:val="24"/>
          <w:highlight w:val="none"/>
          <w:lang w:val="en-US" w:eastAsia="zh-CN"/>
        </w:rPr>
      </w:pPr>
      <w:r>
        <w:rPr>
          <w:rFonts w:hint="eastAsia" w:ascii="宋体" w:hAnsi="宋体" w:eastAsia="宋体" w:cs="Times New Roman"/>
          <w:sz w:val="24"/>
          <w:szCs w:val="24"/>
          <w:highlight w:val="none"/>
          <w:lang w:val="en-US" w:eastAsia="zh-CN"/>
        </w:rPr>
        <w:t xml:space="preserve">  详见：第一章采购公告“三、供应商资格要求”。</w:t>
      </w:r>
    </w:p>
    <w:p w14:paraId="4A664FD0">
      <w:pPr>
        <w:widowControl w:val="0"/>
        <w:adjustRightInd w:val="0"/>
        <w:snapToGrid w:val="0"/>
        <w:spacing w:line="384" w:lineRule="auto"/>
        <w:ind w:firstLine="482" w:firstLineChars="200"/>
        <w:jc w:val="both"/>
        <w:rPr>
          <w:rFonts w:ascii="宋体" w:hAnsi="宋体" w:cs="宋体"/>
          <w:b/>
          <w:bCs/>
          <w:kern w:val="2"/>
          <w:sz w:val="24"/>
          <w:szCs w:val="24"/>
          <w:highlight w:val="none"/>
        </w:rPr>
      </w:pPr>
      <w:r>
        <w:rPr>
          <w:rFonts w:hint="eastAsia" w:ascii="宋体" w:hAnsi="宋体" w:cs="宋体"/>
          <w:b/>
          <w:bCs/>
          <w:kern w:val="2"/>
          <w:sz w:val="24"/>
          <w:szCs w:val="24"/>
          <w:highlight w:val="none"/>
          <w:lang w:eastAsia="zh-CN"/>
        </w:rPr>
        <w:t>三、</w:t>
      </w:r>
      <w:r>
        <w:rPr>
          <w:rFonts w:hint="eastAsia" w:ascii="宋体" w:hAnsi="宋体" w:cs="宋体"/>
          <w:b/>
          <w:bCs/>
          <w:kern w:val="2"/>
          <w:sz w:val="24"/>
          <w:szCs w:val="24"/>
          <w:highlight w:val="none"/>
        </w:rPr>
        <w:t>项目咨询团队及人员</w:t>
      </w:r>
    </w:p>
    <w:p w14:paraId="150EE3B2">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val="en-US" w:eastAsia="zh-CN"/>
        </w:rPr>
        <w:t>1、</w:t>
      </w:r>
      <w:r>
        <w:rPr>
          <w:rFonts w:hint="eastAsia" w:ascii="宋体" w:hAnsi="宋体" w:cs="宋体"/>
          <w:kern w:val="2"/>
          <w:sz w:val="24"/>
          <w:szCs w:val="24"/>
          <w:highlight w:val="none"/>
        </w:rPr>
        <w:t>项目咨询团队人员的数量</w:t>
      </w:r>
      <w:r>
        <w:rPr>
          <w:rFonts w:hint="eastAsia" w:ascii="宋体" w:hAnsi="宋体" w:cs="宋体"/>
          <w:kern w:val="2"/>
          <w:sz w:val="24"/>
          <w:szCs w:val="24"/>
          <w:highlight w:val="none"/>
          <w:u w:val="single" w:color="000000"/>
        </w:rPr>
        <w:t xml:space="preserve"> 响应</w:t>
      </w:r>
      <w:r>
        <w:rPr>
          <w:rFonts w:hint="eastAsia" w:ascii="宋体" w:hAnsi="宋体" w:cs="宋体"/>
          <w:kern w:val="2"/>
          <w:sz w:val="24"/>
          <w:szCs w:val="24"/>
          <w:highlight w:val="none"/>
          <w:u w:val="single" w:color="000000"/>
          <w:lang w:val="en-US" w:eastAsia="zh-CN"/>
        </w:rPr>
        <w:t>竞争性谈判邀请</w:t>
      </w:r>
      <w:r>
        <w:rPr>
          <w:rFonts w:hint="eastAsia" w:ascii="宋体" w:hAnsi="宋体" w:cs="宋体"/>
          <w:kern w:val="2"/>
          <w:sz w:val="24"/>
          <w:szCs w:val="24"/>
          <w:highlight w:val="none"/>
          <w:u w:val="single" w:color="000000"/>
        </w:rPr>
        <w:t>文件承诺，并满足工程项目</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全过程造价控制</w:t>
      </w:r>
      <w:r>
        <w:rPr>
          <w:rFonts w:hint="eastAsia" w:ascii="宋体" w:hAnsi="宋体" w:cs="宋体"/>
          <w:kern w:val="2"/>
          <w:sz w:val="24"/>
          <w:szCs w:val="24"/>
          <w:highlight w:val="none"/>
          <w:u w:val="single" w:color="000000"/>
        </w:rPr>
        <w:t>工作需求</w:t>
      </w:r>
      <w:r>
        <w:rPr>
          <w:rFonts w:hint="eastAsia" w:ascii="宋体" w:hAnsi="宋体" w:cs="宋体"/>
          <w:kern w:val="2"/>
          <w:sz w:val="24"/>
          <w:szCs w:val="24"/>
          <w:highlight w:val="none"/>
        </w:rPr>
        <w:t>。</w:t>
      </w:r>
    </w:p>
    <w:p w14:paraId="750EEC0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val="en-US" w:eastAsia="zh-CN"/>
        </w:rPr>
        <w:t>2、</w:t>
      </w:r>
      <w:r>
        <w:rPr>
          <w:rFonts w:hint="eastAsia" w:ascii="宋体" w:hAnsi="宋体" w:cs="宋体"/>
          <w:kern w:val="2"/>
          <w:sz w:val="24"/>
          <w:szCs w:val="24"/>
          <w:highlight w:val="none"/>
        </w:rPr>
        <w:t>项目负责人：</w:t>
      </w:r>
    </w:p>
    <w:p w14:paraId="06343753">
      <w:pPr>
        <w:widowControl w:val="0"/>
        <w:adjustRightInd w:val="0"/>
        <w:snapToGrid w:val="0"/>
        <w:spacing w:line="384" w:lineRule="auto"/>
        <w:ind w:firstLine="480" w:firstLineChars="200"/>
        <w:jc w:val="both"/>
        <w:rPr>
          <w:rFonts w:ascii="宋体" w:hAnsi="宋体" w:cs="宋体"/>
          <w:kern w:val="2"/>
          <w:sz w:val="24"/>
          <w:szCs w:val="24"/>
          <w:highlight w:val="none"/>
          <w:u w:val="single" w:color="000000"/>
        </w:rPr>
      </w:pPr>
      <w:r>
        <w:rPr>
          <w:rFonts w:hint="eastAsia" w:ascii="宋体" w:hAnsi="宋体" w:cs="宋体"/>
          <w:kern w:val="2"/>
          <w:sz w:val="24"/>
          <w:szCs w:val="24"/>
          <w:highlight w:val="none"/>
          <w:lang w:val="en-US" w:eastAsia="zh-CN"/>
        </w:rPr>
        <w:t>1</w:t>
      </w:r>
      <w:r>
        <w:rPr>
          <w:rFonts w:hint="eastAsia" w:ascii="宋体" w:hAnsi="宋体" w:cs="宋体"/>
          <w:kern w:val="2"/>
          <w:sz w:val="24"/>
          <w:szCs w:val="24"/>
          <w:highlight w:val="none"/>
        </w:rPr>
        <w:t>.负责人为：</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，身份证号：</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，电话号码：</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，证书号：</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 xml:space="preserve">           </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none" w:color="auto"/>
        </w:rPr>
        <w:t>。</w:t>
      </w:r>
    </w:p>
    <w:p w14:paraId="4F5DABF0">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rPr>
        <w:t>项目负责人为履行本合同的权限为：</w:t>
      </w:r>
      <w:r>
        <w:rPr>
          <w:rFonts w:hint="eastAsia" w:ascii="宋体" w:hAnsi="宋体" w:cs="宋体"/>
          <w:kern w:val="2"/>
          <w:sz w:val="24"/>
          <w:szCs w:val="24"/>
          <w:highlight w:val="none"/>
          <w:u w:val="single"/>
        </w:rPr>
        <w:t>对工程项目</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全过程造价控制</w:t>
      </w:r>
      <w:r>
        <w:rPr>
          <w:rFonts w:hint="eastAsia" w:ascii="宋体" w:hAnsi="宋体" w:cs="宋体"/>
          <w:kern w:val="2"/>
          <w:sz w:val="24"/>
          <w:szCs w:val="24"/>
          <w:highlight w:val="none"/>
          <w:u w:val="single"/>
        </w:rPr>
        <w:t>进行合理统筹安排，负责与</w:t>
      </w:r>
      <w:r>
        <w:rPr>
          <w:rFonts w:hint="eastAsia" w:ascii="宋体" w:hAnsi="宋体" w:cs="宋体"/>
          <w:kern w:val="2"/>
          <w:sz w:val="24"/>
          <w:szCs w:val="24"/>
          <w:highlight w:val="none"/>
          <w:u w:val="single" w:color="auto"/>
          <w:lang w:val="en-US" w:eastAsia="zh-CN"/>
        </w:rPr>
        <w:t>控制价编制服务及</w:t>
      </w:r>
      <w:r>
        <w:rPr>
          <w:rFonts w:hint="eastAsia" w:ascii="宋体" w:hAnsi="宋体" w:cs="宋体"/>
          <w:kern w:val="2"/>
          <w:sz w:val="24"/>
          <w:szCs w:val="24"/>
          <w:highlight w:val="none"/>
          <w:u w:val="single" w:color="auto"/>
        </w:rPr>
        <w:t>全过程造价</w:t>
      </w:r>
      <w:r>
        <w:rPr>
          <w:rFonts w:hint="eastAsia" w:ascii="宋体" w:hAnsi="宋体" w:cs="宋体"/>
          <w:kern w:val="2"/>
          <w:sz w:val="24"/>
          <w:szCs w:val="24"/>
          <w:highlight w:val="none"/>
          <w:u w:val="single"/>
        </w:rPr>
        <w:t>控制中相关人员的协调工作，完成合同约定咨询服务的全部内容，负责合同履行过程中各种文件的签署与确认，乙方对审核结果负责</w:t>
      </w:r>
      <w:r>
        <w:rPr>
          <w:rFonts w:hint="eastAsia" w:ascii="宋体" w:hAnsi="宋体" w:cs="宋体"/>
          <w:kern w:val="2"/>
          <w:sz w:val="24"/>
          <w:szCs w:val="24"/>
          <w:highlight w:val="none"/>
        </w:rPr>
        <w:t>。</w:t>
      </w:r>
    </w:p>
    <w:p w14:paraId="08E75B44">
      <w:pPr>
        <w:adjustRightInd w:val="0"/>
        <w:snapToGrid w:val="0"/>
        <w:spacing w:line="360" w:lineRule="auto"/>
        <w:ind w:left="105" w:leftChars="50" w:firstLine="360" w:firstLineChars="150"/>
        <w:rPr>
          <w:rFonts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.项目负责人必须按时参加项目各类会议，每周到现场服务时间不少于</w:t>
      </w:r>
      <w:r>
        <w:rPr>
          <w:rFonts w:hint="eastAsia" w:ascii="宋体" w:hAnsi="宋体"/>
          <w:sz w:val="24"/>
          <w:highlight w:val="none"/>
          <w:lang w:val="en-US" w:eastAsia="zh-CN"/>
        </w:rPr>
        <w:t>2</w:t>
      </w:r>
      <w:r>
        <w:rPr>
          <w:rFonts w:hint="eastAsia" w:ascii="宋体" w:hAnsi="宋体"/>
          <w:sz w:val="24"/>
          <w:highlight w:val="none"/>
        </w:rPr>
        <w:t>天（国定节假日除外），及时处理项目约定范围内服务内容，若出现重大情况需3小时内到达指定地点（含节假日）。</w:t>
      </w:r>
    </w:p>
    <w:p w14:paraId="173E81F4">
      <w:pPr>
        <w:widowControl w:val="0"/>
        <w:adjustRightInd w:val="0"/>
        <w:snapToGrid w:val="0"/>
        <w:spacing w:line="384" w:lineRule="auto"/>
        <w:ind w:firstLine="480" w:firstLineChars="200"/>
        <w:jc w:val="both"/>
        <w:rPr>
          <w:rFonts w:hint="eastAsia" w:ascii="宋体" w:hAnsi="宋体" w:cs="宋体"/>
          <w:kern w:val="2"/>
          <w:sz w:val="24"/>
          <w:szCs w:val="24"/>
          <w:highlight w:val="none"/>
        </w:rPr>
      </w:pPr>
      <w:r>
        <w:rPr>
          <w:rFonts w:hint="eastAsia" w:ascii="宋体" w:hAnsi="宋体" w:cs="宋体"/>
          <w:kern w:val="2"/>
          <w:sz w:val="24"/>
          <w:szCs w:val="24"/>
          <w:highlight w:val="none"/>
          <w:lang w:val="en-US" w:eastAsia="zh-CN"/>
        </w:rPr>
        <w:t>3、</w:t>
      </w:r>
      <w:r>
        <w:rPr>
          <w:rFonts w:hint="eastAsia" w:ascii="宋体" w:hAnsi="宋体" w:cs="宋体"/>
          <w:kern w:val="2"/>
          <w:sz w:val="24"/>
          <w:szCs w:val="24"/>
          <w:highlight w:val="none"/>
        </w:rPr>
        <w:t>服务团队人员清单</w:t>
      </w:r>
    </w:p>
    <w:tbl>
      <w:tblPr>
        <w:tblStyle w:val="49"/>
        <w:tblW w:w="90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35"/>
        <w:gridCol w:w="1325"/>
        <w:gridCol w:w="1543"/>
        <w:gridCol w:w="1584"/>
        <w:gridCol w:w="1429"/>
        <w:gridCol w:w="1212"/>
        <w:gridCol w:w="1243"/>
      </w:tblGrid>
      <w:tr w14:paraId="73E3C3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Merge w:val="restart"/>
            <w:vAlign w:val="center"/>
          </w:tcPr>
          <w:p w14:paraId="368447ED">
            <w:pPr>
              <w:jc w:val="center"/>
              <w:rPr>
                <w:rFonts w:ascii="宋体" w:hAnsi="宋体" w:cs="宋体"/>
                <w:sz w:val="24"/>
                <w:szCs w:val="24"/>
                <w:highlight w:val="none"/>
              </w:rPr>
            </w:pPr>
            <w:r>
              <w:rPr>
                <w:rFonts w:hint="eastAsia" w:ascii="宋体" w:hAnsi="宋体" w:cs="宋体"/>
                <w:sz w:val="24"/>
                <w:szCs w:val="24"/>
                <w:highlight w:val="none"/>
              </w:rPr>
              <w:t>序号</w:t>
            </w:r>
          </w:p>
        </w:tc>
        <w:tc>
          <w:tcPr>
            <w:tcW w:w="1325" w:type="dxa"/>
            <w:vMerge w:val="restart"/>
            <w:vAlign w:val="center"/>
          </w:tcPr>
          <w:p w14:paraId="01BF7BC1">
            <w:pPr>
              <w:jc w:val="center"/>
              <w:rPr>
                <w:rFonts w:ascii="宋体" w:hAnsi="宋体" w:cs="宋体"/>
                <w:sz w:val="24"/>
                <w:szCs w:val="24"/>
                <w:highlight w:val="none"/>
              </w:rPr>
            </w:pPr>
            <w:r>
              <w:rPr>
                <w:rFonts w:hint="eastAsia" w:ascii="宋体" w:hAnsi="宋体" w:cs="宋体"/>
                <w:sz w:val="24"/>
                <w:szCs w:val="24"/>
                <w:highlight w:val="none"/>
              </w:rPr>
              <w:t>本项</w:t>
            </w:r>
            <w:r>
              <w:rPr>
                <w:rFonts w:hint="eastAsia" w:ascii="宋体" w:hAnsi="宋体" w:cs="宋体"/>
                <w:spacing w:val="-2"/>
                <w:sz w:val="24"/>
                <w:szCs w:val="24"/>
                <w:highlight w:val="none"/>
              </w:rPr>
              <w:t>目</w:t>
            </w:r>
            <w:r>
              <w:rPr>
                <w:rFonts w:hint="eastAsia" w:ascii="宋体" w:hAnsi="宋体" w:cs="宋体"/>
                <w:sz w:val="24"/>
                <w:szCs w:val="24"/>
                <w:highlight w:val="none"/>
              </w:rPr>
              <w:t>任职</w:t>
            </w:r>
          </w:p>
        </w:tc>
        <w:tc>
          <w:tcPr>
            <w:tcW w:w="1543" w:type="dxa"/>
            <w:vMerge w:val="restart"/>
            <w:vAlign w:val="center"/>
          </w:tcPr>
          <w:p w14:paraId="04564E71">
            <w:pPr>
              <w:jc w:val="center"/>
              <w:rPr>
                <w:rFonts w:ascii="宋体" w:hAnsi="宋体" w:cs="宋体"/>
                <w:sz w:val="24"/>
                <w:szCs w:val="24"/>
                <w:highlight w:val="none"/>
              </w:rPr>
            </w:pPr>
            <w:r>
              <w:rPr>
                <w:rFonts w:hint="eastAsia" w:ascii="宋体" w:hAnsi="宋体" w:cs="宋体"/>
                <w:sz w:val="24"/>
                <w:szCs w:val="24"/>
                <w:highlight w:val="none"/>
              </w:rPr>
              <w:t>姓名</w:t>
            </w:r>
          </w:p>
        </w:tc>
        <w:tc>
          <w:tcPr>
            <w:tcW w:w="4225" w:type="dxa"/>
            <w:gridSpan w:val="3"/>
            <w:vAlign w:val="center"/>
          </w:tcPr>
          <w:p w14:paraId="0E0EE25B">
            <w:pPr>
              <w:jc w:val="center"/>
              <w:rPr>
                <w:rFonts w:ascii="宋体" w:hAnsi="宋体" w:cs="宋体"/>
                <w:sz w:val="24"/>
                <w:szCs w:val="24"/>
                <w:highlight w:val="none"/>
              </w:rPr>
            </w:pPr>
            <w:r>
              <w:rPr>
                <w:rFonts w:hint="eastAsia" w:ascii="宋体" w:hAnsi="宋体" w:cs="宋体"/>
                <w:sz w:val="24"/>
                <w:szCs w:val="24"/>
                <w:highlight w:val="none"/>
              </w:rPr>
              <w:t>执业</w:t>
            </w:r>
            <w:r>
              <w:rPr>
                <w:rFonts w:hint="eastAsia" w:ascii="宋体" w:hAnsi="宋体" w:cs="宋体"/>
                <w:spacing w:val="-2"/>
                <w:sz w:val="24"/>
                <w:szCs w:val="24"/>
                <w:highlight w:val="none"/>
              </w:rPr>
              <w:t>或</w:t>
            </w:r>
            <w:r>
              <w:rPr>
                <w:rFonts w:hint="eastAsia" w:ascii="宋体" w:hAnsi="宋体" w:cs="宋体"/>
                <w:sz w:val="24"/>
                <w:szCs w:val="24"/>
                <w:highlight w:val="none"/>
              </w:rPr>
              <w:t>职</w:t>
            </w:r>
            <w:r>
              <w:rPr>
                <w:rFonts w:hint="eastAsia" w:ascii="宋体" w:hAnsi="宋体" w:cs="宋体"/>
                <w:spacing w:val="-2"/>
                <w:sz w:val="24"/>
                <w:szCs w:val="24"/>
                <w:highlight w:val="none"/>
              </w:rPr>
              <w:t>业</w:t>
            </w:r>
            <w:r>
              <w:rPr>
                <w:rFonts w:hint="eastAsia" w:ascii="宋体" w:hAnsi="宋体" w:cs="宋体"/>
                <w:sz w:val="24"/>
                <w:szCs w:val="24"/>
                <w:highlight w:val="none"/>
              </w:rPr>
              <w:t>资</w:t>
            </w:r>
            <w:r>
              <w:rPr>
                <w:rFonts w:hint="eastAsia" w:ascii="宋体" w:hAnsi="宋体" w:cs="宋体"/>
                <w:spacing w:val="-2"/>
                <w:sz w:val="24"/>
                <w:szCs w:val="24"/>
                <w:highlight w:val="none"/>
              </w:rPr>
              <w:t>格</w:t>
            </w:r>
            <w:r>
              <w:rPr>
                <w:rFonts w:hint="eastAsia" w:ascii="宋体" w:hAnsi="宋体" w:cs="宋体"/>
                <w:sz w:val="24"/>
                <w:szCs w:val="24"/>
                <w:highlight w:val="none"/>
              </w:rPr>
              <w:t>证明</w:t>
            </w:r>
          </w:p>
        </w:tc>
        <w:tc>
          <w:tcPr>
            <w:tcW w:w="1243" w:type="dxa"/>
            <w:vAlign w:val="center"/>
          </w:tcPr>
          <w:p w14:paraId="0F16C5BE">
            <w:pPr>
              <w:jc w:val="center"/>
              <w:rPr>
                <w:rFonts w:ascii="宋体" w:hAnsi="宋体" w:cs="宋体"/>
                <w:sz w:val="24"/>
                <w:szCs w:val="24"/>
                <w:highlight w:val="none"/>
              </w:rPr>
            </w:pPr>
            <w:r>
              <w:rPr>
                <w:rFonts w:hint="eastAsia" w:ascii="宋体" w:hAnsi="宋体" w:cs="宋体"/>
                <w:sz w:val="24"/>
                <w:szCs w:val="24"/>
                <w:highlight w:val="none"/>
              </w:rPr>
              <w:t>备注</w:t>
            </w:r>
          </w:p>
        </w:tc>
      </w:tr>
      <w:tr w14:paraId="11F484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jc w:val="center"/>
        </w:trPr>
        <w:tc>
          <w:tcPr>
            <w:tcW w:w="735" w:type="dxa"/>
            <w:vMerge w:val="continue"/>
            <w:vAlign w:val="center"/>
          </w:tcPr>
          <w:p w14:paraId="59D31B5C">
            <w:pPr>
              <w:jc w:val="both"/>
              <w:rPr>
                <w:rFonts w:ascii="宋体" w:hAnsi="宋体" w:cs="宋体"/>
                <w:sz w:val="24"/>
                <w:szCs w:val="24"/>
                <w:highlight w:val="none"/>
              </w:rPr>
            </w:pPr>
          </w:p>
        </w:tc>
        <w:tc>
          <w:tcPr>
            <w:tcW w:w="1325" w:type="dxa"/>
            <w:vMerge w:val="continue"/>
            <w:vAlign w:val="center"/>
          </w:tcPr>
          <w:p w14:paraId="370B0957">
            <w:pPr>
              <w:jc w:val="both"/>
              <w:rPr>
                <w:rFonts w:ascii="宋体" w:hAnsi="宋体" w:cs="宋体"/>
                <w:sz w:val="24"/>
                <w:szCs w:val="24"/>
                <w:highlight w:val="none"/>
              </w:rPr>
            </w:pPr>
          </w:p>
        </w:tc>
        <w:tc>
          <w:tcPr>
            <w:tcW w:w="1543" w:type="dxa"/>
            <w:vMerge w:val="continue"/>
            <w:vAlign w:val="center"/>
          </w:tcPr>
          <w:p w14:paraId="45E5FF71">
            <w:pPr>
              <w:jc w:val="both"/>
              <w:rPr>
                <w:rFonts w:ascii="宋体" w:hAnsi="宋体" w:cs="宋体"/>
                <w:sz w:val="24"/>
                <w:szCs w:val="24"/>
                <w:highlight w:val="none"/>
              </w:rPr>
            </w:pPr>
          </w:p>
        </w:tc>
        <w:tc>
          <w:tcPr>
            <w:tcW w:w="1584" w:type="dxa"/>
            <w:vAlign w:val="center"/>
          </w:tcPr>
          <w:p w14:paraId="719F6C63">
            <w:pPr>
              <w:jc w:val="center"/>
              <w:rPr>
                <w:rFonts w:ascii="宋体" w:hAnsi="宋体" w:cs="宋体"/>
                <w:sz w:val="24"/>
                <w:szCs w:val="24"/>
                <w:highlight w:val="none"/>
              </w:rPr>
            </w:pPr>
            <w:r>
              <w:rPr>
                <w:rFonts w:hint="eastAsia" w:ascii="宋体" w:hAnsi="宋体" w:cs="宋体"/>
                <w:sz w:val="24"/>
                <w:szCs w:val="24"/>
                <w:highlight w:val="none"/>
              </w:rPr>
              <w:t>证书</w:t>
            </w:r>
            <w:r>
              <w:rPr>
                <w:rFonts w:hint="eastAsia" w:ascii="宋体" w:hAnsi="宋体" w:cs="宋体"/>
                <w:spacing w:val="-2"/>
                <w:sz w:val="24"/>
                <w:szCs w:val="24"/>
                <w:highlight w:val="none"/>
              </w:rPr>
              <w:t>名</w:t>
            </w:r>
            <w:r>
              <w:rPr>
                <w:rFonts w:hint="eastAsia" w:ascii="宋体" w:hAnsi="宋体" w:cs="宋体"/>
                <w:sz w:val="24"/>
                <w:szCs w:val="24"/>
                <w:highlight w:val="none"/>
              </w:rPr>
              <w:t>称</w:t>
            </w:r>
          </w:p>
        </w:tc>
        <w:tc>
          <w:tcPr>
            <w:tcW w:w="1429" w:type="dxa"/>
            <w:vAlign w:val="center"/>
          </w:tcPr>
          <w:p w14:paraId="02758846">
            <w:pPr>
              <w:jc w:val="center"/>
              <w:rPr>
                <w:rFonts w:ascii="宋体" w:hAnsi="宋体" w:cs="宋体"/>
                <w:sz w:val="24"/>
                <w:szCs w:val="24"/>
                <w:highlight w:val="none"/>
              </w:rPr>
            </w:pPr>
            <w:r>
              <w:rPr>
                <w:rFonts w:hint="eastAsia" w:ascii="宋体" w:hAnsi="宋体" w:cs="宋体"/>
                <w:sz w:val="24"/>
                <w:szCs w:val="24"/>
                <w:highlight w:val="none"/>
              </w:rPr>
              <w:t>级别</w:t>
            </w:r>
          </w:p>
        </w:tc>
        <w:tc>
          <w:tcPr>
            <w:tcW w:w="1212" w:type="dxa"/>
            <w:vAlign w:val="center"/>
          </w:tcPr>
          <w:p w14:paraId="1A72FC7F">
            <w:pPr>
              <w:jc w:val="center"/>
              <w:rPr>
                <w:rFonts w:ascii="宋体" w:hAnsi="宋体" w:cs="宋体"/>
                <w:sz w:val="24"/>
                <w:szCs w:val="24"/>
                <w:highlight w:val="none"/>
              </w:rPr>
            </w:pPr>
            <w:r>
              <w:rPr>
                <w:rFonts w:hint="eastAsia" w:ascii="宋体" w:hAnsi="宋体" w:cs="宋体"/>
                <w:sz w:val="24"/>
                <w:szCs w:val="24"/>
                <w:highlight w:val="none"/>
              </w:rPr>
              <w:t>证号</w:t>
            </w:r>
          </w:p>
        </w:tc>
        <w:tc>
          <w:tcPr>
            <w:tcW w:w="1243" w:type="dxa"/>
            <w:vAlign w:val="center"/>
          </w:tcPr>
          <w:p w14:paraId="017E8F7A">
            <w:pPr>
              <w:jc w:val="both"/>
              <w:rPr>
                <w:rFonts w:ascii="宋体" w:hAnsi="宋体" w:cs="宋体"/>
                <w:sz w:val="24"/>
                <w:szCs w:val="24"/>
                <w:highlight w:val="none"/>
              </w:rPr>
            </w:pPr>
          </w:p>
        </w:tc>
      </w:tr>
      <w:tr w14:paraId="1AE0C9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0017F5F4">
            <w:pPr>
              <w:jc w:val="both"/>
              <w:rPr>
                <w:rFonts w:ascii="宋体" w:hAnsi="宋体" w:cs="宋体"/>
                <w:sz w:val="24"/>
                <w:szCs w:val="24"/>
                <w:highlight w:val="none"/>
              </w:rPr>
            </w:pPr>
          </w:p>
        </w:tc>
        <w:tc>
          <w:tcPr>
            <w:tcW w:w="1325" w:type="dxa"/>
            <w:vAlign w:val="center"/>
          </w:tcPr>
          <w:p w14:paraId="071AA93E">
            <w:pPr>
              <w:jc w:val="both"/>
              <w:rPr>
                <w:rFonts w:ascii="宋体" w:hAnsi="宋体" w:cs="宋体"/>
                <w:sz w:val="24"/>
                <w:szCs w:val="24"/>
                <w:highlight w:val="none"/>
              </w:rPr>
            </w:pPr>
          </w:p>
        </w:tc>
        <w:tc>
          <w:tcPr>
            <w:tcW w:w="1543" w:type="dxa"/>
            <w:vAlign w:val="center"/>
          </w:tcPr>
          <w:p w14:paraId="31A6CB31">
            <w:pPr>
              <w:jc w:val="both"/>
              <w:rPr>
                <w:rFonts w:ascii="宋体" w:hAnsi="宋体" w:cs="宋体"/>
                <w:sz w:val="24"/>
                <w:szCs w:val="24"/>
                <w:highlight w:val="none"/>
              </w:rPr>
            </w:pPr>
          </w:p>
        </w:tc>
        <w:tc>
          <w:tcPr>
            <w:tcW w:w="1584" w:type="dxa"/>
            <w:vAlign w:val="center"/>
          </w:tcPr>
          <w:p w14:paraId="6920CE33">
            <w:pPr>
              <w:jc w:val="both"/>
              <w:rPr>
                <w:rFonts w:ascii="宋体" w:hAnsi="宋体" w:cs="宋体"/>
                <w:sz w:val="24"/>
                <w:szCs w:val="24"/>
                <w:highlight w:val="none"/>
              </w:rPr>
            </w:pPr>
          </w:p>
        </w:tc>
        <w:tc>
          <w:tcPr>
            <w:tcW w:w="1429" w:type="dxa"/>
            <w:vAlign w:val="center"/>
          </w:tcPr>
          <w:p w14:paraId="2706B975">
            <w:pPr>
              <w:jc w:val="both"/>
              <w:rPr>
                <w:rFonts w:ascii="宋体" w:hAnsi="宋体" w:cs="宋体"/>
                <w:sz w:val="24"/>
                <w:szCs w:val="24"/>
                <w:highlight w:val="none"/>
              </w:rPr>
            </w:pPr>
          </w:p>
        </w:tc>
        <w:tc>
          <w:tcPr>
            <w:tcW w:w="1212" w:type="dxa"/>
            <w:vAlign w:val="center"/>
          </w:tcPr>
          <w:p w14:paraId="1A626AD4">
            <w:pPr>
              <w:jc w:val="both"/>
              <w:rPr>
                <w:rFonts w:ascii="宋体" w:hAnsi="宋体" w:cs="宋体"/>
                <w:sz w:val="24"/>
                <w:szCs w:val="24"/>
                <w:highlight w:val="none"/>
              </w:rPr>
            </w:pPr>
          </w:p>
        </w:tc>
        <w:tc>
          <w:tcPr>
            <w:tcW w:w="1243" w:type="dxa"/>
            <w:vAlign w:val="center"/>
          </w:tcPr>
          <w:p w14:paraId="5FE18E0F">
            <w:pPr>
              <w:jc w:val="both"/>
              <w:rPr>
                <w:rFonts w:ascii="宋体" w:hAnsi="宋体" w:cs="宋体"/>
                <w:sz w:val="24"/>
                <w:szCs w:val="24"/>
                <w:highlight w:val="none"/>
              </w:rPr>
            </w:pPr>
          </w:p>
        </w:tc>
      </w:tr>
      <w:tr w14:paraId="57EE8A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2" w:hRule="exact"/>
          <w:jc w:val="center"/>
        </w:trPr>
        <w:tc>
          <w:tcPr>
            <w:tcW w:w="735" w:type="dxa"/>
            <w:vAlign w:val="center"/>
          </w:tcPr>
          <w:p w14:paraId="1CF4826F">
            <w:pPr>
              <w:jc w:val="both"/>
              <w:rPr>
                <w:rFonts w:ascii="宋体" w:hAnsi="宋体" w:cs="宋体"/>
                <w:sz w:val="24"/>
                <w:szCs w:val="24"/>
                <w:highlight w:val="none"/>
              </w:rPr>
            </w:pPr>
          </w:p>
        </w:tc>
        <w:tc>
          <w:tcPr>
            <w:tcW w:w="1325" w:type="dxa"/>
            <w:vAlign w:val="center"/>
          </w:tcPr>
          <w:p w14:paraId="660A97F2">
            <w:pPr>
              <w:jc w:val="both"/>
              <w:rPr>
                <w:rFonts w:ascii="宋体" w:hAnsi="宋体" w:cs="宋体"/>
                <w:sz w:val="24"/>
                <w:szCs w:val="24"/>
                <w:highlight w:val="none"/>
              </w:rPr>
            </w:pPr>
          </w:p>
        </w:tc>
        <w:tc>
          <w:tcPr>
            <w:tcW w:w="1543" w:type="dxa"/>
            <w:vAlign w:val="center"/>
          </w:tcPr>
          <w:p w14:paraId="5F90B609">
            <w:pPr>
              <w:jc w:val="both"/>
              <w:rPr>
                <w:rFonts w:ascii="宋体" w:hAnsi="宋体" w:cs="宋体"/>
                <w:sz w:val="24"/>
                <w:szCs w:val="24"/>
                <w:highlight w:val="none"/>
              </w:rPr>
            </w:pPr>
          </w:p>
        </w:tc>
        <w:tc>
          <w:tcPr>
            <w:tcW w:w="1584" w:type="dxa"/>
            <w:vAlign w:val="center"/>
          </w:tcPr>
          <w:p w14:paraId="0B96BE8A">
            <w:pPr>
              <w:jc w:val="both"/>
              <w:rPr>
                <w:rFonts w:ascii="宋体" w:hAnsi="宋体" w:cs="宋体"/>
                <w:sz w:val="24"/>
                <w:szCs w:val="24"/>
                <w:highlight w:val="none"/>
              </w:rPr>
            </w:pPr>
          </w:p>
        </w:tc>
        <w:tc>
          <w:tcPr>
            <w:tcW w:w="1429" w:type="dxa"/>
            <w:vAlign w:val="center"/>
          </w:tcPr>
          <w:p w14:paraId="2A79E225">
            <w:pPr>
              <w:jc w:val="both"/>
              <w:rPr>
                <w:rFonts w:ascii="宋体" w:hAnsi="宋体" w:cs="宋体"/>
                <w:sz w:val="24"/>
                <w:szCs w:val="24"/>
                <w:highlight w:val="none"/>
              </w:rPr>
            </w:pPr>
          </w:p>
        </w:tc>
        <w:tc>
          <w:tcPr>
            <w:tcW w:w="1212" w:type="dxa"/>
            <w:vAlign w:val="center"/>
          </w:tcPr>
          <w:p w14:paraId="381F3471">
            <w:pPr>
              <w:jc w:val="both"/>
              <w:rPr>
                <w:rFonts w:ascii="宋体" w:hAnsi="宋体" w:cs="宋体"/>
                <w:sz w:val="24"/>
                <w:szCs w:val="24"/>
                <w:highlight w:val="none"/>
              </w:rPr>
            </w:pPr>
          </w:p>
        </w:tc>
        <w:tc>
          <w:tcPr>
            <w:tcW w:w="1243" w:type="dxa"/>
            <w:vAlign w:val="center"/>
          </w:tcPr>
          <w:p w14:paraId="2AE70028">
            <w:pPr>
              <w:jc w:val="both"/>
              <w:rPr>
                <w:rFonts w:ascii="宋体" w:hAnsi="宋体" w:cs="宋体"/>
                <w:sz w:val="24"/>
                <w:szCs w:val="24"/>
                <w:highlight w:val="none"/>
              </w:rPr>
            </w:pPr>
          </w:p>
        </w:tc>
      </w:tr>
      <w:tr w14:paraId="00E9C2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34A43B72">
            <w:pPr>
              <w:jc w:val="both"/>
              <w:rPr>
                <w:rFonts w:ascii="宋体" w:hAnsi="宋体" w:cs="宋体"/>
                <w:sz w:val="24"/>
                <w:szCs w:val="24"/>
                <w:highlight w:val="none"/>
              </w:rPr>
            </w:pPr>
          </w:p>
        </w:tc>
        <w:tc>
          <w:tcPr>
            <w:tcW w:w="1325" w:type="dxa"/>
            <w:vAlign w:val="center"/>
          </w:tcPr>
          <w:p w14:paraId="0C2FA82E">
            <w:pPr>
              <w:jc w:val="both"/>
              <w:rPr>
                <w:rFonts w:ascii="宋体" w:hAnsi="宋体" w:cs="宋体"/>
                <w:sz w:val="24"/>
                <w:szCs w:val="24"/>
                <w:highlight w:val="none"/>
              </w:rPr>
            </w:pPr>
          </w:p>
        </w:tc>
        <w:tc>
          <w:tcPr>
            <w:tcW w:w="1543" w:type="dxa"/>
            <w:vAlign w:val="center"/>
          </w:tcPr>
          <w:p w14:paraId="07C97F60">
            <w:pPr>
              <w:jc w:val="both"/>
              <w:rPr>
                <w:rFonts w:ascii="宋体" w:hAnsi="宋体" w:cs="宋体"/>
                <w:sz w:val="24"/>
                <w:szCs w:val="24"/>
                <w:highlight w:val="none"/>
              </w:rPr>
            </w:pPr>
          </w:p>
        </w:tc>
        <w:tc>
          <w:tcPr>
            <w:tcW w:w="1584" w:type="dxa"/>
            <w:vAlign w:val="center"/>
          </w:tcPr>
          <w:p w14:paraId="48F0B622">
            <w:pPr>
              <w:jc w:val="both"/>
              <w:rPr>
                <w:rFonts w:ascii="宋体" w:hAnsi="宋体" w:cs="宋体"/>
                <w:sz w:val="24"/>
                <w:szCs w:val="24"/>
                <w:highlight w:val="none"/>
              </w:rPr>
            </w:pPr>
          </w:p>
        </w:tc>
        <w:tc>
          <w:tcPr>
            <w:tcW w:w="1429" w:type="dxa"/>
            <w:vAlign w:val="center"/>
          </w:tcPr>
          <w:p w14:paraId="70727D6D">
            <w:pPr>
              <w:jc w:val="both"/>
              <w:rPr>
                <w:rFonts w:ascii="宋体" w:hAnsi="宋体" w:cs="宋体"/>
                <w:sz w:val="24"/>
                <w:szCs w:val="24"/>
                <w:highlight w:val="none"/>
              </w:rPr>
            </w:pPr>
          </w:p>
        </w:tc>
        <w:tc>
          <w:tcPr>
            <w:tcW w:w="1212" w:type="dxa"/>
            <w:vAlign w:val="center"/>
          </w:tcPr>
          <w:p w14:paraId="2CE7BCCA">
            <w:pPr>
              <w:jc w:val="both"/>
              <w:rPr>
                <w:rFonts w:ascii="宋体" w:hAnsi="宋体" w:cs="宋体"/>
                <w:sz w:val="24"/>
                <w:szCs w:val="24"/>
                <w:highlight w:val="none"/>
              </w:rPr>
            </w:pPr>
          </w:p>
        </w:tc>
        <w:tc>
          <w:tcPr>
            <w:tcW w:w="1243" w:type="dxa"/>
            <w:vAlign w:val="center"/>
          </w:tcPr>
          <w:p w14:paraId="1D97689C">
            <w:pPr>
              <w:jc w:val="both"/>
              <w:rPr>
                <w:rFonts w:ascii="宋体" w:hAnsi="宋体" w:cs="宋体"/>
                <w:sz w:val="24"/>
                <w:szCs w:val="24"/>
                <w:highlight w:val="none"/>
              </w:rPr>
            </w:pPr>
          </w:p>
        </w:tc>
      </w:tr>
      <w:tr w14:paraId="691D06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jc w:val="center"/>
        </w:trPr>
        <w:tc>
          <w:tcPr>
            <w:tcW w:w="735" w:type="dxa"/>
            <w:vAlign w:val="center"/>
          </w:tcPr>
          <w:p w14:paraId="3A58B1BC">
            <w:pPr>
              <w:jc w:val="both"/>
              <w:rPr>
                <w:rFonts w:ascii="宋体" w:hAnsi="宋体" w:cs="宋体"/>
                <w:sz w:val="24"/>
                <w:szCs w:val="24"/>
                <w:highlight w:val="none"/>
              </w:rPr>
            </w:pPr>
          </w:p>
        </w:tc>
        <w:tc>
          <w:tcPr>
            <w:tcW w:w="1325" w:type="dxa"/>
            <w:vAlign w:val="center"/>
          </w:tcPr>
          <w:p w14:paraId="3110FE69">
            <w:pPr>
              <w:jc w:val="both"/>
              <w:rPr>
                <w:rFonts w:ascii="宋体" w:hAnsi="宋体" w:cs="宋体"/>
                <w:sz w:val="24"/>
                <w:szCs w:val="24"/>
                <w:highlight w:val="none"/>
              </w:rPr>
            </w:pPr>
          </w:p>
        </w:tc>
        <w:tc>
          <w:tcPr>
            <w:tcW w:w="1543" w:type="dxa"/>
            <w:vAlign w:val="center"/>
          </w:tcPr>
          <w:p w14:paraId="13CB4403">
            <w:pPr>
              <w:jc w:val="both"/>
              <w:rPr>
                <w:rFonts w:ascii="宋体" w:hAnsi="宋体" w:cs="宋体"/>
                <w:sz w:val="24"/>
                <w:szCs w:val="24"/>
                <w:highlight w:val="none"/>
              </w:rPr>
            </w:pPr>
          </w:p>
        </w:tc>
        <w:tc>
          <w:tcPr>
            <w:tcW w:w="1584" w:type="dxa"/>
            <w:vAlign w:val="center"/>
          </w:tcPr>
          <w:p w14:paraId="60BA6E2C">
            <w:pPr>
              <w:jc w:val="both"/>
              <w:rPr>
                <w:rFonts w:ascii="宋体" w:hAnsi="宋体" w:cs="宋体"/>
                <w:sz w:val="24"/>
                <w:szCs w:val="24"/>
                <w:highlight w:val="none"/>
              </w:rPr>
            </w:pPr>
          </w:p>
        </w:tc>
        <w:tc>
          <w:tcPr>
            <w:tcW w:w="1429" w:type="dxa"/>
            <w:vAlign w:val="center"/>
          </w:tcPr>
          <w:p w14:paraId="5E0534F9">
            <w:pPr>
              <w:jc w:val="both"/>
              <w:rPr>
                <w:rFonts w:ascii="宋体" w:hAnsi="宋体" w:cs="宋体"/>
                <w:sz w:val="24"/>
                <w:szCs w:val="24"/>
                <w:highlight w:val="none"/>
              </w:rPr>
            </w:pPr>
          </w:p>
        </w:tc>
        <w:tc>
          <w:tcPr>
            <w:tcW w:w="1212" w:type="dxa"/>
            <w:vAlign w:val="center"/>
          </w:tcPr>
          <w:p w14:paraId="792D1F18">
            <w:pPr>
              <w:jc w:val="both"/>
              <w:rPr>
                <w:rFonts w:ascii="宋体" w:hAnsi="宋体" w:cs="宋体"/>
                <w:sz w:val="24"/>
                <w:szCs w:val="24"/>
                <w:highlight w:val="none"/>
              </w:rPr>
            </w:pPr>
          </w:p>
        </w:tc>
        <w:tc>
          <w:tcPr>
            <w:tcW w:w="1243" w:type="dxa"/>
            <w:vAlign w:val="center"/>
          </w:tcPr>
          <w:p w14:paraId="4762F3F6">
            <w:pPr>
              <w:jc w:val="both"/>
              <w:rPr>
                <w:rFonts w:ascii="宋体" w:hAnsi="宋体" w:cs="宋体"/>
                <w:sz w:val="24"/>
                <w:szCs w:val="24"/>
                <w:highlight w:val="none"/>
              </w:rPr>
            </w:pPr>
          </w:p>
        </w:tc>
      </w:tr>
      <w:tr w14:paraId="46E86D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3D585328">
            <w:pPr>
              <w:jc w:val="both"/>
              <w:rPr>
                <w:rFonts w:ascii="宋体" w:hAnsi="宋体" w:cs="宋体"/>
                <w:sz w:val="24"/>
                <w:szCs w:val="24"/>
                <w:highlight w:val="none"/>
              </w:rPr>
            </w:pPr>
          </w:p>
        </w:tc>
        <w:tc>
          <w:tcPr>
            <w:tcW w:w="1325" w:type="dxa"/>
            <w:vAlign w:val="center"/>
          </w:tcPr>
          <w:p w14:paraId="557F799D">
            <w:pPr>
              <w:jc w:val="both"/>
              <w:rPr>
                <w:rFonts w:ascii="宋体" w:hAnsi="宋体" w:cs="宋体"/>
                <w:sz w:val="24"/>
                <w:szCs w:val="24"/>
                <w:highlight w:val="none"/>
              </w:rPr>
            </w:pPr>
          </w:p>
        </w:tc>
        <w:tc>
          <w:tcPr>
            <w:tcW w:w="1543" w:type="dxa"/>
            <w:vAlign w:val="center"/>
          </w:tcPr>
          <w:p w14:paraId="39F4EFEC">
            <w:pPr>
              <w:jc w:val="both"/>
              <w:rPr>
                <w:rFonts w:ascii="宋体" w:hAnsi="宋体" w:cs="宋体"/>
                <w:sz w:val="24"/>
                <w:szCs w:val="24"/>
                <w:highlight w:val="none"/>
              </w:rPr>
            </w:pPr>
          </w:p>
        </w:tc>
        <w:tc>
          <w:tcPr>
            <w:tcW w:w="1584" w:type="dxa"/>
            <w:vAlign w:val="center"/>
          </w:tcPr>
          <w:p w14:paraId="4AD02390">
            <w:pPr>
              <w:jc w:val="both"/>
              <w:rPr>
                <w:rFonts w:ascii="宋体" w:hAnsi="宋体" w:cs="宋体"/>
                <w:sz w:val="24"/>
                <w:szCs w:val="24"/>
                <w:highlight w:val="none"/>
              </w:rPr>
            </w:pPr>
          </w:p>
        </w:tc>
        <w:tc>
          <w:tcPr>
            <w:tcW w:w="1429" w:type="dxa"/>
            <w:vAlign w:val="center"/>
          </w:tcPr>
          <w:p w14:paraId="379630A6">
            <w:pPr>
              <w:jc w:val="both"/>
              <w:rPr>
                <w:rFonts w:ascii="宋体" w:hAnsi="宋体" w:cs="宋体"/>
                <w:sz w:val="24"/>
                <w:szCs w:val="24"/>
                <w:highlight w:val="none"/>
              </w:rPr>
            </w:pPr>
          </w:p>
        </w:tc>
        <w:tc>
          <w:tcPr>
            <w:tcW w:w="1212" w:type="dxa"/>
            <w:vAlign w:val="center"/>
          </w:tcPr>
          <w:p w14:paraId="3A529E43">
            <w:pPr>
              <w:jc w:val="both"/>
              <w:rPr>
                <w:rFonts w:ascii="宋体" w:hAnsi="宋体" w:cs="宋体"/>
                <w:sz w:val="24"/>
                <w:szCs w:val="24"/>
                <w:highlight w:val="none"/>
              </w:rPr>
            </w:pPr>
          </w:p>
        </w:tc>
        <w:tc>
          <w:tcPr>
            <w:tcW w:w="1243" w:type="dxa"/>
            <w:vAlign w:val="center"/>
          </w:tcPr>
          <w:p w14:paraId="2992E7E0">
            <w:pPr>
              <w:jc w:val="both"/>
              <w:rPr>
                <w:rFonts w:ascii="宋体" w:hAnsi="宋体" w:cs="宋体"/>
                <w:sz w:val="24"/>
                <w:szCs w:val="24"/>
                <w:highlight w:val="none"/>
              </w:rPr>
            </w:pPr>
          </w:p>
        </w:tc>
      </w:tr>
      <w:tr w14:paraId="39564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jc w:val="center"/>
        </w:trPr>
        <w:tc>
          <w:tcPr>
            <w:tcW w:w="735" w:type="dxa"/>
            <w:vAlign w:val="center"/>
          </w:tcPr>
          <w:p w14:paraId="0AE55365">
            <w:pPr>
              <w:jc w:val="both"/>
              <w:rPr>
                <w:rFonts w:ascii="宋体" w:hAnsi="宋体" w:cs="宋体"/>
                <w:sz w:val="24"/>
                <w:szCs w:val="24"/>
                <w:highlight w:val="none"/>
              </w:rPr>
            </w:pPr>
          </w:p>
        </w:tc>
        <w:tc>
          <w:tcPr>
            <w:tcW w:w="1325" w:type="dxa"/>
            <w:vAlign w:val="center"/>
          </w:tcPr>
          <w:p w14:paraId="615D171A">
            <w:pPr>
              <w:jc w:val="both"/>
              <w:rPr>
                <w:rFonts w:ascii="宋体" w:hAnsi="宋体" w:cs="宋体"/>
                <w:sz w:val="24"/>
                <w:szCs w:val="24"/>
                <w:highlight w:val="none"/>
              </w:rPr>
            </w:pPr>
          </w:p>
        </w:tc>
        <w:tc>
          <w:tcPr>
            <w:tcW w:w="1543" w:type="dxa"/>
            <w:vAlign w:val="center"/>
          </w:tcPr>
          <w:p w14:paraId="0F940746">
            <w:pPr>
              <w:jc w:val="both"/>
              <w:rPr>
                <w:rFonts w:ascii="宋体" w:hAnsi="宋体" w:cs="宋体"/>
                <w:sz w:val="24"/>
                <w:szCs w:val="24"/>
                <w:highlight w:val="none"/>
              </w:rPr>
            </w:pPr>
          </w:p>
        </w:tc>
        <w:tc>
          <w:tcPr>
            <w:tcW w:w="1584" w:type="dxa"/>
            <w:vAlign w:val="center"/>
          </w:tcPr>
          <w:p w14:paraId="1EFEE332">
            <w:pPr>
              <w:jc w:val="both"/>
              <w:rPr>
                <w:rFonts w:ascii="宋体" w:hAnsi="宋体" w:cs="宋体"/>
                <w:sz w:val="24"/>
                <w:szCs w:val="24"/>
                <w:highlight w:val="none"/>
              </w:rPr>
            </w:pPr>
          </w:p>
        </w:tc>
        <w:tc>
          <w:tcPr>
            <w:tcW w:w="1429" w:type="dxa"/>
            <w:vAlign w:val="center"/>
          </w:tcPr>
          <w:p w14:paraId="2B7F1A09">
            <w:pPr>
              <w:jc w:val="both"/>
              <w:rPr>
                <w:rFonts w:ascii="宋体" w:hAnsi="宋体" w:cs="宋体"/>
                <w:sz w:val="24"/>
                <w:szCs w:val="24"/>
                <w:highlight w:val="none"/>
              </w:rPr>
            </w:pPr>
          </w:p>
        </w:tc>
        <w:tc>
          <w:tcPr>
            <w:tcW w:w="1212" w:type="dxa"/>
            <w:vAlign w:val="center"/>
          </w:tcPr>
          <w:p w14:paraId="194BFC9B">
            <w:pPr>
              <w:jc w:val="both"/>
              <w:rPr>
                <w:rFonts w:ascii="宋体" w:hAnsi="宋体" w:cs="宋体"/>
                <w:sz w:val="24"/>
                <w:szCs w:val="24"/>
                <w:highlight w:val="none"/>
              </w:rPr>
            </w:pPr>
          </w:p>
        </w:tc>
        <w:tc>
          <w:tcPr>
            <w:tcW w:w="1243" w:type="dxa"/>
            <w:vAlign w:val="center"/>
          </w:tcPr>
          <w:p w14:paraId="54C597C8">
            <w:pPr>
              <w:jc w:val="both"/>
              <w:rPr>
                <w:rFonts w:ascii="宋体" w:hAnsi="宋体" w:cs="宋体"/>
                <w:sz w:val="24"/>
                <w:szCs w:val="24"/>
                <w:highlight w:val="none"/>
              </w:rPr>
            </w:pPr>
          </w:p>
        </w:tc>
      </w:tr>
      <w:tr w14:paraId="1ED7A5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jc w:val="center"/>
        </w:trPr>
        <w:tc>
          <w:tcPr>
            <w:tcW w:w="735" w:type="dxa"/>
            <w:vAlign w:val="center"/>
          </w:tcPr>
          <w:p w14:paraId="6073BA72">
            <w:pPr>
              <w:jc w:val="both"/>
              <w:rPr>
                <w:rFonts w:ascii="宋体" w:hAnsi="宋体" w:cs="宋体"/>
                <w:sz w:val="24"/>
                <w:szCs w:val="24"/>
                <w:highlight w:val="none"/>
              </w:rPr>
            </w:pPr>
          </w:p>
        </w:tc>
        <w:tc>
          <w:tcPr>
            <w:tcW w:w="1325" w:type="dxa"/>
            <w:vAlign w:val="center"/>
          </w:tcPr>
          <w:p w14:paraId="2B794E0F">
            <w:pPr>
              <w:jc w:val="both"/>
              <w:rPr>
                <w:rFonts w:ascii="宋体" w:hAnsi="宋体" w:cs="宋体"/>
                <w:sz w:val="24"/>
                <w:szCs w:val="24"/>
                <w:highlight w:val="none"/>
              </w:rPr>
            </w:pPr>
          </w:p>
        </w:tc>
        <w:tc>
          <w:tcPr>
            <w:tcW w:w="1543" w:type="dxa"/>
            <w:vAlign w:val="center"/>
          </w:tcPr>
          <w:p w14:paraId="7BD71891">
            <w:pPr>
              <w:jc w:val="both"/>
              <w:rPr>
                <w:rFonts w:ascii="宋体" w:hAnsi="宋体" w:cs="宋体"/>
                <w:sz w:val="24"/>
                <w:szCs w:val="24"/>
                <w:highlight w:val="none"/>
              </w:rPr>
            </w:pPr>
          </w:p>
        </w:tc>
        <w:tc>
          <w:tcPr>
            <w:tcW w:w="1584" w:type="dxa"/>
            <w:vAlign w:val="center"/>
          </w:tcPr>
          <w:p w14:paraId="1957B64C">
            <w:pPr>
              <w:jc w:val="both"/>
              <w:rPr>
                <w:rFonts w:ascii="宋体" w:hAnsi="宋体" w:cs="宋体"/>
                <w:sz w:val="24"/>
                <w:szCs w:val="24"/>
                <w:highlight w:val="none"/>
              </w:rPr>
            </w:pPr>
          </w:p>
        </w:tc>
        <w:tc>
          <w:tcPr>
            <w:tcW w:w="1429" w:type="dxa"/>
            <w:vAlign w:val="center"/>
          </w:tcPr>
          <w:p w14:paraId="4B4FDF76">
            <w:pPr>
              <w:jc w:val="both"/>
              <w:rPr>
                <w:rFonts w:ascii="宋体" w:hAnsi="宋体" w:cs="宋体"/>
                <w:sz w:val="24"/>
                <w:szCs w:val="24"/>
                <w:highlight w:val="none"/>
              </w:rPr>
            </w:pPr>
          </w:p>
        </w:tc>
        <w:tc>
          <w:tcPr>
            <w:tcW w:w="1212" w:type="dxa"/>
            <w:vAlign w:val="center"/>
          </w:tcPr>
          <w:p w14:paraId="1B66B4F9">
            <w:pPr>
              <w:jc w:val="both"/>
              <w:rPr>
                <w:rFonts w:ascii="宋体" w:hAnsi="宋体" w:cs="宋体"/>
                <w:sz w:val="24"/>
                <w:szCs w:val="24"/>
                <w:highlight w:val="none"/>
              </w:rPr>
            </w:pPr>
          </w:p>
        </w:tc>
        <w:tc>
          <w:tcPr>
            <w:tcW w:w="1243" w:type="dxa"/>
            <w:vAlign w:val="center"/>
          </w:tcPr>
          <w:p w14:paraId="759A672A">
            <w:pPr>
              <w:jc w:val="both"/>
              <w:rPr>
                <w:rFonts w:ascii="宋体" w:hAnsi="宋体" w:cs="宋体"/>
                <w:sz w:val="24"/>
                <w:szCs w:val="24"/>
                <w:highlight w:val="none"/>
              </w:rPr>
            </w:pPr>
          </w:p>
        </w:tc>
      </w:tr>
    </w:tbl>
    <w:p w14:paraId="6C681572">
      <w:pPr>
        <w:adjustRightInd w:val="0"/>
        <w:snapToGrid w:val="0"/>
        <w:spacing w:line="360" w:lineRule="auto"/>
        <w:ind w:left="105" w:leftChars="50" w:firstLine="360" w:firstLineChars="150"/>
        <w:rPr>
          <w:rFonts w:ascii="宋体" w:hAnsi="宋体" w:cs="宋体"/>
          <w:kern w:val="2"/>
          <w:sz w:val="24"/>
          <w:szCs w:val="24"/>
          <w:highlight w:val="none"/>
        </w:rPr>
      </w:pPr>
    </w:p>
    <w:p w14:paraId="63C1E489">
      <w:pPr>
        <w:adjustRightInd w:val="0"/>
        <w:snapToGrid w:val="0"/>
        <w:spacing w:line="360" w:lineRule="auto"/>
        <w:ind w:left="105" w:leftChars="50" w:firstLine="360" w:firstLineChars="150"/>
        <w:rPr>
          <w:rFonts w:ascii="宋体" w:hAnsi="宋体"/>
          <w:sz w:val="24"/>
          <w:highlight w:val="none"/>
        </w:rPr>
      </w:pPr>
      <w:r>
        <w:rPr>
          <w:rFonts w:hint="eastAsia" w:ascii="宋体" w:hAnsi="宋体" w:cs="宋体"/>
          <w:kern w:val="2"/>
          <w:sz w:val="24"/>
          <w:szCs w:val="24"/>
          <w:highlight w:val="none"/>
          <w:lang w:val="en-US" w:eastAsia="zh-CN"/>
        </w:rPr>
        <w:t>4、</w:t>
      </w:r>
      <w:r>
        <w:rPr>
          <w:rFonts w:hint="eastAsia" w:ascii="宋体" w:hAnsi="宋体"/>
          <w:sz w:val="24"/>
          <w:highlight w:val="none"/>
        </w:rPr>
        <w:t>常驻人员要求</w:t>
      </w:r>
    </w:p>
    <w:p w14:paraId="49FFD7B7">
      <w:pPr>
        <w:adjustRightInd w:val="0"/>
        <w:snapToGrid w:val="0"/>
        <w:spacing w:line="360" w:lineRule="auto"/>
        <w:ind w:left="105" w:leftChars="50" w:firstLine="360" w:firstLineChars="150"/>
        <w:rPr>
          <w:rFonts w:hint="eastAsia" w:ascii="宋体" w:hAnsi="宋体" w:eastAsia="宋体"/>
          <w:sz w:val="24"/>
          <w:highlight w:val="none"/>
          <w:lang w:eastAsia="zh-CN"/>
        </w:rPr>
      </w:pPr>
      <w:r>
        <w:rPr>
          <w:rFonts w:hint="eastAsia" w:ascii="宋体" w:hAnsi="宋体"/>
          <w:sz w:val="24"/>
          <w:highlight w:val="none"/>
          <w:lang w:val="en-US" w:eastAsia="zh-CN"/>
        </w:rPr>
        <w:t xml:space="preserve"> </w:t>
      </w:r>
      <w:r>
        <w:rPr>
          <w:rFonts w:hint="eastAsia" w:ascii="宋体" w:hAnsi="宋体"/>
          <w:sz w:val="24"/>
          <w:highlight w:val="none"/>
        </w:rPr>
        <w:t>必须安排</w:t>
      </w:r>
      <w:r>
        <w:rPr>
          <w:rFonts w:hint="eastAsia" w:ascii="宋体" w:hAnsi="宋体"/>
          <w:sz w:val="24"/>
          <w:highlight w:val="none"/>
          <w:lang w:val="en-US" w:eastAsia="zh-CN"/>
        </w:rPr>
        <w:t>2-4</w:t>
      </w:r>
      <w:r>
        <w:rPr>
          <w:rFonts w:hint="eastAsia" w:ascii="宋体" w:hAnsi="宋体"/>
          <w:sz w:val="24"/>
          <w:highlight w:val="none"/>
        </w:rPr>
        <w:t>名专业人员（必须是经验丰富、业务能力、协调沟通能力较强的人员）固定常驻现场办公，每月驻场时间不少于15个工作日，该人员保持稳定不变化，</w:t>
      </w:r>
      <w:r>
        <w:rPr>
          <w:rFonts w:hint="eastAsia" w:ascii="宋体" w:hAnsi="宋体"/>
          <w:sz w:val="24"/>
          <w:highlight w:val="none"/>
          <w:lang w:eastAsia="zh-CN"/>
        </w:rPr>
        <w:t>。</w:t>
      </w:r>
    </w:p>
    <w:p w14:paraId="4C07C68C">
      <w:pPr>
        <w:widowControl w:val="0"/>
        <w:adjustRightInd w:val="0"/>
        <w:snapToGrid w:val="0"/>
        <w:spacing w:line="384" w:lineRule="auto"/>
        <w:ind w:firstLine="720" w:firstLineChars="300"/>
        <w:jc w:val="both"/>
        <w:rPr>
          <w:rFonts w:ascii="宋体" w:hAnsi="宋体" w:cs="宋体"/>
          <w:kern w:val="2"/>
          <w:sz w:val="24"/>
          <w:szCs w:val="24"/>
          <w:highlight w:val="none"/>
        </w:rPr>
      </w:pPr>
      <w:r>
        <w:rPr>
          <w:rFonts w:hint="eastAsia" w:ascii="宋体" w:hAnsi="宋体" w:cs="宋体"/>
          <w:kern w:val="2"/>
          <w:sz w:val="24"/>
          <w:szCs w:val="24"/>
          <w:highlight w:val="none"/>
        </w:rPr>
        <w:t>项目</w:t>
      </w:r>
      <w:r>
        <w:rPr>
          <w:rFonts w:hint="eastAsia" w:ascii="宋体" w:hAnsi="宋体" w:eastAsia="宋体" w:cs="宋体"/>
          <w:kern w:val="2"/>
          <w:sz w:val="24"/>
          <w:szCs w:val="24"/>
          <w:highlight w:val="none"/>
        </w:rPr>
        <w:t>咨询团队其他人员不得</w:t>
      </w:r>
      <w:r>
        <w:rPr>
          <w:rFonts w:hint="eastAsia" w:ascii="宋体" w:hAnsi="宋体" w:eastAsia="宋体" w:cs="宋体"/>
          <w:kern w:val="2"/>
          <w:sz w:val="24"/>
          <w:szCs w:val="24"/>
          <w:highlight w:val="none"/>
          <w:lang w:eastAsia="zh-CN"/>
        </w:rPr>
        <w:t>随意</w:t>
      </w:r>
      <w:r>
        <w:rPr>
          <w:rFonts w:hint="eastAsia" w:ascii="宋体" w:hAnsi="宋体" w:eastAsia="宋体" w:cs="宋体"/>
          <w:kern w:val="2"/>
          <w:sz w:val="24"/>
          <w:szCs w:val="24"/>
          <w:highlight w:val="none"/>
        </w:rPr>
        <w:t>更换</w:t>
      </w:r>
      <w:r>
        <w:rPr>
          <w:rFonts w:hint="eastAsia" w:ascii="宋体" w:hAnsi="宋体" w:eastAsia="宋体" w:cs="宋体"/>
          <w:kern w:val="2"/>
          <w:sz w:val="24"/>
          <w:szCs w:val="24"/>
          <w:highlight w:val="none"/>
          <w:lang w:eastAsia="zh-CN"/>
        </w:rPr>
        <w:t>，如需更换需经过采购人同意</w:t>
      </w:r>
      <w:r>
        <w:rPr>
          <w:rFonts w:hint="eastAsia" w:ascii="宋体" w:hAnsi="宋体" w:eastAsia="宋体" w:cs="宋体"/>
          <w:kern w:val="2"/>
          <w:sz w:val="24"/>
          <w:szCs w:val="24"/>
          <w:highlight w:val="none"/>
        </w:rPr>
        <w:t>。</w:t>
      </w:r>
    </w:p>
    <w:p w14:paraId="28470903">
      <w:pPr>
        <w:numPr>
          <w:ilvl w:val="0"/>
          <w:numId w:val="0"/>
        </w:numPr>
        <w:ind w:leftChars="200"/>
        <w:jc w:val="both"/>
        <w:rPr>
          <w:rFonts w:hint="default" w:ascii="宋体" w:hAnsi="宋体" w:eastAsia="宋体" w:cs="Times New Roman"/>
          <w:b/>
          <w:bCs/>
          <w:sz w:val="24"/>
          <w:szCs w:val="24"/>
          <w:highlight w:val="none"/>
        </w:rPr>
      </w:pPr>
      <w:r>
        <w:rPr>
          <w:rFonts w:hint="eastAsia" w:ascii="宋体" w:hAnsi="宋体" w:eastAsia="宋体" w:cs="Times New Roman"/>
          <w:b/>
          <w:bCs/>
          <w:sz w:val="24"/>
          <w:szCs w:val="24"/>
          <w:highlight w:val="none"/>
          <w:lang w:eastAsia="zh-CN"/>
        </w:rPr>
        <w:t>四、</w:t>
      </w:r>
      <w:r>
        <w:rPr>
          <w:rFonts w:hint="default" w:ascii="宋体" w:hAnsi="宋体" w:eastAsia="宋体" w:cs="Times New Roman"/>
          <w:b/>
          <w:bCs/>
          <w:sz w:val="24"/>
          <w:szCs w:val="24"/>
          <w:highlight w:val="none"/>
        </w:rPr>
        <w:t>成果文件要求</w:t>
      </w:r>
      <w:bookmarkEnd w:id="837"/>
      <w:bookmarkEnd w:id="838"/>
      <w:bookmarkEnd w:id="839"/>
      <w:bookmarkEnd w:id="840"/>
      <w:bookmarkEnd w:id="841"/>
      <w:bookmarkEnd w:id="842"/>
    </w:p>
    <w:p w14:paraId="5128EE4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val="en-US" w:eastAsia="zh-CN"/>
        </w:rPr>
        <w:t>1、</w:t>
      </w:r>
      <w:r>
        <w:rPr>
          <w:rFonts w:hint="eastAsia" w:ascii="宋体" w:hAnsi="宋体" w:cs="宋体"/>
          <w:kern w:val="2"/>
          <w:sz w:val="24"/>
          <w:szCs w:val="24"/>
          <w:highlight w:val="none"/>
        </w:rPr>
        <w:t>工作要求</w:t>
      </w:r>
    </w:p>
    <w:p w14:paraId="6108612E">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val="en-US" w:eastAsia="zh-CN"/>
        </w:rPr>
        <w:t xml:space="preserve"> 1.1</w:t>
      </w:r>
      <w:r>
        <w:rPr>
          <w:rFonts w:hint="eastAsia" w:ascii="宋体" w:hAnsi="宋体" w:cs="宋体"/>
          <w:kern w:val="2"/>
          <w:sz w:val="24"/>
          <w:szCs w:val="24"/>
          <w:highlight w:val="none"/>
        </w:rPr>
        <w:t>提供</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企业资质、人员资质及</w:t>
      </w:r>
      <w:r>
        <w:rPr>
          <w:rFonts w:hint="eastAsia" w:ascii="宋体" w:hAnsi="宋体" w:cs="宋体"/>
          <w:kern w:val="2"/>
          <w:sz w:val="24"/>
          <w:szCs w:val="24"/>
          <w:highlight w:val="none"/>
          <w:lang w:eastAsia="zh-CN"/>
        </w:rPr>
        <w:t>全过程造价控制服务</w:t>
      </w:r>
      <w:r>
        <w:rPr>
          <w:rFonts w:hint="eastAsia" w:ascii="宋体" w:hAnsi="宋体" w:cs="宋体"/>
          <w:kern w:val="2"/>
          <w:sz w:val="24"/>
          <w:szCs w:val="24"/>
          <w:highlight w:val="none"/>
        </w:rPr>
        <w:t>大纲的时间：</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u w:val="single" w:color="000000"/>
          <w:lang w:val="en-US" w:eastAsia="zh-CN"/>
        </w:rPr>
        <w:t>合同签订后30个自然日内</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w:t>
      </w:r>
    </w:p>
    <w:p w14:paraId="5190C95F">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val="en-US" w:eastAsia="zh-CN"/>
        </w:rPr>
        <w:t>1.2</w:t>
      </w:r>
      <w:r>
        <w:rPr>
          <w:rFonts w:hint="eastAsia" w:ascii="宋体" w:hAnsi="宋体" w:cs="宋体"/>
          <w:kern w:val="2"/>
          <w:sz w:val="24"/>
          <w:szCs w:val="24"/>
          <w:highlight w:val="none"/>
          <w:u w:val="single" w:color="000000"/>
        </w:rPr>
        <w:t xml:space="preserve"> 按照</w:t>
      </w:r>
      <w:r>
        <w:rPr>
          <w:rFonts w:hint="eastAsia" w:ascii="宋体" w:hAnsi="宋体" w:cs="宋体"/>
          <w:kern w:val="2"/>
          <w:sz w:val="24"/>
          <w:szCs w:val="24"/>
          <w:highlight w:val="none"/>
          <w:u w:val="single" w:color="000000"/>
          <w:lang w:val="en-US" w:eastAsia="zh-CN"/>
        </w:rPr>
        <w:t>合同及</w:t>
      </w:r>
      <w:r>
        <w:rPr>
          <w:rFonts w:hint="eastAsia" w:ascii="宋体" w:hAnsi="宋体" w:cs="宋体"/>
          <w:kern w:val="2"/>
          <w:sz w:val="24"/>
          <w:szCs w:val="24"/>
          <w:highlight w:val="none"/>
          <w:u w:val="single" w:color="000000"/>
        </w:rPr>
        <w:t>要求提供</w:t>
      </w:r>
      <w:r>
        <w:rPr>
          <w:rFonts w:hint="eastAsia" w:ascii="宋体" w:hAnsi="宋体" w:cs="宋体"/>
          <w:kern w:val="2"/>
          <w:sz w:val="24"/>
          <w:szCs w:val="24"/>
          <w:highlight w:val="none"/>
          <w:u w:val="single" w:color="000000"/>
          <w:lang w:eastAsia="zh-CN"/>
        </w:rPr>
        <w:t>全过程造价控制咨询资料</w:t>
      </w:r>
      <w:r>
        <w:rPr>
          <w:rFonts w:hint="eastAsia" w:ascii="宋体" w:hAnsi="宋体" w:cs="宋体"/>
          <w:kern w:val="2"/>
          <w:sz w:val="24"/>
          <w:szCs w:val="24"/>
          <w:highlight w:val="none"/>
          <w:u w:val="single" w:color="000000"/>
        </w:rPr>
        <w:t xml:space="preserve"> </w:t>
      </w:r>
      <w:r>
        <w:rPr>
          <w:rFonts w:hint="eastAsia" w:ascii="宋体" w:hAnsi="宋体" w:cs="宋体"/>
          <w:kern w:val="2"/>
          <w:sz w:val="24"/>
          <w:szCs w:val="24"/>
          <w:highlight w:val="none"/>
        </w:rPr>
        <w:t>。</w:t>
      </w:r>
    </w:p>
    <w:p w14:paraId="0FC6F71D">
      <w:pPr>
        <w:widowControl w:val="0"/>
        <w:adjustRightInd w:val="0"/>
        <w:snapToGrid w:val="0"/>
        <w:spacing w:line="384" w:lineRule="auto"/>
        <w:ind w:firstLine="480" w:firstLineChars="200"/>
        <w:jc w:val="both"/>
        <w:rPr>
          <w:rFonts w:ascii="宋体" w:hAnsi="宋体" w:cs="宋体"/>
          <w:kern w:val="2"/>
          <w:sz w:val="24"/>
          <w:szCs w:val="24"/>
          <w:highlight w:val="none"/>
        </w:rPr>
      </w:pPr>
      <w:r>
        <w:rPr>
          <w:rFonts w:hint="eastAsia" w:ascii="宋体" w:hAnsi="宋体" w:cs="宋体"/>
          <w:kern w:val="2"/>
          <w:sz w:val="24"/>
          <w:szCs w:val="24"/>
          <w:highlight w:val="none"/>
          <w:lang w:val="en-US" w:eastAsia="zh-CN"/>
        </w:rPr>
        <w:t>1.3提供</w:t>
      </w:r>
      <w:r>
        <w:rPr>
          <w:rFonts w:hint="eastAsia" w:ascii="宋体" w:hAnsi="宋体" w:cs="宋体"/>
          <w:kern w:val="2"/>
          <w:sz w:val="24"/>
          <w:szCs w:val="24"/>
          <w:highlight w:val="none"/>
          <w:lang w:eastAsia="zh-CN"/>
        </w:rPr>
        <w:t>全过程造价控制</w:t>
      </w:r>
      <w:r>
        <w:rPr>
          <w:rFonts w:hint="eastAsia" w:ascii="宋体" w:hAnsi="宋体" w:cs="宋体"/>
          <w:kern w:val="2"/>
          <w:sz w:val="24"/>
          <w:szCs w:val="24"/>
          <w:highlight w:val="none"/>
        </w:rPr>
        <w:t>咨询成果文件，除加盖单位公章、全过程造价控制咨询企业执业印章外，</w:t>
      </w:r>
      <w:r>
        <w:rPr>
          <w:rFonts w:hint="eastAsia" w:ascii="宋体" w:hAnsi="宋体" w:cs="宋体"/>
          <w:kern w:val="2"/>
          <w:sz w:val="24"/>
          <w:szCs w:val="24"/>
          <w:highlight w:val="none"/>
          <w:u w:val="single"/>
        </w:rPr>
        <w:t>各参与本</w:t>
      </w:r>
      <w:r>
        <w:rPr>
          <w:rFonts w:hint="eastAsia" w:ascii="宋体" w:hAnsi="宋体" w:cs="宋体"/>
          <w:kern w:val="2"/>
          <w:sz w:val="24"/>
          <w:szCs w:val="24"/>
          <w:highlight w:val="none"/>
          <w:u w:val="single"/>
          <w:lang w:val="en-US" w:eastAsia="zh-CN"/>
        </w:rPr>
        <w:t>项目</w:t>
      </w:r>
      <w:r>
        <w:rPr>
          <w:rFonts w:hint="eastAsia" w:ascii="宋体" w:hAnsi="宋体" w:cs="宋体"/>
          <w:kern w:val="2"/>
          <w:sz w:val="24"/>
          <w:szCs w:val="24"/>
          <w:highlight w:val="none"/>
          <w:u w:val="single"/>
        </w:rPr>
        <w:t xml:space="preserve">全过程造价控制工作执（从）业人员资格印章应与其对应专业相符 </w:t>
      </w:r>
      <w:r>
        <w:rPr>
          <w:rFonts w:hint="eastAsia" w:ascii="宋体" w:hAnsi="宋体" w:cs="宋体"/>
          <w:kern w:val="2"/>
          <w:sz w:val="24"/>
          <w:szCs w:val="24"/>
          <w:highlight w:val="none"/>
        </w:rPr>
        <w:t>。</w:t>
      </w:r>
    </w:p>
    <w:p w14:paraId="3342AC92">
      <w:pPr>
        <w:ind w:firstLine="480" w:firstLineChars="200"/>
        <w:jc w:val="both"/>
        <w:rPr>
          <w:rFonts w:hint="default" w:ascii="宋体" w:hAnsi="宋体" w:eastAsia="宋体" w:cs="Times New Roman"/>
          <w:sz w:val="24"/>
          <w:szCs w:val="24"/>
          <w:highlight w:val="none"/>
        </w:rPr>
      </w:pPr>
      <w:bookmarkStart w:id="852" w:name="_Toc146500140"/>
      <w:r>
        <w:rPr>
          <w:rFonts w:hint="eastAsia" w:ascii="宋体" w:hAnsi="宋体" w:eastAsia="宋体" w:cs="Times New Roman"/>
          <w:sz w:val="24"/>
          <w:szCs w:val="24"/>
          <w:highlight w:val="none"/>
          <w:lang w:val="en-US" w:eastAsia="zh-CN"/>
        </w:rPr>
        <w:t>2、</w:t>
      </w:r>
      <w:r>
        <w:rPr>
          <w:rFonts w:hint="default" w:ascii="宋体" w:hAnsi="宋体" w:eastAsia="宋体" w:cs="Times New Roman"/>
          <w:sz w:val="24"/>
          <w:szCs w:val="24"/>
          <w:highlight w:val="none"/>
        </w:rPr>
        <w:t>成果文件的组成包括不限于以下内容：</w:t>
      </w:r>
      <w:bookmarkEnd w:id="852"/>
    </w:p>
    <w:p w14:paraId="78EE8B8A">
      <w:pPr>
        <w:ind w:firstLine="480" w:firstLineChars="200"/>
        <w:jc w:val="both"/>
        <w:rPr>
          <w:rFonts w:hint="default" w:ascii="宋体" w:hAnsi="宋体" w:eastAsia="宋体" w:cs="Times New Roman"/>
          <w:sz w:val="24"/>
          <w:szCs w:val="24"/>
          <w:highlight w:val="none"/>
        </w:rPr>
      </w:pPr>
      <w:r>
        <w:rPr>
          <w:rFonts w:hint="eastAsia" w:ascii="宋体" w:hAnsi="宋体" w:cs="宋体"/>
          <w:kern w:val="2"/>
          <w:sz w:val="24"/>
          <w:szCs w:val="24"/>
          <w:highlight w:val="none"/>
          <w:u w:val="none" w:color="auto"/>
          <w:lang w:val="en-US" w:eastAsia="zh-CN"/>
        </w:rPr>
        <w:t>2.1</w:t>
      </w:r>
      <w:r>
        <w:rPr>
          <w:rFonts w:hint="eastAsia" w:ascii="宋体" w:hAnsi="宋体" w:cs="宋体"/>
          <w:kern w:val="2"/>
          <w:sz w:val="24"/>
          <w:szCs w:val="24"/>
          <w:highlight w:val="none"/>
          <w:u w:val="none" w:color="auto"/>
          <w:lang w:eastAsia="zh-CN"/>
        </w:rPr>
        <w:t>服务</w:t>
      </w:r>
      <w:r>
        <w:rPr>
          <w:rFonts w:hint="default" w:ascii="宋体" w:hAnsi="宋体" w:eastAsia="宋体" w:cs="Times New Roman"/>
          <w:sz w:val="24"/>
          <w:szCs w:val="24"/>
          <w:highlight w:val="none"/>
        </w:rPr>
        <w:t>单位提供</w:t>
      </w:r>
      <w:r>
        <w:rPr>
          <w:rFonts w:hint="eastAsia" w:ascii="宋体" w:hAnsi="宋体" w:cs="宋体"/>
          <w:kern w:val="2"/>
          <w:sz w:val="24"/>
          <w:szCs w:val="24"/>
          <w:highlight w:val="none"/>
          <w:u w:val="single" w:color="000000"/>
          <w:lang w:eastAsia="zh-CN"/>
        </w:rPr>
        <w:t>全过程造价控制咨询</w:t>
      </w:r>
      <w:r>
        <w:rPr>
          <w:rFonts w:hint="default" w:ascii="宋体" w:hAnsi="宋体" w:eastAsia="宋体" w:cs="Times New Roman"/>
          <w:sz w:val="24"/>
          <w:szCs w:val="24"/>
          <w:highlight w:val="none"/>
        </w:rPr>
        <w:t>资料，资料必须及时整理、真实完整、分类有序。</w:t>
      </w:r>
    </w:p>
    <w:p w14:paraId="721F90F0">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2.2</w:t>
      </w:r>
      <w:r>
        <w:rPr>
          <w:rFonts w:hint="eastAsia" w:ascii="宋体" w:hAnsi="宋体" w:cs="宋体"/>
          <w:kern w:val="2"/>
          <w:sz w:val="24"/>
          <w:szCs w:val="24"/>
          <w:highlight w:val="none"/>
          <w:u w:val="none" w:color="auto"/>
          <w:lang w:eastAsia="zh-CN"/>
        </w:rPr>
        <w:t>服务</w:t>
      </w:r>
      <w:r>
        <w:rPr>
          <w:rFonts w:hint="default" w:ascii="宋体" w:hAnsi="宋体" w:eastAsia="宋体" w:cs="Times New Roman"/>
          <w:sz w:val="24"/>
          <w:szCs w:val="24"/>
          <w:highlight w:val="none"/>
        </w:rPr>
        <w:t>单位的管理应有</w:t>
      </w:r>
      <w:r>
        <w:rPr>
          <w:rFonts w:hint="eastAsia" w:ascii="宋体" w:hAnsi="宋体" w:eastAsia="宋体" w:cs="Times New Roman"/>
          <w:sz w:val="24"/>
          <w:szCs w:val="24"/>
          <w:highlight w:val="none"/>
          <w:lang w:eastAsia="zh-CN"/>
        </w:rPr>
        <w:t>项目负责人</w:t>
      </w:r>
      <w:r>
        <w:rPr>
          <w:rFonts w:hint="default" w:ascii="宋体" w:hAnsi="宋体" w:eastAsia="宋体" w:cs="Times New Roman"/>
          <w:sz w:val="24"/>
          <w:szCs w:val="24"/>
          <w:highlight w:val="none"/>
        </w:rPr>
        <w:t>负责，并指定专人具体实施。</w:t>
      </w:r>
    </w:p>
    <w:p w14:paraId="1A06A2D2">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2.3</w:t>
      </w:r>
      <w:r>
        <w:rPr>
          <w:rFonts w:hint="eastAsia" w:ascii="宋体" w:hAnsi="宋体" w:cs="宋体"/>
          <w:kern w:val="2"/>
          <w:sz w:val="24"/>
          <w:szCs w:val="24"/>
          <w:highlight w:val="none"/>
          <w:u w:val="none" w:color="auto"/>
          <w:lang w:eastAsia="zh-CN"/>
        </w:rPr>
        <w:t>全过程造价控制咨询</w:t>
      </w:r>
      <w:r>
        <w:rPr>
          <w:rFonts w:hint="default" w:ascii="宋体" w:hAnsi="宋体" w:eastAsia="宋体" w:cs="Times New Roman"/>
          <w:sz w:val="24"/>
          <w:szCs w:val="24"/>
          <w:highlight w:val="none"/>
        </w:rPr>
        <w:t>资料应在各阶段工作结束后及时归档整理。</w:t>
      </w:r>
    </w:p>
    <w:p w14:paraId="44366DC7">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val="en-US" w:eastAsia="zh-CN"/>
        </w:rPr>
        <w:t>2.4</w:t>
      </w:r>
      <w:r>
        <w:rPr>
          <w:rFonts w:hint="eastAsia" w:ascii="宋体" w:hAnsi="宋体" w:cs="宋体"/>
          <w:kern w:val="2"/>
          <w:sz w:val="24"/>
          <w:szCs w:val="24"/>
          <w:highlight w:val="none"/>
          <w:u w:val="none" w:color="auto"/>
          <w:lang w:eastAsia="zh-CN"/>
        </w:rPr>
        <w:t>全过程造价控制咨询</w:t>
      </w:r>
      <w:r>
        <w:rPr>
          <w:rFonts w:hint="default" w:ascii="宋体" w:hAnsi="宋体" w:eastAsia="宋体" w:cs="Times New Roman"/>
          <w:sz w:val="24"/>
          <w:szCs w:val="24"/>
          <w:highlight w:val="none"/>
        </w:rPr>
        <w:t>档案的编制及保存应按有关规定执行。</w:t>
      </w:r>
    </w:p>
    <w:p w14:paraId="50A378DC">
      <w:pPr>
        <w:ind w:firstLine="480" w:firstLineChars="200"/>
        <w:jc w:val="both"/>
        <w:rPr>
          <w:rFonts w:hint="default" w:ascii="宋体" w:hAnsi="宋体" w:eastAsia="宋体" w:cs="Times New Roman"/>
          <w:sz w:val="24"/>
          <w:szCs w:val="24"/>
          <w:highlight w:val="none"/>
        </w:rPr>
      </w:pPr>
      <w:bookmarkStart w:id="853" w:name="_Toc146500142"/>
      <w:r>
        <w:rPr>
          <w:rFonts w:hint="eastAsia" w:ascii="宋体" w:hAnsi="宋体" w:eastAsia="宋体" w:cs="Times New Roman"/>
          <w:sz w:val="24"/>
          <w:szCs w:val="24"/>
          <w:highlight w:val="none"/>
          <w:lang w:val="en-US" w:eastAsia="zh-CN"/>
        </w:rPr>
        <w:t>3、</w:t>
      </w:r>
      <w:r>
        <w:rPr>
          <w:rFonts w:hint="default" w:ascii="宋体" w:hAnsi="宋体" w:eastAsia="宋体" w:cs="Times New Roman"/>
          <w:sz w:val="24"/>
          <w:szCs w:val="24"/>
          <w:highlight w:val="none"/>
        </w:rPr>
        <w:t>成果文件的格式要求</w:t>
      </w:r>
      <w:bookmarkEnd w:id="853"/>
    </w:p>
    <w:p w14:paraId="4450FA6D">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根据合同约定要求</w:t>
      </w:r>
    </w:p>
    <w:p w14:paraId="0F5022FF">
      <w:pPr>
        <w:ind w:firstLine="480" w:firstLineChars="200"/>
        <w:jc w:val="both"/>
        <w:rPr>
          <w:rFonts w:hint="default" w:ascii="宋体" w:hAnsi="宋体" w:eastAsia="宋体" w:cs="Times New Roman"/>
          <w:sz w:val="24"/>
          <w:szCs w:val="24"/>
          <w:highlight w:val="none"/>
        </w:rPr>
      </w:pPr>
      <w:bookmarkStart w:id="854" w:name="_Toc146500143"/>
      <w:r>
        <w:rPr>
          <w:rFonts w:hint="eastAsia" w:ascii="宋体" w:hAnsi="宋体" w:eastAsia="宋体" w:cs="Times New Roman"/>
          <w:sz w:val="24"/>
          <w:szCs w:val="24"/>
          <w:highlight w:val="none"/>
          <w:lang w:val="en-US" w:eastAsia="zh-CN"/>
        </w:rPr>
        <w:t>4、</w:t>
      </w:r>
      <w:r>
        <w:rPr>
          <w:rFonts w:hint="default" w:ascii="宋体" w:hAnsi="宋体" w:eastAsia="宋体" w:cs="Times New Roman"/>
          <w:sz w:val="24"/>
          <w:szCs w:val="24"/>
          <w:highlight w:val="none"/>
        </w:rPr>
        <w:t>成果文件的份数要求</w:t>
      </w:r>
      <w:bookmarkEnd w:id="854"/>
    </w:p>
    <w:p w14:paraId="2D2A98AD">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满足业主要求</w:t>
      </w:r>
    </w:p>
    <w:p w14:paraId="62799B0E">
      <w:pPr>
        <w:ind w:firstLine="480" w:firstLineChars="200"/>
        <w:jc w:val="both"/>
        <w:rPr>
          <w:rFonts w:hint="default" w:ascii="宋体" w:hAnsi="宋体" w:eastAsia="宋体" w:cs="Times New Roman"/>
          <w:sz w:val="24"/>
          <w:szCs w:val="24"/>
          <w:highlight w:val="none"/>
        </w:rPr>
      </w:pPr>
      <w:bookmarkStart w:id="855" w:name="_Toc146500144"/>
      <w:r>
        <w:rPr>
          <w:rFonts w:hint="eastAsia" w:ascii="宋体" w:hAnsi="宋体" w:eastAsia="宋体" w:cs="Times New Roman"/>
          <w:sz w:val="24"/>
          <w:szCs w:val="24"/>
          <w:highlight w:val="none"/>
          <w:lang w:val="en-US" w:eastAsia="zh-CN"/>
        </w:rPr>
        <w:t>5、</w:t>
      </w:r>
      <w:r>
        <w:rPr>
          <w:rFonts w:hint="default" w:ascii="宋体" w:hAnsi="宋体" w:eastAsia="宋体" w:cs="Times New Roman"/>
          <w:sz w:val="24"/>
          <w:szCs w:val="24"/>
          <w:highlight w:val="none"/>
        </w:rPr>
        <w:t>成果文件的载体要求</w:t>
      </w:r>
      <w:bookmarkEnd w:id="855"/>
    </w:p>
    <w:p w14:paraId="7BBA6A9A">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（1）纸质版的要求；</w:t>
      </w:r>
    </w:p>
    <w:p w14:paraId="3B520B83">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（2）电子版的要求；</w:t>
      </w:r>
    </w:p>
    <w:p w14:paraId="7F2EB6FE">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（3）其他要求。</w:t>
      </w:r>
    </w:p>
    <w:p w14:paraId="43EA90DA">
      <w:pPr>
        <w:ind w:firstLine="480" w:firstLineChars="200"/>
        <w:jc w:val="both"/>
        <w:rPr>
          <w:rFonts w:hint="default" w:ascii="宋体" w:hAnsi="宋体" w:eastAsia="宋体" w:cs="Times New Roman"/>
          <w:sz w:val="24"/>
          <w:szCs w:val="24"/>
          <w:highlight w:val="none"/>
        </w:rPr>
      </w:pPr>
      <w:bookmarkStart w:id="856" w:name="_Toc146500145"/>
      <w:r>
        <w:rPr>
          <w:rFonts w:hint="eastAsia" w:ascii="宋体" w:hAnsi="宋体" w:eastAsia="宋体" w:cs="Times New Roman"/>
          <w:sz w:val="24"/>
          <w:szCs w:val="24"/>
          <w:highlight w:val="none"/>
          <w:lang w:val="en-US" w:eastAsia="zh-CN"/>
        </w:rPr>
        <w:t>6、</w:t>
      </w:r>
      <w:r>
        <w:rPr>
          <w:rFonts w:hint="default" w:ascii="宋体" w:hAnsi="宋体" w:eastAsia="宋体" w:cs="Times New Roman"/>
          <w:sz w:val="24"/>
          <w:szCs w:val="24"/>
          <w:highlight w:val="none"/>
        </w:rPr>
        <w:t>成果文件的其他要求</w:t>
      </w:r>
      <w:bookmarkEnd w:id="856"/>
    </w:p>
    <w:p w14:paraId="4D2BC355">
      <w:pPr>
        <w:ind w:firstLine="482" w:firstLineChars="200"/>
        <w:jc w:val="both"/>
        <w:rPr>
          <w:rFonts w:hint="default" w:ascii="宋体" w:hAnsi="宋体" w:eastAsia="宋体" w:cs="Times New Roman"/>
          <w:b/>
          <w:bCs/>
          <w:sz w:val="24"/>
          <w:szCs w:val="24"/>
          <w:highlight w:val="none"/>
        </w:rPr>
      </w:pPr>
      <w:bookmarkStart w:id="857" w:name="bookmark166"/>
      <w:bookmarkEnd w:id="857"/>
      <w:bookmarkStart w:id="858" w:name="_Toc968247775"/>
      <w:bookmarkStart w:id="859" w:name="_Toc956626388"/>
      <w:bookmarkStart w:id="860" w:name="_Toc21992315"/>
      <w:bookmarkStart w:id="861" w:name="_Toc146500146"/>
      <w:bookmarkStart w:id="862" w:name="_Toc309368124"/>
      <w:bookmarkStart w:id="863" w:name="_Toc1742105660"/>
      <w:r>
        <w:rPr>
          <w:rFonts w:hint="default" w:ascii="宋体" w:hAnsi="宋体" w:eastAsia="宋体" w:cs="Times New Roman"/>
          <w:b/>
          <w:bCs/>
          <w:sz w:val="24"/>
          <w:szCs w:val="24"/>
          <w:highlight w:val="none"/>
        </w:rPr>
        <w:t>四、</w:t>
      </w:r>
      <w:r>
        <w:rPr>
          <w:rFonts w:hint="eastAsia" w:ascii="宋体" w:hAnsi="宋体" w:eastAsia="宋体" w:cs="Times New Roman"/>
          <w:b/>
          <w:bCs/>
          <w:sz w:val="24"/>
          <w:szCs w:val="24"/>
          <w:highlight w:val="none"/>
          <w:lang w:eastAsia="zh-CN"/>
        </w:rPr>
        <w:t>采购人</w:t>
      </w:r>
      <w:r>
        <w:rPr>
          <w:rFonts w:hint="default" w:ascii="宋体" w:hAnsi="宋体" w:eastAsia="宋体" w:cs="Times New Roman"/>
          <w:b/>
          <w:bCs/>
          <w:sz w:val="24"/>
          <w:szCs w:val="24"/>
          <w:highlight w:val="none"/>
        </w:rPr>
        <w:t>财产清单</w:t>
      </w:r>
      <w:bookmarkEnd w:id="858"/>
      <w:bookmarkEnd w:id="859"/>
      <w:bookmarkEnd w:id="860"/>
      <w:bookmarkEnd w:id="861"/>
      <w:bookmarkEnd w:id="862"/>
      <w:bookmarkEnd w:id="863"/>
    </w:p>
    <w:p w14:paraId="7B3EC10C">
      <w:pPr>
        <w:ind w:firstLine="480" w:firstLineChars="200"/>
        <w:jc w:val="both"/>
        <w:rPr>
          <w:rFonts w:hint="default" w:ascii="宋体" w:hAnsi="宋体" w:eastAsia="宋体" w:cs="Times New Roman"/>
          <w:sz w:val="24"/>
          <w:szCs w:val="24"/>
          <w:highlight w:val="none"/>
        </w:rPr>
      </w:pPr>
      <w:bookmarkStart w:id="864" w:name="bookmark167"/>
      <w:bookmarkEnd w:id="864"/>
      <w:bookmarkStart w:id="865" w:name="_Toc146500147"/>
      <w:r>
        <w:rPr>
          <w:rFonts w:hint="default" w:ascii="宋体" w:hAnsi="宋体" w:eastAsia="宋体" w:cs="Times New Roman"/>
          <w:sz w:val="24"/>
          <w:szCs w:val="24"/>
          <w:highlight w:val="none"/>
        </w:rPr>
        <w:t>（一）</w:t>
      </w: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提供的设备、设施</w:t>
      </w:r>
      <w:bookmarkEnd w:id="865"/>
    </w:p>
    <w:p w14:paraId="5CB71DDA">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在条件允许情况下为</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在现场的办公及生活提供便利，包含：日常办公设备、生活用品、水电消耗、维护等，费用由</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承担。</w:t>
      </w:r>
    </w:p>
    <w:p w14:paraId="7FC16DF5">
      <w:pPr>
        <w:numPr>
          <w:ilvl w:val="0"/>
          <w:numId w:val="12"/>
        </w:numPr>
        <w:ind w:firstLine="480" w:firstLineChars="200"/>
        <w:jc w:val="both"/>
        <w:rPr>
          <w:rFonts w:hint="default" w:ascii="宋体" w:hAnsi="宋体" w:eastAsia="宋体" w:cs="Times New Roman"/>
          <w:sz w:val="24"/>
          <w:szCs w:val="24"/>
          <w:highlight w:val="none"/>
        </w:rPr>
      </w:pPr>
      <w:bookmarkStart w:id="866" w:name="bookmark168"/>
      <w:bookmarkEnd w:id="866"/>
      <w:bookmarkStart w:id="867" w:name="_Toc146500148"/>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提供的资料</w:t>
      </w:r>
      <w:bookmarkEnd w:id="867"/>
    </w:p>
    <w:p w14:paraId="6CD66A30">
      <w:pPr>
        <w:pStyle w:val="2"/>
        <w:numPr>
          <w:ilvl w:val="0"/>
          <w:numId w:val="0"/>
        </w:numPr>
        <w:rPr>
          <w:rFonts w:hint="default" w:ascii="宋体" w:hAnsi="宋体" w:eastAsia="宋体" w:cs="Times New Roman"/>
          <w:kern w:val="2"/>
          <w:sz w:val="24"/>
          <w:szCs w:val="24"/>
          <w:highlight w:val="none"/>
          <w:lang w:val="en-US" w:eastAsia="zh-CN" w:bidi="ar-SA"/>
        </w:rPr>
      </w:pPr>
      <w:r>
        <w:rPr>
          <w:rFonts w:hint="eastAsia"/>
          <w:highlight w:val="none"/>
          <w:lang w:val="en-US" w:eastAsia="zh-CN"/>
        </w:rPr>
        <w:t xml:space="preserve">      </w:t>
      </w:r>
      <w:r>
        <w:rPr>
          <w:rFonts w:hint="eastAsia" w:ascii="宋体" w:hAnsi="宋体" w:eastAsia="宋体" w:cs="Times New Roman"/>
          <w:kern w:val="2"/>
          <w:sz w:val="24"/>
          <w:szCs w:val="24"/>
          <w:highlight w:val="none"/>
          <w:lang w:val="en-US" w:eastAsia="zh-CN" w:bidi="ar-SA"/>
        </w:rPr>
        <w:t>根据项目实施情况，为服务单位提供必要的资料。服务单位应做好资料的保管、保密工作。</w:t>
      </w:r>
    </w:p>
    <w:p w14:paraId="2D1AD7B4">
      <w:pPr>
        <w:ind w:firstLine="480" w:firstLineChars="200"/>
        <w:jc w:val="both"/>
        <w:rPr>
          <w:rFonts w:hint="default" w:ascii="宋体" w:hAnsi="宋体" w:eastAsia="宋体" w:cs="Times New Roman"/>
          <w:sz w:val="24"/>
          <w:szCs w:val="24"/>
          <w:highlight w:val="none"/>
        </w:rPr>
      </w:pPr>
      <w:bookmarkStart w:id="868" w:name="bookmark169"/>
      <w:bookmarkEnd w:id="868"/>
      <w:bookmarkStart w:id="869" w:name="_Toc146500149"/>
      <w:r>
        <w:rPr>
          <w:rFonts w:hint="default" w:ascii="宋体" w:hAnsi="宋体" w:eastAsia="宋体" w:cs="Times New Roman"/>
          <w:sz w:val="24"/>
          <w:szCs w:val="24"/>
          <w:highlight w:val="none"/>
        </w:rPr>
        <w:t>（三）</w:t>
      </w: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财产使用要求及退还要求</w:t>
      </w:r>
      <w:bookmarkEnd w:id="869"/>
    </w:p>
    <w:p w14:paraId="22F57B12">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所有由业主提供给</w:t>
      </w:r>
      <w:r>
        <w:rPr>
          <w:rFonts w:hint="eastAsia" w:ascii="宋体" w:hAnsi="宋体" w:eastAsia="宋体" w:cs="Times New Roman"/>
          <w:sz w:val="24"/>
          <w:szCs w:val="24"/>
          <w:highlight w:val="none"/>
          <w:lang w:eastAsia="zh-CN"/>
        </w:rPr>
        <w:t>服务</w:t>
      </w:r>
      <w:r>
        <w:rPr>
          <w:rFonts w:hint="default" w:ascii="宋体" w:hAnsi="宋体" w:eastAsia="宋体" w:cs="Times New Roman"/>
          <w:sz w:val="24"/>
          <w:szCs w:val="24"/>
          <w:highlight w:val="none"/>
        </w:rPr>
        <w:t>单位使用的设施、设备和物品，均属于业主财产，</w:t>
      </w:r>
      <w:r>
        <w:rPr>
          <w:rFonts w:hint="eastAsia" w:ascii="宋体" w:hAnsi="宋体" w:eastAsia="宋体" w:cs="Times New Roman"/>
          <w:sz w:val="24"/>
          <w:szCs w:val="24"/>
          <w:highlight w:val="none"/>
          <w:lang w:eastAsia="zh-CN"/>
        </w:rPr>
        <w:t>服务</w:t>
      </w:r>
      <w:r>
        <w:rPr>
          <w:rFonts w:hint="default" w:ascii="宋体" w:hAnsi="宋体" w:eastAsia="宋体" w:cs="Times New Roman"/>
          <w:sz w:val="24"/>
          <w:szCs w:val="24"/>
          <w:highlight w:val="none"/>
        </w:rPr>
        <w:t>单位在使用时应予以爱护。当服务完成或中止时，</w:t>
      </w:r>
      <w:r>
        <w:rPr>
          <w:rFonts w:hint="eastAsia" w:ascii="宋体" w:hAnsi="宋体" w:eastAsia="宋体" w:cs="Times New Roman"/>
          <w:sz w:val="24"/>
          <w:szCs w:val="24"/>
          <w:highlight w:val="none"/>
          <w:lang w:eastAsia="zh-CN"/>
        </w:rPr>
        <w:t>服务</w:t>
      </w:r>
      <w:r>
        <w:rPr>
          <w:rFonts w:hint="default" w:ascii="宋体" w:hAnsi="宋体" w:eastAsia="宋体" w:cs="Times New Roman"/>
          <w:sz w:val="24"/>
          <w:szCs w:val="24"/>
          <w:highlight w:val="none"/>
        </w:rPr>
        <w:t>单位应将上述设施、设备、尚未使用的物品交回业主。如果在专用条款中规定由</w:t>
      </w:r>
      <w:r>
        <w:rPr>
          <w:rFonts w:hint="eastAsia" w:ascii="宋体" w:hAnsi="宋体" w:eastAsia="宋体" w:cs="Times New Roman"/>
          <w:sz w:val="24"/>
          <w:szCs w:val="24"/>
          <w:highlight w:val="none"/>
          <w:lang w:eastAsia="zh-CN"/>
        </w:rPr>
        <w:t>服务</w:t>
      </w:r>
      <w:r>
        <w:rPr>
          <w:rFonts w:hint="default" w:ascii="宋体" w:hAnsi="宋体" w:eastAsia="宋体" w:cs="Times New Roman"/>
          <w:sz w:val="24"/>
          <w:szCs w:val="24"/>
          <w:highlight w:val="none"/>
        </w:rPr>
        <w:t>单位负责移交上述设施、设备和物品，此项工作可作为</w:t>
      </w:r>
      <w:r>
        <w:rPr>
          <w:rFonts w:hint="eastAsia" w:ascii="宋体" w:hAnsi="宋体" w:eastAsia="宋体" w:cs="Times New Roman"/>
          <w:sz w:val="24"/>
          <w:szCs w:val="24"/>
          <w:highlight w:val="none"/>
          <w:lang w:eastAsia="zh-CN"/>
        </w:rPr>
        <w:t>服务</w:t>
      </w:r>
      <w:r>
        <w:rPr>
          <w:rFonts w:hint="default" w:ascii="宋体" w:hAnsi="宋体" w:eastAsia="宋体" w:cs="Times New Roman"/>
          <w:sz w:val="24"/>
          <w:szCs w:val="24"/>
          <w:highlight w:val="none"/>
        </w:rPr>
        <w:t>单位附加的服务，或并入</w:t>
      </w:r>
      <w:r>
        <w:rPr>
          <w:rFonts w:hint="eastAsia" w:ascii="宋体" w:hAnsi="宋体" w:eastAsia="宋体" w:cs="Times New Roman"/>
          <w:sz w:val="24"/>
          <w:szCs w:val="24"/>
          <w:highlight w:val="none"/>
          <w:lang w:eastAsia="zh-CN"/>
        </w:rPr>
        <w:t>服务</w:t>
      </w:r>
      <w:r>
        <w:rPr>
          <w:rFonts w:hint="default" w:ascii="宋体" w:hAnsi="宋体" w:eastAsia="宋体" w:cs="Times New Roman"/>
          <w:sz w:val="24"/>
          <w:szCs w:val="24"/>
          <w:highlight w:val="none"/>
        </w:rPr>
        <w:t>单位的服务费用报价中。</w:t>
      </w:r>
    </w:p>
    <w:p w14:paraId="3894A12B">
      <w:pPr>
        <w:ind w:firstLine="480" w:firstLineChars="200"/>
        <w:jc w:val="both"/>
        <w:rPr>
          <w:rFonts w:hint="default" w:ascii="宋体" w:hAnsi="宋体" w:eastAsia="宋体" w:cs="Times New Roman"/>
          <w:sz w:val="24"/>
          <w:szCs w:val="24"/>
          <w:highlight w:val="none"/>
        </w:rPr>
      </w:pPr>
      <w:bookmarkStart w:id="870" w:name="bookmark170"/>
      <w:bookmarkEnd w:id="870"/>
      <w:bookmarkStart w:id="871" w:name="_Toc118186099"/>
      <w:bookmarkStart w:id="872" w:name="_Toc146500150"/>
      <w:bookmarkStart w:id="873" w:name="_Toc318459196"/>
      <w:bookmarkStart w:id="874" w:name="_Toc576724556"/>
      <w:bookmarkStart w:id="875" w:name="_Toc1365309524"/>
      <w:bookmarkStart w:id="876" w:name="_Toc940801698"/>
      <w:r>
        <w:rPr>
          <w:rFonts w:hint="default" w:ascii="宋体" w:hAnsi="宋体" w:eastAsia="宋体" w:cs="Times New Roman"/>
          <w:sz w:val="24"/>
          <w:szCs w:val="24"/>
          <w:highlight w:val="none"/>
        </w:rPr>
        <w:t>五、</w:t>
      </w: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提供的便利条件</w:t>
      </w:r>
      <w:bookmarkEnd w:id="871"/>
      <w:bookmarkEnd w:id="872"/>
      <w:bookmarkEnd w:id="873"/>
      <w:bookmarkEnd w:id="874"/>
      <w:bookmarkEnd w:id="875"/>
      <w:bookmarkEnd w:id="876"/>
    </w:p>
    <w:p w14:paraId="38C458FD">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1.</w:t>
      </w: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提供的生活条件</w:t>
      </w:r>
    </w:p>
    <w:p w14:paraId="3ADE8AD7">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在条件允许情况下为</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在现场的生活提供便利，费用由</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承担。</w:t>
      </w:r>
    </w:p>
    <w:p w14:paraId="07E4CCB2">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2.</w:t>
      </w: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提供的交通条件</w:t>
      </w:r>
    </w:p>
    <w:p w14:paraId="03557AE8">
      <w:pPr>
        <w:ind w:firstLine="480" w:firstLineChars="200"/>
        <w:jc w:val="both"/>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不为</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提供交通工具等，由</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自行负责。</w:t>
      </w:r>
      <w:r>
        <w:rPr>
          <w:rFonts w:hint="eastAsia" w:ascii="宋体" w:hAnsi="宋体" w:eastAsia="宋体" w:cs="Times New Roman"/>
          <w:sz w:val="24"/>
          <w:szCs w:val="24"/>
          <w:highlight w:val="none"/>
          <w:lang w:eastAsia="zh-CN"/>
        </w:rPr>
        <w:t>咨询</w:t>
      </w:r>
      <w:r>
        <w:rPr>
          <w:rFonts w:hint="default" w:ascii="宋体" w:hAnsi="宋体" w:eastAsia="宋体" w:cs="Times New Roman"/>
          <w:sz w:val="24"/>
          <w:szCs w:val="24"/>
          <w:highlight w:val="none"/>
        </w:rPr>
        <w:t>服务范围内，</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人员的往来交通费用由</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人自理</w:t>
      </w:r>
      <w:r>
        <w:rPr>
          <w:rFonts w:hint="eastAsia" w:ascii="宋体" w:hAnsi="宋体" w:eastAsia="宋体" w:cs="Times New Roman"/>
          <w:sz w:val="24"/>
          <w:szCs w:val="24"/>
          <w:highlight w:val="none"/>
          <w:lang w:eastAsia="zh-CN"/>
        </w:rPr>
        <w:t>。</w:t>
      </w:r>
    </w:p>
    <w:p w14:paraId="03DD30DC">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3.</w:t>
      </w: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提供的网络、通讯条件</w:t>
      </w:r>
    </w:p>
    <w:p w14:paraId="766870B1">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在条件允许情况下为</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在现场的网络、通讯条件提供便利，费用</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承担。</w:t>
      </w:r>
    </w:p>
    <w:p w14:paraId="3DE94F15">
      <w:pPr>
        <w:ind w:firstLine="480" w:firstLineChars="200"/>
        <w:jc w:val="both"/>
        <w:rPr>
          <w:rFonts w:hint="default" w:ascii="宋体" w:hAnsi="宋体" w:eastAsia="宋体" w:cs="Times New Roman"/>
          <w:sz w:val="24"/>
          <w:szCs w:val="24"/>
          <w:highlight w:val="none"/>
        </w:rPr>
      </w:pPr>
      <w:bookmarkStart w:id="877" w:name="bookmark171"/>
      <w:bookmarkEnd w:id="877"/>
      <w:bookmarkStart w:id="878" w:name="_Toc1511897038"/>
      <w:bookmarkStart w:id="879" w:name="_Toc1008210140"/>
      <w:bookmarkStart w:id="880" w:name="_Toc146500151"/>
      <w:bookmarkStart w:id="881" w:name="_Toc1627983850"/>
      <w:bookmarkStart w:id="882" w:name="_Toc1860115558"/>
      <w:bookmarkStart w:id="883" w:name="_Toc1846423698"/>
      <w:r>
        <w:rPr>
          <w:rFonts w:hint="default" w:ascii="宋体" w:hAnsi="宋体" w:eastAsia="宋体" w:cs="Times New Roman"/>
          <w:sz w:val="24"/>
          <w:szCs w:val="24"/>
          <w:highlight w:val="none"/>
        </w:rPr>
        <w:t>六、</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需要自备的工作条件</w:t>
      </w:r>
      <w:bookmarkEnd w:id="878"/>
      <w:bookmarkEnd w:id="879"/>
      <w:bookmarkEnd w:id="880"/>
      <w:bookmarkEnd w:id="881"/>
      <w:bookmarkEnd w:id="882"/>
      <w:bookmarkEnd w:id="883"/>
    </w:p>
    <w:p w14:paraId="59C40C22">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 xml:space="preserve">1. </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自备的工作手册：如本项目必备的规范标准、图集等</w:t>
      </w:r>
    </w:p>
    <w:p w14:paraId="3444583C">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 xml:space="preserve">2. </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自备的办公设备：如电脑、软件、投影、打印机、复印机、照相机等</w:t>
      </w:r>
    </w:p>
    <w:p w14:paraId="65AF8DF1">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 xml:space="preserve">3. </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自备的交通工具：如出行车辆等</w:t>
      </w:r>
    </w:p>
    <w:p w14:paraId="76A188A7">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 xml:space="preserve">4. </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自备的现场办公设施：如办公桌椅、文件柜等</w:t>
      </w:r>
    </w:p>
    <w:p w14:paraId="01F9113D">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 xml:space="preserve">5. </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自备的安全设施：如安全帽、安全鞋、手电筒等</w:t>
      </w:r>
    </w:p>
    <w:p w14:paraId="5BAE5208">
      <w:pPr>
        <w:ind w:firstLine="482" w:firstLineChars="200"/>
        <w:jc w:val="both"/>
        <w:rPr>
          <w:rFonts w:hint="default" w:ascii="宋体" w:hAnsi="宋体" w:eastAsia="宋体" w:cs="Times New Roman"/>
          <w:b/>
          <w:bCs/>
          <w:sz w:val="24"/>
          <w:szCs w:val="24"/>
          <w:highlight w:val="none"/>
        </w:rPr>
      </w:pPr>
      <w:bookmarkStart w:id="884" w:name="_Toc355310570"/>
      <w:bookmarkStart w:id="885" w:name="_Toc210098253"/>
      <w:bookmarkStart w:id="886" w:name="_Toc102873676"/>
      <w:bookmarkStart w:id="887" w:name="_Toc146500152"/>
      <w:bookmarkStart w:id="888" w:name="_Toc1184107598"/>
      <w:bookmarkStart w:id="889" w:name="_Toc1682199193"/>
      <w:r>
        <w:rPr>
          <w:rFonts w:hint="default" w:ascii="宋体" w:hAnsi="宋体" w:eastAsia="宋体" w:cs="Times New Roman"/>
          <w:b/>
          <w:bCs/>
          <w:sz w:val="24"/>
          <w:szCs w:val="24"/>
          <w:highlight w:val="none"/>
        </w:rPr>
        <w:t>七、</w:t>
      </w:r>
      <w:r>
        <w:rPr>
          <w:rFonts w:hint="eastAsia" w:ascii="宋体" w:hAnsi="宋体" w:eastAsia="宋体" w:cs="Times New Roman"/>
          <w:b/>
          <w:bCs/>
          <w:sz w:val="24"/>
          <w:szCs w:val="24"/>
          <w:highlight w:val="none"/>
          <w:lang w:eastAsia="zh-CN"/>
        </w:rPr>
        <w:t>采购人</w:t>
      </w:r>
      <w:r>
        <w:rPr>
          <w:rFonts w:hint="default" w:ascii="宋体" w:hAnsi="宋体" w:eastAsia="宋体" w:cs="Times New Roman"/>
          <w:b/>
          <w:bCs/>
          <w:sz w:val="24"/>
          <w:szCs w:val="24"/>
          <w:highlight w:val="none"/>
        </w:rPr>
        <w:t>的其他要求</w:t>
      </w:r>
      <w:bookmarkEnd w:id="884"/>
      <w:bookmarkEnd w:id="885"/>
      <w:bookmarkEnd w:id="886"/>
      <w:bookmarkEnd w:id="887"/>
      <w:bookmarkEnd w:id="888"/>
      <w:bookmarkEnd w:id="889"/>
    </w:p>
    <w:p w14:paraId="0ED0FCEA">
      <w:pPr>
        <w:ind w:firstLine="480" w:firstLineChars="200"/>
        <w:jc w:val="both"/>
        <w:rPr>
          <w:rFonts w:hint="default" w:ascii="宋体" w:hAnsi="宋体" w:eastAsia="宋体" w:cs="Times New Roman"/>
          <w:sz w:val="24"/>
          <w:szCs w:val="24"/>
          <w:highlight w:val="none"/>
        </w:rPr>
      </w:pPr>
      <w:r>
        <w:rPr>
          <w:rFonts w:hint="eastAsia" w:ascii="宋体" w:hAnsi="宋体" w:eastAsia="宋体" w:cs="Times New Roman"/>
          <w:sz w:val="24"/>
          <w:szCs w:val="24"/>
          <w:highlight w:val="none"/>
          <w:lang w:eastAsia="zh-CN"/>
        </w:rPr>
        <w:t>采购人</w:t>
      </w:r>
      <w:r>
        <w:rPr>
          <w:rFonts w:hint="default" w:ascii="宋体" w:hAnsi="宋体" w:eastAsia="宋体" w:cs="Times New Roman"/>
          <w:sz w:val="24"/>
          <w:szCs w:val="24"/>
          <w:highlight w:val="none"/>
        </w:rPr>
        <w:t>的其他要求</w:t>
      </w:r>
    </w:p>
    <w:p w14:paraId="65F2F173">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1</w:t>
      </w:r>
      <w:r>
        <w:rPr>
          <w:rFonts w:hint="eastAsia" w:ascii="宋体" w:hAnsi="宋体" w:eastAsia="宋体" w:cs="Times New Roman"/>
          <w:sz w:val="24"/>
          <w:szCs w:val="24"/>
          <w:highlight w:val="none"/>
          <w:lang w:eastAsia="zh-CN"/>
        </w:rPr>
        <w:t>.咨询服务单位</w:t>
      </w:r>
      <w:r>
        <w:rPr>
          <w:rFonts w:hint="default" w:ascii="宋体" w:hAnsi="宋体" w:eastAsia="宋体" w:cs="Times New Roman"/>
          <w:sz w:val="24"/>
          <w:szCs w:val="24"/>
          <w:highlight w:val="none"/>
        </w:rPr>
        <w:t>应逐月提交服务期的</w:t>
      </w:r>
      <w:r>
        <w:rPr>
          <w:rFonts w:hint="eastAsia" w:ascii="宋体" w:hAnsi="宋体" w:eastAsia="宋体" w:cs="Times New Roman"/>
          <w:sz w:val="24"/>
          <w:szCs w:val="24"/>
          <w:highlight w:val="none"/>
          <w:lang w:eastAsia="zh-CN"/>
        </w:rPr>
        <w:t>服务单位</w:t>
      </w:r>
      <w:r>
        <w:rPr>
          <w:rFonts w:hint="default" w:ascii="宋体" w:hAnsi="宋体" w:eastAsia="宋体" w:cs="Times New Roman"/>
          <w:sz w:val="24"/>
          <w:szCs w:val="24"/>
          <w:highlight w:val="none"/>
        </w:rPr>
        <w:t>员考勤。</w:t>
      </w:r>
    </w:p>
    <w:p w14:paraId="7978A07E">
      <w:pPr>
        <w:ind w:firstLine="480" w:firstLineChars="200"/>
        <w:jc w:val="both"/>
        <w:rPr>
          <w:rFonts w:hint="default" w:ascii="宋体" w:hAnsi="宋体" w:eastAsia="宋体" w:cs="Times New Roman"/>
          <w:sz w:val="24"/>
          <w:szCs w:val="24"/>
          <w:highlight w:val="none"/>
        </w:rPr>
      </w:pPr>
      <w:r>
        <w:rPr>
          <w:rFonts w:hint="default" w:ascii="宋体" w:hAnsi="宋体" w:eastAsia="宋体" w:cs="Times New Roman"/>
          <w:sz w:val="24"/>
          <w:szCs w:val="24"/>
          <w:highlight w:val="none"/>
        </w:rPr>
        <w:t>2.保密：在</w:t>
      </w:r>
      <w:r>
        <w:rPr>
          <w:rFonts w:hint="eastAsia" w:ascii="宋体" w:hAnsi="宋体" w:eastAsia="宋体" w:cs="Times New Roman"/>
          <w:sz w:val="24"/>
          <w:szCs w:val="24"/>
          <w:highlight w:val="none"/>
          <w:lang w:eastAsia="zh-CN"/>
        </w:rPr>
        <w:t>咨询服务</w:t>
      </w:r>
      <w:r>
        <w:rPr>
          <w:rFonts w:hint="default" w:ascii="宋体" w:hAnsi="宋体" w:eastAsia="宋体" w:cs="Times New Roman"/>
          <w:sz w:val="24"/>
          <w:szCs w:val="24"/>
          <w:highlight w:val="none"/>
        </w:rPr>
        <w:t>合同有效期间或</w:t>
      </w:r>
      <w:r>
        <w:rPr>
          <w:rFonts w:hint="eastAsia" w:ascii="宋体" w:hAnsi="宋体" w:eastAsia="宋体" w:cs="Times New Roman"/>
          <w:sz w:val="24"/>
          <w:szCs w:val="24"/>
          <w:highlight w:val="none"/>
          <w:lang w:eastAsia="zh-CN"/>
        </w:rPr>
        <w:t>咨询服务</w:t>
      </w:r>
      <w:r>
        <w:rPr>
          <w:rFonts w:hint="default" w:ascii="宋体" w:hAnsi="宋体" w:eastAsia="宋体" w:cs="Times New Roman"/>
          <w:sz w:val="24"/>
          <w:szCs w:val="24"/>
          <w:highlight w:val="none"/>
        </w:rPr>
        <w:t>合同专用条款规定的期限内，未经业主的书面同意，</w:t>
      </w:r>
      <w:r>
        <w:rPr>
          <w:rFonts w:hint="eastAsia" w:ascii="宋体" w:hAnsi="宋体" w:eastAsia="宋体" w:cs="Times New Roman"/>
          <w:sz w:val="24"/>
          <w:szCs w:val="24"/>
          <w:highlight w:val="none"/>
          <w:lang w:eastAsia="zh-CN"/>
        </w:rPr>
        <w:t>咨询服务</w:t>
      </w:r>
      <w:r>
        <w:rPr>
          <w:rFonts w:hint="default" w:ascii="宋体" w:hAnsi="宋体" w:eastAsia="宋体" w:cs="Times New Roman"/>
          <w:sz w:val="24"/>
          <w:szCs w:val="24"/>
          <w:highlight w:val="none"/>
        </w:rPr>
        <w:t>单位不得泄露业主与本项目、本工程、本</w:t>
      </w:r>
      <w:r>
        <w:rPr>
          <w:rFonts w:hint="eastAsia" w:ascii="宋体" w:hAnsi="宋体" w:eastAsia="宋体" w:cs="Times New Roman"/>
          <w:sz w:val="24"/>
          <w:szCs w:val="24"/>
          <w:highlight w:val="none"/>
          <w:lang w:eastAsia="zh-CN"/>
        </w:rPr>
        <w:t>咨询服务</w:t>
      </w:r>
      <w:r>
        <w:rPr>
          <w:rFonts w:hint="default" w:ascii="宋体" w:hAnsi="宋体" w:eastAsia="宋体" w:cs="Times New Roman"/>
          <w:sz w:val="24"/>
          <w:szCs w:val="24"/>
          <w:highlight w:val="none"/>
        </w:rPr>
        <w:t>合同有关的保密资料。</w:t>
      </w:r>
    </w:p>
    <w:p w14:paraId="654B64D5">
      <w:pPr>
        <w:rPr>
          <w:rFonts w:hint="eastAsia" w:ascii="宋体" w:hAnsi="宋体" w:eastAsia="宋体" w:cs="Times New Roman"/>
          <w:sz w:val="24"/>
          <w:szCs w:val="24"/>
          <w:highlight w:val="none"/>
        </w:rPr>
      </w:pPr>
      <w:r>
        <w:rPr>
          <w:rFonts w:hint="eastAsia" w:ascii="宋体" w:hAnsi="宋体" w:eastAsia="宋体" w:cs="Times New Roman"/>
          <w:sz w:val="24"/>
          <w:szCs w:val="24"/>
          <w:highlight w:val="none"/>
        </w:rPr>
        <w:br w:type="page"/>
      </w:r>
    </w:p>
    <w:p w14:paraId="2E5B0CB9">
      <w:pPr>
        <w:pStyle w:val="4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890" w:name="_Toc27242"/>
      <w:bookmarkStart w:id="891" w:name="_Toc18880"/>
      <w:bookmarkStart w:id="892" w:name="_Toc13384"/>
      <w:bookmarkStart w:id="893" w:name="_Toc30410"/>
      <w:bookmarkStart w:id="894" w:name="_Toc13425"/>
      <w:bookmarkStart w:id="895" w:name="_Toc16009"/>
      <w:bookmarkStart w:id="896" w:name="_Toc1639388438"/>
      <w:bookmarkStart w:id="897" w:name="_Toc26626"/>
      <w:bookmarkStart w:id="898" w:name="_Toc178424011"/>
      <w:bookmarkStart w:id="899" w:name="_Toc553280265"/>
      <w:bookmarkStart w:id="900" w:name="_Toc2000007967"/>
      <w:bookmarkStart w:id="901" w:name="_Toc972989012"/>
      <w:r>
        <w:rPr>
          <w:rFonts w:hint="eastAsia" w:ascii="宋体" w:hAnsi="宋体" w:eastAsia="宋体" w:cs="宋体"/>
          <w:color w:val="auto"/>
          <w:highlight w:val="none"/>
          <w:lang w:val="en-US" w:eastAsia="zh-CN"/>
        </w:rPr>
        <w:t>第六</w:t>
      </w:r>
      <w:r>
        <w:rPr>
          <w:rFonts w:hint="eastAsia" w:ascii="宋体" w:hAnsi="宋体" w:eastAsia="宋体" w:cs="宋体"/>
          <w:color w:val="auto"/>
          <w:highlight w:val="none"/>
        </w:rPr>
        <w:t xml:space="preserve">章  </w:t>
      </w:r>
      <w:bookmarkEnd w:id="210"/>
      <w:bookmarkEnd w:id="890"/>
      <w:bookmarkEnd w:id="891"/>
      <w:bookmarkEnd w:id="892"/>
      <w:bookmarkEnd w:id="893"/>
      <w:bookmarkEnd w:id="894"/>
      <w:bookmarkEnd w:id="895"/>
      <w:r>
        <w:rPr>
          <w:rFonts w:hint="eastAsia" w:ascii="宋体" w:hAnsi="宋体" w:eastAsia="宋体" w:cs="宋体"/>
          <w:color w:val="auto"/>
          <w:highlight w:val="none"/>
        </w:rPr>
        <w:t>竞争性谈判响应文件格式</w:t>
      </w:r>
      <w:bookmarkEnd w:id="896"/>
      <w:bookmarkEnd w:id="897"/>
      <w:bookmarkEnd w:id="898"/>
      <w:bookmarkEnd w:id="899"/>
      <w:bookmarkEnd w:id="900"/>
      <w:bookmarkEnd w:id="901"/>
    </w:p>
    <w:p w14:paraId="68310BC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902" w:name="_Toc317688899"/>
      <w:bookmarkStart w:id="903" w:name="_Toc261778021"/>
      <w:bookmarkStart w:id="904" w:name="_Toc58941270"/>
      <w:bookmarkStart w:id="905" w:name="_Toc308708470"/>
    </w:p>
    <w:p w14:paraId="7B0158D9">
      <w:pPr>
        <w:pStyle w:val="29"/>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color w:val="auto"/>
          <w:sz w:val="32"/>
          <w:szCs w:val="32"/>
          <w:highlight w:val="none"/>
        </w:rPr>
      </w:pPr>
    </w:p>
    <w:p w14:paraId="10A88723">
      <w:pPr>
        <w:pStyle w:val="29"/>
        <w:keepNext w:val="0"/>
        <w:keepLines w:val="0"/>
        <w:pageBreakBefore w:val="0"/>
        <w:widowControl w:val="0"/>
        <w:kinsoku/>
        <w:wordWrap/>
        <w:overflowPunct/>
        <w:topLinePunct w:val="0"/>
        <w:bidi w:val="0"/>
        <w:snapToGrid/>
        <w:spacing w:line="360" w:lineRule="auto"/>
        <w:jc w:val="center"/>
        <w:textAlignment w:val="auto"/>
        <w:rPr>
          <w:rFonts w:hint="default" w:ascii="宋体" w:hAnsi="宋体" w:eastAsia="宋体" w:cs="宋体"/>
          <w:b/>
          <w:color w:val="auto"/>
          <w:kern w:val="0"/>
          <w:sz w:val="52"/>
          <w:szCs w:val="52"/>
          <w:highlight w:val="none"/>
          <w:lang w:val="en-US"/>
        </w:rPr>
      </w:pPr>
      <w:r>
        <w:rPr>
          <w:rFonts w:hint="eastAsia" w:hAnsi="宋体" w:eastAsia="宋体" w:cs="宋体"/>
          <w:b/>
          <w:color w:val="auto"/>
          <w:kern w:val="0"/>
          <w:sz w:val="58"/>
          <w:szCs w:val="58"/>
          <w:highlight w:val="none"/>
          <w:u w:val="single"/>
          <w:lang w:val="en-US" w:eastAsia="zh-CN"/>
        </w:rPr>
        <w:t xml:space="preserve">            （项目名称）</w:t>
      </w:r>
    </w:p>
    <w:p w14:paraId="5AC9CCB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27B112C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3BA19A0F">
      <w:pPr>
        <w:keepNext w:val="0"/>
        <w:keepLines w:val="0"/>
        <w:pageBreakBefore w:val="0"/>
        <w:widowControl w:val="0"/>
        <w:tabs>
          <w:tab w:val="left" w:pos="8380"/>
        </w:tabs>
        <w:kinsoku/>
        <w:wordWrap/>
        <w:overflowPunct/>
        <w:topLinePunct w:val="0"/>
        <w:bidi w:val="0"/>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b/>
      </w:r>
    </w:p>
    <w:p w14:paraId="56858548">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竞争性谈判</w:t>
      </w:r>
      <w:r>
        <w:rPr>
          <w:rFonts w:hint="eastAsia" w:ascii="宋体" w:hAnsi="宋体" w:eastAsia="宋体" w:cs="宋体"/>
          <w:b/>
          <w:bCs/>
          <w:color w:val="auto"/>
          <w:sz w:val="72"/>
          <w:szCs w:val="72"/>
          <w:highlight w:val="none"/>
          <w:lang w:val="en-US" w:eastAsia="zh-CN"/>
        </w:rPr>
        <w:t>响应</w:t>
      </w:r>
      <w:r>
        <w:rPr>
          <w:rFonts w:hint="eastAsia" w:ascii="宋体" w:hAnsi="宋体" w:eastAsia="宋体" w:cs="宋体"/>
          <w:b/>
          <w:bCs/>
          <w:color w:val="auto"/>
          <w:sz w:val="72"/>
          <w:szCs w:val="72"/>
          <w:highlight w:val="none"/>
        </w:rPr>
        <w:t>文件</w:t>
      </w:r>
    </w:p>
    <w:p w14:paraId="531D8FC8">
      <w:pPr>
        <w:pStyle w:val="29"/>
        <w:keepNext w:val="0"/>
        <w:keepLines w:val="0"/>
        <w:pageBreakBefore w:val="0"/>
        <w:widowControl w:val="0"/>
        <w:kinsoku/>
        <w:wordWrap/>
        <w:overflowPunct/>
        <w:topLinePunct w:val="0"/>
        <w:bidi w:val="0"/>
        <w:snapToGrid/>
        <w:spacing w:line="360" w:lineRule="auto"/>
        <w:ind w:firstLine="600" w:firstLineChars="250"/>
        <w:textAlignment w:val="auto"/>
        <w:rPr>
          <w:rFonts w:hint="eastAsia" w:ascii="宋体" w:hAnsi="宋体" w:eastAsia="宋体" w:cs="宋体"/>
          <w:color w:val="auto"/>
          <w:sz w:val="24"/>
          <w:highlight w:val="none"/>
        </w:rPr>
      </w:pPr>
    </w:p>
    <w:p w14:paraId="6854CFEB">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highlight w:val="none"/>
        </w:rPr>
      </w:pPr>
    </w:p>
    <w:p w14:paraId="2E798EB2">
      <w:pPr>
        <w:pStyle w:val="29"/>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供应商：</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(单位公章)</w:t>
      </w:r>
    </w:p>
    <w:p w14:paraId="1728DF69">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30"/>
          <w:szCs w:val="30"/>
          <w:highlight w:val="none"/>
        </w:rPr>
      </w:pPr>
    </w:p>
    <w:p w14:paraId="1BC611B4">
      <w:pPr>
        <w:pStyle w:val="29"/>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法定代表人或其委托代理人：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（签字</w:t>
      </w:r>
      <w:r>
        <w:rPr>
          <w:rFonts w:hint="eastAsia" w:ascii="宋体" w:hAnsi="宋体" w:eastAsia="宋体" w:cs="宋体"/>
          <w:color w:val="auto"/>
          <w:sz w:val="30"/>
          <w:szCs w:val="30"/>
          <w:highlight w:val="none"/>
          <w:lang w:val="en-US" w:eastAsia="zh-CN"/>
        </w:rPr>
        <w:t>或签章</w:t>
      </w:r>
      <w:r>
        <w:rPr>
          <w:rFonts w:hint="eastAsia" w:ascii="宋体" w:hAnsi="宋体" w:eastAsia="宋体" w:cs="宋体"/>
          <w:color w:val="auto"/>
          <w:sz w:val="30"/>
          <w:szCs w:val="30"/>
          <w:highlight w:val="none"/>
        </w:rPr>
        <w:t>）</w:t>
      </w:r>
    </w:p>
    <w:p w14:paraId="3B65F35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59568064">
      <w:pPr>
        <w:pStyle w:val="29"/>
        <w:keepNext w:val="0"/>
        <w:keepLines w:val="0"/>
        <w:pageBreakBefore w:val="0"/>
        <w:widowControl w:val="0"/>
        <w:kinsoku/>
        <w:wordWrap/>
        <w:overflowPunct/>
        <w:topLinePunct w:val="0"/>
        <w:bidi w:val="0"/>
        <w:snapToGrid/>
        <w:spacing w:line="360" w:lineRule="auto"/>
        <w:ind w:firstLine="5100" w:firstLineChars="1700"/>
        <w:textAlignment w:val="auto"/>
        <w:rPr>
          <w:rFonts w:hint="eastAsia" w:ascii="宋体" w:hAnsi="宋体" w:eastAsia="宋体" w:cs="宋体"/>
          <w:color w:val="auto"/>
          <w:szCs w:val="21"/>
          <w:highlight w:val="none"/>
        </w:rPr>
      </w:pPr>
      <w:r>
        <w:rPr>
          <w:rFonts w:hint="eastAsia" w:ascii="宋体" w:hAnsi="宋体" w:eastAsia="宋体" w:cs="宋体"/>
          <w:color w:val="auto"/>
          <w:sz w:val="30"/>
          <w:szCs w:val="30"/>
          <w:highlight w:val="none"/>
        </w:rPr>
        <w:t>年      月      日</w:t>
      </w:r>
      <w:r>
        <w:rPr>
          <w:rFonts w:hint="eastAsia" w:ascii="宋体" w:hAnsi="宋体" w:eastAsia="宋体" w:cs="宋体"/>
          <w:color w:val="auto"/>
          <w:szCs w:val="21"/>
          <w:highlight w:val="none"/>
        </w:rPr>
        <w:br w:type="page"/>
      </w:r>
    </w:p>
    <w:p w14:paraId="79B0A3A3">
      <w:pPr>
        <w:pageBreakBefore w:val="0"/>
        <w:kinsoku/>
        <w:wordWrap/>
        <w:overflowPunct/>
        <w:bidi w:val="0"/>
        <w:spacing w:after="200" w:line="360" w:lineRule="auto"/>
        <w:jc w:val="center"/>
        <w:textAlignment w:val="auto"/>
        <w:outlineLvl w:val="1"/>
        <w:rPr>
          <w:rStyle w:val="62"/>
          <w:rFonts w:hint="eastAsia" w:ascii="宋体" w:hAnsi="宋体" w:cs="宋体"/>
          <w:color w:val="auto"/>
          <w:sz w:val="32"/>
          <w:szCs w:val="32"/>
          <w:highlight w:val="none"/>
          <w:lang w:eastAsia="zh-TW"/>
        </w:rPr>
      </w:pPr>
      <w:bookmarkStart w:id="906" w:name="_Toc1381801979"/>
      <w:bookmarkStart w:id="907" w:name="_Toc691694524"/>
      <w:bookmarkStart w:id="908" w:name="_Toc1802739161"/>
      <w:bookmarkStart w:id="909" w:name="_Toc1333153718"/>
      <w:bookmarkStart w:id="910" w:name="_Toc997790132"/>
      <w:bookmarkStart w:id="911" w:name="_Toc25527"/>
      <w:bookmarkStart w:id="912" w:name="_Toc28542"/>
      <w:bookmarkStart w:id="913" w:name="_Toc55229800"/>
      <w:bookmarkStart w:id="914" w:name="_Toc55303755"/>
      <w:bookmarkStart w:id="915" w:name="_Toc13130"/>
      <w:bookmarkStart w:id="916" w:name="_Toc2194"/>
      <w:bookmarkStart w:id="917" w:name="_Toc9449"/>
      <w:bookmarkStart w:id="918" w:name="_Toc55310068"/>
      <w:bookmarkStart w:id="919" w:name="_Toc11442"/>
      <w:bookmarkStart w:id="920" w:name="_Toc17407"/>
      <w:bookmarkStart w:id="921" w:name="_Toc440110294"/>
      <w:bookmarkStart w:id="922" w:name="_Toc26208"/>
      <w:bookmarkStart w:id="923" w:name="_Toc23338"/>
      <w:bookmarkStart w:id="924" w:name="_Toc23101"/>
      <w:bookmarkStart w:id="925" w:name="_Toc13001"/>
      <w:r>
        <w:rPr>
          <w:rStyle w:val="62"/>
          <w:rFonts w:hint="eastAsia" w:ascii="宋体" w:hAnsi="宋体" w:cs="宋体"/>
          <w:color w:val="auto"/>
          <w:sz w:val="32"/>
          <w:szCs w:val="32"/>
          <w:highlight w:val="none"/>
          <w:lang w:eastAsia="zh-TW"/>
        </w:rPr>
        <w:t>第一部分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eastAsia="zh-TW"/>
        </w:rPr>
        <w:t>资格部分</w:t>
      </w:r>
    </w:p>
    <w:bookmarkEnd w:id="906"/>
    <w:bookmarkEnd w:id="907"/>
    <w:bookmarkEnd w:id="908"/>
    <w:bookmarkEnd w:id="909"/>
    <w:bookmarkEnd w:id="910"/>
    <w:p w14:paraId="6C83387D">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color w:val="auto"/>
          <w:kern w:val="0"/>
          <w:sz w:val="24"/>
          <w:szCs w:val="24"/>
          <w:highlight w:val="none"/>
        </w:rPr>
      </w:pPr>
      <w:bookmarkStart w:id="926" w:name="_Toc32536_WPSOffice_Level2"/>
      <w:bookmarkStart w:id="927" w:name="_Toc4286_WPSOffice_Level2"/>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一般要求</w:t>
      </w:r>
    </w:p>
    <w:p w14:paraId="5636BD68">
      <w:pPr>
        <w:keepNext w:val="0"/>
        <w:keepLines w:val="0"/>
        <w:pageBreakBefore w:val="0"/>
        <w:kinsoku/>
        <w:wordWrap/>
        <w:topLinePunct w:val="0"/>
        <w:bidi w:val="0"/>
        <w:spacing w:line="360" w:lineRule="auto"/>
        <w:outlineLvl w:val="9"/>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1.1</w:t>
      </w:r>
      <w:r>
        <w:rPr>
          <w:rFonts w:hint="eastAsia" w:ascii="宋体" w:hAnsi="宋体" w:cs="宋体"/>
          <w:b/>
          <w:bCs/>
          <w:color w:val="auto"/>
          <w:kern w:val="0"/>
          <w:sz w:val="24"/>
          <w:szCs w:val="24"/>
          <w:highlight w:val="none"/>
          <w:lang w:val="en-US" w:eastAsia="zh-CN"/>
        </w:rPr>
        <w:t xml:space="preserve"> </w:t>
      </w:r>
      <w:r>
        <w:rPr>
          <w:rFonts w:hint="eastAsia" w:ascii="宋体" w:hAnsi="宋体" w:eastAsia="宋体" w:cs="宋体"/>
          <w:b/>
          <w:bCs/>
          <w:color w:val="auto"/>
          <w:kern w:val="0"/>
          <w:sz w:val="24"/>
          <w:szCs w:val="24"/>
          <w:highlight w:val="none"/>
          <w:lang w:val="en-US" w:eastAsia="zh-CN"/>
        </w:rPr>
        <w:t>营业执照</w:t>
      </w:r>
      <w:r>
        <w:rPr>
          <w:rFonts w:hint="eastAsia" w:ascii="宋体" w:hAnsi="宋体" w:cs="宋体"/>
          <w:b/>
          <w:bCs/>
          <w:color w:val="auto"/>
          <w:kern w:val="0"/>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供应商为中华人民共和国境内合法注册的独立企业法人或其他组织，具有独立承担民事责任能力，具有独立签订立合同的权利，营业执照应在有效期内。</w:t>
      </w:r>
    </w:p>
    <w:p w14:paraId="3CCA0B67">
      <w:pPr>
        <w:rPr>
          <w:rFonts w:hint="eastAsia" w:ascii="宋体" w:hAnsi="宋体" w:eastAsia="宋体" w:cs="宋体"/>
          <w:b w:val="0"/>
          <w:bCs w:val="0"/>
          <w:color w:val="auto"/>
          <w:kern w:val="2"/>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rPr>
        <w:br w:type="page"/>
      </w:r>
    </w:p>
    <w:p w14:paraId="072FA514">
      <w:pPr>
        <w:pStyle w:val="48"/>
        <w:keepNext w:val="0"/>
        <w:keepLines w:val="0"/>
        <w:pageBreakBefore w:val="0"/>
        <w:kinsoku/>
        <w:wordWrap/>
        <w:topLinePunct w:val="0"/>
        <w:bidi w:val="0"/>
        <w:spacing w:line="360" w:lineRule="auto"/>
        <w:ind w:left="0" w:leftChars="0" w:firstLine="0" w:firstLineChars="0"/>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 xml:space="preserve">1.2 </w:t>
      </w:r>
      <w:r>
        <w:rPr>
          <w:rFonts w:hint="eastAsia" w:ascii="宋体" w:hAnsi="宋体" w:eastAsia="宋体" w:cs="宋体"/>
          <w:color w:val="auto"/>
          <w:highlight w:val="none"/>
          <w:lang w:val="en-US" w:eastAsia="zh-CN"/>
        </w:rPr>
        <w:t>信誉要求：</w:t>
      </w:r>
    </w:p>
    <w:p w14:paraId="0D6DF59C">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1.2.1没有处于被责令停产、停业或进入破产程序，且资产未被重组、接管和冻结，也未被司法机关采取财产保全或强制执行措施（提供书面承诺并加盖公章或相关证明材料）。</w:t>
      </w:r>
    </w:p>
    <w:p w14:paraId="10E09BF5">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1.2.2没有处于行政主管部门禁止投标的处罚期间内（提供书面承诺并加盖公章或相关证明材料）。</w:t>
      </w:r>
    </w:p>
    <w:p w14:paraId="09B43DCA">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1.2.3 2022年以来，在工程造价咨询及审计服务过程中未因违规、违约等问题被通报并停止或暂停授权（提供书面承诺并加盖公章或相关证明材料）。</w:t>
      </w:r>
    </w:p>
    <w:p w14:paraId="7A760FE6">
      <w:pPr>
        <w:spacing w:line="360" w:lineRule="auto"/>
        <w:ind w:firstLine="460" w:firstLineChars="192"/>
        <w:jc w:val="left"/>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1.2.4谈判申请人未被列入</w:t>
      </w:r>
      <w:r>
        <w:rPr>
          <w:rFonts w:hint="eastAsia" w:asciiTheme="minorEastAsia" w:hAnsiTheme="minorEastAsia" w:eastAsiaTheme="minorEastAsia" w:cstheme="minorEastAsia"/>
          <w:color w:val="000000"/>
          <w:sz w:val="24"/>
          <w:szCs w:val="24"/>
          <w:highlight w:val="none"/>
        </w:rPr>
        <w:t>“信用中国”网站（www.creditchina.gov.cn）失信被执行人、税收违法</w:t>
      </w:r>
      <w:r>
        <w:rPr>
          <w:rFonts w:hint="eastAsia" w:asciiTheme="minorEastAsia" w:hAnsiTheme="minorEastAsia" w:eastAsiaTheme="minorEastAsia" w:cstheme="minorEastAsia"/>
          <w:color w:val="000000"/>
          <w:sz w:val="24"/>
          <w:szCs w:val="24"/>
          <w:highlight w:val="none"/>
          <w:lang w:val="en-US" w:eastAsia="zh-CN"/>
        </w:rPr>
        <w:t>黑名单</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rPr>
        <w:t>政府采购严重违法失信行为记录名单</w:t>
      </w:r>
      <w:r>
        <w:rPr>
          <w:rFonts w:hint="eastAsia" w:asciiTheme="minorEastAsia" w:hAnsiTheme="minorEastAsia" w:eastAsiaTheme="minorEastAsia" w:cstheme="minorEastAsia"/>
          <w:color w:val="000000"/>
          <w:sz w:val="24"/>
          <w:szCs w:val="24"/>
          <w:highlight w:val="none"/>
          <w:lang w:eastAsia="zh-CN"/>
        </w:rPr>
        <w:t>。</w:t>
      </w:r>
      <w:r>
        <w:rPr>
          <w:rFonts w:hint="eastAsia" w:asciiTheme="minorEastAsia" w:hAnsiTheme="minorEastAsia" w:eastAsiaTheme="minorEastAsia" w:cstheme="minorEastAsia"/>
          <w:color w:val="000000"/>
          <w:sz w:val="24"/>
          <w:szCs w:val="24"/>
          <w:highlight w:val="none"/>
          <w:lang w:val="en-US" w:eastAsia="zh-CN"/>
        </w:rPr>
        <w:t>谈判申请人须提供“信用中国”网站查询结果证明材料（网页查询记录截图，查询时间为本公告发布之日起至申请文件提交截止时间止。）</w:t>
      </w:r>
    </w:p>
    <w:p w14:paraId="46A93DDA">
      <w:pPr>
        <w:pStyle w:val="29"/>
        <w:spacing w:line="600" w:lineRule="exact"/>
        <w:jc w:val="left"/>
        <w:rPr>
          <w:rFonts w:hint="eastAsia" w:ascii="宋体" w:hAnsi="宋体" w:eastAsia="宋体" w:cs="宋体"/>
          <w:b/>
          <w:color w:val="auto"/>
          <w:sz w:val="28"/>
          <w:highlight w:val="none"/>
        </w:rPr>
      </w:pPr>
      <w:r>
        <w:rPr>
          <w:rFonts w:hint="eastAsia" w:ascii="宋体" w:hAnsi="宋体" w:eastAsia="宋体" w:cs="宋体"/>
          <w:b w:val="0"/>
          <w:bCs w:val="0"/>
          <w:color w:val="auto"/>
          <w:sz w:val="24"/>
          <w:szCs w:val="24"/>
          <w:highlight w:val="none"/>
          <w:lang w:val="en-US" w:eastAsia="zh-CN"/>
        </w:rPr>
        <w:t>（查询方法：登录“信用中国https://www.creditchina.gov.cn”→点击“信息公示”→点击“严重失信主体名单查询”“重大税收违法失信主体”</w:t>
      </w:r>
      <w:r>
        <w:rPr>
          <w:rFonts w:hint="eastAsia" w:hAnsi="宋体" w:eastAsia="宋体" w:cs="宋体"/>
          <w:b w:val="0"/>
          <w:bCs w:val="0"/>
          <w:color w:val="auto"/>
          <w:sz w:val="24"/>
          <w:szCs w:val="24"/>
          <w:highlight w:val="none"/>
          <w:lang w:val="en-US" w:eastAsia="zh-CN"/>
        </w:rPr>
        <w:t>“安全生产严重失信主体名单”</w:t>
      </w:r>
      <w:r>
        <w:rPr>
          <w:rFonts w:hint="eastAsia" w:ascii="宋体" w:hAnsi="宋体" w:eastAsia="宋体" w:cs="宋体"/>
          <w:b w:val="0"/>
          <w:bCs w:val="0"/>
          <w:color w:val="auto"/>
          <w:sz w:val="24"/>
          <w:szCs w:val="24"/>
          <w:highlight w:val="none"/>
          <w:lang w:val="en-US" w:eastAsia="zh-CN"/>
        </w:rPr>
        <w:t>栏目处输入</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名称→对查询内容进行截图）。</w:t>
      </w:r>
    </w:p>
    <w:p w14:paraId="37446428">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2336" behindDoc="0" locked="0" layoutInCell="1" allowOverlap="1">
            <wp:simplePos x="0" y="0"/>
            <wp:positionH relativeFrom="column">
              <wp:posOffset>61595</wp:posOffset>
            </wp:positionH>
            <wp:positionV relativeFrom="paragraph">
              <wp:posOffset>353695</wp:posOffset>
            </wp:positionV>
            <wp:extent cx="5107940" cy="2834640"/>
            <wp:effectExtent l="0" t="0" r="12700" b="0"/>
            <wp:wrapSquare wrapText="bothSides"/>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5107940" cy="2834640"/>
                    </a:xfrm>
                    <a:prstGeom prst="rect">
                      <a:avLst/>
                    </a:prstGeom>
                    <a:noFill/>
                    <a:ln>
                      <a:noFill/>
                    </a:ln>
                  </pic:spPr>
                </pic:pic>
              </a:graphicData>
            </a:graphic>
          </wp:anchor>
        </w:drawing>
      </w:r>
    </w:p>
    <w:p w14:paraId="6F6FA79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07DCAE6F">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64AC900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163F8DB2">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54D368AD">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p>
    <w:p w14:paraId="04E6440B">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p>
    <w:p w14:paraId="6CC28462">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sectPr>
          <w:headerReference r:id="rId5" w:type="default"/>
          <w:footerReference r:id="rId6" w:type="default"/>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r>
        <w:rPr>
          <w:highlight w:val="none"/>
        </w:rPr>
        <w:drawing>
          <wp:anchor distT="0" distB="0" distL="114300" distR="114300" simplePos="0" relativeHeight="251664384" behindDoc="0" locked="0" layoutInCell="1" allowOverlap="1">
            <wp:simplePos x="0" y="0"/>
            <wp:positionH relativeFrom="column">
              <wp:posOffset>152400</wp:posOffset>
            </wp:positionH>
            <wp:positionV relativeFrom="paragraph">
              <wp:posOffset>3520440</wp:posOffset>
            </wp:positionV>
            <wp:extent cx="5125720" cy="3372485"/>
            <wp:effectExtent l="0" t="0" r="17780" b="1841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1"/>
                    <a:stretch>
                      <a:fillRect/>
                    </a:stretch>
                  </pic:blipFill>
                  <pic:spPr>
                    <a:xfrm>
                      <a:off x="0" y="0"/>
                      <a:ext cx="5125720" cy="3372485"/>
                    </a:xfrm>
                    <a:prstGeom prst="rect">
                      <a:avLst/>
                    </a:prstGeom>
                    <a:noFill/>
                    <a:ln>
                      <a:noFill/>
                    </a:ln>
                  </pic:spPr>
                </pic:pic>
              </a:graphicData>
            </a:graphic>
          </wp:anchor>
        </w:drawing>
      </w:r>
      <w:r>
        <w:rPr>
          <w:rFonts w:hint="eastAsia" w:ascii="宋体" w:hAnsi="宋体" w:eastAsia="宋体" w:cs="宋体"/>
          <w:color w:val="auto"/>
          <w:highlight w:val="none"/>
        </w:rPr>
        <w:drawing>
          <wp:anchor distT="0" distB="0" distL="114300" distR="114300" simplePos="0" relativeHeight="251663360" behindDoc="0" locked="0" layoutInCell="1" allowOverlap="1">
            <wp:simplePos x="0" y="0"/>
            <wp:positionH relativeFrom="column">
              <wp:posOffset>154305</wp:posOffset>
            </wp:positionH>
            <wp:positionV relativeFrom="paragraph">
              <wp:posOffset>313055</wp:posOffset>
            </wp:positionV>
            <wp:extent cx="5109845" cy="2847340"/>
            <wp:effectExtent l="0" t="0" r="10795" b="254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2"/>
                    <a:stretch>
                      <a:fillRect/>
                    </a:stretch>
                  </pic:blipFill>
                  <pic:spPr>
                    <a:xfrm>
                      <a:off x="0" y="0"/>
                      <a:ext cx="5109845" cy="2847340"/>
                    </a:xfrm>
                    <a:prstGeom prst="rect">
                      <a:avLst/>
                    </a:prstGeom>
                    <a:noFill/>
                    <a:ln>
                      <a:noFill/>
                    </a:ln>
                  </pic:spPr>
                </pic:pic>
              </a:graphicData>
            </a:graphic>
          </wp:anchor>
        </w:drawing>
      </w:r>
    </w:p>
    <w:p w14:paraId="5BE262F6">
      <w:pPr>
        <w:pStyle w:val="29"/>
        <w:spacing w:line="600" w:lineRule="exact"/>
        <w:rPr>
          <w:rFonts w:hint="eastAsia" w:ascii="宋体" w:hAnsi="宋体" w:eastAsia="宋体" w:cs="宋体"/>
          <w:b w:val="0"/>
          <w:bCs/>
          <w:color w:val="auto"/>
          <w:sz w:val="24"/>
          <w:szCs w:val="24"/>
          <w:highlight w:val="none"/>
          <w:lang w:val="en-US" w:eastAsia="zh-CN"/>
        </w:rPr>
      </w:pPr>
      <w:r>
        <w:rPr>
          <w:rFonts w:hint="eastAsia" w:hAnsi="宋体" w:eastAsia="宋体" w:cs="宋体"/>
          <w:b w:val="0"/>
          <w:bCs/>
          <w:color w:val="auto"/>
          <w:sz w:val="24"/>
          <w:szCs w:val="24"/>
          <w:highlight w:val="none"/>
          <w:lang w:val="en-US" w:eastAsia="zh-CN"/>
        </w:rPr>
        <w:t xml:space="preserve">1.2.5 </w:t>
      </w:r>
      <w:r>
        <w:rPr>
          <w:rFonts w:hint="eastAsia" w:ascii="宋体" w:hAnsi="宋体" w:eastAsia="宋体" w:cs="宋体"/>
          <w:b w:val="0"/>
          <w:bCs/>
          <w:color w:val="auto"/>
          <w:sz w:val="24"/>
          <w:szCs w:val="24"/>
          <w:highlight w:val="none"/>
          <w:lang w:val="en-US" w:eastAsia="zh-CN"/>
        </w:rPr>
        <w:t>未被列入“中国执行信息公开网”网站（https://zxgk.court.gov.cn）失信被执行人；（附截图）</w:t>
      </w:r>
    </w:p>
    <w:p w14:paraId="312B043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Cs/>
          <w:color w:val="auto"/>
          <w:sz w:val="24"/>
          <w:szCs w:val="24"/>
          <w:highlight w:val="none"/>
          <w:lang w:val="en-US" w:eastAsia="zh-CN"/>
        </w:rPr>
        <w:t>（查询方法：登录“信用中国https://www.creditchina.gov.cn”→点击“信息公示”→点击“失信被执行人查询”→跳转至中国执行信息公开网→在“查询条件”栏目处输入</w:t>
      </w:r>
      <w:r>
        <w:rPr>
          <w:rFonts w:hint="eastAsia" w:ascii="宋体"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名称、身份证号码/组织机构代码→对查询内容进行截图）。</w:t>
      </w:r>
    </w:p>
    <w:p w14:paraId="7EC2C216">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inline distT="0" distB="0" distL="114300" distR="114300">
            <wp:extent cx="5608955" cy="4177030"/>
            <wp:effectExtent l="0" t="0" r="14605" b="1397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3"/>
                    <a:stretch>
                      <a:fillRect/>
                    </a:stretch>
                  </pic:blipFill>
                  <pic:spPr>
                    <a:xfrm>
                      <a:off x="0" y="0"/>
                      <a:ext cx="5608955" cy="4177030"/>
                    </a:xfrm>
                    <a:prstGeom prst="rect">
                      <a:avLst/>
                    </a:prstGeom>
                    <a:noFill/>
                    <a:ln>
                      <a:noFill/>
                    </a:ln>
                  </pic:spPr>
                </pic:pic>
              </a:graphicData>
            </a:graphic>
          </wp:inline>
        </w:drawing>
      </w:r>
    </w:p>
    <w:p w14:paraId="7926A89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2C79921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F1AAD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EE23B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E29B3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2403C7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7BAEF0E">
      <w:pPr>
        <w:keepNext w:val="0"/>
        <w:keepLines w:val="0"/>
        <w:pageBreakBefore w:val="0"/>
        <w:widowControl w:val="0"/>
        <w:kinsoku/>
        <w:wordWrap/>
        <w:overflowPunct/>
        <w:topLinePunct w:val="0"/>
        <w:autoSpaceDE w:val="0"/>
        <w:autoSpaceDN w:val="0"/>
        <w:bidi w:val="0"/>
        <w:adjustRightInd w:val="0"/>
        <w:snapToGrid/>
        <w:spacing w:after="0"/>
        <w:ind w:left="0" w:leftChars="0" w:firstLineChars="0"/>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2.专用资格要求</w:t>
      </w:r>
    </w:p>
    <w:p w14:paraId="22763E5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cs="宋体"/>
          <w:b w:val="0"/>
          <w:bCs w:val="0"/>
          <w:spacing w:val="-3"/>
          <w:sz w:val="24"/>
          <w:highlight w:val="none"/>
          <w:lang w:val="en-US" w:eastAsia="zh-CN"/>
        </w:rPr>
      </w:pPr>
      <w:r>
        <w:rPr>
          <w:rFonts w:hint="eastAsia" w:eastAsia="宋体" w:cs="宋体"/>
          <w:b w:val="0"/>
          <w:bCs w:val="0"/>
          <w:color w:val="auto"/>
          <w:highlight w:val="none"/>
          <w:lang w:val="en-US" w:eastAsia="zh-CN"/>
        </w:rPr>
        <w:t>2.1资质要求：</w:t>
      </w:r>
      <w:r>
        <w:rPr>
          <w:rFonts w:hint="eastAsia" w:ascii="宋体" w:hAnsi="宋体" w:cs="宋体"/>
          <w:b w:val="0"/>
          <w:bCs w:val="0"/>
          <w:spacing w:val="-3"/>
          <w:sz w:val="24"/>
          <w:highlight w:val="none"/>
          <w:lang w:val="en-US" w:eastAsia="zh-CN"/>
        </w:rPr>
        <w:t>营业执照经营范围中包括有工程造价咨询业务</w:t>
      </w:r>
    </w:p>
    <w:p w14:paraId="1826E54A">
      <w:pPr>
        <w:rPr>
          <w:rFonts w:hint="eastAsia" w:ascii="宋体" w:hAnsi="宋体" w:cs="宋体"/>
          <w:b w:val="0"/>
          <w:bCs w:val="0"/>
          <w:spacing w:val="-3"/>
          <w:sz w:val="24"/>
          <w:highlight w:val="none"/>
          <w:lang w:val="en-US" w:eastAsia="zh-CN"/>
        </w:rPr>
      </w:pPr>
      <w:r>
        <w:rPr>
          <w:rFonts w:hint="eastAsia" w:ascii="宋体" w:hAnsi="宋体" w:cs="宋体"/>
          <w:b w:val="0"/>
          <w:bCs w:val="0"/>
          <w:spacing w:val="-3"/>
          <w:sz w:val="24"/>
          <w:highlight w:val="none"/>
          <w:lang w:val="en-US" w:eastAsia="zh-CN"/>
        </w:rPr>
        <w:br w:type="page"/>
      </w:r>
    </w:p>
    <w:p w14:paraId="2C48F820">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2.2 项目负责人：</w:t>
      </w:r>
    </w:p>
    <w:p w14:paraId="791DAD5B">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（1）拟派项目负责人取得一级注册造价工程师执业时间不少于5年（以注册证初始注册时间为准）。（2）近5年至少作为项目负责人承担过2项2000万元及以上工程项目的造价咨询工作。</w:t>
      </w:r>
    </w:p>
    <w:p w14:paraId="35BC789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3D61BAA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58C1CE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5A502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46FB22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02A2C1A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576BE6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4CF15AD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4D89CF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52DCEC8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283C3A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18164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6C7F78C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3F9699B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A626A5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7C7D816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3098A6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p>
    <w:p w14:paraId="16B619A7">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b w:val="0"/>
          <w:bCs w:val="0"/>
          <w:color w:val="000000"/>
          <w:sz w:val="24"/>
          <w:szCs w:val="24"/>
          <w:highlight w:val="none"/>
          <w:lang w:val="en-US" w:eastAsia="zh-CN"/>
        </w:rPr>
      </w:pPr>
      <w:r>
        <w:rPr>
          <w:rFonts w:hint="eastAsia" w:asciiTheme="minorEastAsia" w:hAnsiTheme="minorEastAsia" w:eastAsiaTheme="minorEastAsia" w:cstheme="minorEastAsia"/>
          <w:b w:val="0"/>
          <w:bCs w:val="0"/>
          <w:color w:val="000000"/>
          <w:sz w:val="24"/>
          <w:szCs w:val="24"/>
          <w:highlight w:val="none"/>
          <w:lang w:val="en-US" w:eastAsia="zh-CN"/>
        </w:rPr>
        <w:t>2.3 服务团队要求（最低要求条件）</w:t>
      </w:r>
    </w:p>
    <w:p w14:paraId="50647EC4">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2.3.1造价专业人员（包括项目负责人在内不少于8人），其中土建专业一级造价工程师不少于3人，安装专业一级造价工程师不少于3人；需要取得注册造价工程师执业资格证。</w:t>
      </w:r>
    </w:p>
    <w:p w14:paraId="2DDC48EB">
      <w:pPr>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br w:type="page"/>
      </w:r>
    </w:p>
    <w:p w14:paraId="5E399F96">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000000"/>
          <w:sz w:val="24"/>
          <w:szCs w:val="24"/>
          <w:highlight w:val="none"/>
          <w:lang w:val="en-US" w:eastAsia="zh-CN"/>
        </w:rPr>
      </w:pPr>
    </w:p>
    <w:p w14:paraId="03E5BAF5">
      <w:pPr>
        <w:spacing w:line="360" w:lineRule="auto"/>
        <w:ind w:firstLine="480" w:firstLineChars="200"/>
        <w:rPr>
          <w:rFonts w:hint="eastAsia"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2.3.2其他咨询服务人员：不少</w:t>
      </w:r>
      <w:r>
        <w:rPr>
          <w:rFonts w:hint="eastAsia" w:asciiTheme="minorEastAsia" w:hAnsiTheme="minorEastAsia" w:eastAsiaTheme="minorEastAsia" w:cstheme="minorEastAsia"/>
          <w:color w:val="000000"/>
          <w:sz w:val="24"/>
          <w:szCs w:val="24"/>
          <w:highlight w:val="none"/>
          <w:lang w:val="en-US" w:eastAsia="zh-CN"/>
        </w:rPr>
        <w:t>于2人，</w:t>
      </w:r>
      <w:r>
        <w:rPr>
          <w:rFonts w:hint="eastAsia" w:ascii="宋体" w:hAnsi="宋体"/>
          <w:sz w:val="24"/>
          <w:highlight w:val="none"/>
        </w:rPr>
        <w:t>应</w:t>
      </w:r>
      <w:r>
        <w:rPr>
          <w:rFonts w:hint="eastAsia" w:ascii="宋体" w:hAnsi="宋体" w:cs="宋体"/>
          <w:bCs/>
          <w:kern w:val="2"/>
          <w:sz w:val="24"/>
          <w:szCs w:val="24"/>
          <w:highlight w:val="none"/>
        </w:rPr>
        <w:t>具备丰富的造价、经济、审计、会计、项目管理等方面的经验，能够综合运用多种学科知识、工程实践经验、经济管理方法为本项目的建设过程提供管理咨询服务。</w:t>
      </w:r>
    </w:p>
    <w:p w14:paraId="0D0B86DC">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注：</w:t>
      </w:r>
    </w:p>
    <w:p w14:paraId="49BD4B5C">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（1）以上仅是谈判申请人拟投入本项目团队的最低资格要求；</w:t>
      </w:r>
    </w:p>
    <w:p w14:paraId="1335F9F5">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（2）谈判申请人需提供相应人员的身份证、职称证、学历证、执业资格证书的复印件；</w:t>
      </w:r>
    </w:p>
    <w:p w14:paraId="5F327DF8">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（3）服务团队人员须为本单位在职人员并提供劳动合同；</w:t>
      </w:r>
    </w:p>
    <w:p w14:paraId="7963FB83">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（4）提供近半年的社保缴费证明；</w:t>
      </w:r>
    </w:p>
    <w:p w14:paraId="56B6062C">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（5）服务团队人数包括项目负责人。</w:t>
      </w:r>
    </w:p>
    <w:p w14:paraId="1B01F43F">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eastAsia"/>
          <w:color w:val="FF0000"/>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（6）提供项目负责人的业绩证明材料，材料</w:t>
      </w:r>
      <w:r>
        <w:rPr>
          <w:rFonts w:hint="eastAsia" w:ascii="宋体" w:hAnsi="宋体"/>
          <w:color w:val="FF0000"/>
          <w:sz w:val="24"/>
          <w:highlight w:val="none"/>
        </w:rPr>
        <w:t>应当能体现项目负责人姓名的合同复印件</w:t>
      </w:r>
      <w:r>
        <w:rPr>
          <w:rFonts w:hint="eastAsia" w:ascii="宋体" w:hAnsi="宋体"/>
          <w:color w:val="FF0000"/>
          <w:sz w:val="24"/>
          <w:highlight w:val="none"/>
          <w:lang w:eastAsia="zh-CN"/>
        </w:rPr>
        <w:t>（</w:t>
      </w:r>
      <w:r>
        <w:rPr>
          <w:rFonts w:hint="eastAsia" w:ascii="宋体" w:hAnsi="宋体"/>
          <w:color w:val="FF0000"/>
          <w:sz w:val="24"/>
          <w:highlight w:val="none"/>
          <w:lang w:val="en-US" w:eastAsia="zh-CN"/>
        </w:rPr>
        <w:t>证明信息的关键页，</w:t>
      </w:r>
      <w:r>
        <w:rPr>
          <w:rFonts w:hint="eastAsia" w:ascii="宋体" w:hAnsi="宋体"/>
          <w:color w:val="FF0000"/>
          <w:sz w:val="24"/>
          <w:highlight w:val="none"/>
        </w:rPr>
        <w:t>合同</w:t>
      </w:r>
      <w:r>
        <w:rPr>
          <w:rFonts w:hint="eastAsia" w:ascii="宋体" w:hAnsi="宋体"/>
          <w:color w:val="FF0000"/>
          <w:sz w:val="24"/>
          <w:highlight w:val="none"/>
          <w:lang w:val="en-US" w:eastAsia="zh-CN"/>
        </w:rPr>
        <w:t>签字盖章等）</w:t>
      </w:r>
    </w:p>
    <w:p w14:paraId="72370E59">
      <w:pPr>
        <w:rPr>
          <w:rFonts w:hint="default" w:eastAsia="宋体" w:cs="宋体"/>
          <w:b w:val="0"/>
          <w:bCs w:val="0"/>
          <w:color w:val="auto"/>
          <w:highlight w:val="none"/>
          <w:lang w:val="en-US" w:eastAsia="zh-CN"/>
        </w:rPr>
      </w:pPr>
      <w:r>
        <w:rPr>
          <w:rFonts w:hint="default" w:eastAsia="宋体" w:cs="宋体"/>
          <w:b w:val="0"/>
          <w:bCs w:val="0"/>
          <w:color w:val="auto"/>
          <w:highlight w:val="none"/>
          <w:lang w:val="en-US" w:eastAsia="zh-CN"/>
        </w:rPr>
        <w:br w:type="page"/>
      </w:r>
    </w:p>
    <w:p w14:paraId="07E1795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b w:val="0"/>
          <w:bCs w:val="0"/>
          <w:color w:val="auto"/>
          <w:highlight w:val="none"/>
          <w:lang w:val="en-US" w:eastAsia="zh-CN"/>
        </w:rPr>
      </w:pPr>
      <w:r>
        <w:rPr>
          <w:rFonts w:hint="eastAsia" w:eastAsia="宋体" w:cs="宋体"/>
          <w:b w:val="0"/>
          <w:bCs w:val="0"/>
          <w:color w:val="auto"/>
          <w:highlight w:val="none"/>
          <w:lang w:val="en-US" w:eastAsia="zh-CN"/>
        </w:rPr>
        <w:t>2.5</w:t>
      </w:r>
      <w:r>
        <w:rPr>
          <w:rFonts w:hint="eastAsia" w:ascii="宋体" w:hAnsi="宋体" w:eastAsia="宋体" w:cs="宋体"/>
          <w:b w:val="0"/>
          <w:bCs w:val="0"/>
          <w:color w:val="auto"/>
          <w:highlight w:val="none"/>
          <w:lang w:val="en-US" w:eastAsia="zh-CN"/>
        </w:rPr>
        <w:t>财务要求：</w:t>
      </w:r>
    </w:p>
    <w:p w14:paraId="3B8CD908">
      <w:pPr>
        <w:keepNext w:val="0"/>
        <w:keepLines w:val="0"/>
        <w:pageBreakBefore w:val="0"/>
        <w:widowControl w:val="0"/>
        <w:kinsoku/>
        <w:wordWrap/>
        <w:overflowPunct/>
        <w:topLinePunct w:val="0"/>
        <w:autoSpaceDE/>
        <w:autoSpaceDN/>
        <w:bidi w:val="0"/>
        <w:spacing w:line="360" w:lineRule="auto"/>
        <w:ind w:left="0" w:leftChars="0" w:firstLine="480" w:firstLineChars="200"/>
        <w:textAlignment w:val="auto"/>
        <w:rPr>
          <w:rFonts w:hint="default" w:asciiTheme="minorEastAsia" w:hAnsiTheme="minorEastAsia" w:eastAsiaTheme="minorEastAsia" w:cstheme="minorEastAsia"/>
          <w:color w:val="000000"/>
          <w:sz w:val="24"/>
          <w:szCs w:val="24"/>
          <w:highlight w:val="none"/>
          <w:lang w:val="en-US" w:eastAsia="zh-CN"/>
        </w:rPr>
      </w:pPr>
      <w:r>
        <w:rPr>
          <w:rFonts w:hint="eastAsia" w:asciiTheme="minorEastAsia" w:hAnsiTheme="minorEastAsia" w:eastAsiaTheme="minorEastAsia" w:cstheme="minorEastAsia"/>
          <w:color w:val="000000"/>
          <w:sz w:val="24"/>
          <w:szCs w:val="24"/>
          <w:highlight w:val="none"/>
          <w:lang w:val="en-US" w:eastAsia="zh-CN"/>
        </w:rPr>
        <w:t>提供2023年-2025年经第三方审计的审计报告及财务报表(包括资产负债表、利润表、现金流量表)，成立不满3年的，提供自成立至今经第三方审计的审计报告及财务报表(包括资产负债表、利润表、现金流量表），成立不满1年的，提供自成立至今的财务报表(包括资产负债表、利润表、现金流量表)。</w:t>
      </w:r>
    </w:p>
    <w:p w14:paraId="026C6F3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4944F7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6AB352F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150CC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BB643C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749102E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54F60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58395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00207D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40280D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416B6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A79B2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F4E989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BCDFC3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B93EE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426E14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DB060D2">
      <w:pPr>
        <w:pStyle w:val="48"/>
        <w:keepNext w:val="0"/>
        <w:keepLines w:val="0"/>
        <w:pageBreakBefore w:val="0"/>
        <w:widowControl w:val="0"/>
        <w:numPr>
          <w:ilvl w:val="-1"/>
          <w:numId w:val="0"/>
        </w:numPr>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bCs/>
          <w:color w:val="auto"/>
          <w:kern w:val="2"/>
          <w:sz w:val="24"/>
          <w:szCs w:val="24"/>
          <w:highlight w:val="none"/>
          <w:lang w:val="en-US" w:eastAsia="zh-CN" w:bidi="ar-SA"/>
        </w:rPr>
      </w:pPr>
      <w:r>
        <w:rPr>
          <w:rFonts w:hint="eastAsia" w:eastAsia="宋体" w:cs="宋体"/>
          <w:b/>
          <w:bCs/>
          <w:color w:val="auto"/>
          <w:kern w:val="2"/>
          <w:sz w:val="24"/>
          <w:szCs w:val="24"/>
          <w:highlight w:val="none"/>
          <w:lang w:val="en-US" w:eastAsia="zh-CN" w:bidi="ar-SA"/>
        </w:rPr>
        <w:t>3.业绩要求：</w:t>
      </w:r>
    </w:p>
    <w:p w14:paraId="7779BD2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cs="宋体"/>
          <w:b w:val="0"/>
          <w:bCs w:val="0"/>
          <w:spacing w:val="-3"/>
          <w:sz w:val="24"/>
          <w:highlight w:val="none"/>
          <w:lang w:val="en-US" w:eastAsia="zh-CN"/>
        </w:rPr>
      </w:pPr>
      <w:r>
        <w:rPr>
          <w:rFonts w:hint="eastAsia" w:ascii="宋体" w:hAnsi="宋体" w:cs="宋体"/>
          <w:b w:val="0"/>
          <w:bCs w:val="0"/>
          <w:spacing w:val="-3"/>
          <w:sz w:val="24"/>
          <w:highlight w:val="none"/>
          <w:lang w:val="en-US" w:eastAsia="zh-CN"/>
        </w:rPr>
        <w:t>企业近3年（2022年～202</w:t>
      </w:r>
      <w:r>
        <w:rPr>
          <w:rFonts w:hint="eastAsia" w:cs="宋体"/>
          <w:b w:val="0"/>
          <w:bCs w:val="0"/>
          <w:spacing w:val="-3"/>
          <w:sz w:val="24"/>
          <w:highlight w:val="none"/>
          <w:lang w:val="en-US" w:eastAsia="zh-CN"/>
        </w:rPr>
        <w:t>5</w:t>
      </w:r>
      <w:r>
        <w:rPr>
          <w:rFonts w:hint="eastAsia" w:ascii="宋体" w:hAnsi="宋体" w:cs="宋体"/>
          <w:b w:val="0"/>
          <w:bCs w:val="0"/>
          <w:spacing w:val="-3"/>
          <w:sz w:val="24"/>
          <w:highlight w:val="none"/>
          <w:lang w:val="en-US" w:eastAsia="zh-CN"/>
        </w:rPr>
        <w:t>年）有</w:t>
      </w:r>
      <w:r>
        <w:rPr>
          <w:rFonts w:hint="eastAsia" w:cs="宋体"/>
          <w:b w:val="0"/>
          <w:bCs w:val="0"/>
          <w:spacing w:val="-3"/>
          <w:sz w:val="24"/>
          <w:highlight w:val="none"/>
          <w:lang w:val="en-US" w:eastAsia="zh-CN"/>
        </w:rPr>
        <w:t>2</w:t>
      </w:r>
      <w:r>
        <w:rPr>
          <w:rFonts w:hint="eastAsia" w:ascii="宋体" w:hAnsi="宋体" w:cs="宋体"/>
          <w:b w:val="0"/>
          <w:bCs w:val="0"/>
          <w:spacing w:val="-3"/>
          <w:sz w:val="24"/>
          <w:highlight w:val="none"/>
          <w:lang w:val="en-US" w:eastAsia="zh-CN"/>
        </w:rPr>
        <w:t>个2000万元及以上新能源行业相关的工程造价咨询业务业绩。</w:t>
      </w:r>
    </w:p>
    <w:p w14:paraId="37AA87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2914C3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477C2B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2E1C0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151F0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BFCB31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A8CBF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67015C3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562161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317544C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937289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2B169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5814D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1CBBC5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1B6EC6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EEC817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09DAE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88172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F820889">
      <w:pPr>
        <w:pStyle w:val="48"/>
        <w:widowControl w:val="0"/>
        <w:numPr>
          <w:ilvl w:val="0"/>
          <w:numId w:val="0"/>
        </w:numPr>
        <w:overflowPunct/>
        <w:ind w:firstLine="0" w:firstLineChars="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其他要求：</w:t>
      </w:r>
    </w:p>
    <w:p w14:paraId="1D5A82E9">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（1）与招标人存在利害关系可能影响招标公正性的法人、其他组织或者个人，不得参加投标（提供书面承诺或相关证明材料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59C6E33D">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（2）单位负责人为同一人或者存在控股、管理关系的不同单位不得参加同一标段的投标或者未划分标段的同一招标项目的投标（提供书面承诺或相关证明材料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68C4428D">
      <w:pPr>
        <w:pStyle w:val="2"/>
        <w:rPr>
          <w:rFonts w:hint="eastAsia" w:ascii="宋体" w:hAnsi="宋体" w:cs="宋体"/>
          <w:sz w:val="24"/>
          <w:szCs w:val="24"/>
          <w:highlight w:val="none"/>
        </w:rPr>
      </w:pPr>
    </w:p>
    <w:p w14:paraId="3DD80D21">
      <w:pPr>
        <w:rPr>
          <w:rFonts w:hint="eastAsia" w:ascii="宋体" w:hAnsi="宋体" w:cs="宋体"/>
          <w:sz w:val="24"/>
          <w:szCs w:val="24"/>
          <w:highlight w:val="none"/>
        </w:rPr>
      </w:pPr>
    </w:p>
    <w:p w14:paraId="1BE9E331">
      <w:pPr>
        <w:pStyle w:val="2"/>
        <w:rPr>
          <w:rFonts w:hint="eastAsia" w:ascii="宋体" w:hAnsi="宋体" w:cs="宋体"/>
          <w:sz w:val="24"/>
          <w:szCs w:val="24"/>
          <w:highlight w:val="none"/>
        </w:rPr>
      </w:pPr>
    </w:p>
    <w:p w14:paraId="0BE94119">
      <w:pPr>
        <w:rPr>
          <w:rFonts w:hint="eastAsia" w:ascii="宋体" w:hAnsi="宋体" w:cs="宋体"/>
          <w:sz w:val="24"/>
          <w:szCs w:val="24"/>
          <w:highlight w:val="none"/>
        </w:rPr>
      </w:pPr>
    </w:p>
    <w:p w14:paraId="5E160DBA">
      <w:pPr>
        <w:pStyle w:val="2"/>
        <w:rPr>
          <w:rFonts w:hint="eastAsia" w:ascii="宋体" w:hAnsi="宋体" w:cs="宋体"/>
          <w:sz w:val="24"/>
          <w:szCs w:val="24"/>
          <w:highlight w:val="none"/>
        </w:rPr>
      </w:pPr>
    </w:p>
    <w:p w14:paraId="3CB9CDFC">
      <w:pPr>
        <w:rPr>
          <w:rFonts w:hint="eastAsia" w:ascii="宋体" w:hAnsi="宋体" w:cs="宋体"/>
          <w:sz w:val="24"/>
          <w:szCs w:val="24"/>
          <w:highlight w:val="none"/>
        </w:rPr>
      </w:pPr>
    </w:p>
    <w:p w14:paraId="3BAAB0B1">
      <w:pPr>
        <w:pStyle w:val="2"/>
        <w:rPr>
          <w:rFonts w:hint="eastAsia" w:ascii="宋体" w:hAnsi="宋体" w:cs="宋体"/>
          <w:sz w:val="24"/>
          <w:szCs w:val="24"/>
          <w:highlight w:val="none"/>
        </w:rPr>
      </w:pPr>
    </w:p>
    <w:p w14:paraId="5A10FB68">
      <w:pPr>
        <w:rPr>
          <w:rFonts w:hint="eastAsia" w:ascii="宋体" w:hAnsi="宋体" w:cs="宋体"/>
          <w:sz w:val="24"/>
          <w:szCs w:val="24"/>
          <w:highlight w:val="none"/>
        </w:rPr>
      </w:pPr>
    </w:p>
    <w:p w14:paraId="169ACE3F">
      <w:pPr>
        <w:pStyle w:val="2"/>
        <w:rPr>
          <w:rFonts w:hint="eastAsia" w:ascii="宋体" w:hAnsi="宋体" w:cs="宋体"/>
          <w:sz w:val="24"/>
          <w:szCs w:val="24"/>
          <w:highlight w:val="none"/>
        </w:rPr>
      </w:pPr>
    </w:p>
    <w:p w14:paraId="5CDF9779">
      <w:pPr>
        <w:rPr>
          <w:rFonts w:hint="eastAsia" w:ascii="宋体" w:hAnsi="宋体" w:cs="宋体"/>
          <w:sz w:val="24"/>
          <w:szCs w:val="24"/>
          <w:highlight w:val="none"/>
        </w:rPr>
      </w:pPr>
    </w:p>
    <w:p w14:paraId="7A7D0116">
      <w:pPr>
        <w:pStyle w:val="2"/>
        <w:rPr>
          <w:rFonts w:hint="eastAsia" w:ascii="宋体" w:hAnsi="宋体" w:cs="宋体"/>
          <w:sz w:val="24"/>
          <w:szCs w:val="24"/>
          <w:highlight w:val="none"/>
        </w:rPr>
      </w:pPr>
    </w:p>
    <w:p w14:paraId="0CD334AA">
      <w:pPr>
        <w:rPr>
          <w:rFonts w:hint="eastAsia" w:ascii="宋体" w:hAnsi="宋体" w:cs="宋体"/>
          <w:sz w:val="24"/>
          <w:szCs w:val="24"/>
          <w:highlight w:val="none"/>
        </w:rPr>
      </w:pPr>
    </w:p>
    <w:p w14:paraId="44554374">
      <w:pPr>
        <w:pStyle w:val="2"/>
        <w:rPr>
          <w:rFonts w:hint="eastAsia" w:ascii="宋体" w:hAnsi="宋体" w:cs="宋体"/>
          <w:sz w:val="24"/>
          <w:szCs w:val="24"/>
          <w:highlight w:val="none"/>
        </w:rPr>
      </w:pPr>
    </w:p>
    <w:p w14:paraId="62090B07">
      <w:pPr>
        <w:pStyle w:val="48"/>
        <w:numPr>
          <w:ilvl w:val="0"/>
          <w:numId w:val="0"/>
        </w:numPr>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供应商不得存在下列情形之一</w:t>
      </w:r>
      <w:r>
        <w:rPr>
          <w:rFonts w:hint="eastAsia" w:eastAsia="宋体" w:cs="宋体"/>
          <w:b w:val="0"/>
          <w:bCs w:val="0"/>
          <w:color w:val="auto"/>
          <w:sz w:val="24"/>
          <w:szCs w:val="24"/>
          <w:highlight w:val="none"/>
          <w:lang w:eastAsia="zh-CN"/>
        </w:rPr>
        <w:t>（提供相关承诺说明</w:t>
      </w:r>
      <w:r>
        <w:rPr>
          <w:rFonts w:hint="default" w:eastAsia="宋体" w:cs="宋体"/>
          <w:b w:val="0"/>
          <w:bCs w:val="0"/>
          <w:color w:val="auto"/>
          <w:sz w:val="24"/>
          <w:szCs w:val="24"/>
          <w:highlight w:val="none"/>
          <w:lang w:eastAsia="zh-CN"/>
        </w:rPr>
        <w:t>，格式详见附件</w:t>
      </w:r>
      <w:r>
        <w:rPr>
          <w:rFonts w:hint="eastAsia"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rPr>
        <w:t>：</w:t>
      </w:r>
    </w:p>
    <w:bookmarkEnd w:id="926"/>
    <w:bookmarkEnd w:id="927"/>
    <w:p w14:paraId="46C25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eastAsia="宋体" w:cs="宋体"/>
          <w:color w:val="auto"/>
          <w:sz w:val="24"/>
          <w:szCs w:val="24"/>
          <w:highlight w:val="none"/>
        </w:rPr>
        <w:t>经营状况</w:t>
      </w:r>
      <w:r>
        <w:rPr>
          <w:rFonts w:hint="default" w:ascii="宋体" w:hAnsi="宋体" w:eastAsia="宋体" w:cs="宋体"/>
          <w:color w:val="auto"/>
          <w:sz w:val="24"/>
          <w:szCs w:val="24"/>
          <w:highlight w:val="none"/>
        </w:rPr>
        <w:t>恶化</w:t>
      </w:r>
      <w:r>
        <w:rPr>
          <w:rFonts w:hint="eastAsia" w:ascii="宋体" w:hAnsi="宋体" w:eastAsia="宋体" w:cs="宋体"/>
          <w:color w:val="auto"/>
          <w:sz w:val="24"/>
          <w:szCs w:val="24"/>
          <w:highlight w:val="none"/>
        </w:rPr>
        <w:t>，处于被责令停业，财产被接管、冻结及破产状态，主要资产被冻结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r>
        <w:rPr>
          <w:rFonts w:hint="eastAsia" w:ascii="宋体" w:hAnsi="宋体" w:cs="宋体"/>
          <w:sz w:val="24"/>
          <w:szCs w:val="24"/>
          <w:highlight w:val="none"/>
        </w:rPr>
        <w:t>；</w:t>
      </w:r>
    </w:p>
    <w:p w14:paraId="10ADA696">
      <w:pPr>
        <w:keepNext w:val="0"/>
        <w:keepLines w:val="0"/>
        <w:pageBreakBefore w:val="0"/>
        <w:widowControl/>
        <w:kinsoku/>
        <w:wordWrap/>
        <w:overflowPunct w:val="0"/>
        <w:topLinePunct w:val="0"/>
        <w:autoSpaceDE/>
        <w:autoSpaceDN/>
        <w:bidi w:val="0"/>
        <w:adjustRightInd/>
        <w:snapToGrid/>
        <w:spacing w:line="360" w:lineRule="auto"/>
        <w:ind w:firstLine="480" w:firstLineChars="200"/>
        <w:textAlignment w:val="baseline"/>
        <w:outlineLvl w:val="9"/>
        <w:rPr>
          <w:rFonts w:hint="eastAsia"/>
          <w:highlight w:val="none"/>
        </w:rPr>
      </w:pPr>
      <w:r>
        <w:rPr>
          <w:rFonts w:hint="eastAsia" w:ascii="宋体" w:hAnsi="宋体" w:cs="宋体"/>
          <w:sz w:val="24"/>
          <w:szCs w:val="24"/>
          <w:highlight w:val="none"/>
        </w:rPr>
        <w:t>（</w:t>
      </w:r>
      <w:r>
        <w:rPr>
          <w:rFonts w:hint="default" w:ascii="宋体" w:hAnsi="宋体" w:cs="宋体"/>
          <w:sz w:val="24"/>
          <w:szCs w:val="24"/>
          <w:highlight w:val="none"/>
        </w:rPr>
        <w:t>2</w:t>
      </w:r>
      <w:r>
        <w:rPr>
          <w:rFonts w:hint="eastAsia" w:ascii="宋体" w:hAnsi="宋体" w:cs="宋体"/>
          <w:sz w:val="24"/>
          <w:szCs w:val="24"/>
          <w:highlight w:val="none"/>
        </w:rPr>
        <w:t>）处于被责令停产停业、暂扣或者吊销执照、暂扣或者吊销许可证、吊销资质证书状态；</w:t>
      </w:r>
    </w:p>
    <w:p w14:paraId="17E57C1C">
      <w:pPr>
        <w:keepNext w:val="0"/>
        <w:keepLines w:val="0"/>
        <w:pageBreakBefore w:val="0"/>
        <w:widowControl/>
        <w:kinsoku/>
        <w:wordWrap/>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w:t>
      </w:r>
      <w:r>
        <w:rPr>
          <w:rFonts w:hint="default" w:ascii="宋体" w:hAnsi="宋体" w:cs="宋体"/>
          <w:sz w:val="24"/>
          <w:szCs w:val="24"/>
          <w:highlight w:val="none"/>
        </w:rPr>
        <w:t>3</w:t>
      </w:r>
      <w:r>
        <w:rPr>
          <w:rFonts w:hint="eastAsia" w:ascii="宋体" w:hAnsi="宋体" w:cs="宋体"/>
          <w:sz w:val="24"/>
          <w:szCs w:val="24"/>
          <w:highlight w:val="none"/>
        </w:rPr>
        <w:t>）进入清算程序，或被宣告破产，或其他丧失履约能力的情形；</w:t>
      </w:r>
    </w:p>
    <w:p w14:paraId="001D261B">
      <w:pPr>
        <w:keepNext w:val="0"/>
        <w:keepLines w:val="0"/>
        <w:pageBreakBefore w:val="0"/>
        <w:widowControl/>
        <w:kinsoku/>
        <w:wordWrap/>
        <w:overflowPunct w:val="0"/>
        <w:topLinePunct w:val="0"/>
        <w:autoSpaceDE/>
        <w:autoSpaceDN/>
        <w:bidi w:val="0"/>
        <w:adjustRightInd/>
        <w:snapToGrid/>
        <w:spacing w:line="360" w:lineRule="auto"/>
        <w:ind w:firstLine="480" w:firstLineChars="200"/>
        <w:textAlignment w:val="baseline"/>
        <w:outlineLvl w:val="9"/>
        <w:rPr>
          <w:rFonts w:hint="eastAsia" w:ascii="宋体" w:hAnsi="宋体" w:eastAsia="宋体" w:cs="宋体"/>
          <w:color w:val="auto"/>
          <w:sz w:val="24"/>
          <w:szCs w:val="24"/>
          <w:highlight w:val="none"/>
        </w:rPr>
      </w:pPr>
    </w:p>
    <w:p w14:paraId="28775A5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95CC8D2">
      <w:pPr>
        <w:pStyle w:val="29"/>
        <w:keepNext/>
        <w:keepLines/>
        <w:pageBreakBefore w:val="0"/>
        <w:widowControl w:val="0"/>
        <w:kinsoku/>
        <w:wordWrap/>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r>
        <w:rPr>
          <w:rFonts w:hint="default" w:hAnsi="宋体" w:eastAsia="宋体" w:cs="宋体"/>
          <w:color w:val="auto"/>
          <w:sz w:val="24"/>
          <w:szCs w:val="24"/>
          <w:highlight w:val="none"/>
        </w:rPr>
        <w:t>附件：</w:t>
      </w:r>
      <w:r>
        <w:rPr>
          <w:rFonts w:hint="default" w:ascii="宋体" w:hAnsi="宋体" w:eastAsia="宋体" w:cs="宋体"/>
          <w:b w:val="0"/>
          <w:bCs w:val="0"/>
          <w:color w:val="auto"/>
          <w:sz w:val="24"/>
          <w:szCs w:val="24"/>
          <w:highlight w:val="none"/>
          <w:lang w:val="en-US" w:eastAsia="zh-CN"/>
        </w:rPr>
        <w:t>企业履约信誉承诺</w:t>
      </w:r>
    </w:p>
    <w:p w14:paraId="79B3D6D6">
      <w:pPr>
        <w:pStyle w:val="29"/>
        <w:keepNext/>
        <w:keepLines/>
        <w:pageBreakBefore w:val="0"/>
        <w:widowControl w:val="0"/>
        <w:kinsoku/>
        <w:wordWrap/>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eastAsia="zh-CN"/>
        </w:rPr>
      </w:pPr>
    </w:p>
    <w:p w14:paraId="19473209">
      <w:pPr>
        <w:pStyle w:val="29"/>
        <w:keepNext/>
        <w:keepLines/>
        <w:pageBreakBefore w:val="0"/>
        <w:widowControl w:val="0"/>
        <w:kinsoku/>
        <w:wordWrap/>
        <w:overflowPunct/>
        <w:topLinePunct w:val="0"/>
        <w:autoSpaceDE/>
        <w:autoSpaceDN/>
        <w:bidi w:val="0"/>
        <w:adjustRightInd/>
        <w:snapToGrid/>
        <w:ind w:firstLineChars="0"/>
        <w:textAlignment w:val="auto"/>
        <w:rPr>
          <w:rFonts w:hint="eastAsia" w:ascii="宋体" w:hAnsi="宋体" w:eastAsia="宋体" w:cs="宋体"/>
          <w:color w:val="auto"/>
          <w:sz w:val="24"/>
          <w:highlight w:val="none"/>
        </w:rPr>
      </w:pPr>
    </w:p>
    <w:p w14:paraId="4BB32535">
      <w:pPr>
        <w:widowControl/>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企业履约信誉承诺</w:t>
      </w:r>
    </w:p>
    <w:p w14:paraId="3E2D1FC2">
      <w:pPr>
        <w:keepNext w:val="0"/>
        <w:keepLines w:val="0"/>
        <w:pageBreakBefore w:val="0"/>
        <w:kinsoku/>
        <w:wordWrap/>
        <w:topLinePunct w:val="0"/>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w:t>
      </w:r>
      <w:r>
        <w:rPr>
          <w:rFonts w:hint="eastAsia" w:ascii="宋体" w:hAnsi="宋体" w:cs="宋体"/>
          <w:color w:val="auto"/>
          <w:sz w:val="24"/>
          <w:szCs w:val="24"/>
          <w:highlight w:val="none"/>
          <w:u w:val="single"/>
          <w:lang w:val="en-US" w:eastAsia="zh-CN"/>
        </w:rPr>
        <w:t xml:space="preserve">                   （招标人名称）</w:t>
      </w:r>
      <w:r>
        <w:rPr>
          <w:rFonts w:hint="eastAsia" w:ascii="宋体" w:hAnsi="宋体" w:eastAsia="宋体" w:cs="宋体"/>
          <w:color w:val="auto"/>
          <w:sz w:val="24"/>
          <w:szCs w:val="24"/>
          <w:highlight w:val="none"/>
          <w:lang w:eastAsia="zh-CN"/>
        </w:rPr>
        <w:t>：</w:t>
      </w:r>
    </w:p>
    <w:p w14:paraId="4FB5EA53">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我单位经营状况良好，未处于被责令停业，财产被接管、冻结及破产状态，主要资产未被冻结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p>
    <w:p w14:paraId="3D71723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我单位未处于被责令停产停业、暂扣或者吊销执照、暂扣或者吊销许可证、吊销资质证书状态。 </w:t>
      </w:r>
    </w:p>
    <w:p w14:paraId="4012F381">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我单位没有进入清算程序，或被宣告破产，或其他丧失履约能力的情形。</w:t>
      </w:r>
    </w:p>
    <w:p w14:paraId="602075F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贵单位发现我单位上述承诺的情况与事实不符，一经核实，</w:t>
      </w:r>
      <w:r>
        <w:rPr>
          <w:rFonts w:hint="eastAsia" w:ascii="宋体" w:hAnsi="宋体" w:eastAsia="宋体" w:cs="宋体"/>
          <w:color w:val="auto"/>
          <w:sz w:val="24"/>
          <w:szCs w:val="24"/>
          <w:highlight w:val="none"/>
          <w:lang w:val="en-US" w:eastAsia="zh-CN"/>
        </w:rPr>
        <w:t>贵单位</w:t>
      </w:r>
      <w:r>
        <w:rPr>
          <w:rFonts w:hint="eastAsia" w:ascii="宋体" w:hAnsi="宋体" w:eastAsia="宋体" w:cs="宋体"/>
          <w:color w:val="auto"/>
          <w:sz w:val="24"/>
          <w:szCs w:val="24"/>
          <w:highlight w:val="none"/>
        </w:rPr>
        <w:t xml:space="preserve">可按不良信誉对我公司实施相应的惩罚。 </w:t>
      </w:r>
    </w:p>
    <w:p w14:paraId="2D5747B8">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871820F">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p>
    <w:p w14:paraId="747AB490">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24"/>
          <w:highlight w:val="none"/>
          <w:lang w:val="en-US" w:eastAsia="zh-CN" w:bidi="ar-SA"/>
        </w:rPr>
      </w:pPr>
    </w:p>
    <w:p w14:paraId="44290B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CCDDC8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7F88FD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2FAA4B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D3F95E3">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年   月   日</w:t>
      </w:r>
    </w:p>
    <w:p w14:paraId="5EE5868E">
      <w:pPr>
        <w:pStyle w:val="5"/>
        <w:keepNext/>
        <w:keepLines/>
        <w:pageBreakBefore w:val="0"/>
        <w:widowControl w:val="0"/>
        <w:kinsoku/>
        <w:wordWrap/>
        <w:overflowPunct/>
        <w:topLinePunct w:val="0"/>
        <w:autoSpaceDE/>
        <w:autoSpaceDN/>
        <w:bidi w:val="0"/>
        <w:adjustRightInd/>
        <w:snapToGrid/>
        <w:ind w:firstLine="0" w:firstLineChars="0"/>
        <w:jc w:val="both"/>
        <w:textAlignment w:val="auto"/>
        <w:rPr>
          <w:rFonts w:hint="eastAsia" w:eastAsia="宋体" w:cs="宋体"/>
          <w:color w:val="auto"/>
          <w:highlight w:val="none"/>
          <w:lang w:val="en-US" w:eastAsia="zh-CN"/>
        </w:rPr>
      </w:pPr>
      <w:bookmarkStart w:id="928" w:name="_Toc143543202"/>
      <w:bookmarkStart w:id="929" w:name="_Toc897483557"/>
      <w:bookmarkStart w:id="930" w:name="_Toc983211297"/>
      <w:bookmarkStart w:id="931" w:name="_Toc1782781077"/>
      <w:bookmarkStart w:id="932" w:name="_Toc1199659818"/>
    </w:p>
    <w:p w14:paraId="639052C4">
      <w:pPr>
        <w:rPr>
          <w:rFonts w:hint="eastAsia"/>
          <w:highlight w:val="none"/>
          <w:lang w:val="en-US" w:eastAsia="zh-CN"/>
        </w:rPr>
      </w:pPr>
    </w:p>
    <w:p w14:paraId="64CA638D">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r>
        <w:rPr>
          <w:rFonts w:hint="eastAsia" w:eastAsia="宋体" w:cs="宋体"/>
          <w:color w:val="auto"/>
          <w:highlight w:val="none"/>
          <w:lang w:val="en-US" w:eastAsia="zh-CN"/>
        </w:rPr>
        <w:t xml:space="preserve">第二部分 </w:t>
      </w:r>
      <w:r>
        <w:rPr>
          <w:rFonts w:hint="eastAsia" w:ascii="宋体" w:hAnsi="宋体" w:eastAsia="宋体" w:cs="宋体"/>
          <w:color w:val="auto"/>
          <w:highlight w:val="none"/>
        </w:rPr>
        <w:t>商务部分</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8"/>
      <w:bookmarkEnd w:id="929"/>
      <w:bookmarkEnd w:id="930"/>
      <w:bookmarkEnd w:id="931"/>
      <w:bookmarkEnd w:id="932"/>
    </w:p>
    <w:p w14:paraId="646FECA2">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933" w:name="_Toc435803790"/>
      <w:bookmarkStart w:id="934" w:name="_Toc439554165"/>
      <w:bookmarkStart w:id="935" w:name="_Toc19689"/>
      <w:bookmarkStart w:id="936" w:name="_Toc29468"/>
      <w:bookmarkStart w:id="937" w:name="_Toc5638"/>
      <w:bookmarkStart w:id="938" w:name="_Toc30173"/>
      <w:bookmarkStart w:id="939" w:name="_Toc27175"/>
      <w:bookmarkStart w:id="940" w:name="_Toc55303756"/>
      <w:bookmarkStart w:id="941" w:name="_Toc440110295"/>
      <w:bookmarkStart w:id="942" w:name="_Toc5802"/>
      <w:bookmarkStart w:id="943" w:name="_Toc2374"/>
      <w:bookmarkStart w:id="944" w:name="_Toc29442"/>
      <w:bookmarkStart w:id="945" w:name="_Toc26374"/>
      <w:bookmarkStart w:id="946" w:name="_Toc12751"/>
      <w:bookmarkStart w:id="947" w:name="_Toc5228"/>
      <w:bookmarkStart w:id="948" w:name="_Toc516955266"/>
      <w:bookmarkStart w:id="949" w:name="_Toc1840950434"/>
      <w:bookmarkStart w:id="950" w:name="_Toc2063032350"/>
      <w:bookmarkStart w:id="951" w:name="_Toc55310069"/>
      <w:bookmarkStart w:id="952" w:name="_Toc1203403171"/>
      <w:bookmarkStart w:id="953" w:name="_Toc470822369"/>
      <w:r>
        <w:rPr>
          <w:rFonts w:hint="eastAsia" w:ascii="宋体" w:hAnsi="宋体" w:eastAsia="宋体" w:cs="宋体"/>
          <w:color w:val="auto"/>
          <w:highlight w:val="none"/>
        </w:rPr>
        <w:t>一</w:t>
      </w:r>
      <w:r>
        <w:rPr>
          <w:rFonts w:hint="eastAsia" w:eastAsia="宋体" w:cs="宋体"/>
          <w:color w:val="auto"/>
          <w:highlight w:val="none"/>
          <w:lang w:eastAsia="zh-CN"/>
        </w:rPr>
        <w:t>、</w:t>
      </w:r>
      <w:bookmarkEnd w:id="933"/>
      <w:bookmarkEnd w:id="934"/>
      <w:r>
        <w:rPr>
          <w:rFonts w:hint="eastAsia" w:ascii="宋体" w:hAnsi="宋体" w:eastAsia="宋体" w:cs="宋体"/>
          <w:color w:val="auto"/>
          <w:highlight w:val="none"/>
        </w:rPr>
        <w:t>报价一览表</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14:paraId="7830A998">
      <w:pPr>
        <w:pStyle w:val="5"/>
        <w:keepNext/>
        <w:keepLines/>
        <w:pageBreakBefore w:val="0"/>
        <w:widowControl w:val="0"/>
        <w:kinsoku/>
        <w:wordWrap/>
        <w:overflowPunct/>
        <w:topLinePunct w:val="0"/>
        <w:autoSpaceDE/>
        <w:autoSpaceDN/>
        <w:bidi w:val="0"/>
        <w:adjustRightInd/>
        <w:snapToGrid/>
        <w:ind w:firstLine="0" w:firstLineChars="0"/>
        <w:jc w:val="left"/>
        <w:textAlignment w:val="auto"/>
        <w:rPr>
          <w:rFonts w:hint="default" w:ascii="宋体" w:hAnsi="宋体" w:cs="宋体"/>
          <w:b w:val="0"/>
          <w:bCs w:val="0"/>
          <w:color w:val="auto"/>
          <w:sz w:val="21"/>
          <w:szCs w:val="21"/>
          <w:highlight w:val="none"/>
          <w:u w:val="single"/>
          <w:lang w:val="en-US" w:eastAsia="zh-CN"/>
        </w:rPr>
      </w:pPr>
      <w:r>
        <w:rPr>
          <w:rFonts w:hint="eastAsia" w:ascii="宋体" w:hAnsi="宋体" w:eastAsia="宋体" w:cs="宋体"/>
          <w:color w:val="auto"/>
          <w:kern w:val="0"/>
          <w:sz w:val="21"/>
          <w:szCs w:val="21"/>
          <w:highlight w:val="none"/>
        </w:rPr>
        <w:t>项目名称：</w:t>
      </w:r>
      <w:r>
        <w:rPr>
          <w:rFonts w:hint="eastAsia" w:ascii="宋体" w:hAnsi="宋体" w:cs="宋体"/>
          <w:b w:val="0"/>
          <w:bCs w:val="0"/>
          <w:color w:val="auto"/>
          <w:kern w:val="2"/>
          <w:sz w:val="21"/>
          <w:szCs w:val="21"/>
          <w:highlight w:val="none"/>
          <w:u w:val="single"/>
          <w:lang w:val="en-US" w:eastAsia="zh-CN"/>
        </w:rPr>
        <w:t>大龙山风电场（二期）项目工程招标控制价编制及全过程造价控制咨询服务</w:t>
      </w:r>
      <w:r>
        <w:rPr>
          <w:rFonts w:hint="eastAsia" w:ascii="宋体" w:hAnsi="宋体" w:cs="宋体"/>
          <w:b w:val="0"/>
          <w:bCs w:val="0"/>
          <w:color w:val="auto"/>
          <w:sz w:val="21"/>
          <w:szCs w:val="21"/>
          <w:highlight w:val="none"/>
          <w:u w:val="single"/>
          <w:lang w:val="en-US" w:eastAsia="zh-CN"/>
        </w:rPr>
        <w:t xml:space="preserve"> </w:t>
      </w:r>
    </w:p>
    <w:tbl>
      <w:tblPr>
        <w:tblStyle w:val="49"/>
        <w:tblW w:w="102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271"/>
        <w:gridCol w:w="3173"/>
        <w:gridCol w:w="3932"/>
      </w:tblGrid>
      <w:tr w14:paraId="75A2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7" w:hRule="atLeast"/>
          <w:jc w:val="center"/>
        </w:trPr>
        <w:tc>
          <w:tcPr>
            <w:tcW w:w="829" w:type="dxa"/>
            <w:vAlign w:val="center"/>
          </w:tcPr>
          <w:p w14:paraId="2CE32B37">
            <w:pPr>
              <w:spacing w:line="360" w:lineRule="auto"/>
              <w:jc w:val="center"/>
              <w:rPr>
                <w:rFonts w:ascii="宋体" w:hAnsi="宋体" w:cs="宋体"/>
                <w:b/>
                <w:bCs/>
                <w:kern w:val="2"/>
                <w:sz w:val="24"/>
                <w:szCs w:val="24"/>
                <w:highlight w:val="none"/>
              </w:rPr>
            </w:pPr>
            <w:r>
              <w:rPr>
                <w:rFonts w:hint="eastAsia" w:ascii="宋体" w:hAnsi="宋体" w:cs="宋体"/>
                <w:b/>
                <w:bCs/>
                <w:kern w:val="2"/>
                <w:sz w:val="24"/>
                <w:szCs w:val="24"/>
                <w:highlight w:val="none"/>
              </w:rPr>
              <w:t>序号</w:t>
            </w:r>
          </w:p>
        </w:tc>
        <w:tc>
          <w:tcPr>
            <w:tcW w:w="2271" w:type="dxa"/>
            <w:vAlign w:val="center"/>
          </w:tcPr>
          <w:p w14:paraId="1703F382">
            <w:pPr>
              <w:spacing w:line="360" w:lineRule="auto"/>
              <w:jc w:val="center"/>
              <w:rPr>
                <w:rFonts w:ascii="宋体" w:hAnsi="宋体" w:cs="宋体"/>
                <w:b/>
                <w:bCs/>
                <w:kern w:val="2"/>
                <w:sz w:val="24"/>
                <w:szCs w:val="24"/>
                <w:highlight w:val="none"/>
              </w:rPr>
            </w:pPr>
            <w:r>
              <w:rPr>
                <w:rFonts w:hint="eastAsia" w:ascii="宋体" w:hAnsi="宋体" w:cs="宋体"/>
                <w:b/>
                <w:bCs/>
                <w:kern w:val="2"/>
                <w:sz w:val="24"/>
                <w:szCs w:val="24"/>
                <w:highlight w:val="none"/>
              </w:rPr>
              <w:t>项  目</w:t>
            </w:r>
          </w:p>
        </w:tc>
        <w:tc>
          <w:tcPr>
            <w:tcW w:w="3173" w:type="dxa"/>
            <w:vAlign w:val="center"/>
          </w:tcPr>
          <w:p w14:paraId="7CDC4B50">
            <w:pPr>
              <w:spacing w:line="360" w:lineRule="auto"/>
              <w:jc w:val="center"/>
              <w:rPr>
                <w:rFonts w:ascii="宋体" w:hAnsi="宋体" w:cs="宋体"/>
                <w:b/>
                <w:bCs/>
                <w:kern w:val="2"/>
                <w:sz w:val="24"/>
                <w:szCs w:val="24"/>
                <w:highlight w:val="none"/>
              </w:rPr>
            </w:pPr>
            <w:r>
              <w:rPr>
                <w:rFonts w:hint="eastAsia" w:ascii="宋体" w:hAnsi="宋体" w:cs="宋体"/>
                <w:b/>
                <w:bCs/>
                <w:kern w:val="2"/>
                <w:sz w:val="24"/>
                <w:szCs w:val="24"/>
                <w:highlight w:val="none"/>
                <w:lang w:val="en-US" w:eastAsia="zh-CN"/>
              </w:rPr>
              <w:t>报价</w:t>
            </w:r>
            <w:r>
              <w:rPr>
                <w:rFonts w:hint="eastAsia" w:ascii="宋体" w:hAnsi="宋体" w:cs="宋体"/>
                <w:b/>
                <w:bCs/>
                <w:kern w:val="2"/>
                <w:sz w:val="24"/>
                <w:szCs w:val="24"/>
                <w:highlight w:val="none"/>
              </w:rPr>
              <w:t>内容</w:t>
            </w:r>
          </w:p>
        </w:tc>
        <w:tc>
          <w:tcPr>
            <w:tcW w:w="3932" w:type="dxa"/>
            <w:vAlign w:val="center"/>
          </w:tcPr>
          <w:p w14:paraId="3D5946F3">
            <w:pPr>
              <w:spacing w:line="360" w:lineRule="auto"/>
              <w:jc w:val="center"/>
              <w:rPr>
                <w:rFonts w:ascii="宋体" w:hAnsi="宋体" w:cs="宋体"/>
                <w:b/>
                <w:bCs/>
                <w:kern w:val="2"/>
                <w:sz w:val="24"/>
                <w:szCs w:val="24"/>
                <w:highlight w:val="none"/>
              </w:rPr>
            </w:pPr>
            <w:r>
              <w:rPr>
                <w:rFonts w:hint="eastAsia" w:ascii="宋体" w:hAnsi="宋体" w:cs="宋体"/>
                <w:b/>
                <w:bCs/>
                <w:kern w:val="2"/>
                <w:sz w:val="24"/>
                <w:szCs w:val="24"/>
                <w:highlight w:val="none"/>
              </w:rPr>
              <w:t>备   注</w:t>
            </w:r>
          </w:p>
        </w:tc>
      </w:tr>
      <w:tr w14:paraId="0DCB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1" w:hRule="atLeast"/>
          <w:jc w:val="center"/>
        </w:trPr>
        <w:tc>
          <w:tcPr>
            <w:tcW w:w="829" w:type="dxa"/>
            <w:vAlign w:val="center"/>
          </w:tcPr>
          <w:p w14:paraId="4B2D80C3">
            <w:pPr>
              <w:keepNext w:val="0"/>
              <w:keepLines w:val="0"/>
              <w:pageBreakBefore w:val="0"/>
              <w:widowControl w:val="0"/>
              <w:kinsoku/>
              <w:wordWrap/>
              <w:overflowPunct/>
              <w:topLinePunct w:val="0"/>
              <w:autoSpaceDE/>
              <w:autoSpaceDN/>
              <w:bidi w:val="0"/>
              <w:adjustRightInd/>
              <w:snapToGrid/>
              <w:spacing w:beforeLines="30" w:afterLines="30" w:line="240" w:lineRule="exact"/>
              <w:jc w:val="center"/>
              <w:textAlignment w:val="auto"/>
              <w:rPr>
                <w:rFonts w:ascii="宋体" w:hAnsi="宋体"/>
                <w:sz w:val="18"/>
                <w:szCs w:val="18"/>
                <w:highlight w:val="none"/>
              </w:rPr>
            </w:pPr>
            <w:r>
              <w:rPr>
                <w:rFonts w:hint="eastAsia" w:ascii="宋体" w:hAnsi="宋体"/>
                <w:sz w:val="21"/>
                <w:szCs w:val="21"/>
                <w:highlight w:val="none"/>
              </w:rPr>
              <w:t>1</w:t>
            </w:r>
          </w:p>
        </w:tc>
        <w:tc>
          <w:tcPr>
            <w:tcW w:w="2271" w:type="dxa"/>
            <w:vAlign w:val="center"/>
          </w:tcPr>
          <w:p w14:paraId="17B714C5">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lang w:val="en-US" w:eastAsia="zh-CN"/>
              </w:rPr>
            </w:pPr>
            <w:r>
              <w:rPr>
                <w:rFonts w:hint="eastAsia" w:ascii="宋体" w:hAnsi="宋体" w:cs="Times New Roman"/>
                <w:sz w:val="21"/>
                <w:szCs w:val="21"/>
                <w:highlight w:val="none"/>
                <w:lang w:val="en-US" w:eastAsia="zh-CN"/>
              </w:rPr>
              <w:t>招标控制价编制及</w:t>
            </w:r>
            <w:r>
              <w:rPr>
                <w:rFonts w:hint="eastAsia" w:ascii="宋体" w:hAnsi="宋体" w:eastAsia="宋体" w:cs="Times New Roman"/>
                <w:sz w:val="21"/>
                <w:szCs w:val="21"/>
                <w:highlight w:val="none"/>
              </w:rPr>
              <w:t>全过程造价控制咨询服务费</w:t>
            </w:r>
          </w:p>
        </w:tc>
        <w:tc>
          <w:tcPr>
            <w:tcW w:w="3173" w:type="dxa"/>
            <w:vAlign w:val="center"/>
          </w:tcPr>
          <w:p w14:paraId="35BB2E53">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u w:val="none"/>
                <w:lang w:val="en-US" w:eastAsia="zh-CN"/>
              </w:rPr>
            </w:pPr>
            <w:r>
              <w:rPr>
                <w:rFonts w:hint="eastAsia" w:ascii="宋体" w:hAnsi="宋体" w:cs="Times New Roman"/>
                <w:sz w:val="21"/>
                <w:szCs w:val="21"/>
                <w:highlight w:val="none"/>
                <w:lang w:val="en-US" w:eastAsia="zh-CN"/>
              </w:rPr>
              <w:t>招标控制价编制：</w:t>
            </w:r>
            <w:r>
              <w:rPr>
                <w:rFonts w:hint="eastAsia" w:ascii="宋体" w:hAnsi="宋体" w:eastAsia="宋体" w:cs="Times New Roman"/>
                <w:sz w:val="21"/>
                <w:szCs w:val="21"/>
                <w:highlight w:val="none"/>
                <w:u w:val="single"/>
                <w:lang w:val="en-US" w:eastAsia="zh-CN"/>
              </w:rPr>
              <w:t xml:space="preserve">        </w:t>
            </w:r>
            <w:r>
              <w:rPr>
                <w:rFonts w:hint="eastAsia" w:ascii="宋体" w:hAnsi="宋体" w:cs="Times New Roman"/>
                <w:sz w:val="21"/>
                <w:szCs w:val="21"/>
                <w:highlight w:val="none"/>
                <w:u w:val="none"/>
                <w:lang w:val="en-US" w:eastAsia="zh-CN"/>
              </w:rPr>
              <w:t>；</w:t>
            </w:r>
          </w:p>
          <w:p w14:paraId="45C0F623">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cs="Times New Roman"/>
                <w:sz w:val="21"/>
                <w:szCs w:val="21"/>
                <w:highlight w:val="none"/>
                <w:u w:val="single"/>
                <w:lang w:val="en-US" w:eastAsia="zh-CN"/>
              </w:rPr>
            </w:pPr>
            <w:r>
              <w:rPr>
                <w:rFonts w:hint="eastAsia" w:ascii="宋体" w:hAnsi="宋体" w:cs="Times New Roman"/>
                <w:sz w:val="21"/>
                <w:szCs w:val="21"/>
                <w:highlight w:val="none"/>
                <w:u w:val="none"/>
                <w:lang w:val="en-US" w:eastAsia="zh-CN"/>
              </w:rPr>
              <w:t>全过程造价</w:t>
            </w:r>
            <w:r>
              <w:rPr>
                <w:rFonts w:hint="eastAsia" w:ascii="宋体" w:hAnsi="宋体" w:cs="Times New Roman"/>
                <w:sz w:val="21"/>
                <w:szCs w:val="21"/>
                <w:highlight w:val="none"/>
                <w:u w:val="single"/>
                <w:lang w:val="en-US" w:eastAsia="zh-CN"/>
              </w:rPr>
              <w:t xml:space="preserve">：            </w:t>
            </w:r>
            <w:r>
              <w:rPr>
                <w:rFonts w:hint="eastAsia" w:ascii="宋体" w:hAnsi="宋体" w:cs="Times New Roman"/>
                <w:sz w:val="21"/>
                <w:szCs w:val="21"/>
                <w:highlight w:val="none"/>
                <w:u w:val="none"/>
                <w:lang w:val="en-US" w:eastAsia="zh-CN"/>
              </w:rPr>
              <w:t>；</w:t>
            </w:r>
          </w:p>
          <w:p w14:paraId="6ED56E74">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default" w:ascii="宋体" w:hAnsi="宋体" w:cs="Times New Roman"/>
                <w:sz w:val="21"/>
                <w:szCs w:val="21"/>
                <w:highlight w:val="none"/>
                <w:u w:val="single"/>
                <w:lang w:val="en-US" w:eastAsia="zh-CN"/>
              </w:rPr>
            </w:pPr>
            <w:r>
              <w:rPr>
                <w:rFonts w:hint="eastAsia" w:ascii="宋体" w:hAnsi="宋体" w:eastAsia="宋体" w:cs="Times New Roman"/>
                <w:sz w:val="21"/>
                <w:szCs w:val="21"/>
                <w:highlight w:val="none"/>
                <w:lang w:val="en-US" w:eastAsia="zh-CN"/>
              </w:rPr>
              <w:t>总金额：</w:t>
            </w:r>
            <w:r>
              <w:rPr>
                <w:rFonts w:hint="eastAsia" w:ascii="宋体" w:hAnsi="宋体" w:cs="Times New Roman"/>
                <w:sz w:val="21"/>
                <w:szCs w:val="21"/>
                <w:highlight w:val="none"/>
                <w:u w:val="single"/>
                <w:lang w:val="en-US" w:eastAsia="zh-CN"/>
              </w:rPr>
              <w:t xml:space="preserve">              </w:t>
            </w:r>
            <w:r>
              <w:rPr>
                <w:rFonts w:hint="eastAsia" w:ascii="宋体" w:hAnsi="宋体" w:cs="Times New Roman"/>
                <w:sz w:val="21"/>
                <w:szCs w:val="21"/>
                <w:highlight w:val="none"/>
                <w:u w:val="none"/>
                <w:lang w:val="en-US" w:eastAsia="zh-CN"/>
              </w:rPr>
              <w:t>。</w:t>
            </w:r>
          </w:p>
        </w:tc>
        <w:tc>
          <w:tcPr>
            <w:tcW w:w="3932" w:type="dxa"/>
            <w:vAlign w:val="center"/>
          </w:tcPr>
          <w:p w14:paraId="01AA16BE">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Times New Roman"/>
                <w:sz w:val="21"/>
                <w:szCs w:val="21"/>
                <w:highlight w:val="none"/>
                <w:lang w:val="en-US" w:eastAsia="zh-CN"/>
              </w:rPr>
              <w:t>1.</w:t>
            </w:r>
            <w:r>
              <w:rPr>
                <w:rFonts w:hint="eastAsia" w:ascii="宋体" w:hAnsi="宋体" w:eastAsia="宋体" w:cs="宋体"/>
                <w:color w:val="auto"/>
                <w:sz w:val="21"/>
                <w:szCs w:val="21"/>
                <w:highlight w:val="none"/>
                <w:lang w:val="en-US" w:eastAsia="zh-CN"/>
              </w:rPr>
              <w:t>谈判申请</w:t>
            </w:r>
            <w:r>
              <w:rPr>
                <w:rFonts w:hint="eastAsia" w:ascii="宋体" w:hAnsi="宋体" w:eastAsia="宋体" w:cs="宋体"/>
                <w:color w:val="auto"/>
                <w:sz w:val="21"/>
                <w:szCs w:val="21"/>
                <w:highlight w:val="none"/>
              </w:rPr>
              <w:t>人应充分了解该项目的总体情况以及影响报价的其他要素，结合企业实际情况填报报价，</w:t>
            </w:r>
            <w:r>
              <w:rPr>
                <w:rFonts w:hint="eastAsia" w:ascii="宋体" w:hAnsi="宋体" w:eastAsia="宋体" w:cs="宋体"/>
                <w:color w:val="auto"/>
                <w:sz w:val="21"/>
                <w:szCs w:val="21"/>
                <w:highlight w:val="none"/>
                <w:lang w:val="en-US" w:eastAsia="zh-CN"/>
              </w:rPr>
              <w:t>谈判申请</w:t>
            </w:r>
            <w:r>
              <w:rPr>
                <w:rFonts w:hint="eastAsia" w:ascii="宋体" w:hAnsi="宋体" w:eastAsia="宋体" w:cs="宋体"/>
                <w:color w:val="auto"/>
                <w:sz w:val="21"/>
                <w:szCs w:val="21"/>
                <w:highlight w:val="none"/>
              </w:rPr>
              <w:t>人须把与本项目</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范围所包含的所有全过程造价控制及其他咨询服务工作内容综合考虑在该项报价中。</w:t>
            </w:r>
          </w:p>
          <w:p w14:paraId="76C7572A">
            <w:pPr>
              <w:keepNext w:val="0"/>
              <w:keepLines w:val="0"/>
              <w:pageBreakBefore w:val="0"/>
              <w:widowControl w:val="0"/>
              <w:kinsoku/>
              <w:wordWrap/>
              <w:overflowPunct/>
              <w:topLinePunct w:val="0"/>
              <w:autoSpaceDE/>
              <w:autoSpaceDN/>
              <w:bidi w:val="0"/>
              <w:adjustRightInd/>
              <w:snapToGrid/>
              <w:spacing w:line="240" w:lineRule="exact"/>
              <w:ind w:firstLine="420" w:firstLineChars="200"/>
              <w:textAlignment w:val="auto"/>
              <w:rPr>
                <w:rFonts w:hint="eastAsia" w:ascii="宋体" w:hAnsi="宋体" w:eastAsia="宋体" w:cs="Times New Roman"/>
                <w:sz w:val="18"/>
                <w:szCs w:val="18"/>
                <w:highlight w:val="none"/>
              </w:rPr>
            </w:pPr>
            <w:r>
              <w:rPr>
                <w:rFonts w:hint="eastAsia" w:ascii="宋体" w:hAnsi="宋体" w:eastAsia="宋体" w:cs="宋体"/>
                <w:color w:val="auto"/>
                <w:sz w:val="21"/>
                <w:szCs w:val="21"/>
                <w:highlight w:val="none"/>
                <w:lang w:val="en-US" w:eastAsia="zh-CN"/>
              </w:rPr>
              <w:t>2.谈判申请</w:t>
            </w:r>
            <w:r>
              <w:rPr>
                <w:rFonts w:hint="eastAsia" w:ascii="宋体" w:hAnsi="宋体" w:eastAsia="宋体" w:cs="宋体"/>
                <w:color w:val="auto"/>
                <w:sz w:val="21"/>
                <w:szCs w:val="21"/>
                <w:highlight w:val="none"/>
              </w:rPr>
              <w:t>人应充分考虑因各种原因可能发生的费用，也可以自行踏勘以充分了解项目位置、交通、环境及任何其他足以影响报价的情况，任何因忽视或误解项目服务情况而导致的索赔将不被批准。</w:t>
            </w:r>
          </w:p>
        </w:tc>
      </w:tr>
      <w:tr w14:paraId="249F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29" w:hRule="atLeast"/>
          <w:jc w:val="center"/>
        </w:trPr>
        <w:tc>
          <w:tcPr>
            <w:tcW w:w="829" w:type="dxa"/>
            <w:vAlign w:val="center"/>
          </w:tcPr>
          <w:p w14:paraId="597B67B3">
            <w:pPr>
              <w:keepNext w:val="0"/>
              <w:keepLines w:val="0"/>
              <w:pageBreakBefore w:val="0"/>
              <w:widowControl w:val="0"/>
              <w:kinsoku/>
              <w:wordWrap/>
              <w:overflowPunct/>
              <w:topLinePunct w:val="0"/>
              <w:autoSpaceDE/>
              <w:autoSpaceDN/>
              <w:bidi w:val="0"/>
              <w:adjustRightInd/>
              <w:snapToGrid/>
              <w:spacing w:beforeLines="30" w:afterLines="30" w:line="240" w:lineRule="exact"/>
              <w:jc w:val="center"/>
              <w:textAlignment w:val="auto"/>
              <w:rPr>
                <w:rFonts w:hint="default" w:ascii="宋体" w:hAnsi="宋体" w:eastAsia="宋体"/>
                <w:sz w:val="18"/>
                <w:szCs w:val="18"/>
                <w:highlight w:val="none"/>
                <w:lang w:val="en-US" w:eastAsia="zh-CN"/>
              </w:rPr>
            </w:pPr>
            <w:r>
              <w:rPr>
                <w:rFonts w:hint="eastAsia" w:ascii="宋体" w:hAnsi="宋体"/>
                <w:sz w:val="21"/>
                <w:szCs w:val="21"/>
                <w:highlight w:val="none"/>
                <w:lang w:val="en-US" w:eastAsia="zh-CN"/>
              </w:rPr>
              <w:t>2</w:t>
            </w:r>
          </w:p>
        </w:tc>
        <w:tc>
          <w:tcPr>
            <w:tcW w:w="2271" w:type="dxa"/>
            <w:vAlign w:val="center"/>
          </w:tcPr>
          <w:p w14:paraId="16BF4077">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拟派本项目造价</w:t>
            </w:r>
          </w:p>
          <w:p w14:paraId="6210A56F">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负责人</w:t>
            </w:r>
          </w:p>
        </w:tc>
        <w:tc>
          <w:tcPr>
            <w:tcW w:w="3173" w:type="dxa"/>
            <w:vAlign w:val="center"/>
          </w:tcPr>
          <w:p w14:paraId="558D2FD4">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姓名：</w:t>
            </w:r>
          </w:p>
        </w:tc>
        <w:tc>
          <w:tcPr>
            <w:tcW w:w="3932" w:type="dxa"/>
            <w:vAlign w:val="center"/>
          </w:tcPr>
          <w:p w14:paraId="0B3EEBC9">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执业证书编号：</w:t>
            </w:r>
          </w:p>
        </w:tc>
      </w:tr>
      <w:tr w14:paraId="7C27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7" w:hRule="atLeast"/>
          <w:jc w:val="center"/>
        </w:trPr>
        <w:tc>
          <w:tcPr>
            <w:tcW w:w="829" w:type="dxa"/>
            <w:vAlign w:val="center"/>
          </w:tcPr>
          <w:p w14:paraId="477DB056">
            <w:pPr>
              <w:keepNext w:val="0"/>
              <w:keepLines w:val="0"/>
              <w:pageBreakBefore w:val="0"/>
              <w:widowControl w:val="0"/>
              <w:kinsoku/>
              <w:wordWrap/>
              <w:overflowPunct/>
              <w:topLinePunct w:val="0"/>
              <w:autoSpaceDE/>
              <w:autoSpaceDN/>
              <w:bidi w:val="0"/>
              <w:adjustRightInd/>
              <w:snapToGrid/>
              <w:spacing w:beforeLines="30" w:afterLines="30" w:line="240" w:lineRule="exact"/>
              <w:jc w:val="center"/>
              <w:textAlignment w:val="auto"/>
              <w:rPr>
                <w:rFonts w:hint="default" w:ascii="宋体" w:hAnsi="宋体" w:eastAsia="宋体" w:cs="Times New Roman"/>
                <w:sz w:val="21"/>
                <w:szCs w:val="21"/>
                <w:highlight w:val="none"/>
                <w:lang w:val="en-US" w:eastAsia="zh-CN"/>
              </w:rPr>
            </w:pPr>
            <w:r>
              <w:rPr>
                <w:rFonts w:hint="eastAsia" w:ascii="宋体" w:hAnsi="宋体" w:eastAsia="宋体" w:cs="Times New Roman"/>
                <w:sz w:val="21"/>
                <w:szCs w:val="21"/>
                <w:highlight w:val="none"/>
                <w:lang w:val="en-US" w:eastAsia="zh-CN"/>
              </w:rPr>
              <w:t>3</w:t>
            </w:r>
          </w:p>
        </w:tc>
        <w:tc>
          <w:tcPr>
            <w:tcW w:w="2271" w:type="dxa"/>
            <w:vAlign w:val="center"/>
          </w:tcPr>
          <w:p w14:paraId="46805281">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服务期限承诺</w:t>
            </w:r>
          </w:p>
        </w:tc>
        <w:tc>
          <w:tcPr>
            <w:tcW w:w="7105" w:type="dxa"/>
            <w:gridSpan w:val="2"/>
            <w:vAlign w:val="center"/>
          </w:tcPr>
          <w:p w14:paraId="44797BF5">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18"/>
                <w:szCs w:val="18"/>
                <w:highlight w:val="none"/>
              </w:rPr>
            </w:pPr>
          </w:p>
        </w:tc>
      </w:tr>
      <w:tr w14:paraId="2D5B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jc w:val="center"/>
        </w:trPr>
        <w:tc>
          <w:tcPr>
            <w:tcW w:w="829" w:type="dxa"/>
            <w:vAlign w:val="center"/>
          </w:tcPr>
          <w:p w14:paraId="3246F638">
            <w:pPr>
              <w:keepNext w:val="0"/>
              <w:keepLines w:val="0"/>
              <w:pageBreakBefore w:val="0"/>
              <w:widowControl w:val="0"/>
              <w:kinsoku/>
              <w:wordWrap/>
              <w:overflowPunct/>
              <w:topLinePunct w:val="0"/>
              <w:autoSpaceDE/>
              <w:autoSpaceDN/>
              <w:bidi w:val="0"/>
              <w:adjustRightInd/>
              <w:snapToGrid/>
              <w:spacing w:beforeLines="30" w:afterLines="30" w:line="240" w:lineRule="exact"/>
              <w:jc w:val="center"/>
              <w:textAlignment w:val="auto"/>
              <w:rPr>
                <w:rFonts w:hint="default" w:ascii="宋体" w:hAnsi="宋体" w:eastAsia="宋体"/>
                <w:sz w:val="18"/>
                <w:szCs w:val="18"/>
                <w:highlight w:val="none"/>
                <w:lang w:val="en-US" w:eastAsia="zh-CN"/>
              </w:rPr>
            </w:pPr>
            <w:r>
              <w:rPr>
                <w:rFonts w:hint="eastAsia" w:ascii="宋体" w:hAnsi="宋体"/>
                <w:sz w:val="21"/>
                <w:szCs w:val="21"/>
                <w:highlight w:val="none"/>
                <w:lang w:val="en-US" w:eastAsia="zh-CN"/>
              </w:rPr>
              <w:t>4</w:t>
            </w:r>
          </w:p>
        </w:tc>
        <w:tc>
          <w:tcPr>
            <w:tcW w:w="2271" w:type="dxa"/>
            <w:vAlign w:val="center"/>
          </w:tcPr>
          <w:p w14:paraId="08B82797">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18"/>
                <w:szCs w:val="18"/>
                <w:highlight w:val="none"/>
              </w:rPr>
            </w:pPr>
            <w:r>
              <w:rPr>
                <w:rFonts w:hint="eastAsia" w:ascii="宋体" w:hAnsi="宋体" w:eastAsia="宋体" w:cs="Times New Roman"/>
                <w:sz w:val="21"/>
                <w:szCs w:val="21"/>
                <w:highlight w:val="none"/>
              </w:rPr>
              <w:t>质量目标</w:t>
            </w:r>
          </w:p>
        </w:tc>
        <w:tc>
          <w:tcPr>
            <w:tcW w:w="7105" w:type="dxa"/>
            <w:gridSpan w:val="2"/>
            <w:vAlign w:val="center"/>
          </w:tcPr>
          <w:p w14:paraId="7F185294">
            <w:pPr>
              <w:keepNext w:val="0"/>
              <w:keepLines w:val="0"/>
              <w:pageBreakBefore w:val="0"/>
              <w:widowControl w:val="0"/>
              <w:kinsoku/>
              <w:wordWrap/>
              <w:overflowPunct/>
              <w:topLinePunct w:val="0"/>
              <w:autoSpaceDE/>
              <w:autoSpaceDN/>
              <w:bidi w:val="0"/>
              <w:adjustRightInd/>
              <w:snapToGrid/>
              <w:spacing w:beforeLines="30" w:afterLines="30" w:line="240" w:lineRule="exact"/>
              <w:jc w:val="left"/>
              <w:textAlignment w:val="auto"/>
              <w:rPr>
                <w:rFonts w:hint="eastAsia" w:ascii="宋体" w:hAnsi="宋体" w:eastAsia="宋体" w:cs="Times New Roman"/>
                <w:sz w:val="18"/>
                <w:szCs w:val="18"/>
                <w:highlight w:val="none"/>
              </w:rPr>
            </w:pPr>
          </w:p>
        </w:tc>
      </w:tr>
    </w:tbl>
    <w:p w14:paraId="3B241418">
      <w:pPr>
        <w:pStyle w:val="29"/>
        <w:keepNext w:val="0"/>
        <w:keepLines w:val="0"/>
        <w:pageBreakBefore w:val="0"/>
        <w:widowControl w:val="0"/>
        <w:kinsoku/>
        <w:wordWrap/>
        <w:overflowPunct/>
        <w:topLinePunct w:val="0"/>
        <w:autoSpaceDE w:val="0"/>
        <w:autoSpaceDN w:val="0"/>
        <w:bidi w:val="0"/>
        <w:adjustRightInd w:val="0"/>
        <w:snapToGrid/>
        <w:spacing w:line="24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p w14:paraId="4EAD0129">
      <w:pPr>
        <w:pStyle w:val="29"/>
        <w:keepNext w:val="0"/>
        <w:keepLines w:val="0"/>
        <w:pageBreakBefore w:val="0"/>
        <w:widowControl w:val="0"/>
        <w:kinsoku/>
        <w:wordWrap/>
        <w:overflowPunct/>
        <w:topLinePunct w:val="0"/>
        <w:autoSpaceDE w:val="0"/>
        <w:autoSpaceDN w:val="0"/>
        <w:bidi w:val="0"/>
        <w:adjustRightInd w:val="0"/>
        <w:snapToGrid/>
        <w:spacing w:line="400" w:lineRule="exact"/>
        <w:ind w:firstLine="480" w:firstLineChars="200"/>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1.本说明应与供应商须知、合同条款等文件一起参照阅读。</w:t>
      </w:r>
    </w:p>
    <w:p w14:paraId="453ADDCC">
      <w:pPr>
        <w:pStyle w:val="29"/>
        <w:keepNext w:val="0"/>
        <w:keepLines w:val="0"/>
        <w:pageBreakBefore w:val="0"/>
        <w:widowControl w:val="0"/>
        <w:kinsoku/>
        <w:wordWrap/>
        <w:overflowPunct/>
        <w:topLinePunct w:val="0"/>
        <w:autoSpaceDE w:val="0"/>
        <w:autoSpaceDN w:val="0"/>
        <w:bidi w:val="0"/>
        <w:adjustRightInd w:val="0"/>
        <w:snapToGrid/>
        <w:spacing w:line="400" w:lineRule="exact"/>
        <w:ind w:firstLine="480" w:firstLineChars="200"/>
        <w:textAlignment w:val="auto"/>
        <w:rPr>
          <w:rFonts w:hint="eastAsia" w:ascii="宋体" w:hAnsi="宋体" w:eastAsia="宋体" w:cs="宋体"/>
          <w:color w:val="FF0000"/>
          <w:sz w:val="24"/>
          <w:szCs w:val="24"/>
          <w:highlight w:val="none"/>
          <w:lang w:val="en-US" w:eastAsia="zh-CN"/>
        </w:rPr>
      </w:pPr>
      <w:r>
        <w:rPr>
          <w:rFonts w:hint="eastAsia" w:hAnsi="宋体" w:eastAsia="宋体" w:cs="宋体"/>
          <w:color w:val="FF0000"/>
          <w:sz w:val="24"/>
          <w:szCs w:val="24"/>
          <w:highlight w:val="none"/>
          <w:lang w:val="en-US" w:eastAsia="zh-CN"/>
        </w:rPr>
        <w:t>2</w:t>
      </w:r>
      <w:r>
        <w:rPr>
          <w:rFonts w:hint="eastAsia" w:ascii="宋体" w:hAnsi="宋体" w:eastAsia="宋体" w:cs="宋体"/>
          <w:color w:val="FF0000"/>
          <w:sz w:val="24"/>
          <w:szCs w:val="24"/>
          <w:highlight w:val="none"/>
          <w:lang w:val="en-US" w:eastAsia="zh-CN"/>
        </w:rPr>
        <w:t>.除合同另有规定外，报价包括供应商为完成本合同规定的工作所承担的全部费用</w:t>
      </w:r>
      <w:r>
        <w:rPr>
          <w:rFonts w:hint="eastAsia" w:hAnsi="宋体" w:eastAsia="宋体" w:cs="宋体"/>
          <w:color w:val="FF0000"/>
          <w:sz w:val="24"/>
          <w:szCs w:val="24"/>
          <w:highlight w:val="none"/>
          <w:lang w:val="en-US" w:eastAsia="zh-CN"/>
        </w:rPr>
        <w:t>，</w:t>
      </w:r>
      <w:r>
        <w:rPr>
          <w:rFonts w:hint="eastAsia" w:ascii="宋体" w:hAnsi="宋体" w:eastAsia="宋体" w:cs="宋体"/>
          <w:color w:val="FF0000"/>
          <w:sz w:val="24"/>
          <w:szCs w:val="24"/>
          <w:highlight w:val="none"/>
          <w:lang w:val="en-US" w:eastAsia="zh-CN"/>
        </w:rPr>
        <w:t>包括但不限于人工、材料、工器具、车辆、运费、利润、保险、税率及其他与此相关的所有费用，并考虑了应由乙方承担的义务、责任和风险所发生的费用；</w:t>
      </w:r>
    </w:p>
    <w:p w14:paraId="4930B41A">
      <w:pPr>
        <w:pStyle w:val="29"/>
        <w:keepNext w:val="0"/>
        <w:keepLines w:val="0"/>
        <w:pageBreakBefore w:val="0"/>
        <w:widowControl w:val="0"/>
        <w:kinsoku/>
        <w:wordWrap/>
        <w:overflowPunct/>
        <w:topLinePunct w:val="0"/>
        <w:autoSpaceDE w:val="0"/>
        <w:autoSpaceDN w:val="0"/>
        <w:bidi w:val="0"/>
        <w:adjustRightInd w:val="0"/>
        <w:snapToGrid/>
        <w:spacing w:line="400" w:lineRule="exact"/>
        <w:ind w:firstLine="480" w:firstLineChars="200"/>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3.如有分项请按照分项报价。</w:t>
      </w:r>
    </w:p>
    <w:p w14:paraId="7C1FA2E7">
      <w:pPr>
        <w:pStyle w:val="29"/>
        <w:keepNext w:val="0"/>
        <w:keepLines w:val="0"/>
        <w:pageBreakBefore w:val="0"/>
        <w:widowControl w:val="0"/>
        <w:kinsoku/>
        <w:wordWrap/>
        <w:overflowPunct/>
        <w:topLinePunct w:val="0"/>
        <w:autoSpaceDE w:val="0"/>
        <w:autoSpaceDN w:val="0"/>
        <w:bidi w:val="0"/>
        <w:adjustRightInd w:val="0"/>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p>
    <w:p w14:paraId="611D3267">
      <w:pPr>
        <w:pStyle w:val="39"/>
        <w:keepNext w:val="0"/>
        <w:keepLines w:val="0"/>
        <w:pageBreakBefore w:val="0"/>
        <w:widowControl w:val="0"/>
        <w:kinsoku/>
        <w:wordWrap/>
        <w:overflowPunct/>
        <w:topLinePunct w:val="0"/>
        <w:bidi w:val="0"/>
        <w:snapToGrid/>
        <w:spacing w:line="400" w:lineRule="exact"/>
        <w:ind w:firstLine="360" w:firstLineChars="1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32D694B1">
      <w:pPr>
        <w:pStyle w:val="39"/>
        <w:keepNext w:val="0"/>
        <w:keepLines w:val="0"/>
        <w:pageBreakBefore w:val="0"/>
        <w:widowControl w:val="0"/>
        <w:kinsoku/>
        <w:wordWrap/>
        <w:overflowPunct/>
        <w:topLinePunct w:val="0"/>
        <w:bidi w:val="0"/>
        <w:snapToGrid/>
        <w:spacing w:line="400" w:lineRule="exact"/>
        <w:ind w:firstLine="360" w:firstLineChars="150"/>
        <w:textAlignment w:val="auto"/>
        <w:rPr>
          <w:rFonts w:hint="eastAsia" w:ascii="宋体" w:hAnsi="宋体" w:eastAsia="宋体" w:cs="宋体"/>
          <w:color w:val="auto"/>
          <w:sz w:val="24"/>
          <w:szCs w:val="24"/>
          <w:highlight w:val="none"/>
          <w:u w:val="single"/>
          <w:lang w:val="en-US" w:eastAsia="zh-CN"/>
        </w:rPr>
      </w:pPr>
    </w:p>
    <w:p w14:paraId="6732FE6F">
      <w:pPr>
        <w:pStyle w:val="39"/>
        <w:keepNext w:val="0"/>
        <w:keepLines w:val="0"/>
        <w:pageBreakBefore w:val="0"/>
        <w:widowControl w:val="0"/>
        <w:kinsoku/>
        <w:wordWrap/>
        <w:overflowPunct/>
        <w:topLinePunct w:val="0"/>
        <w:bidi w:val="0"/>
        <w:snapToGrid/>
        <w:spacing w:line="400" w:lineRule="exact"/>
        <w:ind w:firstLine="360" w:firstLineChars="15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06BA344A">
      <w:pPr>
        <w:pStyle w:val="39"/>
        <w:keepNext w:val="0"/>
        <w:keepLines w:val="0"/>
        <w:pageBreakBefore w:val="0"/>
        <w:widowControl w:val="0"/>
        <w:kinsoku/>
        <w:wordWrap/>
        <w:overflowPunct/>
        <w:topLinePunct w:val="0"/>
        <w:bidi w:val="0"/>
        <w:snapToGrid/>
        <w:spacing w:line="400" w:lineRule="exact"/>
        <w:ind w:firstLine="360" w:firstLineChars="150"/>
        <w:textAlignment w:val="auto"/>
        <w:rPr>
          <w:rFonts w:hint="eastAsia" w:ascii="宋体" w:hAnsi="宋体" w:eastAsia="宋体" w:cs="宋体"/>
          <w:color w:val="auto"/>
          <w:sz w:val="24"/>
          <w:szCs w:val="24"/>
          <w:highlight w:val="none"/>
          <w:u w:val="single"/>
          <w:lang w:val="en-US" w:eastAsia="zh-CN"/>
        </w:rPr>
      </w:pPr>
    </w:p>
    <w:p w14:paraId="12A7EE20">
      <w:pPr>
        <w:pStyle w:val="39"/>
        <w:keepNext w:val="0"/>
        <w:keepLines w:val="0"/>
        <w:pageBreakBefore w:val="0"/>
        <w:widowControl w:val="0"/>
        <w:kinsoku/>
        <w:wordWrap/>
        <w:overflowPunct/>
        <w:topLinePunct w:val="0"/>
        <w:bidi w:val="0"/>
        <w:snapToGrid/>
        <w:spacing w:line="4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954" w:name="_Toc439554166"/>
      <w:bookmarkStart w:id="955" w:name="_Toc435803791"/>
      <w:bookmarkStart w:id="956" w:name="_Toc440110296"/>
    </w:p>
    <w:p w14:paraId="33750FAC">
      <w:pPr>
        <w:widowControl/>
        <w:jc w:val="left"/>
        <w:rPr>
          <w:rFonts w:hint="eastAsia" w:ascii="宋体" w:hAnsi="宋体" w:eastAsia="宋体" w:cs="宋体"/>
          <w:color w:val="auto"/>
          <w:highlight w:val="none"/>
        </w:rPr>
      </w:pPr>
      <w:bookmarkStart w:id="957" w:name="_Toc163"/>
      <w:bookmarkStart w:id="958" w:name="_Toc7465"/>
      <w:bookmarkStart w:id="959" w:name="_Toc14927"/>
      <w:r>
        <w:rPr>
          <w:rFonts w:hint="eastAsia" w:ascii="宋体" w:hAnsi="宋体" w:eastAsia="宋体" w:cs="宋体"/>
          <w:color w:val="auto"/>
          <w:highlight w:val="none"/>
        </w:rPr>
        <w:br w:type="page"/>
      </w:r>
    </w:p>
    <w:p w14:paraId="3583A729">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960" w:name="_Toc2016736610"/>
      <w:bookmarkStart w:id="961" w:name="_Toc24531339"/>
      <w:bookmarkStart w:id="962" w:name="_Toc1404695539"/>
      <w:bookmarkStart w:id="963" w:name="_Toc565286688"/>
      <w:bookmarkStart w:id="964" w:name="_Toc821454333"/>
      <w:r>
        <w:rPr>
          <w:rStyle w:val="62"/>
          <w:rFonts w:hint="eastAsia" w:ascii="宋体" w:hAnsi="宋体" w:cs="宋体"/>
          <w:color w:val="auto"/>
          <w:sz w:val="30"/>
          <w:szCs w:val="30"/>
          <w:highlight w:val="none"/>
        </w:rPr>
        <w:t>二、投标报价汇总</w:t>
      </w:r>
    </w:p>
    <w:bookmarkEnd w:id="960"/>
    <w:bookmarkEnd w:id="961"/>
    <w:bookmarkEnd w:id="962"/>
    <w:bookmarkEnd w:id="963"/>
    <w:bookmarkEnd w:id="964"/>
    <w:p w14:paraId="6DE30A63">
      <w:pPr>
        <w:pageBreakBefore w:val="0"/>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965" w:name="_Toc1179458615"/>
      <w:bookmarkStart w:id="966" w:name="_Toc1830291368"/>
      <w:bookmarkStart w:id="967" w:name="_Toc311583431"/>
      <w:bookmarkStart w:id="968" w:name="_Toc434863617"/>
      <w:bookmarkStart w:id="969" w:name="_Toc920358272"/>
      <w:bookmarkStart w:id="970" w:name="_Toc15942"/>
      <w:bookmarkStart w:id="971" w:name="_Toc30424"/>
      <w:r>
        <w:rPr>
          <w:rStyle w:val="62"/>
          <w:rFonts w:hint="eastAsia" w:ascii="宋体" w:hAnsi="宋体" w:cs="宋体"/>
          <w:color w:val="auto"/>
          <w:sz w:val="28"/>
          <w:szCs w:val="28"/>
          <w:highlight w:val="none"/>
        </w:rPr>
        <w:t>（一）投标报价汇总表</w:t>
      </w:r>
    </w:p>
    <w:bookmarkEnd w:id="965"/>
    <w:bookmarkEnd w:id="966"/>
    <w:bookmarkEnd w:id="967"/>
    <w:bookmarkEnd w:id="968"/>
    <w:bookmarkEnd w:id="969"/>
    <w:bookmarkEnd w:id="970"/>
    <w:bookmarkEnd w:id="971"/>
    <w:p w14:paraId="230859A8">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万元</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31"/>
        <w:gridCol w:w="3592"/>
        <w:gridCol w:w="2171"/>
        <w:gridCol w:w="2136"/>
      </w:tblGrid>
      <w:tr w14:paraId="4272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blHeader/>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4C2609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序号</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87F71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费用名称</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4678DD">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金额</w:t>
            </w: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36BCA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55F56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8"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E5471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62D69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人工费用</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27D2F5">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4A41AA">
            <w:pPr>
              <w:pageBreakBefore w:val="0"/>
              <w:kinsoku/>
              <w:wordWrap/>
              <w:overflowPunct/>
              <w:bidi w:val="0"/>
              <w:jc w:val="center"/>
              <w:textAlignment w:val="auto"/>
              <w:rPr>
                <w:rFonts w:hint="eastAsia" w:ascii="宋体" w:hAnsi="宋体" w:cs="宋体"/>
                <w:color w:val="auto"/>
                <w:highlight w:val="none"/>
              </w:rPr>
            </w:pPr>
          </w:p>
        </w:tc>
      </w:tr>
      <w:tr w14:paraId="4DC8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FC339">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00C9B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管理费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25603EB">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1112CD0">
            <w:pPr>
              <w:pageBreakBefore w:val="0"/>
              <w:kinsoku/>
              <w:wordWrap/>
              <w:overflowPunct/>
              <w:bidi w:val="0"/>
              <w:jc w:val="center"/>
              <w:textAlignment w:val="auto"/>
              <w:rPr>
                <w:rFonts w:hint="eastAsia" w:ascii="宋体" w:hAnsi="宋体" w:cs="宋体"/>
                <w:color w:val="auto"/>
                <w:highlight w:val="none"/>
              </w:rPr>
            </w:pPr>
          </w:p>
        </w:tc>
      </w:tr>
      <w:tr w14:paraId="4D9BB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B0CBF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AEB0A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税金</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71773E">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8952EA">
            <w:pPr>
              <w:pageBreakBefore w:val="0"/>
              <w:kinsoku/>
              <w:wordWrap/>
              <w:overflowPunct/>
              <w:bidi w:val="0"/>
              <w:jc w:val="center"/>
              <w:textAlignment w:val="auto"/>
              <w:rPr>
                <w:rFonts w:hint="eastAsia" w:ascii="宋体" w:hAnsi="宋体" w:cs="宋体"/>
                <w:color w:val="auto"/>
                <w:highlight w:val="none"/>
              </w:rPr>
            </w:pPr>
          </w:p>
        </w:tc>
      </w:tr>
      <w:tr w14:paraId="308B5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5DC465A">
            <w:pPr>
              <w:pageBreakBefore w:val="0"/>
              <w:kinsoku/>
              <w:wordWrap/>
              <w:overflowPunct/>
              <w:bidi w:val="0"/>
              <w:jc w:val="center"/>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4</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897308">
            <w:pPr>
              <w:pageBreakBefore w:val="0"/>
              <w:kinsoku/>
              <w:wordWrap/>
              <w:overflowPunct/>
              <w:bidi w:val="0"/>
              <w:jc w:val="center"/>
              <w:textAlignment w:val="auto"/>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BBFA8E">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85F5E2">
            <w:pPr>
              <w:pageBreakBefore w:val="0"/>
              <w:kinsoku/>
              <w:wordWrap/>
              <w:overflowPunct/>
              <w:bidi w:val="0"/>
              <w:jc w:val="center"/>
              <w:textAlignment w:val="auto"/>
              <w:rPr>
                <w:rFonts w:hint="eastAsia" w:ascii="宋体" w:hAnsi="宋体" w:cs="宋体"/>
                <w:color w:val="auto"/>
                <w:highlight w:val="none"/>
              </w:rPr>
            </w:pPr>
          </w:p>
        </w:tc>
      </w:tr>
      <w:tr w14:paraId="7C44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5F4A6C1">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28AC236">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C314C2">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F031D7F">
            <w:pPr>
              <w:pageBreakBefore w:val="0"/>
              <w:kinsoku/>
              <w:wordWrap/>
              <w:overflowPunct/>
              <w:bidi w:val="0"/>
              <w:jc w:val="center"/>
              <w:textAlignment w:val="auto"/>
              <w:rPr>
                <w:rFonts w:hint="eastAsia" w:ascii="宋体" w:hAnsi="宋体" w:cs="宋体"/>
                <w:color w:val="auto"/>
                <w:highlight w:val="none"/>
              </w:rPr>
            </w:pPr>
          </w:p>
        </w:tc>
      </w:tr>
      <w:tr w14:paraId="3C6E4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3A1E7D">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D06189">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83C931">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39517D">
            <w:pPr>
              <w:pageBreakBefore w:val="0"/>
              <w:kinsoku/>
              <w:wordWrap/>
              <w:overflowPunct/>
              <w:bidi w:val="0"/>
              <w:jc w:val="center"/>
              <w:textAlignment w:val="auto"/>
              <w:rPr>
                <w:rFonts w:hint="eastAsia" w:ascii="宋体" w:hAnsi="宋体" w:cs="宋体"/>
                <w:color w:val="auto"/>
                <w:highlight w:val="none"/>
              </w:rPr>
            </w:pPr>
          </w:p>
        </w:tc>
      </w:tr>
      <w:tr w14:paraId="13B4D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FCE6FF">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2470B0">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61012E">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B37CC1">
            <w:pPr>
              <w:pageBreakBefore w:val="0"/>
              <w:kinsoku/>
              <w:wordWrap/>
              <w:overflowPunct/>
              <w:bidi w:val="0"/>
              <w:jc w:val="center"/>
              <w:textAlignment w:val="auto"/>
              <w:rPr>
                <w:rFonts w:hint="eastAsia" w:ascii="宋体" w:hAnsi="宋体" w:cs="宋体"/>
                <w:color w:val="auto"/>
                <w:highlight w:val="none"/>
              </w:rPr>
            </w:pPr>
          </w:p>
        </w:tc>
      </w:tr>
      <w:tr w14:paraId="7539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DF27C53">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FB2BD3">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2C7A77">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4A943C">
            <w:pPr>
              <w:pageBreakBefore w:val="0"/>
              <w:kinsoku/>
              <w:wordWrap/>
              <w:overflowPunct/>
              <w:bidi w:val="0"/>
              <w:jc w:val="center"/>
              <w:textAlignment w:val="auto"/>
              <w:rPr>
                <w:rFonts w:hint="eastAsia" w:ascii="宋体" w:hAnsi="宋体" w:cs="宋体"/>
                <w:color w:val="auto"/>
                <w:highlight w:val="none"/>
              </w:rPr>
            </w:pPr>
          </w:p>
        </w:tc>
      </w:tr>
      <w:tr w14:paraId="699E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1163047">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65B6AAE">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929F96">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B8D225">
            <w:pPr>
              <w:pageBreakBefore w:val="0"/>
              <w:kinsoku/>
              <w:wordWrap/>
              <w:overflowPunct/>
              <w:bidi w:val="0"/>
              <w:jc w:val="center"/>
              <w:textAlignment w:val="auto"/>
              <w:rPr>
                <w:rFonts w:hint="eastAsia" w:ascii="宋体" w:hAnsi="宋体" w:cs="宋体"/>
                <w:color w:val="auto"/>
                <w:highlight w:val="none"/>
              </w:rPr>
            </w:pPr>
          </w:p>
        </w:tc>
      </w:tr>
      <w:tr w14:paraId="7ED0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CDC710">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BAE1C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D3E8A3">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D6B0B2E">
            <w:pPr>
              <w:pageBreakBefore w:val="0"/>
              <w:kinsoku/>
              <w:wordWrap/>
              <w:overflowPunct/>
              <w:bidi w:val="0"/>
              <w:jc w:val="center"/>
              <w:textAlignment w:val="auto"/>
              <w:rPr>
                <w:rFonts w:hint="eastAsia" w:ascii="宋体" w:hAnsi="宋体" w:cs="宋体"/>
                <w:color w:val="auto"/>
                <w:highlight w:val="none"/>
              </w:rPr>
            </w:pPr>
          </w:p>
        </w:tc>
      </w:tr>
    </w:tbl>
    <w:p w14:paraId="2E1BC8F3">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37E5A85A">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备注：税金暂按6%计列，合同执行时按国家税率标准为准。</w:t>
      </w:r>
    </w:p>
    <w:p w14:paraId="30B35411">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3385987A">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6595B3A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5425F07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117F5696">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19AC9A3C">
      <w:pPr>
        <w:pageBreakBefore w:val="0"/>
        <w:kinsoku/>
        <w:wordWrap/>
        <w:overflowPunct/>
        <w:bidi w:val="0"/>
        <w:snapToGrid w:val="0"/>
        <w:spacing w:after="200" w:line="360" w:lineRule="auto"/>
        <w:ind w:firstLine="420" w:firstLineChars="200"/>
        <w:jc w:val="center"/>
        <w:textAlignment w:val="auto"/>
        <w:outlineLvl w:val="3"/>
        <w:rPr>
          <w:rStyle w:val="62"/>
          <w:rFonts w:hint="default" w:ascii="宋体" w:hAnsi="宋体" w:eastAsia="宋体" w:cs="宋体"/>
          <w:color w:val="auto"/>
          <w:sz w:val="28"/>
          <w:szCs w:val="28"/>
          <w:highlight w:val="none"/>
          <w:lang w:val="en-US" w:eastAsia="zh-CN"/>
        </w:rPr>
      </w:pPr>
      <w:r>
        <w:rPr>
          <w:rFonts w:hint="eastAsia" w:ascii="宋体" w:hAnsi="宋体" w:cs="宋体"/>
          <w:color w:val="auto"/>
          <w:highlight w:val="none"/>
        </w:rPr>
        <w:br w:type="page"/>
      </w:r>
      <w:bookmarkStart w:id="972" w:name="_Toc28940"/>
      <w:bookmarkStart w:id="973" w:name="_Toc1837442755"/>
      <w:bookmarkStart w:id="974" w:name="_Toc503333919"/>
      <w:bookmarkStart w:id="975" w:name="_Toc359697817"/>
      <w:bookmarkStart w:id="976" w:name="_Toc25545"/>
      <w:bookmarkStart w:id="977" w:name="_Toc1441484474"/>
      <w:bookmarkStart w:id="978" w:name="_Toc932513083"/>
      <w:r>
        <w:rPr>
          <w:rStyle w:val="62"/>
          <w:rFonts w:hint="eastAsia" w:ascii="宋体" w:hAnsi="宋体" w:eastAsia="宋体" w:cs="宋体"/>
          <w:b/>
          <w:bCs/>
          <w:color w:val="auto"/>
          <w:sz w:val="28"/>
          <w:szCs w:val="28"/>
          <w:highlight w:val="none"/>
        </w:rPr>
        <w:t>（二）</w:t>
      </w:r>
      <w:r>
        <w:rPr>
          <w:rStyle w:val="62"/>
          <w:rFonts w:hint="eastAsia" w:ascii="宋体" w:hAnsi="宋体" w:cs="宋体"/>
          <w:b/>
          <w:bCs/>
          <w:color w:val="auto"/>
          <w:sz w:val="28"/>
          <w:szCs w:val="28"/>
          <w:highlight w:val="none"/>
          <w:lang w:val="en-US" w:eastAsia="zh-CN"/>
        </w:rPr>
        <w:t>分项报价表</w:t>
      </w:r>
    </w:p>
    <w:bookmarkEnd w:id="972"/>
    <w:bookmarkEnd w:id="973"/>
    <w:bookmarkEnd w:id="974"/>
    <w:bookmarkEnd w:id="975"/>
    <w:bookmarkEnd w:id="976"/>
    <w:bookmarkEnd w:id="977"/>
    <w:bookmarkEnd w:id="978"/>
    <w:p w14:paraId="5E40ED3C">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元</w:t>
      </w:r>
    </w:p>
    <w:tbl>
      <w:tblPr>
        <w:tblStyle w:val="49"/>
        <w:tblW w:w="9472" w:type="dxa"/>
        <w:jc w:val="center"/>
        <w:tblLayout w:type="fixed"/>
        <w:tblCellMar>
          <w:top w:w="0" w:type="dxa"/>
          <w:left w:w="108" w:type="dxa"/>
          <w:bottom w:w="0" w:type="dxa"/>
          <w:right w:w="108" w:type="dxa"/>
        </w:tblCellMar>
      </w:tblPr>
      <w:tblGrid>
        <w:gridCol w:w="783"/>
        <w:gridCol w:w="2529"/>
        <w:gridCol w:w="784"/>
        <w:gridCol w:w="784"/>
        <w:gridCol w:w="2602"/>
        <w:gridCol w:w="1216"/>
        <w:gridCol w:w="774"/>
      </w:tblGrid>
      <w:tr w14:paraId="67967370">
        <w:trPr>
          <w:trHeight w:val="699" w:hRule="atLeast"/>
          <w:jc w:val="center"/>
        </w:trPr>
        <w:tc>
          <w:tcPr>
            <w:tcW w:w="7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71BCD5A">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序号</w:t>
            </w:r>
          </w:p>
        </w:tc>
        <w:tc>
          <w:tcPr>
            <w:tcW w:w="2529" w:type="dxa"/>
            <w:tcBorders>
              <w:top w:val="single" w:color="auto" w:sz="4" w:space="0"/>
              <w:left w:val="nil"/>
              <w:bottom w:val="single" w:color="auto" w:sz="4" w:space="0"/>
              <w:right w:val="single" w:color="auto" w:sz="4" w:space="0"/>
              <w:tl2br w:val="nil"/>
              <w:tr2bl w:val="nil"/>
            </w:tcBorders>
            <w:noWrap w:val="0"/>
            <w:vAlign w:val="center"/>
          </w:tcPr>
          <w:p w14:paraId="3ECB1FD9">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岗位设置</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59CE2A1F">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人数</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5F8B2356">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月数</w:t>
            </w:r>
          </w:p>
        </w:tc>
        <w:tc>
          <w:tcPr>
            <w:tcW w:w="2602" w:type="dxa"/>
            <w:tcBorders>
              <w:top w:val="single" w:color="auto" w:sz="4" w:space="0"/>
              <w:left w:val="nil"/>
              <w:bottom w:val="single" w:color="auto" w:sz="4" w:space="0"/>
              <w:right w:val="single" w:color="auto" w:sz="4" w:space="0"/>
              <w:tl2br w:val="nil"/>
              <w:tr2bl w:val="nil"/>
            </w:tcBorders>
            <w:noWrap w:val="0"/>
            <w:vAlign w:val="center"/>
          </w:tcPr>
          <w:p w14:paraId="187F7028">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综合人工费（元/人·月）</w:t>
            </w:r>
          </w:p>
        </w:tc>
        <w:tc>
          <w:tcPr>
            <w:tcW w:w="1216" w:type="dxa"/>
            <w:tcBorders>
              <w:top w:val="single" w:color="auto" w:sz="4" w:space="0"/>
              <w:left w:val="nil"/>
              <w:bottom w:val="single" w:color="auto" w:sz="4" w:space="0"/>
              <w:right w:val="single" w:color="auto" w:sz="4" w:space="0"/>
              <w:tl2br w:val="nil"/>
              <w:tr2bl w:val="nil"/>
            </w:tcBorders>
            <w:noWrap w:val="0"/>
            <w:vAlign w:val="center"/>
          </w:tcPr>
          <w:p w14:paraId="681DCF13">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合价金额</w:t>
            </w: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1AC9F55B">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备注</w:t>
            </w:r>
          </w:p>
        </w:tc>
      </w:tr>
      <w:tr w14:paraId="55B89CC9">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40AEBBB8">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2529" w:type="dxa"/>
            <w:tcBorders>
              <w:top w:val="nil"/>
              <w:left w:val="nil"/>
              <w:bottom w:val="single" w:color="auto" w:sz="4" w:space="0"/>
              <w:right w:val="single" w:color="auto" w:sz="4" w:space="0"/>
              <w:tl2br w:val="nil"/>
              <w:tr2bl w:val="nil"/>
            </w:tcBorders>
            <w:noWrap w:val="0"/>
            <w:vAlign w:val="center"/>
          </w:tcPr>
          <w:p w14:paraId="7E9A1A8A">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eastAsia="宋体" w:cs="宋体"/>
                <w:color w:val="auto"/>
                <w:highlight w:val="none"/>
                <w:lang w:val="en-US" w:eastAsia="zh-CN"/>
              </w:rPr>
              <w:t>项目负责人</w:t>
            </w:r>
          </w:p>
        </w:tc>
        <w:tc>
          <w:tcPr>
            <w:tcW w:w="784" w:type="dxa"/>
            <w:tcBorders>
              <w:top w:val="nil"/>
              <w:left w:val="nil"/>
              <w:bottom w:val="single" w:color="auto" w:sz="4" w:space="0"/>
              <w:right w:val="single" w:color="auto" w:sz="4" w:space="0"/>
              <w:tl2br w:val="nil"/>
              <w:tr2bl w:val="nil"/>
            </w:tcBorders>
            <w:noWrap w:val="0"/>
            <w:vAlign w:val="center"/>
          </w:tcPr>
          <w:p w14:paraId="1539A7C9">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6ADE6DD0">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9707B67">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40267F4">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2F50487">
            <w:pPr>
              <w:pageBreakBefore w:val="0"/>
              <w:kinsoku/>
              <w:wordWrap/>
              <w:overflowPunct/>
              <w:bidi w:val="0"/>
              <w:spacing w:before="100" w:after="100"/>
              <w:jc w:val="center"/>
              <w:textAlignment w:val="auto"/>
              <w:rPr>
                <w:rFonts w:hint="eastAsia" w:ascii="宋体" w:hAnsi="宋体" w:cs="宋体"/>
                <w:color w:val="auto"/>
                <w:highlight w:val="none"/>
              </w:rPr>
            </w:pPr>
          </w:p>
        </w:tc>
      </w:tr>
      <w:tr w14:paraId="0D6572F1">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769BC57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2529" w:type="dxa"/>
            <w:tcBorders>
              <w:top w:val="nil"/>
              <w:left w:val="nil"/>
              <w:bottom w:val="single" w:color="auto" w:sz="4" w:space="0"/>
              <w:right w:val="single" w:color="auto" w:sz="4" w:space="0"/>
              <w:tl2br w:val="nil"/>
              <w:tr2bl w:val="nil"/>
            </w:tcBorders>
            <w:noWrap w:val="0"/>
            <w:vAlign w:val="center"/>
          </w:tcPr>
          <w:p w14:paraId="13A15E5C">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造价专业人员</w:t>
            </w:r>
          </w:p>
        </w:tc>
        <w:tc>
          <w:tcPr>
            <w:tcW w:w="784" w:type="dxa"/>
            <w:tcBorders>
              <w:top w:val="nil"/>
              <w:left w:val="nil"/>
              <w:bottom w:val="single" w:color="auto" w:sz="4" w:space="0"/>
              <w:right w:val="single" w:color="auto" w:sz="4" w:space="0"/>
              <w:tl2br w:val="nil"/>
              <w:tr2bl w:val="nil"/>
            </w:tcBorders>
            <w:noWrap w:val="0"/>
            <w:vAlign w:val="center"/>
          </w:tcPr>
          <w:p w14:paraId="01B95138">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B00E9B7">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5153040">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C9C24A0">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5E721B">
            <w:pPr>
              <w:pageBreakBefore w:val="0"/>
              <w:kinsoku/>
              <w:wordWrap/>
              <w:overflowPunct/>
              <w:bidi w:val="0"/>
              <w:spacing w:before="100" w:after="100"/>
              <w:jc w:val="center"/>
              <w:textAlignment w:val="auto"/>
              <w:rPr>
                <w:rFonts w:hint="eastAsia" w:ascii="宋体" w:hAnsi="宋体" w:cs="宋体"/>
                <w:color w:val="auto"/>
                <w:highlight w:val="none"/>
              </w:rPr>
            </w:pPr>
          </w:p>
        </w:tc>
      </w:tr>
      <w:tr w14:paraId="68E53D81">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03CD8D9">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2529" w:type="dxa"/>
            <w:tcBorders>
              <w:top w:val="nil"/>
              <w:left w:val="nil"/>
              <w:bottom w:val="single" w:color="auto" w:sz="4" w:space="0"/>
              <w:right w:val="single" w:color="auto" w:sz="4" w:space="0"/>
              <w:tl2br w:val="nil"/>
              <w:tr2bl w:val="nil"/>
            </w:tcBorders>
            <w:shd w:val="clear" w:color="auto" w:fill="auto"/>
            <w:noWrap w:val="0"/>
            <w:vAlign w:val="center"/>
          </w:tcPr>
          <w:p w14:paraId="7084F3A7">
            <w:pPr>
              <w:pageBreakBefore w:val="0"/>
              <w:kinsoku/>
              <w:wordWrap/>
              <w:overflowPunct/>
              <w:bidi w:val="0"/>
              <w:spacing w:before="100" w:after="100"/>
              <w:jc w:val="center"/>
              <w:textAlignment w:val="auto"/>
              <w:rPr>
                <w:rFonts w:hint="eastAsia" w:ascii="宋体" w:hAnsi="宋体" w:eastAsia="宋体" w:cs="宋体"/>
                <w:color w:val="auto"/>
                <w:kern w:val="2"/>
                <w:sz w:val="21"/>
                <w:highlight w:val="none"/>
                <w:lang w:val="en-US" w:eastAsia="zh-CN" w:bidi="ar-SA"/>
              </w:rPr>
            </w:pPr>
            <w:r>
              <w:rPr>
                <w:rFonts w:hint="eastAsia" w:ascii="宋体" w:hAnsi="宋体" w:eastAsia="宋体" w:cs="宋体"/>
                <w:color w:val="auto"/>
                <w:highlight w:val="none"/>
                <w:lang w:val="en-US" w:eastAsia="zh-CN"/>
              </w:rPr>
              <w:t>咨询服务人员</w:t>
            </w:r>
          </w:p>
        </w:tc>
        <w:tc>
          <w:tcPr>
            <w:tcW w:w="784" w:type="dxa"/>
            <w:tcBorders>
              <w:top w:val="nil"/>
              <w:left w:val="nil"/>
              <w:bottom w:val="single" w:color="auto" w:sz="4" w:space="0"/>
              <w:right w:val="single" w:color="auto" w:sz="4" w:space="0"/>
              <w:tl2br w:val="nil"/>
              <w:tr2bl w:val="nil"/>
            </w:tcBorders>
            <w:noWrap w:val="0"/>
            <w:vAlign w:val="center"/>
          </w:tcPr>
          <w:p w14:paraId="0A1B9657">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21E517EC">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49F564D5">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4F536C2C">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C9708F">
            <w:pPr>
              <w:pageBreakBefore w:val="0"/>
              <w:kinsoku/>
              <w:wordWrap/>
              <w:overflowPunct/>
              <w:bidi w:val="0"/>
              <w:spacing w:before="100" w:after="100"/>
              <w:jc w:val="center"/>
              <w:textAlignment w:val="auto"/>
              <w:rPr>
                <w:rFonts w:hint="eastAsia" w:ascii="宋体" w:hAnsi="宋体" w:cs="宋体"/>
                <w:color w:val="auto"/>
                <w:highlight w:val="none"/>
              </w:rPr>
            </w:pPr>
          </w:p>
        </w:tc>
      </w:tr>
      <w:tr w14:paraId="3EFAB9E7">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93E9209">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2529" w:type="dxa"/>
            <w:tcBorders>
              <w:top w:val="nil"/>
              <w:left w:val="nil"/>
              <w:bottom w:val="single" w:color="auto" w:sz="4" w:space="0"/>
              <w:right w:val="single" w:color="auto" w:sz="4" w:space="0"/>
              <w:tl2br w:val="nil"/>
              <w:tr2bl w:val="nil"/>
            </w:tcBorders>
            <w:shd w:val="clear" w:color="auto" w:fill="auto"/>
            <w:noWrap w:val="0"/>
            <w:vAlign w:val="center"/>
          </w:tcPr>
          <w:p w14:paraId="433C6D09">
            <w:pPr>
              <w:pageBreakBefore w:val="0"/>
              <w:kinsoku/>
              <w:wordWrap/>
              <w:overflowPunct/>
              <w:bidi w:val="0"/>
              <w:spacing w:before="100" w:after="100"/>
              <w:jc w:val="center"/>
              <w:textAlignment w:val="auto"/>
              <w:rPr>
                <w:rFonts w:hint="eastAsia" w:ascii="宋体" w:hAnsi="宋体" w:eastAsia="宋体" w:cs="宋体"/>
                <w:color w:val="auto"/>
                <w:kern w:val="2"/>
                <w:sz w:val="21"/>
                <w:highlight w:val="none"/>
                <w:lang w:val="en-US" w:eastAsia="zh-CN" w:bidi="ar-SA"/>
              </w:rPr>
            </w:pPr>
            <w:r>
              <w:rPr>
                <w:rFonts w:hint="eastAsia" w:ascii="宋体" w:hAnsi="宋体" w:cs="宋体"/>
                <w:color w:val="auto"/>
                <w:highlight w:val="none"/>
              </w:rPr>
              <w:t>……</w:t>
            </w:r>
          </w:p>
        </w:tc>
        <w:tc>
          <w:tcPr>
            <w:tcW w:w="784" w:type="dxa"/>
            <w:tcBorders>
              <w:top w:val="nil"/>
              <w:left w:val="nil"/>
              <w:bottom w:val="single" w:color="auto" w:sz="4" w:space="0"/>
              <w:right w:val="single" w:color="auto" w:sz="4" w:space="0"/>
              <w:tl2br w:val="nil"/>
              <w:tr2bl w:val="nil"/>
            </w:tcBorders>
            <w:noWrap w:val="0"/>
            <w:vAlign w:val="center"/>
          </w:tcPr>
          <w:p w14:paraId="2EFD1092">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D278A5C">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1E09EE7E">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7AAAC1B8">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0CC1BF7">
            <w:pPr>
              <w:pageBreakBefore w:val="0"/>
              <w:kinsoku/>
              <w:wordWrap/>
              <w:overflowPunct/>
              <w:bidi w:val="0"/>
              <w:spacing w:before="100" w:after="100"/>
              <w:jc w:val="center"/>
              <w:textAlignment w:val="auto"/>
              <w:rPr>
                <w:rFonts w:hint="eastAsia" w:ascii="宋体" w:hAnsi="宋体" w:cs="宋体"/>
                <w:color w:val="auto"/>
                <w:highlight w:val="none"/>
              </w:rPr>
            </w:pPr>
          </w:p>
        </w:tc>
      </w:tr>
      <w:tr w14:paraId="22077DDE">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4CDB692">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2529" w:type="dxa"/>
            <w:tcBorders>
              <w:top w:val="nil"/>
              <w:left w:val="nil"/>
              <w:bottom w:val="single" w:color="auto" w:sz="4" w:space="0"/>
              <w:right w:val="single" w:color="auto" w:sz="4" w:space="0"/>
              <w:tl2br w:val="nil"/>
              <w:tr2bl w:val="nil"/>
            </w:tcBorders>
            <w:noWrap w:val="0"/>
            <w:vAlign w:val="center"/>
          </w:tcPr>
          <w:p w14:paraId="2802CE90">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p>
        </w:tc>
        <w:tc>
          <w:tcPr>
            <w:tcW w:w="784" w:type="dxa"/>
            <w:tcBorders>
              <w:top w:val="nil"/>
              <w:left w:val="nil"/>
              <w:bottom w:val="single" w:color="auto" w:sz="4" w:space="0"/>
              <w:right w:val="single" w:color="auto" w:sz="4" w:space="0"/>
              <w:tl2br w:val="nil"/>
              <w:tr2bl w:val="nil"/>
            </w:tcBorders>
            <w:noWrap w:val="0"/>
            <w:vAlign w:val="center"/>
          </w:tcPr>
          <w:p w14:paraId="2732C7D4">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1F664C2">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3E96D386">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D20D05F">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C860E6">
            <w:pPr>
              <w:pageBreakBefore w:val="0"/>
              <w:kinsoku/>
              <w:wordWrap/>
              <w:overflowPunct/>
              <w:bidi w:val="0"/>
              <w:spacing w:before="100" w:after="100"/>
              <w:jc w:val="center"/>
              <w:textAlignment w:val="auto"/>
              <w:rPr>
                <w:rFonts w:hint="eastAsia" w:ascii="宋体" w:hAnsi="宋体" w:cs="宋体"/>
                <w:color w:val="auto"/>
                <w:highlight w:val="none"/>
              </w:rPr>
            </w:pPr>
          </w:p>
        </w:tc>
      </w:tr>
      <w:tr w14:paraId="682063C0">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2D82E48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6</w:t>
            </w:r>
          </w:p>
        </w:tc>
        <w:tc>
          <w:tcPr>
            <w:tcW w:w="2529" w:type="dxa"/>
            <w:tcBorders>
              <w:top w:val="nil"/>
              <w:left w:val="nil"/>
              <w:bottom w:val="single" w:color="auto" w:sz="4" w:space="0"/>
              <w:right w:val="single" w:color="auto" w:sz="4" w:space="0"/>
              <w:tl2br w:val="nil"/>
              <w:tr2bl w:val="nil"/>
            </w:tcBorders>
            <w:noWrap w:val="0"/>
            <w:vAlign w:val="center"/>
          </w:tcPr>
          <w:p w14:paraId="1BF42A1B">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p>
        </w:tc>
        <w:tc>
          <w:tcPr>
            <w:tcW w:w="784" w:type="dxa"/>
            <w:tcBorders>
              <w:top w:val="nil"/>
              <w:left w:val="nil"/>
              <w:bottom w:val="single" w:color="auto" w:sz="4" w:space="0"/>
              <w:right w:val="single" w:color="auto" w:sz="4" w:space="0"/>
              <w:tl2br w:val="nil"/>
              <w:tr2bl w:val="nil"/>
            </w:tcBorders>
            <w:noWrap w:val="0"/>
            <w:vAlign w:val="center"/>
          </w:tcPr>
          <w:p w14:paraId="24EC30FB">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298E2816">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0A40415">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3C1082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BA775E">
            <w:pPr>
              <w:pageBreakBefore w:val="0"/>
              <w:kinsoku/>
              <w:wordWrap/>
              <w:overflowPunct/>
              <w:bidi w:val="0"/>
              <w:spacing w:before="100" w:after="100"/>
              <w:jc w:val="center"/>
              <w:textAlignment w:val="auto"/>
              <w:rPr>
                <w:rFonts w:hint="eastAsia" w:ascii="宋体" w:hAnsi="宋体" w:cs="宋体"/>
                <w:color w:val="auto"/>
                <w:highlight w:val="none"/>
              </w:rPr>
            </w:pPr>
          </w:p>
        </w:tc>
      </w:tr>
      <w:tr w14:paraId="534E91DA">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97DF47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7</w:t>
            </w:r>
          </w:p>
        </w:tc>
        <w:tc>
          <w:tcPr>
            <w:tcW w:w="2529" w:type="dxa"/>
            <w:tcBorders>
              <w:top w:val="nil"/>
              <w:left w:val="nil"/>
              <w:bottom w:val="single" w:color="auto" w:sz="4" w:space="0"/>
              <w:right w:val="single" w:color="auto" w:sz="4" w:space="0"/>
              <w:tl2br w:val="nil"/>
              <w:tr2bl w:val="nil"/>
            </w:tcBorders>
            <w:noWrap w:val="0"/>
            <w:vAlign w:val="center"/>
          </w:tcPr>
          <w:p w14:paraId="2A4B50D7">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p>
        </w:tc>
        <w:tc>
          <w:tcPr>
            <w:tcW w:w="784" w:type="dxa"/>
            <w:tcBorders>
              <w:top w:val="nil"/>
              <w:left w:val="nil"/>
              <w:bottom w:val="single" w:color="auto" w:sz="4" w:space="0"/>
              <w:right w:val="single" w:color="auto" w:sz="4" w:space="0"/>
              <w:tl2br w:val="nil"/>
              <w:tr2bl w:val="nil"/>
            </w:tcBorders>
            <w:noWrap w:val="0"/>
            <w:vAlign w:val="center"/>
          </w:tcPr>
          <w:p w14:paraId="6BE4F92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79B97F03">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C053522">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21BD076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78C222">
            <w:pPr>
              <w:pageBreakBefore w:val="0"/>
              <w:kinsoku/>
              <w:wordWrap/>
              <w:overflowPunct/>
              <w:bidi w:val="0"/>
              <w:spacing w:before="100" w:after="100"/>
              <w:jc w:val="center"/>
              <w:textAlignment w:val="auto"/>
              <w:rPr>
                <w:rFonts w:hint="eastAsia" w:ascii="宋体" w:hAnsi="宋体" w:cs="宋体"/>
                <w:color w:val="auto"/>
                <w:highlight w:val="none"/>
              </w:rPr>
            </w:pPr>
          </w:p>
        </w:tc>
      </w:tr>
      <w:tr w14:paraId="7A4DD5A5">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B7617AA">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8</w:t>
            </w:r>
          </w:p>
        </w:tc>
        <w:tc>
          <w:tcPr>
            <w:tcW w:w="2529" w:type="dxa"/>
            <w:tcBorders>
              <w:top w:val="nil"/>
              <w:left w:val="nil"/>
              <w:bottom w:val="single" w:color="auto" w:sz="4" w:space="0"/>
              <w:right w:val="single" w:color="auto" w:sz="4" w:space="0"/>
              <w:tl2br w:val="nil"/>
              <w:tr2bl w:val="nil"/>
            </w:tcBorders>
            <w:noWrap w:val="0"/>
            <w:vAlign w:val="center"/>
          </w:tcPr>
          <w:p w14:paraId="38D9CF84">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p>
        </w:tc>
        <w:tc>
          <w:tcPr>
            <w:tcW w:w="784" w:type="dxa"/>
            <w:tcBorders>
              <w:top w:val="nil"/>
              <w:left w:val="nil"/>
              <w:bottom w:val="single" w:color="auto" w:sz="4" w:space="0"/>
              <w:right w:val="single" w:color="auto" w:sz="4" w:space="0"/>
              <w:tl2br w:val="nil"/>
              <w:tr2bl w:val="nil"/>
            </w:tcBorders>
            <w:noWrap w:val="0"/>
            <w:vAlign w:val="center"/>
          </w:tcPr>
          <w:p w14:paraId="58336EEC">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5E8B652">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D2E9289">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755C9EE">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78247C">
            <w:pPr>
              <w:pageBreakBefore w:val="0"/>
              <w:kinsoku/>
              <w:wordWrap/>
              <w:overflowPunct/>
              <w:bidi w:val="0"/>
              <w:spacing w:before="100" w:after="100"/>
              <w:jc w:val="center"/>
              <w:textAlignment w:val="auto"/>
              <w:rPr>
                <w:rFonts w:hint="eastAsia" w:ascii="宋体" w:hAnsi="宋体" w:cs="宋体"/>
                <w:color w:val="auto"/>
                <w:highlight w:val="none"/>
              </w:rPr>
            </w:pPr>
          </w:p>
        </w:tc>
      </w:tr>
      <w:tr w14:paraId="3F551833">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75DDBCDB">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9</w:t>
            </w:r>
          </w:p>
        </w:tc>
        <w:tc>
          <w:tcPr>
            <w:tcW w:w="2529" w:type="dxa"/>
            <w:tcBorders>
              <w:top w:val="nil"/>
              <w:left w:val="nil"/>
              <w:bottom w:val="single" w:color="auto" w:sz="4" w:space="0"/>
              <w:right w:val="single" w:color="auto" w:sz="4" w:space="0"/>
              <w:tl2br w:val="nil"/>
              <w:tr2bl w:val="nil"/>
            </w:tcBorders>
            <w:noWrap w:val="0"/>
            <w:vAlign w:val="center"/>
          </w:tcPr>
          <w:p w14:paraId="49E3880C">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p>
        </w:tc>
        <w:tc>
          <w:tcPr>
            <w:tcW w:w="784" w:type="dxa"/>
            <w:tcBorders>
              <w:top w:val="nil"/>
              <w:left w:val="nil"/>
              <w:bottom w:val="single" w:color="auto" w:sz="4" w:space="0"/>
              <w:right w:val="single" w:color="auto" w:sz="4" w:space="0"/>
              <w:tl2br w:val="nil"/>
              <w:tr2bl w:val="nil"/>
            </w:tcBorders>
            <w:noWrap w:val="0"/>
            <w:vAlign w:val="center"/>
          </w:tcPr>
          <w:p w14:paraId="74765E3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471E70D">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3045783A">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51E09782">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AB98619">
            <w:pPr>
              <w:pageBreakBefore w:val="0"/>
              <w:kinsoku/>
              <w:wordWrap/>
              <w:overflowPunct/>
              <w:bidi w:val="0"/>
              <w:spacing w:before="100" w:after="100"/>
              <w:jc w:val="center"/>
              <w:textAlignment w:val="auto"/>
              <w:rPr>
                <w:rFonts w:hint="eastAsia" w:ascii="宋体" w:hAnsi="宋体" w:cs="宋体"/>
                <w:color w:val="auto"/>
                <w:highlight w:val="none"/>
              </w:rPr>
            </w:pPr>
          </w:p>
        </w:tc>
      </w:tr>
      <w:tr w14:paraId="18995940">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3A13187">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10</w:t>
            </w:r>
          </w:p>
        </w:tc>
        <w:tc>
          <w:tcPr>
            <w:tcW w:w="2529" w:type="dxa"/>
            <w:tcBorders>
              <w:top w:val="nil"/>
              <w:left w:val="nil"/>
              <w:bottom w:val="single" w:color="auto" w:sz="4" w:space="0"/>
              <w:right w:val="single" w:color="auto" w:sz="4" w:space="0"/>
              <w:tl2br w:val="nil"/>
              <w:tr2bl w:val="nil"/>
            </w:tcBorders>
            <w:noWrap w:val="0"/>
            <w:vAlign w:val="center"/>
          </w:tcPr>
          <w:p w14:paraId="525E3958">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p>
        </w:tc>
        <w:tc>
          <w:tcPr>
            <w:tcW w:w="784" w:type="dxa"/>
            <w:tcBorders>
              <w:top w:val="nil"/>
              <w:left w:val="nil"/>
              <w:bottom w:val="single" w:color="auto" w:sz="4" w:space="0"/>
              <w:right w:val="single" w:color="auto" w:sz="4" w:space="0"/>
              <w:tl2br w:val="nil"/>
              <w:tr2bl w:val="nil"/>
            </w:tcBorders>
            <w:noWrap w:val="0"/>
            <w:vAlign w:val="center"/>
          </w:tcPr>
          <w:p w14:paraId="115F9CF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60DAFBEB">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7F212D1F">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4A830252">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796639B">
            <w:pPr>
              <w:pageBreakBefore w:val="0"/>
              <w:kinsoku/>
              <w:wordWrap/>
              <w:overflowPunct/>
              <w:bidi w:val="0"/>
              <w:spacing w:before="100" w:after="100"/>
              <w:jc w:val="center"/>
              <w:textAlignment w:val="auto"/>
              <w:rPr>
                <w:rFonts w:hint="eastAsia" w:ascii="宋体" w:hAnsi="宋体" w:cs="宋体"/>
                <w:color w:val="auto"/>
                <w:highlight w:val="none"/>
              </w:rPr>
            </w:pPr>
          </w:p>
        </w:tc>
      </w:tr>
      <w:tr w14:paraId="50A282B9">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488B8B8">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11</w:t>
            </w:r>
          </w:p>
        </w:tc>
        <w:tc>
          <w:tcPr>
            <w:tcW w:w="2529" w:type="dxa"/>
            <w:tcBorders>
              <w:top w:val="nil"/>
              <w:left w:val="nil"/>
              <w:bottom w:val="single" w:color="auto" w:sz="4" w:space="0"/>
              <w:right w:val="single" w:color="auto" w:sz="4" w:space="0"/>
              <w:tl2br w:val="nil"/>
              <w:tr2bl w:val="nil"/>
            </w:tcBorders>
            <w:noWrap w:val="0"/>
            <w:vAlign w:val="center"/>
          </w:tcPr>
          <w:p w14:paraId="50417A6E">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696B857">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3FEB726">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2389812E">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7769FABB">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0D40E894">
            <w:pPr>
              <w:pageBreakBefore w:val="0"/>
              <w:kinsoku/>
              <w:wordWrap/>
              <w:overflowPunct/>
              <w:bidi w:val="0"/>
              <w:spacing w:before="100" w:after="100"/>
              <w:jc w:val="center"/>
              <w:textAlignment w:val="auto"/>
              <w:rPr>
                <w:rFonts w:hint="eastAsia" w:ascii="宋体" w:hAnsi="宋体" w:cs="宋体"/>
                <w:color w:val="auto"/>
                <w:highlight w:val="none"/>
              </w:rPr>
            </w:pPr>
          </w:p>
        </w:tc>
      </w:tr>
      <w:tr w14:paraId="78F0C1E2">
        <w:trPr>
          <w:trHeight w:val="623" w:hRule="atLeast"/>
          <w:jc w:val="center"/>
        </w:trPr>
        <w:tc>
          <w:tcPr>
            <w:tcW w:w="7482" w:type="dxa"/>
            <w:gridSpan w:val="5"/>
            <w:tcBorders>
              <w:top w:val="nil"/>
              <w:left w:val="single" w:color="auto" w:sz="4" w:space="0"/>
              <w:bottom w:val="single" w:color="auto" w:sz="4" w:space="0"/>
              <w:right w:val="single" w:color="auto" w:sz="4" w:space="0"/>
              <w:tl2br w:val="nil"/>
              <w:tr2bl w:val="nil"/>
            </w:tcBorders>
            <w:noWrap w:val="0"/>
            <w:vAlign w:val="center"/>
          </w:tcPr>
          <w:p w14:paraId="7330B53C">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1216" w:type="dxa"/>
            <w:tcBorders>
              <w:top w:val="nil"/>
              <w:left w:val="nil"/>
              <w:bottom w:val="single" w:color="auto" w:sz="4" w:space="0"/>
              <w:right w:val="single" w:color="auto" w:sz="4" w:space="0"/>
              <w:tl2br w:val="nil"/>
              <w:tr2bl w:val="nil"/>
            </w:tcBorders>
            <w:noWrap w:val="0"/>
            <w:vAlign w:val="center"/>
          </w:tcPr>
          <w:p w14:paraId="0D5D164E">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nil"/>
              <w:left w:val="nil"/>
              <w:bottom w:val="single" w:color="auto" w:sz="4" w:space="0"/>
              <w:right w:val="single" w:color="auto" w:sz="4" w:space="0"/>
              <w:tl2br w:val="nil"/>
              <w:tr2bl w:val="nil"/>
            </w:tcBorders>
            <w:noWrap w:val="0"/>
            <w:vAlign w:val="center"/>
          </w:tcPr>
          <w:p w14:paraId="43B5CCA6">
            <w:pPr>
              <w:pageBreakBefore w:val="0"/>
              <w:kinsoku/>
              <w:wordWrap/>
              <w:overflowPunct/>
              <w:bidi w:val="0"/>
              <w:spacing w:before="100" w:after="100"/>
              <w:jc w:val="center"/>
              <w:textAlignment w:val="auto"/>
              <w:rPr>
                <w:rFonts w:hint="eastAsia" w:ascii="宋体" w:hAnsi="宋体" w:cs="宋体"/>
                <w:color w:val="auto"/>
                <w:highlight w:val="none"/>
              </w:rPr>
            </w:pPr>
          </w:p>
        </w:tc>
      </w:tr>
    </w:tbl>
    <w:p w14:paraId="5BCBA8FA">
      <w:pPr>
        <w:pageBreakBefore w:val="0"/>
        <w:kinsoku/>
        <w:wordWrap/>
        <w:overflowPunct/>
        <w:bidi w:val="0"/>
        <w:spacing w:before="100" w:after="100"/>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备注：综合人工费包括供应商为完成招标控制价编制及全过程造价咨询工作所产生的工作人员薪酬、办公、差旅、通讯、食宿、车辆、设备、保险、利润、税金等所有费用。</w:t>
      </w:r>
    </w:p>
    <w:p w14:paraId="29D858C5">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2C91D1D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486AAABE">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50685FFA">
      <w:pPr>
        <w:widowControl/>
        <w:spacing w:after="200" w:line="360" w:lineRule="auto"/>
        <w:ind w:left="2318" w:leftChars="1104"/>
        <w:jc w:val="left"/>
        <w:rPr>
          <w:rFonts w:hint="eastAsia" w:ascii="宋体" w:hAnsi="宋体" w:eastAsia="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eastAsia="宋体" w:cs="宋体"/>
          <w:color w:val="auto"/>
          <w:highlight w:val="none"/>
        </w:rPr>
        <w:br w:type="page"/>
      </w:r>
    </w:p>
    <w:p w14:paraId="099966C5">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979" w:name="_Toc13681"/>
      <w:bookmarkStart w:id="980" w:name="_Toc4544"/>
      <w:bookmarkStart w:id="981" w:name="_Toc13584"/>
      <w:bookmarkStart w:id="982" w:name="_Toc20858"/>
      <w:bookmarkStart w:id="983" w:name="_Toc55229801"/>
      <w:bookmarkStart w:id="984" w:name="_Toc14291"/>
      <w:bookmarkStart w:id="985" w:name="_Toc55310070"/>
      <w:bookmarkStart w:id="986" w:name="_Toc55303757"/>
      <w:bookmarkStart w:id="987" w:name="_Toc20104"/>
      <w:bookmarkStart w:id="988" w:name="_Toc21329"/>
      <w:bookmarkStart w:id="989" w:name="_Toc48095522"/>
      <w:bookmarkStart w:id="990" w:name="_Toc496867576"/>
      <w:bookmarkStart w:id="991" w:name="_Toc955673619"/>
      <w:bookmarkStart w:id="992" w:name="_Toc270976397"/>
      <w:bookmarkStart w:id="993" w:name="_Toc334374811"/>
      <w:bookmarkStart w:id="994" w:name="_Toc7108"/>
      <w:r>
        <w:rPr>
          <w:rFonts w:hint="eastAsia" w:eastAsia="宋体" w:cs="宋体"/>
          <w:color w:val="auto"/>
          <w:highlight w:val="none"/>
          <w:lang w:val="en-US" w:eastAsia="zh-CN"/>
        </w:rPr>
        <w:t>三</w:t>
      </w:r>
      <w:bookmarkEnd w:id="902"/>
      <w:bookmarkEnd w:id="903"/>
      <w:bookmarkEnd w:id="904"/>
      <w:bookmarkEnd w:id="905"/>
      <w:bookmarkEnd w:id="954"/>
      <w:bookmarkEnd w:id="955"/>
      <w:bookmarkEnd w:id="956"/>
      <w:bookmarkEnd w:id="957"/>
      <w:bookmarkEnd w:id="958"/>
      <w:bookmarkEnd w:id="959"/>
      <w:bookmarkEnd w:id="979"/>
      <w:bookmarkEnd w:id="980"/>
      <w:bookmarkEnd w:id="981"/>
      <w:bookmarkEnd w:id="982"/>
      <w:bookmarkEnd w:id="983"/>
      <w:bookmarkEnd w:id="984"/>
      <w:bookmarkEnd w:id="985"/>
      <w:bookmarkEnd w:id="986"/>
      <w:bookmarkEnd w:id="987"/>
      <w:bookmarkEnd w:id="988"/>
      <w:r>
        <w:rPr>
          <w:rFonts w:hint="eastAsia" w:eastAsia="宋体" w:cs="宋体"/>
          <w:color w:val="auto"/>
          <w:highlight w:val="none"/>
          <w:lang w:eastAsia="zh-CN"/>
        </w:rPr>
        <w:t>、</w:t>
      </w:r>
      <w:r>
        <w:rPr>
          <w:rFonts w:hint="eastAsia" w:ascii="宋体" w:hAnsi="宋体" w:eastAsia="宋体" w:cs="宋体"/>
          <w:color w:val="auto"/>
          <w:highlight w:val="none"/>
        </w:rPr>
        <w:t>承诺函</w:t>
      </w:r>
      <w:bookmarkEnd w:id="989"/>
      <w:bookmarkEnd w:id="990"/>
      <w:bookmarkEnd w:id="991"/>
      <w:bookmarkEnd w:id="992"/>
      <w:bookmarkEnd w:id="993"/>
      <w:bookmarkEnd w:id="994"/>
    </w:p>
    <w:p w14:paraId="7E98F830">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贵公司的</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大龙山风电场（二期）项目工程招标控制价编制及全过程造价控制咨询服务</w:t>
      </w:r>
      <w:r>
        <w:rPr>
          <w:rFonts w:hint="eastAsia" w:ascii="宋体" w:hAnsi="宋体" w:eastAsia="宋体" w:cs="宋体"/>
          <w:color w:val="auto"/>
          <w:sz w:val="24"/>
          <w:szCs w:val="24"/>
          <w:highlight w:val="none"/>
        </w:rPr>
        <w:t>的竞争性谈判文件，我方经仔细研究，愿意承接本项目工作，现决定参加报价并承诺完全响应竞争性谈判文件的所有内容及条款：</w:t>
      </w:r>
    </w:p>
    <w:p w14:paraId="5341C37D">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1.我方已详细审查竞争性谈判文件，包括（澄清文件）(如果有的话)。我们完全理解并同意放弃对这方面有不明及误解的权力。</w:t>
      </w:r>
    </w:p>
    <w:p w14:paraId="5519A7C3">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一旦我方被确定为成交人，我方承诺如竞争性谈判文件中有与本报价函不一致的内容，以本报价函的承诺为准。</w:t>
      </w:r>
    </w:p>
    <w:p w14:paraId="12A16DC7">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3.我方首次报价总价为人民币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（小写）。</w:t>
      </w:r>
    </w:p>
    <w:p w14:paraId="4DA5926E">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我方本次报价服务的</w:t>
      </w:r>
      <w:r>
        <w:rPr>
          <w:rFonts w:hint="eastAsia" w:ascii="宋体" w:hAnsi="宋体" w:cs="宋体"/>
          <w:color w:val="auto"/>
          <w:sz w:val="24"/>
          <w:szCs w:val="24"/>
          <w:highlight w:val="none"/>
          <w:lang w:val="en-US" w:eastAsia="zh-CN"/>
        </w:rPr>
        <w:t>服务期限</w:t>
      </w:r>
      <w:r>
        <w:rPr>
          <w:rFonts w:hint="eastAsia" w:ascii="宋体" w:hAnsi="宋体" w:eastAsia="宋体" w:cs="宋体"/>
          <w:color w:val="auto"/>
          <w:sz w:val="24"/>
          <w:szCs w:val="24"/>
          <w:highlight w:val="none"/>
        </w:rPr>
        <w:t>为</w:t>
      </w:r>
      <w:r>
        <w:rPr>
          <w:rFonts w:hint="eastAsia" w:ascii="宋体" w:hAnsi="宋体" w:eastAsia="宋体" w:cs="宋体"/>
          <w:sz w:val="24"/>
          <w:szCs w:val="24"/>
          <w:highlight w:val="none"/>
        </w:rPr>
        <w:t>：</w:t>
      </w:r>
      <w:r>
        <w:rPr>
          <w:rFonts w:hint="eastAsia" w:ascii="宋体" w:hAnsi="宋体" w:cs="宋体"/>
          <w:b/>
          <w:bCs/>
          <w:sz w:val="24"/>
          <w:szCs w:val="24"/>
          <w:highlight w:val="none"/>
          <w:u w:val="single"/>
          <w:lang w:val="en-US" w:eastAsia="zh-CN"/>
        </w:rPr>
        <w:t xml:space="preserve">                        。</w:t>
      </w:r>
    </w:p>
    <w:p w14:paraId="16BCB515">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如我方未成交，你方有权不作任何解释。</w:t>
      </w:r>
    </w:p>
    <w:p w14:paraId="7EFB4E1A">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我方承诺，不以任何形式干扰评审工作。</w:t>
      </w:r>
    </w:p>
    <w:p w14:paraId="25F80F9E">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除非另外达成协议并生效，你方的成交通知书和我方所递交的报价文件将构成约束我们双方的合同组成部分。</w:t>
      </w:r>
    </w:p>
    <w:p w14:paraId="0F29F76C">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在此我方郑重承诺：我方将按采购人的要求提供相关供货服务，并且完全响应采购人的要求。</w:t>
      </w:r>
    </w:p>
    <w:p w14:paraId="3AD3160C">
      <w:pPr>
        <w:keepNext w:val="0"/>
        <w:keepLines w:val="0"/>
        <w:pageBreakBefore w:val="0"/>
        <w:widowControl w:val="0"/>
        <w:kinsoku/>
        <w:wordWrap/>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我方承诺：</w:t>
      </w:r>
      <w:r>
        <w:rPr>
          <w:rFonts w:hint="eastAsia" w:ascii="宋体" w:hAnsi="宋体" w:eastAsia="宋体" w:cs="宋体"/>
          <w:color w:val="auto"/>
          <w:sz w:val="24"/>
          <w:szCs w:val="24"/>
          <w:highlight w:val="none"/>
          <w:lang w:val="en-US" w:eastAsia="zh-CN"/>
        </w:rPr>
        <w:t>报价文件中所提供的相关业绩及资格证明材料真实、可靠，如有虚假，我方愿意承担相关经济及法律责任。</w:t>
      </w:r>
    </w:p>
    <w:p w14:paraId="0203CB8C">
      <w:pPr>
        <w:pStyle w:val="29"/>
        <w:keepNext w:val="0"/>
        <w:keepLines w:val="0"/>
        <w:pageBreakBefore w:val="0"/>
        <w:widowControl w:val="0"/>
        <w:kinsoku/>
        <w:wordWrap/>
        <w:overflowPunct/>
        <w:topLinePunct w:val="0"/>
        <w:bidi w:val="0"/>
        <w:snapToGrid w:val="0"/>
        <w:spacing w:line="500" w:lineRule="exact"/>
        <w:ind w:firstLine="480" w:firstLineChars="200"/>
        <w:textAlignment w:val="auto"/>
        <w:rPr>
          <w:rFonts w:hint="eastAsia" w:ascii="宋体" w:hAnsi="宋体" w:eastAsia="宋体" w:cs="宋体"/>
          <w:color w:val="auto"/>
          <w:sz w:val="24"/>
          <w:highlight w:val="none"/>
        </w:rPr>
      </w:pPr>
    </w:p>
    <w:p w14:paraId="0018BE89">
      <w:pPr>
        <w:pStyle w:val="29"/>
        <w:keepNext w:val="0"/>
        <w:keepLines w:val="0"/>
        <w:pageBreakBefore w:val="0"/>
        <w:widowControl w:val="0"/>
        <w:kinsoku/>
        <w:wordWrap/>
        <w:overflowPunct/>
        <w:topLinePunct w:val="0"/>
        <w:bidi w:val="0"/>
        <w:snapToGrid w:val="0"/>
        <w:spacing w:line="500" w:lineRule="exact"/>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329FD729">
      <w:pPr>
        <w:keepNext w:val="0"/>
        <w:keepLines w:val="0"/>
        <w:pageBreakBefore w:val="0"/>
        <w:widowControl w:val="0"/>
        <w:kinsoku/>
        <w:wordWrap/>
        <w:overflowPunct/>
        <w:topLinePunct w:val="0"/>
        <w:bidi w:val="0"/>
        <w:spacing w:line="500" w:lineRule="exact"/>
        <w:textAlignment w:val="auto"/>
        <w:rPr>
          <w:rFonts w:hint="eastAsia" w:ascii="宋体" w:hAnsi="宋体" w:eastAsia="宋体" w:cs="宋体"/>
          <w:color w:val="auto"/>
          <w:sz w:val="24"/>
          <w:szCs w:val="24"/>
          <w:highlight w:val="none"/>
        </w:rPr>
      </w:pPr>
    </w:p>
    <w:p w14:paraId="57075D4F">
      <w:pPr>
        <w:pStyle w:val="29"/>
        <w:keepNext w:val="0"/>
        <w:keepLines w:val="0"/>
        <w:pageBreakBefore w:val="0"/>
        <w:widowControl w:val="0"/>
        <w:kinsoku/>
        <w:wordWrap/>
        <w:overflowPunct/>
        <w:topLinePunct w:val="0"/>
        <w:bidi w:val="0"/>
        <w:snapToGrid w:val="0"/>
        <w:spacing w:line="500" w:lineRule="exact"/>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法定代表人或委托代理人（签字或签章）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 xml:space="preserve">                     </w:t>
      </w:r>
    </w:p>
    <w:p w14:paraId="07AE4714">
      <w:pPr>
        <w:keepNext w:val="0"/>
        <w:keepLines w:val="0"/>
        <w:pageBreakBefore w:val="0"/>
        <w:widowControl w:val="0"/>
        <w:kinsoku/>
        <w:wordWrap/>
        <w:overflowPunct/>
        <w:topLinePunct w:val="0"/>
        <w:bidi w:val="0"/>
        <w:spacing w:line="500" w:lineRule="exact"/>
        <w:textAlignment w:val="auto"/>
        <w:rPr>
          <w:rFonts w:hint="eastAsia" w:ascii="宋体" w:hAnsi="宋体" w:eastAsia="宋体" w:cs="宋体"/>
          <w:color w:val="auto"/>
          <w:sz w:val="24"/>
          <w:szCs w:val="24"/>
          <w:highlight w:val="none"/>
        </w:rPr>
      </w:pPr>
    </w:p>
    <w:p w14:paraId="5E059B34">
      <w:pPr>
        <w:pStyle w:val="29"/>
        <w:keepNext w:val="0"/>
        <w:keepLines w:val="0"/>
        <w:pageBreakBefore w:val="0"/>
        <w:widowControl w:val="0"/>
        <w:kinsoku/>
        <w:wordWrap/>
        <w:overflowPunct/>
        <w:topLinePunct w:val="0"/>
        <w:bidi w:val="0"/>
        <w:snapToGrid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15AA4A3">
      <w:pPr>
        <w:pStyle w:val="29"/>
        <w:keepNext w:val="0"/>
        <w:keepLines w:val="0"/>
        <w:pageBreakBefore w:val="0"/>
        <w:widowControl w:val="0"/>
        <w:kinsoku/>
        <w:wordWrap/>
        <w:overflowPunct/>
        <w:topLinePunct w:val="0"/>
        <w:bidi w:val="0"/>
        <w:snapToGrid w:val="0"/>
        <w:spacing w:before="100" w:beforeAutospacing="1" w:after="100" w:afterAutospacing="1" w:line="500" w:lineRule="exact"/>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page"/>
      </w:r>
    </w:p>
    <w:p w14:paraId="720B7583">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995" w:name="_Toc256194848"/>
      <w:bookmarkStart w:id="996" w:name="_Toc26088"/>
      <w:bookmarkStart w:id="997" w:name="_Toc55229802"/>
      <w:bookmarkStart w:id="998" w:name="_Toc55310071"/>
      <w:bookmarkStart w:id="999" w:name="_Toc23253"/>
      <w:bookmarkStart w:id="1000" w:name="_Toc12755"/>
      <w:bookmarkStart w:id="1001" w:name="_Toc55303758"/>
      <w:bookmarkStart w:id="1002" w:name="_Toc10688"/>
      <w:bookmarkStart w:id="1003" w:name="_Toc15134"/>
      <w:bookmarkStart w:id="1004" w:name="_Toc28415"/>
      <w:bookmarkStart w:id="1005" w:name="_Toc1577951251"/>
      <w:bookmarkStart w:id="1006" w:name="_Toc3534"/>
      <w:bookmarkStart w:id="1007" w:name="_Toc19885"/>
      <w:bookmarkStart w:id="1008" w:name="_Toc221495502"/>
      <w:bookmarkStart w:id="1009" w:name="_Toc1164292374"/>
      <w:bookmarkStart w:id="1010" w:name="_Toc1081590980"/>
      <w:bookmarkStart w:id="1011" w:name="_Toc1961177591"/>
      <w:r>
        <w:rPr>
          <w:rFonts w:hint="eastAsia" w:eastAsia="宋体" w:cs="宋体"/>
          <w:color w:val="auto"/>
          <w:highlight w:val="none"/>
          <w:lang w:val="en-US" w:eastAsia="zh-CN"/>
        </w:rPr>
        <w:t>四、</w:t>
      </w:r>
      <w:r>
        <w:rPr>
          <w:rFonts w:hint="eastAsia" w:ascii="宋体" w:hAnsi="宋体" w:eastAsia="宋体" w:cs="宋体"/>
          <w:color w:val="auto"/>
          <w:highlight w:val="none"/>
        </w:rPr>
        <w:t>法定代表人身份证明</w:t>
      </w:r>
      <w:bookmarkEnd w:id="995"/>
      <w:r>
        <w:rPr>
          <w:rFonts w:hint="eastAsia" w:ascii="宋体" w:hAnsi="宋体" w:eastAsia="宋体" w:cs="宋体"/>
          <w:color w:val="auto"/>
          <w:highlight w:val="none"/>
        </w:rPr>
        <w:t>书</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14:paraId="42AC8830">
      <w:pPr>
        <w:autoSpaceDE w:val="0"/>
        <w:autoSpaceDN w:val="0"/>
        <w:adjustRightInd w:val="0"/>
        <w:spacing w:line="360" w:lineRule="auto"/>
        <w:jc w:val="left"/>
        <w:rPr>
          <w:rFonts w:hint="eastAsia" w:ascii="宋体" w:hAnsi="宋体" w:eastAsia="宋体" w:cs="宋体"/>
          <w:color w:val="auto"/>
          <w:kern w:val="0"/>
          <w:szCs w:val="21"/>
          <w:highlight w:val="none"/>
        </w:rPr>
      </w:pPr>
    </w:p>
    <w:p w14:paraId="51FB54F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供应商（全称）：</w:t>
      </w:r>
    </w:p>
    <w:p w14:paraId="16DCFA9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单位性质：</w:t>
      </w:r>
    </w:p>
    <w:p w14:paraId="331E3B0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w:t>
      </w:r>
    </w:p>
    <w:p w14:paraId="0CF14AF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成立时间：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1B78D7B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经营期限：</w:t>
      </w:r>
    </w:p>
    <w:p w14:paraId="25F4C75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p w14:paraId="04EFD415">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性别：</w:t>
      </w:r>
    </w:p>
    <w:p w14:paraId="3B7128B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年龄：</w:t>
      </w:r>
    </w:p>
    <w:p w14:paraId="448E6580">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职务：</w:t>
      </w:r>
    </w:p>
    <w:p w14:paraId="4C4A92A7">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系（供应商）的法定代表人。</w:t>
      </w:r>
    </w:p>
    <w:p w14:paraId="3D67D33E">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4503C232">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附：法定代表人身份证（复印件/扫描件）</w:t>
      </w:r>
    </w:p>
    <w:p w14:paraId="6258E736">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p>
    <w:p w14:paraId="274CC37F">
      <w:pPr>
        <w:wordWrap w:val="0"/>
        <w:autoSpaceDE w:val="0"/>
        <w:autoSpaceDN w:val="0"/>
        <w:adjustRightInd w:val="0"/>
        <w:spacing w:line="360" w:lineRule="auto"/>
        <w:ind w:right="420"/>
        <w:jc w:val="righ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6E530B29">
      <w:pPr>
        <w:autoSpaceDE w:val="0"/>
        <w:autoSpaceDN w:val="0"/>
        <w:adjustRightInd w:val="0"/>
        <w:spacing w:line="360" w:lineRule="auto"/>
        <w:ind w:right="1140"/>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月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tbl>
      <w:tblPr>
        <w:tblStyle w:val="49"/>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1816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9" w:hRule="atLeast"/>
        </w:trPr>
        <w:tc>
          <w:tcPr>
            <w:tcW w:w="7763" w:type="dxa"/>
          </w:tcPr>
          <w:p w14:paraId="704B81E7">
            <w:pPr>
              <w:widowControl/>
              <w:spacing w:line="360" w:lineRule="auto"/>
              <w:rPr>
                <w:rFonts w:hint="eastAsia" w:ascii="宋体" w:hAnsi="宋体" w:eastAsia="宋体" w:cs="宋体"/>
                <w:color w:val="auto"/>
                <w:szCs w:val="21"/>
                <w:highlight w:val="none"/>
              </w:rPr>
            </w:pPr>
          </w:p>
          <w:p w14:paraId="6512D36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3D832611">
            <w:pPr>
              <w:spacing w:line="360" w:lineRule="auto"/>
              <w:rPr>
                <w:rFonts w:hint="eastAsia" w:ascii="宋体" w:hAnsi="宋体" w:eastAsia="宋体" w:cs="宋体"/>
                <w:color w:val="auto"/>
                <w:szCs w:val="21"/>
                <w:highlight w:val="none"/>
              </w:rPr>
            </w:pPr>
          </w:p>
          <w:p w14:paraId="20ECFBA9">
            <w:pPr>
              <w:widowControl/>
              <w:spacing w:line="360" w:lineRule="auto"/>
              <w:rPr>
                <w:rFonts w:hint="eastAsia" w:ascii="宋体" w:hAnsi="宋体" w:eastAsia="宋体" w:cs="宋体"/>
                <w:color w:val="auto"/>
                <w:szCs w:val="21"/>
                <w:highlight w:val="none"/>
              </w:rPr>
            </w:pPr>
          </w:p>
          <w:p w14:paraId="5785BC14">
            <w:pPr>
              <w:widowControl/>
              <w:spacing w:line="360" w:lineRule="auto"/>
              <w:rPr>
                <w:rFonts w:hint="eastAsia" w:ascii="宋体" w:hAnsi="宋体" w:eastAsia="宋体" w:cs="宋体"/>
                <w:color w:val="auto"/>
                <w:szCs w:val="21"/>
                <w:highlight w:val="none"/>
              </w:rPr>
            </w:pPr>
          </w:p>
        </w:tc>
      </w:tr>
    </w:tbl>
    <w:p w14:paraId="2011D203">
      <w:pPr>
        <w:widowControl/>
        <w:spacing w:line="360" w:lineRule="auto"/>
        <w:rPr>
          <w:rFonts w:hint="eastAsia" w:ascii="宋体" w:hAnsi="宋体" w:eastAsia="宋体" w:cs="宋体"/>
          <w:color w:val="auto"/>
          <w:szCs w:val="21"/>
          <w:highlight w:val="none"/>
        </w:rPr>
      </w:pPr>
    </w:p>
    <w:p w14:paraId="0B9F3118">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F5E5786">
      <w:pPr>
        <w:pStyle w:val="5"/>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1012" w:name="_Toc55310072"/>
      <w:bookmarkStart w:id="1013" w:name="_Toc31689"/>
      <w:bookmarkStart w:id="1014" w:name="_Toc18011"/>
      <w:bookmarkStart w:id="1015" w:name="_Toc6201"/>
      <w:bookmarkStart w:id="1016" w:name="_Toc24491"/>
      <w:bookmarkStart w:id="1017" w:name="_Toc11796"/>
      <w:bookmarkStart w:id="1018" w:name="_Toc26112"/>
      <w:bookmarkStart w:id="1019" w:name="_Toc10997"/>
      <w:bookmarkStart w:id="1020" w:name="_Toc7033"/>
      <w:bookmarkStart w:id="1021" w:name="_Toc55303759"/>
      <w:bookmarkStart w:id="1022" w:name="_Toc799215522"/>
      <w:bookmarkStart w:id="1023" w:name="_Toc535410770"/>
      <w:bookmarkStart w:id="1024" w:name="_Toc199914519"/>
      <w:bookmarkStart w:id="1025" w:name="_Toc944456228"/>
      <w:bookmarkStart w:id="1026" w:name="_Toc1198480582"/>
      <w:r>
        <w:rPr>
          <w:rFonts w:hint="eastAsia" w:eastAsia="宋体" w:cs="宋体"/>
          <w:color w:val="auto"/>
          <w:highlight w:val="none"/>
          <w:lang w:val="en-US" w:eastAsia="zh-CN"/>
        </w:rPr>
        <w:t>五、</w:t>
      </w:r>
      <w:r>
        <w:rPr>
          <w:rFonts w:hint="eastAsia" w:ascii="宋体" w:hAnsi="宋体" w:eastAsia="宋体" w:cs="宋体"/>
          <w:color w:val="auto"/>
          <w:highlight w:val="none"/>
        </w:rPr>
        <w:t>法定代表人授权委托书</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14:paraId="585879EE">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）系（</w:t>
      </w:r>
      <w:r>
        <w:rPr>
          <w:rFonts w:hint="eastAsia" w:ascii="宋体" w:hAnsi="宋体" w:eastAsia="宋体" w:cs="宋体"/>
          <w:b/>
          <w:bCs/>
          <w:color w:val="auto"/>
          <w:kern w:val="0"/>
          <w:sz w:val="24"/>
          <w:szCs w:val="24"/>
          <w:highlight w:val="none"/>
        </w:rPr>
        <w:t>供应商</w:t>
      </w:r>
      <w:r>
        <w:rPr>
          <w:rFonts w:hint="eastAsia" w:ascii="宋体" w:hAnsi="宋体" w:eastAsia="宋体" w:cs="宋体"/>
          <w:color w:val="auto"/>
          <w:kern w:val="0"/>
          <w:sz w:val="24"/>
          <w:szCs w:val="24"/>
          <w:highlight w:val="none"/>
        </w:rPr>
        <w:t>）的法定代表人，现委托（</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）为我方代理人。代理人根据授权，以我方名义签署、澄清、说明、补正、递交、撤回、</w:t>
      </w:r>
      <w:r>
        <w:rPr>
          <w:rFonts w:hint="eastAsia" w:ascii="宋体" w:hAnsi="宋体" w:eastAsia="宋体" w:cs="宋体"/>
          <w:color w:val="auto"/>
          <w:kern w:val="0"/>
          <w:sz w:val="24"/>
          <w:szCs w:val="24"/>
          <w:highlight w:val="none"/>
          <w:lang w:val="en-US" w:eastAsia="zh-CN"/>
        </w:rPr>
        <w:t>修改</w:t>
      </w:r>
      <w:r>
        <w:rPr>
          <w:rFonts w:hint="eastAsia" w:ascii="宋体" w:hAnsi="宋体" w:eastAsia="宋体" w:cs="宋体"/>
          <w:color w:val="auto"/>
          <w:kern w:val="0"/>
          <w:sz w:val="24"/>
          <w:szCs w:val="24"/>
          <w:highlight w:val="none"/>
        </w:rPr>
        <w:t>（</w:t>
      </w:r>
      <w:r>
        <w:rPr>
          <w:rFonts w:hint="eastAsia" w:ascii="宋体" w:hAnsi="宋体" w:cs="宋体"/>
          <w:b/>
          <w:bCs/>
          <w:color w:val="auto"/>
          <w:kern w:val="0"/>
          <w:sz w:val="24"/>
          <w:szCs w:val="24"/>
          <w:highlight w:val="none"/>
          <w:u w:val="single"/>
          <w:lang w:val="en-US" w:eastAsia="zh-CN"/>
        </w:rPr>
        <w:t xml:space="preserve">    项目名称</w:t>
      </w:r>
      <w:r>
        <w:rPr>
          <w:rFonts w:hint="eastAsia" w:ascii="宋体" w:hAnsi="宋体" w:eastAsia="宋体" w:cs="宋体"/>
          <w:color w:val="auto"/>
          <w:kern w:val="0"/>
          <w:sz w:val="24"/>
          <w:szCs w:val="24"/>
          <w:highlight w:val="none"/>
        </w:rPr>
        <w:t>）采购项目报价文件、签订合同和处理有关事宜，其法律后果由我方承担。</w:t>
      </w:r>
    </w:p>
    <w:p w14:paraId="555D9513">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委托期限：</w:t>
      </w:r>
      <w:r>
        <w:rPr>
          <w:rFonts w:hint="eastAsia" w:ascii="宋体" w:hAnsi="宋体" w:cs="宋体"/>
          <w:b/>
          <w:bCs/>
          <w:color w:val="auto"/>
          <w:kern w:val="0"/>
          <w:sz w:val="24"/>
          <w:szCs w:val="24"/>
          <w:highlight w:val="none"/>
          <w:lang w:val="en-US" w:eastAsia="zh-CN"/>
        </w:rPr>
        <w:t>XXXXXX至XXXXXXX</w:t>
      </w:r>
    </w:p>
    <w:p w14:paraId="1D813AB3">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5B4DE28F">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rPr>
      </w:pPr>
    </w:p>
    <w:p w14:paraId="5E02F04C">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32B09D23">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法定代表人（签字或签章）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0AD73E44">
      <w:pPr>
        <w:autoSpaceDE w:val="0"/>
        <w:autoSpaceDN w:val="0"/>
        <w:adjustRightInd w:val="0"/>
        <w:spacing w:line="360" w:lineRule="auto"/>
        <w:ind w:firstLine="480" w:firstLineChars="200"/>
        <w:jc w:val="left"/>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委托代理人（签字或签章）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265FD512">
      <w:pPr>
        <w:autoSpaceDE w:val="0"/>
        <w:autoSpaceDN w:val="0"/>
        <w:adjustRightInd w:val="0"/>
        <w:spacing w:line="360" w:lineRule="auto"/>
        <w:ind w:right="420"/>
        <w:jc w:val="right"/>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月    日</w:t>
      </w:r>
    </w:p>
    <w:p w14:paraId="4168F609">
      <w:pPr>
        <w:widowControl/>
        <w:spacing w:line="360" w:lineRule="auto"/>
        <w:rPr>
          <w:rFonts w:hint="eastAsia" w:ascii="宋体" w:hAnsi="宋体" w:eastAsia="宋体" w:cs="宋体"/>
          <w:b/>
          <w:color w:val="auto"/>
          <w:sz w:val="24"/>
          <w:szCs w:val="24"/>
          <w:highlight w:val="none"/>
        </w:rPr>
      </w:pPr>
    </w:p>
    <w:p w14:paraId="6950A85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注：如供应商法定代表人参加采购行为，只需提供法定代表人身份证明书。</w:t>
      </w:r>
    </w:p>
    <w:p w14:paraId="2F89AFB5">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7EF678B7">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被授权代理人身份证</w:t>
      </w:r>
    </w:p>
    <w:p w14:paraId="156DF014">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（复印件/扫描件）</w:t>
      </w:r>
      <w:bookmarkStart w:id="1027" w:name="_Toc58941271"/>
    </w:p>
    <w:tbl>
      <w:tblPr>
        <w:tblStyle w:val="49"/>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BFF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9" w:hRule="atLeast"/>
        </w:trPr>
        <w:tc>
          <w:tcPr>
            <w:tcW w:w="6951" w:type="dxa"/>
          </w:tcPr>
          <w:p w14:paraId="3D3FE0B6">
            <w:pPr>
              <w:widowControl/>
              <w:spacing w:line="360" w:lineRule="auto"/>
              <w:rPr>
                <w:rFonts w:hint="eastAsia" w:ascii="宋体" w:hAnsi="宋体" w:eastAsia="宋体" w:cs="宋体"/>
                <w:color w:val="auto"/>
                <w:szCs w:val="21"/>
                <w:highlight w:val="none"/>
              </w:rPr>
            </w:pPr>
          </w:p>
          <w:p w14:paraId="466117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4D5674BA">
            <w:pPr>
              <w:spacing w:line="360" w:lineRule="auto"/>
              <w:rPr>
                <w:rFonts w:hint="eastAsia" w:ascii="宋体" w:hAnsi="宋体" w:eastAsia="宋体" w:cs="宋体"/>
                <w:color w:val="auto"/>
                <w:szCs w:val="21"/>
                <w:highlight w:val="none"/>
              </w:rPr>
            </w:pPr>
          </w:p>
          <w:p w14:paraId="7A21B546">
            <w:pPr>
              <w:widowControl/>
              <w:spacing w:line="360" w:lineRule="auto"/>
              <w:rPr>
                <w:rFonts w:hint="eastAsia" w:ascii="宋体" w:hAnsi="宋体" w:eastAsia="宋体" w:cs="宋体"/>
                <w:color w:val="auto"/>
                <w:szCs w:val="21"/>
                <w:highlight w:val="none"/>
              </w:rPr>
            </w:pPr>
          </w:p>
          <w:p w14:paraId="55655C11">
            <w:pPr>
              <w:widowControl/>
              <w:spacing w:line="360" w:lineRule="auto"/>
              <w:rPr>
                <w:rFonts w:hint="eastAsia" w:ascii="宋体" w:hAnsi="宋体" w:eastAsia="宋体" w:cs="宋体"/>
                <w:color w:val="auto"/>
                <w:szCs w:val="21"/>
                <w:highlight w:val="none"/>
              </w:rPr>
            </w:pPr>
          </w:p>
        </w:tc>
      </w:tr>
    </w:tbl>
    <w:p w14:paraId="32EE022E">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1027"/>
    <w:p w14:paraId="5414FFD8">
      <w:pPr>
        <w:pStyle w:val="5"/>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highlight w:val="none"/>
        </w:rPr>
      </w:pPr>
      <w:bookmarkStart w:id="1028" w:name="_Toc1839603054"/>
      <w:bookmarkStart w:id="1029" w:name="_Toc455638692"/>
      <w:bookmarkStart w:id="1030" w:name="_Toc1962913522"/>
      <w:bookmarkStart w:id="1031" w:name="_Toc1304626959"/>
      <w:bookmarkStart w:id="1032" w:name="_Toc1017088757"/>
      <w:bookmarkStart w:id="1033" w:name="_Toc12333"/>
      <w:bookmarkStart w:id="1034" w:name="_Toc55310073"/>
      <w:bookmarkStart w:id="1035" w:name="_Toc3039"/>
      <w:bookmarkStart w:id="1036" w:name="_Toc439554167"/>
      <w:bookmarkStart w:id="1037" w:name="_Toc440110297"/>
      <w:bookmarkStart w:id="1038" w:name="_Toc55229803"/>
      <w:bookmarkStart w:id="1039" w:name="_Toc26244"/>
      <w:bookmarkStart w:id="1040" w:name="_Toc5259"/>
      <w:bookmarkStart w:id="1041" w:name="_Toc55303760"/>
      <w:bookmarkStart w:id="1042" w:name="_Toc26999"/>
      <w:bookmarkStart w:id="1043" w:name="_Toc21881"/>
      <w:bookmarkStart w:id="1044" w:name="_Toc435803793"/>
      <w:bookmarkStart w:id="1045" w:name="_Toc30223"/>
      <w:bookmarkStart w:id="1046" w:name="_Toc28454"/>
      <w:bookmarkStart w:id="1047" w:name="_Toc3566"/>
      <w:bookmarkStart w:id="1048" w:name="_Toc5071"/>
      <w:bookmarkStart w:id="1049" w:name="_Toc17606"/>
      <w:r>
        <w:rPr>
          <w:rFonts w:hint="eastAsia" w:eastAsia="宋体" w:cs="宋体"/>
          <w:color w:val="auto"/>
          <w:highlight w:val="none"/>
          <w:lang w:val="en-US" w:eastAsia="zh-CN"/>
        </w:rPr>
        <w:t>六、</w:t>
      </w:r>
      <w:bookmarkStart w:id="1050" w:name="_Toc11584"/>
      <w:bookmarkStart w:id="1051" w:name="_Toc23234"/>
      <w:r>
        <w:rPr>
          <w:rFonts w:hint="eastAsia" w:eastAsia="宋体" w:cs="宋体"/>
          <w:color w:val="auto"/>
          <w:highlight w:val="none"/>
          <w:lang w:val="en-US" w:eastAsia="zh-CN"/>
        </w:rPr>
        <w:t>供应商</w:t>
      </w:r>
      <w:r>
        <w:rPr>
          <w:rFonts w:hint="eastAsia" w:ascii="宋体" w:hAnsi="宋体" w:eastAsia="宋体" w:cs="宋体"/>
          <w:color w:val="auto"/>
          <w:highlight w:val="none"/>
        </w:rPr>
        <w:t>基本情况表</w:t>
      </w:r>
      <w:bookmarkEnd w:id="1028"/>
      <w:bookmarkEnd w:id="1029"/>
      <w:bookmarkEnd w:id="1030"/>
      <w:bookmarkEnd w:id="1031"/>
      <w:bookmarkEnd w:id="1032"/>
      <w:bookmarkEnd w:id="1050"/>
      <w:bookmarkEnd w:id="1051"/>
    </w:p>
    <w:tbl>
      <w:tblPr>
        <w:tblStyle w:val="49"/>
        <w:tblW w:w="91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57"/>
        <w:gridCol w:w="1183"/>
        <w:gridCol w:w="592"/>
        <w:gridCol w:w="592"/>
        <w:gridCol w:w="1184"/>
        <w:gridCol w:w="769"/>
        <w:gridCol w:w="414"/>
        <w:gridCol w:w="592"/>
        <w:gridCol w:w="592"/>
        <w:gridCol w:w="1184"/>
      </w:tblGrid>
      <w:tr w14:paraId="49752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tcBorders>
              <w:top w:val="single" w:color="auto" w:sz="12" w:space="0"/>
            </w:tcBorders>
            <w:noWrap w:val="0"/>
            <w:vAlign w:val="center"/>
          </w:tcPr>
          <w:p w14:paraId="29CA1E0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lang w:val="en-US" w:eastAsia="zh-CN"/>
              </w:rPr>
              <w:t>供应商</w:t>
            </w:r>
            <w:r>
              <w:rPr>
                <w:rFonts w:hint="eastAsia" w:cs="宋体"/>
                <w:color w:val="auto"/>
                <w:highlight w:val="none"/>
              </w:rPr>
              <w:t>名称</w:t>
            </w:r>
          </w:p>
        </w:tc>
        <w:tc>
          <w:tcPr>
            <w:tcW w:w="7102" w:type="dxa"/>
            <w:gridSpan w:val="9"/>
            <w:tcBorders>
              <w:top w:val="single" w:color="auto" w:sz="12" w:space="0"/>
            </w:tcBorders>
            <w:noWrap w:val="0"/>
            <w:vAlign w:val="center"/>
          </w:tcPr>
          <w:p w14:paraId="72918759">
            <w:pPr>
              <w:pageBreakBefore w:val="0"/>
              <w:kinsoku/>
              <w:wordWrap/>
              <w:overflowPunct/>
              <w:topLinePunct/>
              <w:bidi w:val="0"/>
              <w:adjustRightInd w:val="0"/>
              <w:snapToGrid w:val="0"/>
              <w:jc w:val="center"/>
              <w:textAlignment w:val="auto"/>
              <w:rPr>
                <w:color w:val="auto"/>
                <w:highlight w:val="none"/>
              </w:rPr>
            </w:pPr>
          </w:p>
        </w:tc>
      </w:tr>
      <w:tr w14:paraId="33223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60C85C9C">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注册地址</w:t>
            </w:r>
          </w:p>
        </w:tc>
        <w:tc>
          <w:tcPr>
            <w:tcW w:w="3551" w:type="dxa"/>
            <w:gridSpan w:val="4"/>
            <w:noWrap w:val="0"/>
            <w:vAlign w:val="center"/>
          </w:tcPr>
          <w:p w14:paraId="0FDD4D9E">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261719C0">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邮政编码</w:t>
            </w:r>
          </w:p>
        </w:tc>
        <w:tc>
          <w:tcPr>
            <w:tcW w:w="1776" w:type="dxa"/>
            <w:gridSpan w:val="2"/>
            <w:noWrap w:val="0"/>
            <w:vAlign w:val="center"/>
          </w:tcPr>
          <w:p w14:paraId="78E22474">
            <w:pPr>
              <w:pageBreakBefore w:val="0"/>
              <w:kinsoku/>
              <w:wordWrap/>
              <w:overflowPunct/>
              <w:topLinePunct/>
              <w:bidi w:val="0"/>
              <w:adjustRightInd w:val="0"/>
              <w:snapToGrid w:val="0"/>
              <w:jc w:val="center"/>
              <w:textAlignment w:val="auto"/>
              <w:rPr>
                <w:color w:val="auto"/>
                <w:highlight w:val="none"/>
              </w:rPr>
            </w:pPr>
          </w:p>
        </w:tc>
      </w:tr>
      <w:tr w14:paraId="55D54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5B156D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联系方式</w:t>
            </w:r>
          </w:p>
        </w:tc>
        <w:tc>
          <w:tcPr>
            <w:tcW w:w="1775" w:type="dxa"/>
            <w:gridSpan w:val="2"/>
            <w:noWrap w:val="0"/>
            <w:vAlign w:val="center"/>
          </w:tcPr>
          <w:p w14:paraId="5FAAA93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联系人</w:t>
            </w:r>
          </w:p>
        </w:tc>
        <w:tc>
          <w:tcPr>
            <w:tcW w:w="1776" w:type="dxa"/>
            <w:gridSpan w:val="2"/>
            <w:noWrap w:val="0"/>
            <w:vAlign w:val="center"/>
          </w:tcPr>
          <w:p w14:paraId="43B8C4F7">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01E2988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776" w:type="dxa"/>
            <w:gridSpan w:val="2"/>
            <w:noWrap w:val="0"/>
            <w:vAlign w:val="center"/>
          </w:tcPr>
          <w:p w14:paraId="3C4DF763">
            <w:pPr>
              <w:pageBreakBefore w:val="0"/>
              <w:kinsoku/>
              <w:wordWrap/>
              <w:overflowPunct/>
              <w:topLinePunct/>
              <w:bidi w:val="0"/>
              <w:adjustRightInd w:val="0"/>
              <w:snapToGrid w:val="0"/>
              <w:jc w:val="center"/>
              <w:textAlignment w:val="auto"/>
              <w:rPr>
                <w:color w:val="auto"/>
                <w:highlight w:val="none"/>
              </w:rPr>
            </w:pPr>
          </w:p>
        </w:tc>
      </w:tr>
      <w:tr w14:paraId="3C1AD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5F0000C5">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法定代表人</w:t>
            </w:r>
          </w:p>
        </w:tc>
        <w:tc>
          <w:tcPr>
            <w:tcW w:w="1183" w:type="dxa"/>
            <w:noWrap w:val="0"/>
            <w:vAlign w:val="center"/>
          </w:tcPr>
          <w:p w14:paraId="24FA447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姓名</w:t>
            </w:r>
          </w:p>
        </w:tc>
        <w:tc>
          <w:tcPr>
            <w:tcW w:w="1184" w:type="dxa"/>
            <w:gridSpan w:val="2"/>
            <w:noWrap w:val="0"/>
            <w:vAlign w:val="center"/>
          </w:tcPr>
          <w:p w14:paraId="47848D01">
            <w:pPr>
              <w:pageBreakBefore w:val="0"/>
              <w:kinsoku/>
              <w:wordWrap/>
              <w:overflowPunct/>
              <w:topLinePunct/>
              <w:bidi w:val="0"/>
              <w:adjustRightInd w:val="0"/>
              <w:snapToGrid w:val="0"/>
              <w:jc w:val="center"/>
              <w:textAlignment w:val="auto"/>
              <w:rPr>
                <w:color w:val="auto"/>
                <w:highlight w:val="none"/>
              </w:rPr>
            </w:pPr>
          </w:p>
        </w:tc>
        <w:tc>
          <w:tcPr>
            <w:tcW w:w="1184" w:type="dxa"/>
            <w:noWrap w:val="0"/>
            <w:vAlign w:val="center"/>
          </w:tcPr>
          <w:p w14:paraId="7475781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技术职称</w:t>
            </w:r>
          </w:p>
        </w:tc>
        <w:tc>
          <w:tcPr>
            <w:tcW w:w="1183" w:type="dxa"/>
            <w:gridSpan w:val="2"/>
            <w:noWrap w:val="0"/>
            <w:vAlign w:val="center"/>
          </w:tcPr>
          <w:p w14:paraId="352A1DFF">
            <w:pPr>
              <w:pageBreakBefore w:val="0"/>
              <w:kinsoku/>
              <w:wordWrap/>
              <w:overflowPunct/>
              <w:topLinePunct/>
              <w:bidi w:val="0"/>
              <w:adjustRightInd w:val="0"/>
              <w:snapToGrid w:val="0"/>
              <w:jc w:val="center"/>
              <w:textAlignment w:val="auto"/>
              <w:rPr>
                <w:color w:val="auto"/>
                <w:highlight w:val="none"/>
              </w:rPr>
            </w:pPr>
          </w:p>
        </w:tc>
        <w:tc>
          <w:tcPr>
            <w:tcW w:w="1184" w:type="dxa"/>
            <w:gridSpan w:val="2"/>
            <w:noWrap w:val="0"/>
            <w:vAlign w:val="center"/>
          </w:tcPr>
          <w:p w14:paraId="2A211972">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184" w:type="dxa"/>
            <w:noWrap w:val="0"/>
            <w:vAlign w:val="center"/>
          </w:tcPr>
          <w:p w14:paraId="719E412B">
            <w:pPr>
              <w:pageBreakBefore w:val="0"/>
              <w:kinsoku/>
              <w:wordWrap/>
              <w:overflowPunct/>
              <w:topLinePunct/>
              <w:bidi w:val="0"/>
              <w:adjustRightInd w:val="0"/>
              <w:snapToGrid w:val="0"/>
              <w:jc w:val="center"/>
              <w:textAlignment w:val="auto"/>
              <w:rPr>
                <w:color w:val="auto"/>
                <w:highlight w:val="none"/>
              </w:rPr>
            </w:pPr>
          </w:p>
        </w:tc>
      </w:tr>
      <w:tr w14:paraId="0747E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309B6B25">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技术负责人</w:t>
            </w:r>
          </w:p>
        </w:tc>
        <w:tc>
          <w:tcPr>
            <w:tcW w:w="1183" w:type="dxa"/>
            <w:noWrap w:val="0"/>
            <w:vAlign w:val="center"/>
          </w:tcPr>
          <w:p w14:paraId="0981EEB3">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姓名</w:t>
            </w:r>
          </w:p>
        </w:tc>
        <w:tc>
          <w:tcPr>
            <w:tcW w:w="1184" w:type="dxa"/>
            <w:gridSpan w:val="2"/>
            <w:noWrap w:val="0"/>
            <w:vAlign w:val="center"/>
          </w:tcPr>
          <w:p w14:paraId="6B4198C1">
            <w:pPr>
              <w:pageBreakBefore w:val="0"/>
              <w:kinsoku/>
              <w:wordWrap/>
              <w:overflowPunct/>
              <w:topLinePunct/>
              <w:bidi w:val="0"/>
              <w:adjustRightInd w:val="0"/>
              <w:snapToGrid w:val="0"/>
              <w:jc w:val="center"/>
              <w:textAlignment w:val="auto"/>
              <w:rPr>
                <w:rFonts w:cs="宋体"/>
                <w:color w:val="auto"/>
                <w:highlight w:val="none"/>
              </w:rPr>
            </w:pPr>
          </w:p>
        </w:tc>
        <w:tc>
          <w:tcPr>
            <w:tcW w:w="1184" w:type="dxa"/>
            <w:noWrap w:val="0"/>
            <w:vAlign w:val="center"/>
          </w:tcPr>
          <w:p w14:paraId="110DFF39">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技术职称</w:t>
            </w:r>
          </w:p>
        </w:tc>
        <w:tc>
          <w:tcPr>
            <w:tcW w:w="1183" w:type="dxa"/>
            <w:gridSpan w:val="2"/>
            <w:noWrap w:val="0"/>
            <w:vAlign w:val="center"/>
          </w:tcPr>
          <w:p w14:paraId="19EB6D7F">
            <w:pPr>
              <w:pageBreakBefore w:val="0"/>
              <w:kinsoku/>
              <w:wordWrap/>
              <w:overflowPunct/>
              <w:topLinePunct/>
              <w:bidi w:val="0"/>
              <w:adjustRightInd w:val="0"/>
              <w:snapToGrid w:val="0"/>
              <w:jc w:val="center"/>
              <w:textAlignment w:val="auto"/>
              <w:rPr>
                <w:rFonts w:cs="宋体"/>
                <w:color w:val="auto"/>
                <w:highlight w:val="none"/>
              </w:rPr>
            </w:pPr>
          </w:p>
        </w:tc>
        <w:tc>
          <w:tcPr>
            <w:tcW w:w="1184" w:type="dxa"/>
            <w:gridSpan w:val="2"/>
            <w:noWrap w:val="0"/>
            <w:vAlign w:val="center"/>
          </w:tcPr>
          <w:p w14:paraId="0966E96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电话</w:t>
            </w:r>
          </w:p>
        </w:tc>
        <w:tc>
          <w:tcPr>
            <w:tcW w:w="1184" w:type="dxa"/>
            <w:noWrap w:val="0"/>
            <w:vAlign w:val="center"/>
          </w:tcPr>
          <w:p w14:paraId="666015DD">
            <w:pPr>
              <w:pageBreakBefore w:val="0"/>
              <w:kinsoku/>
              <w:wordWrap/>
              <w:overflowPunct/>
              <w:topLinePunct/>
              <w:bidi w:val="0"/>
              <w:adjustRightInd w:val="0"/>
              <w:snapToGrid w:val="0"/>
              <w:jc w:val="center"/>
              <w:textAlignment w:val="auto"/>
              <w:rPr>
                <w:rFonts w:cs="宋体"/>
                <w:color w:val="auto"/>
                <w:highlight w:val="none"/>
              </w:rPr>
            </w:pPr>
          </w:p>
        </w:tc>
      </w:tr>
      <w:tr w14:paraId="103B9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7DC3A076">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营业执照号</w:t>
            </w:r>
          </w:p>
        </w:tc>
        <w:tc>
          <w:tcPr>
            <w:tcW w:w="3551" w:type="dxa"/>
            <w:gridSpan w:val="4"/>
            <w:noWrap w:val="0"/>
            <w:vAlign w:val="center"/>
          </w:tcPr>
          <w:p w14:paraId="5FF35364">
            <w:pPr>
              <w:pageBreakBefore w:val="0"/>
              <w:kinsoku/>
              <w:wordWrap/>
              <w:overflowPunct/>
              <w:topLinePunct/>
              <w:bidi w:val="0"/>
              <w:adjustRightInd w:val="0"/>
              <w:snapToGrid w:val="0"/>
              <w:jc w:val="center"/>
              <w:textAlignment w:val="auto"/>
              <w:rPr>
                <w:color w:val="auto"/>
                <w:highlight w:val="none"/>
              </w:rPr>
            </w:pPr>
          </w:p>
        </w:tc>
        <w:tc>
          <w:tcPr>
            <w:tcW w:w="3551" w:type="dxa"/>
            <w:gridSpan w:val="5"/>
            <w:noWrap w:val="0"/>
            <w:vAlign w:val="center"/>
          </w:tcPr>
          <w:p w14:paraId="131C9202">
            <w:pPr>
              <w:pageBreakBefore w:val="0"/>
              <w:kinsoku/>
              <w:wordWrap/>
              <w:overflowPunct/>
              <w:topLinePunct/>
              <w:bidi w:val="0"/>
              <w:adjustRightInd w:val="0"/>
              <w:snapToGrid w:val="0"/>
              <w:ind w:firstLine="105" w:firstLineChars="50"/>
              <w:jc w:val="center"/>
              <w:textAlignment w:val="auto"/>
              <w:rPr>
                <w:color w:val="auto"/>
                <w:highlight w:val="none"/>
              </w:rPr>
            </w:pPr>
            <w:r>
              <w:rPr>
                <w:rFonts w:hint="eastAsia" w:cs="宋体"/>
                <w:color w:val="auto"/>
                <w:highlight w:val="none"/>
              </w:rPr>
              <w:t>员工总人数：</w:t>
            </w:r>
          </w:p>
        </w:tc>
      </w:tr>
      <w:tr w14:paraId="64522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22CF2DC">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注册资本</w:t>
            </w:r>
          </w:p>
        </w:tc>
        <w:tc>
          <w:tcPr>
            <w:tcW w:w="3551" w:type="dxa"/>
            <w:gridSpan w:val="4"/>
            <w:noWrap w:val="0"/>
            <w:vAlign w:val="center"/>
          </w:tcPr>
          <w:p w14:paraId="194320DE">
            <w:pPr>
              <w:pageBreakBefore w:val="0"/>
              <w:kinsoku/>
              <w:wordWrap/>
              <w:overflowPunct/>
              <w:topLinePunct/>
              <w:bidi w:val="0"/>
              <w:adjustRightInd w:val="0"/>
              <w:snapToGrid w:val="0"/>
              <w:jc w:val="center"/>
              <w:textAlignment w:val="auto"/>
              <w:rPr>
                <w:color w:val="auto"/>
                <w:highlight w:val="none"/>
              </w:rPr>
            </w:pPr>
          </w:p>
        </w:tc>
        <w:tc>
          <w:tcPr>
            <w:tcW w:w="769" w:type="dxa"/>
            <w:vMerge w:val="restart"/>
            <w:noWrap w:val="0"/>
            <w:vAlign w:val="center"/>
          </w:tcPr>
          <w:p w14:paraId="02519BDE">
            <w:pPr>
              <w:pageBreakBefore w:val="0"/>
              <w:kinsoku/>
              <w:wordWrap/>
              <w:overflowPunct/>
              <w:topLinePunct/>
              <w:bidi w:val="0"/>
              <w:adjustRightInd w:val="0"/>
              <w:snapToGrid w:val="0"/>
              <w:jc w:val="center"/>
              <w:textAlignment w:val="auto"/>
              <w:rPr>
                <w:color w:val="auto"/>
                <w:highlight w:val="none"/>
              </w:rPr>
            </w:pPr>
            <w:r>
              <w:rPr>
                <w:rFonts w:hint="eastAsia"/>
                <w:color w:val="auto"/>
                <w:highlight w:val="none"/>
              </w:rPr>
              <w:t>其中</w:t>
            </w:r>
          </w:p>
        </w:tc>
        <w:tc>
          <w:tcPr>
            <w:tcW w:w="1598" w:type="dxa"/>
            <w:gridSpan w:val="3"/>
            <w:noWrap w:val="0"/>
            <w:vAlign w:val="center"/>
          </w:tcPr>
          <w:p w14:paraId="4E3285D9">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高级职称人员</w:t>
            </w:r>
          </w:p>
        </w:tc>
        <w:tc>
          <w:tcPr>
            <w:tcW w:w="1184" w:type="dxa"/>
            <w:noWrap w:val="0"/>
            <w:vAlign w:val="center"/>
          </w:tcPr>
          <w:p w14:paraId="43099A29">
            <w:pPr>
              <w:pageBreakBefore w:val="0"/>
              <w:kinsoku/>
              <w:wordWrap/>
              <w:overflowPunct/>
              <w:topLinePunct/>
              <w:bidi w:val="0"/>
              <w:adjustRightInd w:val="0"/>
              <w:snapToGrid w:val="0"/>
              <w:jc w:val="center"/>
              <w:textAlignment w:val="auto"/>
              <w:rPr>
                <w:color w:val="auto"/>
                <w:highlight w:val="none"/>
              </w:rPr>
            </w:pPr>
          </w:p>
        </w:tc>
      </w:tr>
      <w:tr w14:paraId="199A6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4F4C90A7">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成立日期</w:t>
            </w:r>
          </w:p>
        </w:tc>
        <w:tc>
          <w:tcPr>
            <w:tcW w:w="3551" w:type="dxa"/>
            <w:gridSpan w:val="4"/>
            <w:noWrap w:val="0"/>
            <w:vAlign w:val="center"/>
          </w:tcPr>
          <w:p w14:paraId="19BD9C82">
            <w:pPr>
              <w:pageBreakBefore w:val="0"/>
              <w:kinsoku/>
              <w:wordWrap/>
              <w:overflowPunct/>
              <w:topLinePunct/>
              <w:bidi w:val="0"/>
              <w:adjustRightInd w:val="0"/>
              <w:snapToGrid w:val="0"/>
              <w:jc w:val="center"/>
              <w:textAlignment w:val="auto"/>
              <w:rPr>
                <w:color w:val="auto"/>
                <w:highlight w:val="none"/>
              </w:rPr>
            </w:pPr>
          </w:p>
        </w:tc>
        <w:tc>
          <w:tcPr>
            <w:tcW w:w="769" w:type="dxa"/>
            <w:vMerge w:val="continue"/>
            <w:noWrap w:val="0"/>
            <w:vAlign w:val="center"/>
          </w:tcPr>
          <w:p w14:paraId="1B4DECA8">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46CA76B6">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中级职称人员</w:t>
            </w:r>
          </w:p>
        </w:tc>
        <w:tc>
          <w:tcPr>
            <w:tcW w:w="1184" w:type="dxa"/>
            <w:noWrap w:val="0"/>
            <w:vAlign w:val="center"/>
          </w:tcPr>
          <w:p w14:paraId="30FAD2D6">
            <w:pPr>
              <w:pageBreakBefore w:val="0"/>
              <w:kinsoku/>
              <w:wordWrap/>
              <w:overflowPunct/>
              <w:topLinePunct/>
              <w:bidi w:val="0"/>
              <w:adjustRightInd w:val="0"/>
              <w:snapToGrid w:val="0"/>
              <w:jc w:val="center"/>
              <w:textAlignment w:val="auto"/>
              <w:rPr>
                <w:color w:val="auto"/>
                <w:highlight w:val="none"/>
              </w:rPr>
            </w:pPr>
          </w:p>
        </w:tc>
      </w:tr>
      <w:tr w14:paraId="36FDB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07D07AFC">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基本账户开户银行</w:t>
            </w:r>
          </w:p>
        </w:tc>
        <w:tc>
          <w:tcPr>
            <w:tcW w:w="3551" w:type="dxa"/>
            <w:gridSpan w:val="4"/>
            <w:noWrap w:val="0"/>
            <w:vAlign w:val="center"/>
          </w:tcPr>
          <w:p w14:paraId="48BC0420">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06515256">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38591864">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初级职称人员</w:t>
            </w:r>
          </w:p>
        </w:tc>
        <w:tc>
          <w:tcPr>
            <w:tcW w:w="1184" w:type="dxa"/>
            <w:noWrap w:val="0"/>
            <w:vAlign w:val="center"/>
          </w:tcPr>
          <w:p w14:paraId="0DFE04B0">
            <w:pPr>
              <w:pageBreakBefore w:val="0"/>
              <w:kinsoku/>
              <w:wordWrap/>
              <w:overflowPunct/>
              <w:topLinePunct/>
              <w:bidi w:val="0"/>
              <w:adjustRightInd w:val="0"/>
              <w:snapToGrid w:val="0"/>
              <w:jc w:val="center"/>
              <w:textAlignment w:val="auto"/>
              <w:rPr>
                <w:color w:val="auto"/>
                <w:highlight w:val="none"/>
              </w:rPr>
            </w:pPr>
          </w:p>
        </w:tc>
      </w:tr>
      <w:tr w14:paraId="22D5E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804" w:hRule="atLeast"/>
          <w:jc w:val="center"/>
        </w:trPr>
        <w:tc>
          <w:tcPr>
            <w:tcW w:w="2057" w:type="dxa"/>
            <w:noWrap w:val="0"/>
            <w:vAlign w:val="center"/>
          </w:tcPr>
          <w:p w14:paraId="7ABACCF5">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基本账户银行账号</w:t>
            </w:r>
          </w:p>
        </w:tc>
        <w:tc>
          <w:tcPr>
            <w:tcW w:w="3551" w:type="dxa"/>
            <w:gridSpan w:val="4"/>
            <w:noWrap w:val="0"/>
            <w:vAlign w:val="center"/>
          </w:tcPr>
          <w:p w14:paraId="0B845712">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374AB043">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602F44C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技工</w:t>
            </w:r>
          </w:p>
        </w:tc>
        <w:tc>
          <w:tcPr>
            <w:tcW w:w="1184" w:type="dxa"/>
            <w:noWrap w:val="0"/>
            <w:vAlign w:val="center"/>
          </w:tcPr>
          <w:p w14:paraId="532A9C11">
            <w:pPr>
              <w:pageBreakBefore w:val="0"/>
              <w:kinsoku/>
              <w:wordWrap/>
              <w:overflowPunct/>
              <w:topLinePunct/>
              <w:bidi w:val="0"/>
              <w:adjustRightInd w:val="0"/>
              <w:snapToGrid w:val="0"/>
              <w:jc w:val="center"/>
              <w:textAlignment w:val="auto"/>
              <w:rPr>
                <w:color w:val="auto"/>
                <w:highlight w:val="none"/>
              </w:rPr>
            </w:pPr>
          </w:p>
        </w:tc>
      </w:tr>
      <w:tr w14:paraId="2BBAC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1FF4434C">
            <w:pPr>
              <w:pageBreakBefore w:val="0"/>
              <w:kinsoku/>
              <w:wordWrap/>
              <w:overflowPunct/>
              <w:topLinePunct/>
              <w:bidi w:val="0"/>
              <w:adjustRightInd w:val="0"/>
              <w:snapToGrid w:val="0"/>
              <w:ind w:firstLine="210" w:firstLineChars="100"/>
              <w:jc w:val="center"/>
              <w:textAlignment w:val="auto"/>
              <w:rPr>
                <w:color w:val="auto"/>
                <w:highlight w:val="none"/>
              </w:rPr>
            </w:pPr>
            <w:r>
              <w:rPr>
                <w:rFonts w:hint="eastAsia" w:cs="宋体"/>
                <w:color w:val="auto"/>
                <w:highlight w:val="none"/>
              </w:rPr>
              <w:t>经营范围</w:t>
            </w:r>
          </w:p>
        </w:tc>
        <w:tc>
          <w:tcPr>
            <w:tcW w:w="7102" w:type="dxa"/>
            <w:gridSpan w:val="9"/>
            <w:noWrap w:val="0"/>
            <w:vAlign w:val="center"/>
          </w:tcPr>
          <w:p w14:paraId="5C51D391">
            <w:pPr>
              <w:pageBreakBefore w:val="0"/>
              <w:kinsoku/>
              <w:wordWrap/>
              <w:overflowPunct/>
              <w:topLinePunct/>
              <w:bidi w:val="0"/>
              <w:adjustRightInd w:val="0"/>
              <w:snapToGrid w:val="0"/>
              <w:jc w:val="center"/>
              <w:textAlignment w:val="auto"/>
              <w:rPr>
                <w:color w:val="auto"/>
                <w:highlight w:val="none"/>
              </w:rPr>
            </w:pPr>
          </w:p>
        </w:tc>
      </w:tr>
      <w:tr w14:paraId="6D88F0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2287959D">
            <w:pPr>
              <w:pageBreakBefore w:val="0"/>
              <w:kinsoku/>
              <w:wordWrap/>
              <w:overflowPunct/>
              <w:bidi w:val="0"/>
              <w:jc w:val="center"/>
              <w:textAlignment w:val="auto"/>
              <w:rPr>
                <w:rFonts w:cs="宋体"/>
                <w:color w:val="auto"/>
                <w:highlight w:val="none"/>
              </w:rPr>
            </w:pPr>
            <w:r>
              <w:rPr>
                <w:rFonts w:hint="eastAsia" w:hAnsi="宋体"/>
                <w:color w:val="auto"/>
                <w:highlight w:val="none"/>
                <w:lang w:val="en-US" w:eastAsia="zh-CN"/>
              </w:rPr>
              <w:t>供应商</w:t>
            </w:r>
            <w:r>
              <w:rPr>
                <w:rFonts w:hint="eastAsia" w:hAnsi="宋体"/>
                <w:color w:val="auto"/>
                <w:highlight w:val="none"/>
              </w:rPr>
              <w:t>关联企业情况（包括但不限于与</w:t>
            </w:r>
            <w:r>
              <w:rPr>
                <w:rFonts w:hint="eastAsia" w:hAnsi="宋体"/>
                <w:color w:val="auto"/>
                <w:highlight w:val="none"/>
                <w:lang w:val="en-US" w:eastAsia="zh-CN"/>
              </w:rPr>
              <w:t>供应商</w:t>
            </w:r>
            <w:r>
              <w:rPr>
                <w:rFonts w:hint="eastAsia" w:hAnsi="宋体"/>
                <w:color w:val="auto"/>
                <w:highlight w:val="none"/>
              </w:rPr>
              <w:t>法定代表人为同一人或者存在控股、管理关系的不同单位）</w:t>
            </w:r>
          </w:p>
        </w:tc>
        <w:tc>
          <w:tcPr>
            <w:tcW w:w="7102" w:type="dxa"/>
            <w:gridSpan w:val="9"/>
            <w:noWrap w:val="0"/>
            <w:vAlign w:val="center"/>
          </w:tcPr>
          <w:p w14:paraId="0CD3E24C">
            <w:pPr>
              <w:pageBreakBefore w:val="0"/>
              <w:kinsoku/>
              <w:wordWrap/>
              <w:overflowPunct/>
              <w:topLinePunct/>
              <w:bidi w:val="0"/>
              <w:adjustRightInd w:val="0"/>
              <w:snapToGrid w:val="0"/>
              <w:jc w:val="center"/>
              <w:textAlignment w:val="auto"/>
              <w:rPr>
                <w:color w:val="auto"/>
                <w:highlight w:val="none"/>
              </w:rPr>
            </w:pPr>
          </w:p>
        </w:tc>
      </w:tr>
      <w:tr w14:paraId="12566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8" w:hRule="atLeast"/>
          <w:jc w:val="center"/>
        </w:trPr>
        <w:tc>
          <w:tcPr>
            <w:tcW w:w="2057" w:type="dxa"/>
            <w:noWrap w:val="0"/>
            <w:vAlign w:val="center"/>
          </w:tcPr>
          <w:p w14:paraId="5036DCE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备注</w:t>
            </w:r>
          </w:p>
        </w:tc>
        <w:tc>
          <w:tcPr>
            <w:tcW w:w="7102" w:type="dxa"/>
            <w:gridSpan w:val="9"/>
            <w:noWrap w:val="0"/>
            <w:vAlign w:val="center"/>
          </w:tcPr>
          <w:p w14:paraId="15B22658">
            <w:pPr>
              <w:pageBreakBefore w:val="0"/>
              <w:kinsoku/>
              <w:wordWrap/>
              <w:overflowPunct/>
              <w:topLinePunct/>
              <w:bidi w:val="0"/>
              <w:adjustRightInd w:val="0"/>
              <w:snapToGrid w:val="0"/>
              <w:jc w:val="center"/>
              <w:textAlignment w:val="auto"/>
              <w:rPr>
                <w:color w:val="auto"/>
                <w:highlight w:val="none"/>
              </w:rPr>
            </w:pPr>
          </w:p>
        </w:tc>
      </w:tr>
    </w:tbl>
    <w:p w14:paraId="148165A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529044A5">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6EF9383C">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p>
    <w:p w14:paraId="03EA17ED">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1052" w:name="_Toc1474406403"/>
      <w:bookmarkStart w:id="1053" w:name="_Toc401293757"/>
      <w:bookmarkStart w:id="1054" w:name="_Toc300395660"/>
      <w:bookmarkStart w:id="1055" w:name="_Toc1484480701"/>
      <w:bookmarkStart w:id="1056" w:name="_Toc316681494"/>
      <w:r>
        <w:rPr>
          <w:rStyle w:val="62"/>
          <w:rFonts w:hint="eastAsia" w:ascii="宋体" w:hAnsi="宋体" w:cs="宋体"/>
          <w:color w:val="auto"/>
          <w:sz w:val="30"/>
          <w:szCs w:val="30"/>
          <w:highlight w:val="none"/>
          <w:lang w:val="en-US" w:eastAsia="zh-CN"/>
        </w:rPr>
        <w:t>七</w:t>
      </w:r>
      <w:r>
        <w:rPr>
          <w:rStyle w:val="62"/>
          <w:rFonts w:hint="eastAsia" w:ascii="宋体" w:hAnsi="宋体" w:cs="宋体"/>
          <w:color w:val="auto"/>
          <w:sz w:val="30"/>
          <w:szCs w:val="30"/>
          <w:highlight w:val="none"/>
        </w:rPr>
        <w:t>、近年财务状况表</w:t>
      </w:r>
    </w:p>
    <w:bookmarkEnd w:id="1052"/>
    <w:bookmarkEnd w:id="1053"/>
    <w:bookmarkEnd w:id="1054"/>
    <w:bookmarkEnd w:id="1055"/>
    <w:bookmarkEnd w:id="1056"/>
    <w:tbl>
      <w:tblPr>
        <w:tblStyle w:val="49"/>
        <w:tblW w:w="94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318"/>
        <w:gridCol w:w="1668"/>
        <w:gridCol w:w="1810"/>
        <w:gridCol w:w="1811"/>
        <w:gridCol w:w="1811"/>
      </w:tblGrid>
      <w:tr w14:paraId="7CE5D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0" w:hRule="atLeast"/>
          <w:jc w:val="center"/>
        </w:trPr>
        <w:tc>
          <w:tcPr>
            <w:tcW w:w="2318" w:type="dxa"/>
            <w:tcBorders>
              <w:top w:val="single" w:color="auto" w:sz="12" w:space="0"/>
            </w:tcBorders>
            <w:noWrap w:val="0"/>
            <w:tcMar>
              <w:top w:w="80" w:type="dxa"/>
              <w:left w:w="80" w:type="dxa"/>
              <w:bottom w:w="80" w:type="dxa"/>
              <w:right w:w="80" w:type="dxa"/>
            </w:tcMar>
            <w:vAlign w:val="center"/>
          </w:tcPr>
          <w:p w14:paraId="647C58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项目或指标</w:t>
            </w:r>
          </w:p>
        </w:tc>
        <w:tc>
          <w:tcPr>
            <w:tcW w:w="1668" w:type="dxa"/>
            <w:tcBorders>
              <w:top w:val="single" w:color="auto" w:sz="12" w:space="0"/>
            </w:tcBorders>
            <w:noWrap w:val="0"/>
            <w:vAlign w:val="center"/>
          </w:tcPr>
          <w:p w14:paraId="33A9EE24">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单位</w:t>
            </w:r>
          </w:p>
        </w:tc>
        <w:tc>
          <w:tcPr>
            <w:tcW w:w="1810" w:type="dxa"/>
            <w:tcBorders>
              <w:top w:val="single" w:color="auto" w:sz="12" w:space="0"/>
            </w:tcBorders>
            <w:noWrap w:val="0"/>
            <w:vAlign w:val="center"/>
          </w:tcPr>
          <w:p w14:paraId="628D85C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214BD2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CC0FD80">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r>
      <w:tr w14:paraId="2C58D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B34F6C1">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一、注册资金</w:t>
            </w:r>
          </w:p>
        </w:tc>
        <w:tc>
          <w:tcPr>
            <w:tcW w:w="1668" w:type="dxa"/>
            <w:noWrap w:val="0"/>
            <w:vAlign w:val="center"/>
          </w:tcPr>
          <w:p w14:paraId="7ADB88B7">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3B90F1A">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3B1C40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A0DBD0">
            <w:pPr>
              <w:pageBreakBefore w:val="0"/>
              <w:kinsoku/>
              <w:wordWrap/>
              <w:overflowPunct/>
              <w:bidi w:val="0"/>
              <w:adjustRightInd w:val="0"/>
              <w:snapToGrid w:val="0"/>
              <w:jc w:val="center"/>
              <w:textAlignment w:val="auto"/>
              <w:rPr>
                <w:color w:val="auto"/>
                <w:highlight w:val="none"/>
              </w:rPr>
            </w:pPr>
          </w:p>
        </w:tc>
      </w:tr>
      <w:tr w14:paraId="561883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4DA6EA8C">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二、净资产</w:t>
            </w:r>
          </w:p>
        </w:tc>
        <w:tc>
          <w:tcPr>
            <w:tcW w:w="1668" w:type="dxa"/>
            <w:noWrap w:val="0"/>
            <w:vAlign w:val="center"/>
          </w:tcPr>
          <w:p w14:paraId="3333DB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4E7902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CF622D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FB22703">
            <w:pPr>
              <w:pageBreakBefore w:val="0"/>
              <w:kinsoku/>
              <w:wordWrap/>
              <w:overflowPunct/>
              <w:bidi w:val="0"/>
              <w:adjustRightInd w:val="0"/>
              <w:snapToGrid w:val="0"/>
              <w:jc w:val="center"/>
              <w:textAlignment w:val="auto"/>
              <w:rPr>
                <w:color w:val="auto"/>
                <w:highlight w:val="none"/>
              </w:rPr>
            </w:pPr>
          </w:p>
        </w:tc>
      </w:tr>
      <w:tr w14:paraId="10C0C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0043A47">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三、总资产</w:t>
            </w:r>
          </w:p>
        </w:tc>
        <w:tc>
          <w:tcPr>
            <w:tcW w:w="1668" w:type="dxa"/>
            <w:noWrap w:val="0"/>
            <w:vAlign w:val="center"/>
          </w:tcPr>
          <w:p w14:paraId="02354C0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6722E39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7A9C6C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92FE065">
            <w:pPr>
              <w:pageBreakBefore w:val="0"/>
              <w:kinsoku/>
              <w:wordWrap/>
              <w:overflowPunct/>
              <w:bidi w:val="0"/>
              <w:adjustRightInd w:val="0"/>
              <w:snapToGrid w:val="0"/>
              <w:jc w:val="center"/>
              <w:textAlignment w:val="auto"/>
              <w:rPr>
                <w:color w:val="auto"/>
                <w:highlight w:val="none"/>
              </w:rPr>
            </w:pPr>
          </w:p>
        </w:tc>
      </w:tr>
      <w:tr w14:paraId="1324B0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A9E776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四、固定资产</w:t>
            </w:r>
          </w:p>
        </w:tc>
        <w:tc>
          <w:tcPr>
            <w:tcW w:w="1668" w:type="dxa"/>
            <w:noWrap w:val="0"/>
            <w:vAlign w:val="center"/>
          </w:tcPr>
          <w:p w14:paraId="107C960F">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222A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68C4BE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C317CEC">
            <w:pPr>
              <w:pageBreakBefore w:val="0"/>
              <w:kinsoku/>
              <w:wordWrap/>
              <w:overflowPunct/>
              <w:bidi w:val="0"/>
              <w:adjustRightInd w:val="0"/>
              <w:snapToGrid w:val="0"/>
              <w:jc w:val="center"/>
              <w:textAlignment w:val="auto"/>
              <w:rPr>
                <w:color w:val="auto"/>
                <w:highlight w:val="none"/>
              </w:rPr>
            </w:pPr>
          </w:p>
        </w:tc>
      </w:tr>
      <w:tr w14:paraId="15B43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962904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五、流动资产</w:t>
            </w:r>
          </w:p>
        </w:tc>
        <w:tc>
          <w:tcPr>
            <w:tcW w:w="1668" w:type="dxa"/>
            <w:noWrap w:val="0"/>
            <w:vAlign w:val="center"/>
          </w:tcPr>
          <w:p w14:paraId="39E4176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565A4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66017C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16430C7">
            <w:pPr>
              <w:pageBreakBefore w:val="0"/>
              <w:kinsoku/>
              <w:wordWrap/>
              <w:overflowPunct/>
              <w:bidi w:val="0"/>
              <w:adjustRightInd w:val="0"/>
              <w:snapToGrid w:val="0"/>
              <w:jc w:val="center"/>
              <w:textAlignment w:val="auto"/>
              <w:rPr>
                <w:color w:val="auto"/>
                <w:highlight w:val="none"/>
              </w:rPr>
            </w:pPr>
          </w:p>
        </w:tc>
      </w:tr>
      <w:tr w14:paraId="4DDB7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D067B36">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六、流动负债</w:t>
            </w:r>
          </w:p>
        </w:tc>
        <w:tc>
          <w:tcPr>
            <w:tcW w:w="1668" w:type="dxa"/>
            <w:noWrap w:val="0"/>
            <w:vAlign w:val="center"/>
          </w:tcPr>
          <w:p w14:paraId="1F3359B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E3DB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713292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D6B9AED">
            <w:pPr>
              <w:pageBreakBefore w:val="0"/>
              <w:kinsoku/>
              <w:wordWrap/>
              <w:overflowPunct/>
              <w:bidi w:val="0"/>
              <w:adjustRightInd w:val="0"/>
              <w:snapToGrid w:val="0"/>
              <w:jc w:val="center"/>
              <w:textAlignment w:val="auto"/>
              <w:rPr>
                <w:color w:val="auto"/>
                <w:highlight w:val="none"/>
              </w:rPr>
            </w:pPr>
          </w:p>
        </w:tc>
      </w:tr>
      <w:tr w14:paraId="7D9AC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3D6E9E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七、负债合计</w:t>
            </w:r>
          </w:p>
        </w:tc>
        <w:tc>
          <w:tcPr>
            <w:tcW w:w="1668" w:type="dxa"/>
            <w:noWrap w:val="0"/>
            <w:vAlign w:val="center"/>
          </w:tcPr>
          <w:p w14:paraId="416634B6">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18B7613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E46A9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93378C2">
            <w:pPr>
              <w:pageBreakBefore w:val="0"/>
              <w:kinsoku/>
              <w:wordWrap/>
              <w:overflowPunct/>
              <w:bidi w:val="0"/>
              <w:adjustRightInd w:val="0"/>
              <w:snapToGrid w:val="0"/>
              <w:jc w:val="center"/>
              <w:textAlignment w:val="auto"/>
              <w:rPr>
                <w:color w:val="auto"/>
                <w:highlight w:val="none"/>
              </w:rPr>
            </w:pPr>
          </w:p>
        </w:tc>
      </w:tr>
      <w:tr w14:paraId="4BCA9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091CDF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八、营业收入</w:t>
            </w:r>
          </w:p>
        </w:tc>
        <w:tc>
          <w:tcPr>
            <w:tcW w:w="1668" w:type="dxa"/>
            <w:noWrap w:val="0"/>
            <w:vAlign w:val="center"/>
          </w:tcPr>
          <w:p w14:paraId="4109FCE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6BF9CEB">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527E71E">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BB6D536">
            <w:pPr>
              <w:pageBreakBefore w:val="0"/>
              <w:kinsoku/>
              <w:wordWrap/>
              <w:overflowPunct/>
              <w:bidi w:val="0"/>
              <w:adjustRightInd w:val="0"/>
              <w:snapToGrid w:val="0"/>
              <w:jc w:val="center"/>
              <w:textAlignment w:val="auto"/>
              <w:rPr>
                <w:color w:val="auto"/>
                <w:highlight w:val="none"/>
              </w:rPr>
            </w:pPr>
          </w:p>
        </w:tc>
      </w:tr>
      <w:tr w14:paraId="78EF4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D95B865">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九、净利润</w:t>
            </w:r>
          </w:p>
        </w:tc>
        <w:tc>
          <w:tcPr>
            <w:tcW w:w="1668" w:type="dxa"/>
            <w:noWrap w:val="0"/>
            <w:vAlign w:val="center"/>
          </w:tcPr>
          <w:p w14:paraId="5D2EFBD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969F8A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F83116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3E8E672">
            <w:pPr>
              <w:pageBreakBefore w:val="0"/>
              <w:kinsoku/>
              <w:wordWrap/>
              <w:overflowPunct/>
              <w:bidi w:val="0"/>
              <w:adjustRightInd w:val="0"/>
              <w:snapToGrid w:val="0"/>
              <w:jc w:val="center"/>
              <w:textAlignment w:val="auto"/>
              <w:rPr>
                <w:color w:val="auto"/>
                <w:highlight w:val="none"/>
              </w:rPr>
            </w:pPr>
          </w:p>
        </w:tc>
      </w:tr>
      <w:tr w14:paraId="07F80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5BDAF2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十、现金流量净额</w:t>
            </w:r>
          </w:p>
        </w:tc>
        <w:tc>
          <w:tcPr>
            <w:tcW w:w="1668" w:type="dxa"/>
            <w:noWrap w:val="0"/>
            <w:vAlign w:val="center"/>
          </w:tcPr>
          <w:p w14:paraId="0CBAC2EB">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04270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C1C4D5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4ACF28C">
            <w:pPr>
              <w:pageBreakBefore w:val="0"/>
              <w:kinsoku/>
              <w:wordWrap/>
              <w:overflowPunct/>
              <w:bidi w:val="0"/>
              <w:adjustRightInd w:val="0"/>
              <w:snapToGrid w:val="0"/>
              <w:jc w:val="center"/>
              <w:textAlignment w:val="auto"/>
              <w:rPr>
                <w:color w:val="auto"/>
                <w:highlight w:val="none"/>
              </w:rPr>
            </w:pPr>
          </w:p>
        </w:tc>
      </w:tr>
      <w:tr w14:paraId="20EB5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186D8D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十一、主要财务指标</w:t>
            </w:r>
          </w:p>
        </w:tc>
        <w:tc>
          <w:tcPr>
            <w:tcW w:w="1668" w:type="dxa"/>
            <w:noWrap w:val="0"/>
            <w:vAlign w:val="center"/>
          </w:tcPr>
          <w:p w14:paraId="591E19CE">
            <w:pPr>
              <w:pageBreakBefore w:val="0"/>
              <w:kinsoku/>
              <w:wordWrap/>
              <w:overflowPunct/>
              <w:bidi w:val="0"/>
              <w:adjustRightInd w:val="0"/>
              <w:snapToGrid w:val="0"/>
              <w:jc w:val="center"/>
              <w:textAlignment w:val="auto"/>
              <w:rPr>
                <w:color w:val="auto"/>
                <w:highlight w:val="none"/>
              </w:rPr>
            </w:pPr>
          </w:p>
        </w:tc>
        <w:tc>
          <w:tcPr>
            <w:tcW w:w="1810" w:type="dxa"/>
            <w:noWrap w:val="0"/>
            <w:vAlign w:val="center"/>
          </w:tcPr>
          <w:p w14:paraId="04955489">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0369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6651D52">
            <w:pPr>
              <w:pageBreakBefore w:val="0"/>
              <w:kinsoku/>
              <w:wordWrap/>
              <w:overflowPunct/>
              <w:bidi w:val="0"/>
              <w:adjustRightInd w:val="0"/>
              <w:snapToGrid w:val="0"/>
              <w:jc w:val="center"/>
              <w:textAlignment w:val="auto"/>
              <w:rPr>
                <w:color w:val="auto"/>
                <w:highlight w:val="none"/>
              </w:rPr>
            </w:pPr>
          </w:p>
        </w:tc>
      </w:tr>
      <w:tr w14:paraId="0DAF9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1E299317">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1</w:t>
            </w:r>
            <w:r>
              <w:rPr>
                <w:rFonts w:hint="eastAsia" w:eastAsia="宋体" w:cs="宋体"/>
                <w:color w:val="auto"/>
                <w:kern w:val="0"/>
                <w:highlight w:val="none"/>
                <w:lang w:val="zh-TW" w:eastAsia="zh-TW"/>
              </w:rPr>
              <w:t>．净资产收益率</w:t>
            </w:r>
          </w:p>
        </w:tc>
        <w:tc>
          <w:tcPr>
            <w:tcW w:w="1668" w:type="dxa"/>
            <w:noWrap w:val="0"/>
            <w:vAlign w:val="center"/>
          </w:tcPr>
          <w:p w14:paraId="5994ACE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2C277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8375CB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42FC5B5">
            <w:pPr>
              <w:pageBreakBefore w:val="0"/>
              <w:kinsoku/>
              <w:wordWrap/>
              <w:overflowPunct/>
              <w:bidi w:val="0"/>
              <w:adjustRightInd w:val="0"/>
              <w:snapToGrid w:val="0"/>
              <w:jc w:val="center"/>
              <w:textAlignment w:val="auto"/>
              <w:rPr>
                <w:color w:val="auto"/>
                <w:highlight w:val="none"/>
              </w:rPr>
            </w:pPr>
          </w:p>
        </w:tc>
      </w:tr>
      <w:tr w14:paraId="6E1C0A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9C1029D">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2</w:t>
            </w:r>
            <w:r>
              <w:rPr>
                <w:rFonts w:hint="eastAsia" w:eastAsia="宋体" w:cs="宋体"/>
                <w:color w:val="auto"/>
                <w:kern w:val="0"/>
                <w:highlight w:val="none"/>
                <w:lang w:val="zh-TW" w:eastAsia="zh-TW"/>
              </w:rPr>
              <w:t>．总资产报酬率</w:t>
            </w:r>
          </w:p>
        </w:tc>
        <w:tc>
          <w:tcPr>
            <w:tcW w:w="1668" w:type="dxa"/>
            <w:noWrap w:val="0"/>
            <w:vAlign w:val="center"/>
          </w:tcPr>
          <w:p w14:paraId="1BB452C3">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C312AF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04B0F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1F434ED">
            <w:pPr>
              <w:pageBreakBefore w:val="0"/>
              <w:kinsoku/>
              <w:wordWrap/>
              <w:overflowPunct/>
              <w:bidi w:val="0"/>
              <w:adjustRightInd w:val="0"/>
              <w:snapToGrid w:val="0"/>
              <w:jc w:val="center"/>
              <w:textAlignment w:val="auto"/>
              <w:rPr>
                <w:color w:val="auto"/>
                <w:highlight w:val="none"/>
              </w:rPr>
            </w:pPr>
          </w:p>
        </w:tc>
      </w:tr>
      <w:tr w14:paraId="3B8CB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AB925E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3</w:t>
            </w:r>
            <w:r>
              <w:rPr>
                <w:rFonts w:hint="eastAsia" w:eastAsia="宋体" w:cs="宋体"/>
                <w:color w:val="auto"/>
                <w:kern w:val="0"/>
                <w:highlight w:val="none"/>
                <w:lang w:val="zh-TW" w:eastAsia="zh-TW"/>
              </w:rPr>
              <w:t>．主营业务利润率</w:t>
            </w:r>
          </w:p>
        </w:tc>
        <w:tc>
          <w:tcPr>
            <w:tcW w:w="1668" w:type="dxa"/>
            <w:noWrap w:val="0"/>
            <w:vAlign w:val="center"/>
          </w:tcPr>
          <w:p w14:paraId="4D0566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72CF3F5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A62DE0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88CDEB5">
            <w:pPr>
              <w:pageBreakBefore w:val="0"/>
              <w:kinsoku/>
              <w:wordWrap/>
              <w:overflowPunct/>
              <w:bidi w:val="0"/>
              <w:adjustRightInd w:val="0"/>
              <w:snapToGrid w:val="0"/>
              <w:jc w:val="center"/>
              <w:textAlignment w:val="auto"/>
              <w:rPr>
                <w:color w:val="auto"/>
                <w:highlight w:val="none"/>
              </w:rPr>
            </w:pPr>
          </w:p>
        </w:tc>
      </w:tr>
      <w:tr w14:paraId="008DE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BDBE18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4</w:t>
            </w:r>
            <w:r>
              <w:rPr>
                <w:rFonts w:hint="eastAsia" w:eastAsia="宋体" w:cs="宋体"/>
                <w:color w:val="auto"/>
                <w:kern w:val="0"/>
                <w:highlight w:val="none"/>
                <w:lang w:val="zh-TW" w:eastAsia="zh-TW"/>
              </w:rPr>
              <w:t>．资产负债率</w:t>
            </w:r>
          </w:p>
        </w:tc>
        <w:tc>
          <w:tcPr>
            <w:tcW w:w="1668" w:type="dxa"/>
            <w:noWrap w:val="0"/>
            <w:vAlign w:val="center"/>
          </w:tcPr>
          <w:p w14:paraId="59E53D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2A6904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4BC24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4AB477">
            <w:pPr>
              <w:pageBreakBefore w:val="0"/>
              <w:kinsoku/>
              <w:wordWrap/>
              <w:overflowPunct/>
              <w:bidi w:val="0"/>
              <w:adjustRightInd w:val="0"/>
              <w:snapToGrid w:val="0"/>
              <w:jc w:val="center"/>
              <w:textAlignment w:val="auto"/>
              <w:rPr>
                <w:color w:val="auto"/>
                <w:highlight w:val="none"/>
              </w:rPr>
            </w:pPr>
          </w:p>
        </w:tc>
      </w:tr>
      <w:tr w14:paraId="118D9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D68689E">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5</w:t>
            </w:r>
            <w:r>
              <w:rPr>
                <w:rFonts w:hint="eastAsia" w:eastAsia="宋体" w:cs="宋体"/>
                <w:color w:val="auto"/>
                <w:kern w:val="0"/>
                <w:highlight w:val="none"/>
                <w:lang w:val="zh-TW" w:eastAsia="zh-TW"/>
              </w:rPr>
              <w:t>．流动比率</w:t>
            </w:r>
          </w:p>
        </w:tc>
        <w:tc>
          <w:tcPr>
            <w:tcW w:w="1668" w:type="dxa"/>
            <w:noWrap w:val="0"/>
            <w:vAlign w:val="center"/>
          </w:tcPr>
          <w:p w14:paraId="5D74C731">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683F8A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AB8A5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C07E6CE">
            <w:pPr>
              <w:pageBreakBefore w:val="0"/>
              <w:kinsoku/>
              <w:wordWrap/>
              <w:overflowPunct/>
              <w:bidi w:val="0"/>
              <w:adjustRightInd w:val="0"/>
              <w:snapToGrid w:val="0"/>
              <w:jc w:val="center"/>
              <w:textAlignment w:val="auto"/>
              <w:rPr>
                <w:color w:val="auto"/>
                <w:highlight w:val="none"/>
              </w:rPr>
            </w:pPr>
          </w:p>
        </w:tc>
      </w:tr>
      <w:tr w14:paraId="67F2F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tcBorders>
              <w:bottom w:val="single" w:color="auto" w:sz="12" w:space="0"/>
            </w:tcBorders>
            <w:noWrap w:val="0"/>
            <w:tcMar>
              <w:top w:w="80" w:type="dxa"/>
              <w:left w:w="80" w:type="dxa"/>
              <w:bottom w:w="80" w:type="dxa"/>
              <w:right w:w="80" w:type="dxa"/>
            </w:tcMar>
            <w:vAlign w:val="center"/>
          </w:tcPr>
          <w:p w14:paraId="7DB1BF0B">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6</w:t>
            </w:r>
            <w:r>
              <w:rPr>
                <w:rFonts w:hint="eastAsia" w:eastAsia="宋体" w:cs="宋体"/>
                <w:color w:val="auto"/>
                <w:kern w:val="0"/>
                <w:highlight w:val="none"/>
                <w:lang w:val="zh-TW" w:eastAsia="zh-TW"/>
              </w:rPr>
              <w:t>．速动比率</w:t>
            </w:r>
          </w:p>
        </w:tc>
        <w:tc>
          <w:tcPr>
            <w:tcW w:w="1668" w:type="dxa"/>
            <w:tcBorders>
              <w:bottom w:val="single" w:color="auto" w:sz="12" w:space="0"/>
            </w:tcBorders>
            <w:noWrap w:val="0"/>
            <w:vAlign w:val="center"/>
          </w:tcPr>
          <w:p w14:paraId="74DED63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tcBorders>
              <w:bottom w:val="single" w:color="auto" w:sz="12" w:space="0"/>
            </w:tcBorders>
            <w:noWrap w:val="0"/>
            <w:vAlign w:val="center"/>
          </w:tcPr>
          <w:p w14:paraId="0E58DCD5">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4702679D">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16F7915C">
            <w:pPr>
              <w:pageBreakBefore w:val="0"/>
              <w:kinsoku/>
              <w:wordWrap/>
              <w:overflowPunct/>
              <w:bidi w:val="0"/>
              <w:adjustRightInd w:val="0"/>
              <w:snapToGrid w:val="0"/>
              <w:jc w:val="center"/>
              <w:textAlignment w:val="auto"/>
              <w:rPr>
                <w:color w:val="auto"/>
                <w:highlight w:val="none"/>
              </w:rPr>
            </w:pPr>
          </w:p>
        </w:tc>
      </w:tr>
    </w:tbl>
    <w:p w14:paraId="64ADB935">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lang w:val="zh-TW"/>
        </w:rPr>
      </w:pPr>
    </w:p>
    <w:p w14:paraId="64900A16">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2E88965A">
      <w:pPr>
        <w:pStyle w:val="2"/>
        <w:rPr>
          <w:rFonts w:hint="eastAsia" w:ascii="宋体" w:hAnsi="宋体" w:eastAsia="宋体" w:cs="宋体"/>
          <w:color w:val="auto"/>
          <w:sz w:val="24"/>
          <w:szCs w:val="24"/>
          <w:highlight w:val="none"/>
        </w:rPr>
      </w:pPr>
    </w:p>
    <w:p w14:paraId="41D01A79">
      <w:pPr>
        <w:rPr>
          <w:rFonts w:hint="eastAsia" w:ascii="宋体" w:hAnsi="宋体" w:eastAsia="宋体" w:cs="宋体"/>
          <w:color w:val="auto"/>
          <w:sz w:val="24"/>
          <w:szCs w:val="24"/>
          <w:highlight w:val="none"/>
        </w:rPr>
      </w:pPr>
    </w:p>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14:paraId="574A37A4">
      <w:pPr>
        <w:pStyle w:val="5"/>
        <w:pageBreakBefore w:val="0"/>
        <w:widowControl w:val="0"/>
        <w:kinsoku/>
        <w:wordWrap/>
        <w:overflowPunct/>
        <w:topLinePunct w:val="0"/>
        <w:bidi w:val="0"/>
        <w:snapToGrid/>
        <w:ind w:firstLine="0" w:firstLineChars="0"/>
        <w:textAlignment w:val="auto"/>
        <w:rPr>
          <w:rFonts w:hint="eastAsia" w:ascii="宋体" w:hAnsi="宋体" w:eastAsia="宋体" w:cs="宋体"/>
          <w:color w:val="auto"/>
          <w:highlight w:val="none"/>
          <w:lang w:val="en-US" w:eastAsia="zh-CN"/>
        </w:rPr>
      </w:pPr>
      <w:bookmarkStart w:id="1057" w:name="_Toc706"/>
      <w:bookmarkStart w:id="1058" w:name="_Toc21569"/>
      <w:bookmarkStart w:id="1059" w:name="_Toc439554169"/>
      <w:bookmarkStart w:id="1060" w:name="_Toc55229805"/>
      <w:bookmarkStart w:id="1061" w:name="_Toc55310076"/>
      <w:bookmarkStart w:id="1062" w:name="_Toc16543"/>
      <w:bookmarkStart w:id="1063" w:name="_Toc20967"/>
      <w:bookmarkStart w:id="1064" w:name="_Toc1028"/>
      <w:bookmarkStart w:id="1065" w:name="_Toc440110299"/>
      <w:bookmarkStart w:id="1066" w:name="_Toc435803795"/>
      <w:bookmarkStart w:id="1067" w:name="_Toc14353"/>
      <w:bookmarkStart w:id="1068" w:name="_Toc29791"/>
      <w:bookmarkStart w:id="1069" w:name="_Toc14766"/>
      <w:bookmarkStart w:id="1070" w:name="_Toc589"/>
      <w:bookmarkStart w:id="1071" w:name="_Toc55303763"/>
      <w:bookmarkStart w:id="1072" w:name="_Toc110"/>
      <w:bookmarkStart w:id="1073" w:name="_Toc2069925597"/>
      <w:bookmarkStart w:id="1074" w:name="_Toc21926"/>
      <w:bookmarkStart w:id="1075" w:name="_Toc1023296642"/>
      <w:bookmarkStart w:id="1076" w:name="_Toc7766964"/>
      <w:bookmarkStart w:id="1077" w:name="_Toc1601440728"/>
      <w:bookmarkStart w:id="1078" w:name="_Toc1928992858"/>
      <w:r>
        <w:rPr>
          <w:rFonts w:hint="eastAsia" w:eastAsia="宋体" w:cs="宋体"/>
          <w:color w:val="auto"/>
          <w:sz w:val="32"/>
          <w:szCs w:val="32"/>
          <w:highlight w:val="none"/>
          <w:lang w:val="en-US" w:eastAsia="zh-CN"/>
        </w:rPr>
        <w:t>八</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近年承担的类似项目情况表</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tbl>
      <w:tblPr>
        <w:tblStyle w:val="49"/>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4CCF27D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CC8C0C">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10BE29B">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0FC07624">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63C6DC">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3D1BC77">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6DA7DAE8">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7FEBDE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C983D24">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C5A0B1E">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A2B887B">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252547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F91F51C">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6F57A9">
            <w:pPr>
              <w:pStyle w:val="29"/>
              <w:spacing w:line="360" w:lineRule="auto"/>
              <w:jc w:val="center"/>
              <w:rPr>
                <w:rFonts w:hint="eastAsia" w:ascii="宋体" w:hAnsi="宋体" w:eastAsia="宋体" w:cs="宋体"/>
                <w:szCs w:val="21"/>
                <w:highlight w:val="none"/>
              </w:rPr>
            </w:pPr>
          </w:p>
        </w:tc>
      </w:tr>
      <w:tr w14:paraId="37D7E2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C4E2640">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597B2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BA0A14A">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818BD1">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665E913">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9DA2159">
            <w:pPr>
              <w:pStyle w:val="29"/>
              <w:spacing w:line="360" w:lineRule="auto"/>
              <w:jc w:val="center"/>
              <w:rPr>
                <w:rFonts w:hint="eastAsia" w:ascii="宋体" w:hAnsi="宋体" w:eastAsia="宋体" w:cs="宋体"/>
                <w:szCs w:val="21"/>
                <w:highlight w:val="none"/>
              </w:rPr>
            </w:pPr>
          </w:p>
        </w:tc>
      </w:tr>
      <w:tr w14:paraId="11D6E6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C4BE0E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9C3C33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A3CFDC">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8FA0FD1">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83A4AA">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6FE9814">
            <w:pPr>
              <w:pStyle w:val="29"/>
              <w:spacing w:line="360" w:lineRule="auto"/>
              <w:jc w:val="center"/>
              <w:rPr>
                <w:rFonts w:hint="eastAsia" w:ascii="宋体" w:hAnsi="宋体" w:eastAsia="宋体" w:cs="宋体"/>
                <w:szCs w:val="21"/>
                <w:highlight w:val="none"/>
              </w:rPr>
            </w:pPr>
          </w:p>
        </w:tc>
      </w:tr>
      <w:tr w14:paraId="2388244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38F0025">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6D2517E">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EADFBF5">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89DFFE6">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8FBCF36">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BCA7EED">
            <w:pPr>
              <w:pStyle w:val="29"/>
              <w:spacing w:line="360" w:lineRule="auto"/>
              <w:jc w:val="center"/>
              <w:rPr>
                <w:rFonts w:hint="eastAsia" w:ascii="宋体" w:hAnsi="宋体" w:eastAsia="宋体" w:cs="宋体"/>
                <w:szCs w:val="21"/>
                <w:highlight w:val="none"/>
              </w:rPr>
            </w:pPr>
          </w:p>
        </w:tc>
      </w:tr>
      <w:tr w14:paraId="6190BB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64E7FD9">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B6745F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F5005B0">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B9B992">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0F01E5">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B84045">
            <w:pPr>
              <w:pStyle w:val="29"/>
              <w:spacing w:line="360" w:lineRule="auto"/>
              <w:jc w:val="center"/>
              <w:rPr>
                <w:rFonts w:hint="eastAsia" w:ascii="宋体" w:hAnsi="宋体" w:eastAsia="宋体" w:cs="宋体"/>
                <w:szCs w:val="21"/>
                <w:highlight w:val="none"/>
              </w:rPr>
            </w:pPr>
          </w:p>
        </w:tc>
      </w:tr>
      <w:tr w14:paraId="73A6DC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EDDAD8B">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E79474">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461ECDE">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8787A20">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4033E7">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0889C53">
            <w:pPr>
              <w:pStyle w:val="29"/>
              <w:spacing w:line="360" w:lineRule="auto"/>
              <w:jc w:val="center"/>
              <w:rPr>
                <w:rFonts w:hint="eastAsia" w:ascii="宋体" w:hAnsi="宋体" w:eastAsia="宋体" w:cs="宋体"/>
                <w:szCs w:val="21"/>
                <w:highlight w:val="none"/>
              </w:rPr>
            </w:pPr>
          </w:p>
        </w:tc>
      </w:tr>
      <w:tr w14:paraId="3CB24FF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005A2A2">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91A724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51B029B">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38CD0BA">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F67C91">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CD648AD">
            <w:pPr>
              <w:pStyle w:val="29"/>
              <w:spacing w:line="360" w:lineRule="auto"/>
              <w:jc w:val="center"/>
              <w:rPr>
                <w:rFonts w:hint="eastAsia" w:ascii="宋体" w:hAnsi="宋体" w:eastAsia="宋体" w:cs="宋体"/>
                <w:szCs w:val="21"/>
                <w:highlight w:val="none"/>
              </w:rPr>
            </w:pPr>
          </w:p>
        </w:tc>
      </w:tr>
      <w:tr w14:paraId="7925F4E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A00146F">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884F5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890D252">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570614">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7D02D09">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28B6C65">
            <w:pPr>
              <w:pStyle w:val="29"/>
              <w:spacing w:line="360" w:lineRule="auto"/>
              <w:jc w:val="center"/>
              <w:rPr>
                <w:rFonts w:hint="eastAsia" w:ascii="宋体" w:hAnsi="宋体" w:eastAsia="宋体" w:cs="宋体"/>
                <w:szCs w:val="21"/>
                <w:highlight w:val="none"/>
              </w:rPr>
            </w:pPr>
          </w:p>
        </w:tc>
      </w:tr>
      <w:tr w14:paraId="2DFCC6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D4B3F9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B953E83">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6D3AB78">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AB93C3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B9DDC0E">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B43995B">
            <w:pPr>
              <w:pStyle w:val="29"/>
              <w:spacing w:line="360" w:lineRule="auto"/>
              <w:jc w:val="center"/>
              <w:rPr>
                <w:rFonts w:hint="eastAsia" w:ascii="宋体" w:hAnsi="宋体" w:eastAsia="宋体" w:cs="宋体"/>
                <w:szCs w:val="21"/>
                <w:highlight w:val="none"/>
              </w:rPr>
            </w:pPr>
          </w:p>
        </w:tc>
      </w:tr>
    </w:tbl>
    <w:p w14:paraId="6815AD6E">
      <w:pPr>
        <w:autoSpaceDE w:val="0"/>
        <w:autoSpaceDN w:val="0"/>
        <w:adjustRightIn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说明：</w:t>
      </w:r>
    </w:p>
    <w:p w14:paraId="52A2A713">
      <w:pPr>
        <w:keepNext w:val="0"/>
        <w:keepLines w:val="0"/>
        <w:pageBreakBefore w:val="0"/>
        <w:widowControl w:val="0"/>
        <w:tabs>
          <w:tab w:val="left" w:pos="400"/>
        </w:tabs>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1．供应商应如实将类似项目的情况填入本表中；</w:t>
      </w:r>
    </w:p>
    <w:p w14:paraId="69D4797B">
      <w:pPr>
        <w:keepNext w:val="0"/>
        <w:keepLines w:val="0"/>
        <w:pageBreakBefore w:val="0"/>
        <w:widowControl w:val="0"/>
        <w:tabs>
          <w:tab w:val="left" w:pos="400"/>
        </w:tabs>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2．供应商应附业绩证明材料：合同买卖双方盖章页、合同签订时间和业绩要求中的关键信息页，如提供的业绩证明材料不能清晰分辨上述业绩要求内容，按无效业绩处理）</w:t>
      </w:r>
    </w:p>
    <w:p w14:paraId="61BBE60F">
      <w:pPr>
        <w:keepNext w:val="0"/>
        <w:keepLines w:val="0"/>
        <w:pageBreakBefore w:val="0"/>
        <w:widowControl w:val="0"/>
        <w:tabs>
          <w:tab w:val="left" w:pos="400"/>
        </w:tabs>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3．供应商所提供的各种证明材料，应如实反映类似项目的情况。</w:t>
      </w:r>
    </w:p>
    <w:p w14:paraId="4681BEF8">
      <w:pPr>
        <w:keepNext w:val="0"/>
        <w:keepLines w:val="0"/>
        <w:pageBreakBefore w:val="0"/>
        <w:widowControl w:val="0"/>
        <w:kinsoku/>
        <w:wordWrap/>
        <w:overflowPunct/>
        <w:topLinePunct w:val="0"/>
        <w:bidi w:val="0"/>
        <w:snapToGrid/>
        <w:spacing w:line="500" w:lineRule="exact"/>
        <w:jc w:val="center"/>
        <w:textAlignment w:val="auto"/>
        <w:outlineLvl w:val="9"/>
        <w:rPr>
          <w:rFonts w:hint="eastAsia" w:ascii="宋体" w:hAnsi="宋体" w:eastAsia="宋体" w:cs="宋体"/>
          <w:b/>
          <w:color w:val="auto"/>
          <w:sz w:val="24"/>
          <w:szCs w:val="24"/>
          <w:highlight w:val="none"/>
        </w:rPr>
      </w:pPr>
    </w:p>
    <w:p w14:paraId="53EEEDC4">
      <w:pPr>
        <w:keepNext w:val="0"/>
        <w:keepLines w:val="0"/>
        <w:pageBreakBefore w:val="0"/>
        <w:widowControl w:val="0"/>
        <w:kinsoku/>
        <w:wordWrap/>
        <w:overflowPunct/>
        <w:topLinePunct w:val="0"/>
        <w:autoSpaceDE w:val="0"/>
        <w:autoSpaceDN w:val="0"/>
        <w:bidi w:val="0"/>
        <w:adjustRightInd w:val="0"/>
        <w:snapToGrid/>
        <w:spacing w:line="500" w:lineRule="exact"/>
        <w:ind w:firstLine="240" w:firstLineChars="100"/>
        <w:jc w:val="left"/>
        <w:textAlignment w:val="auto"/>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4AC58591">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eastAsia" w:ascii="宋体" w:hAnsi="宋体" w:eastAsia="宋体" w:cs="宋体"/>
          <w:color w:val="auto"/>
          <w:kern w:val="0"/>
          <w:sz w:val="24"/>
          <w:szCs w:val="24"/>
          <w:highlight w:val="none"/>
        </w:rPr>
      </w:pPr>
    </w:p>
    <w:p w14:paraId="1D4F6A81">
      <w:pPr>
        <w:keepNext w:val="0"/>
        <w:keepLines w:val="0"/>
        <w:pageBreakBefore w:val="0"/>
        <w:widowControl w:val="0"/>
        <w:kinsoku/>
        <w:wordWrap/>
        <w:overflowPunct/>
        <w:topLinePunct w:val="0"/>
        <w:autoSpaceDE w:val="0"/>
        <w:autoSpaceDN w:val="0"/>
        <w:bidi w:val="0"/>
        <w:adjustRightInd w:val="0"/>
        <w:snapToGrid/>
        <w:spacing w:line="500" w:lineRule="exact"/>
        <w:ind w:firstLine="240" w:firstLineChars="1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638480BF">
      <w:pPr>
        <w:keepNext w:val="0"/>
        <w:keepLines w:val="0"/>
        <w:pageBreakBefore w:val="0"/>
        <w:widowControl w:val="0"/>
        <w:kinsoku/>
        <w:wordWrap/>
        <w:overflowPunct/>
        <w:topLinePunct w:val="0"/>
        <w:autoSpaceDE w:val="0"/>
        <w:autoSpaceDN w:val="0"/>
        <w:bidi w:val="0"/>
        <w:adjustRightInd w:val="0"/>
        <w:snapToGrid/>
        <w:spacing w:line="500" w:lineRule="exact"/>
        <w:jc w:val="left"/>
        <w:textAlignment w:val="auto"/>
        <w:rPr>
          <w:rFonts w:hint="eastAsia" w:ascii="宋体" w:hAnsi="宋体" w:eastAsia="宋体" w:cs="宋体"/>
          <w:color w:val="auto"/>
          <w:kern w:val="0"/>
          <w:sz w:val="24"/>
          <w:szCs w:val="24"/>
          <w:highlight w:val="none"/>
        </w:rPr>
      </w:pPr>
    </w:p>
    <w:p w14:paraId="61B5B6DD">
      <w:pPr>
        <w:keepNext w:val="0"/>
        <w:keepLines w:val="0"/>
        <w:pageBreakBefore w:val="0"/>
        <w:widowControl w:val="0"/>
        <w:kinsoku/>
        <w:wordWrap/>
        <w:overflowPunct/>
        <w:topLinePunct w:val="0"/>
        <w:autoSpaceDE w:val="0"/>
        <w:autoSpaceDN w:val="0"/>
        <w:bidi w:val="0"/>
        <w:adjustRightInd w:val="0"/>
        <w:snapToGrid/>
        <w:spacing w:line="500" w:lineRule="exact"/>
        <w:ind w:firstLine="240" w:firstLineChars="1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0EF7AB74">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r>
        <w:rPr>
          <w:rFonts w:hint="eastAsia" w:ascii="宋体" w:hAnsi="宋体" w:eastAsia="宋体" w:cs="宋体"/>
          <w:color w:val="auto"/>
          <w:szCs w:val="21"/>
          <w:highlight w:val="none"/>
        </w:rPr>
        <w:br w:type="page"/>
      </w:r>
      <w:bookmarkStart w:id="1079" w:name="_Toc4272"/>
      <w:bookmarkStart w:id="1080" w:name="_Toc2060871417"/>
      <w:bookmarkStart w:id="1081" w:name="_Toc944773606"/>
      <w:bookmarkStart w:id="1082" w:name="_Toc2053996561"/>
      <w:bookmarkStart w:id="1083" w:name="_Toc1917717608"/>
      <w:bookmarkStart w:id="1084" w:name="_Toc949194118"/>
      <w:r>
        <w:rPr>
          <w:rStyle w:val="62"/>
          <w:rFonts w:hint="eastAsia" w:ascii="宋体" w:hAnsi="宋体" w:cs="宋体"/>
          <w:color w:val="auto"/>
          <w:sz w:val="30"/>
          <w:szCs w:val="30"/>
          <w:highlight w:val="none"/>
          <w:lang w:val="en-US" w:eastAsia="zh-CN"/>
        </w:rPr>
        <w:t>九</w:t>
      </w:r>
      <w:r>
        <w:rPr>
          <w:rStyle w:val="62"/>
          <w:rFonts w:hint="eastAsia" w:ascii="宋体" w:hAnsi="宋体" w:cs="宋体"/>
          <w:color w:val="auto"/>
          <w:sz w:val="30"/>
          <w:szCs w:val="30"/>
          <w:highlight w:val="none"/>
        </w:rPr>
        <w:t>、拟投入项目人员配备表</w:t>
      </w:r>
      <w:bookmarkEnd w:id="1079"/>
    </w:p>
    <w:bookmarkEnd w:id="1080"/>
    <w:bookmarkEnd w:id="1081"/>
    <w:bookmarkEnd w:id="1082"/>
    <w:bookmarkEnd w:id="1083"/>
    <w:bookmarkEnd w:id="1084"/>
    <w:p w14:paraId="729BB238">
      <w:pPr>
        <w:pageBreakBefore w:val="0"/>
        <w:tabs>
          <w:tab w:val="left" w:pos="1141"/>
        </w:tabs>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项目名称：</w:t>
      </w:r>
      <w:r>
        <w:rPr>
          <w:rFonts w:hint="eastAsia" w:ascii="宋体" w:hAnsi="宋体" w:cs="宋体"/>
          <w:color w:val="auto"/>
          <w:highlight w:val="none"/>
          <w:u w:val="single"/>
        </w:rPr>
        <w:t xml:space="preserve">      </w:t>
      </w:r>
      <w:r>
        <w:rPr>
          <w:rFonts w:hint="eastAsia" w:ascii="宋体" w:hAnsi="宋体" w:cs="宋体"/>
          <w:color w:val="auto"/>
          <w:highlight w:val="none"/>
        </w:rPr>
        <w:t>（项目名称）</w:t>
      </w:r>
    </w:p>
    <w:tbl>
      <w:tblPr>
        <w:tblStyle w:val="49"/>
        <w:tblW w:w="9017" w:type="dxa"/>
        <w:tblInd w:w="-23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79"/>
        <w:gridCol w:w="1233"/>
        <w:gridCol w:w="1150"/>
        <w:gridCol w:w="867"/>
        <w:gridCol w:w="700"/>
        <w:gridCol w:w="1188"/>
        <w:gridCol w:w="883"/>
        <w:gridCol w:w="1117"/>
        <w:gridCol w:w="1000"/>
      </w:tblGrid>
      <w:tr w14:paraId="2BB51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42" w:hRule="exact"/>
        </w:trPr>
        <w:tc>
          <w:tcPr>
            <w:tcW w:w="879" w:type="dxa"/>
            <w:vMerge w:val="restart"/>
            <w:noWrap w:val="0"/>
            <w:vAlign w:val="center"/>
          </w:tcPr>
          <w:p w14:paraId="7DE33C4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序号</w:t>
            </w:r>
          </w:p>
        </w:tc>
        <w:tc>
          <w:tcPr>
            <w:tcW w:w="1233" w:type="dxa"/>
            <w:vMerge w:val="restart"/>
            <w:noWrap w:val="0"/>
            <w:vAlign w:val="center"/>
          </w:tcPr>
          <w:p w14:paraId="7BE1A2CE">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本项</w:t>
            </w:r>
            <w:r>
              <w:rPr>
                <w:rFonts w:hAnsi="宋体"/>
                <w:color w:val="auto"/>
                <w:spacing w:val="-2"/>
                <w:highlight w:val="none"/>
              </w:rPr>
              <w:t>目</w:t>
            </w:r>
            <w:r>
              <w:rPr>
                <w:rFonts w:hAnsi="宋体"/>
                <w:color w:val="auto"/>
                <w:highlight w:val="none"/>
              </w:rPr>
              <w:t>任职</w:t>
            </w:r>
          </w:p>
        </w:tc>
        <w:tc>
          <w:tcPr>
            <w:tcW w:w="1150" w:type="dxa"/>
            <w:vMerge w:val="restart"/>
            <w:noWrap w:val="0"/>
            <w:vAlign w:val="center"/>
          </w:tcPr>
          <w:p w14:paraId="7EE41C2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姓名</w:t>
            </w:r>
          </w:p>
        </w:tc>
        <w:tc>
          <w:tcPr>
            <w:tcW w:w="867" w:type="dxa"/>
            <w:vMerge w:val="restart"/>
            <w:noWrap w:val="0"/>
            <w:vAlign w:val="center"/>
          </w:tcPr>
          <w:p w14:paraId="1C14C59A">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职称</w:t>
            </w:r>
          </w:p>
        </w:tc>
        <w:tc>
          <w:tcPr>
            <w:tcW w:w="700" w:type="dxa"/>
            <w:vMerge w:val="restart"/>
            <w:noWrap w:val="0"/>
            <w:vAlign w:val="center"/>
          </w:tcPr>
          <w:p w14:paraId="67A28215">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专业</w:t>
            </w:r>
          </w:p>
        </w:tc>
        <w:tc>
          <w:tcPr>
            <w:tcW w:w="3188" w:type="dxa"/>
            <w:gridSpan w:val="3"/>
            <w:noWrap w:val="0"/>
            <w:vAlign w:val="center"/>
          </w:tcPr>
          <w:p w14:paraId="0E0C5E29">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执业</w:t>
            </w:r>
            <w:r>
              <w:rPr>
                <w:rFonts w:hAnsi="宋体"/>
                <w:color w:val="auto"/>
                <w:spacing w:val="-2"/>
                <w:highlight w:val="none"/>
              </w:rPr>
              <w:t>或</w:t>
            </w:r>
            <w:r>
              <w:rPr>
                <w:rFonts w:hAnsi="宋体"/>
                <w:color w:val="auto"/>
                <w:highlight w:val="none"/>
              </w:rPr>
              <w:t>职</w:t>
            </w:r>
            <w:r>
              <w:rPr>
                <w:rFonts w:hAnsi="宋体"/>
                <w:color w:val="auto"/>
                <w:spacing w:val="-2"/>
                <w:highlight w:val="none"/>
              </w:rPr>
              <w:t>业</w:t>
            </w:r>
            <w:r>
              <w:rPr>
                <w:rFonts w:hAnsi="宋体"/>
                <w:color w:val="auto"/>
                <w:highlight w:val="none"/>
              </w:rPr>
              <w:t>资</w:t>
            </w:r>
            <w:r>
              <w:rPr>
                <w:rFonts w:hAnsi="宋体"/>
                <w:color w:val="auto"/>
                <w:spacing w:val="-2"/>
                <w:highlight w:val="none"/>
              </w:rPr>
              <w:t>格</w:t>
            </w:r>
            <w:r>
              <w:rPr>
                <w:rFonts w:hAnsi="宋体"/>
                <w:color w:val="auto"/>
                <w:highlight w:val="none"/>
              </w:rPr>
              <w:t>证明</w:t>
            </w:r>
          </w:p>
        </w:tc>
        <w:tc>
          <w:tcPr>
            <w:tcW w:w="1000" w:type="dxa"/>
            <w:noWrap w:val="0"/>
            <w:vAlign w:val="center"/>
          </w:tcPr>
          <w:p w14:paraId="26C38EB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备注</w:t>
            </w:r>
          </w:p>
        </w:tc>
      </w:tr>
      <w:tr w14:paraId="355830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31" w:hRule="exact"/>
        </w:trPr>
        <w:tc>
          <w:tcPr>
            <w:tcW w:w="879" w:type="dxa"/>
            <w:vMerge w:val="continue"/>
            <w:noWrap w:val="0"/>
            <w:vAlign w:val="center"/>
          </w:tcPr>
          <w:p w14:paraId="723D9BC2">
            <w:pPr>
              <w:pageBreakBefore w:val="0"/>
              <w:kinsoku/>
              <w:wordWrap/>
              <w:overflowPunct/>
              <w:bidi w:val="0"/>
              <w:spacing w:before="100" w:after="100"/>
              <w:jc w:val="center"/>
              <w:textAlignment w:val="auto"/>
              <w:rPr>
                <w:rFonts w:hint="eastAsia" w:hAnsi="宋体"/>
                <w:color w:val="auto"/>
                <w:highlight w:val="none"/>
              </w:rPr>
            </w:pPr>
          </w:p>
        </w:tc>
        <w:tc>
          <w:tcPr>
            <w:tcW w:w="1233" w:type="dxa"/>
            <w:vMerge w:val="continue"/>
            <w:noWrap w:val="0"/>
            <w:vAlign w:val="center"/>
          </w:tcPr>
          <w:p w14:paraId="24E78393">
            <w:pPr>
              <w:pageBreakBefore w:val="0"/>
              <w:kinsoku/>
              <w:wordWrap/>
              <w:overflowPunct/>
              <w:bidi w:val="0"/>
              <w:spacing w:before="100" w:after="100"/>
              <w:jc w:val="center"/>
              <w:textAlignment w:val="auto"/>
              <w:rPr>
                <w:rFonts w:hint="eastAsia" w:hAnsi="宋体"/>
                <w:color w:val="auto"/>
                <w:highlight w:val="none"/>
              </w:rPr>
            </w:pPr>
          </w:p>
        </w:tc>
        <w:tc>
          <w:tcPr>
            <w:tcW w:w="1150" w:type="dxa"/>
            <w:vMerge w:val="continue"/>
            <w:noWrap w:val="0"/>
            <w:vAlign w:val="center"/>
          </w:tcPr>
          <w:p w14:paraId="00BB12D8">
            <w:pPr>
              <w:pageBreakBefore w:val="0"/>
              <w:kinsoku/>
              <w:wordWrap/>
              <w:overflowPunct/>
              <w:bidi w:val="0"/>
              <w:spacing w:before="100" w:after="100"/>
              <w:jc w:val="center"/>
              <w:textAlignment w:val="auto"/>
              <w:rPr>
                <w:rFonts w:hint="eastAsia" w:hAnsi="宋体"/>
                <w:color w:val="auto"/>
                <w:highlight w:val="none"/>
              </w:rPr>
            </w:pPr>
          </w:p>
        </w:tc>
        <w:tc>
          <w:tcPr>
            <w:tcW w:w="867" w:type="dxa"/>
            <w:vMerge w:val="continue"/>
            <w:noWrap w:val="0"/>
            <w:vAlign w:val="center"/>
          </w:tcPr>
          <w:p w14:paraId="38B23CF9">
            <w:pPr>
              <w:pageBreakBefore w:val="0"/>
              <w:kinsoku/>
              <w:wordWrap/>
              <w:overflowPunct/>
              <w:bidi w:val="0"/>
              <w:spacing w:before="100" w:after="100"/>
              <w:jc w:val="center"/>
              <w:textAlignment w:val="auto"/>
              <w:rPr>
                <w:rFonts w:hint="eastAsia" w:hAnsi="宋体"/>
                <w:color w:val="auto"/>
                <w:highlight w:val="none"/>
              </w:rPr>
            </w:pPr>
          </w:p>
        </w:tc>
        <w:tc>
          <w:tcPr>
            <w:tcW w:w="700" w:type="dxa"/>
            <w:vMerge w:val="continue"/>
            <w:noWrap w:val="0"/>
            <w:vAlign w:val="center"/>
          </w:tcPr>
          <w:p w14:paraId="7B287C1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09F8FC8">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证书</w:t>
            </w:r>
            <w:r>
              <w:rPr>
                <w:rFonts w:hAnsi="宋体"/>
                <w:color w:val="auto"/>
                <w:spacing w:val="-2"/>
                <w:highlight w:val="none"/>
              </w:rPr>
              <w:t>名</w:t>
            </w:r>
            <w:r>
              <w:rPr>
                <w:rFonts w:hAnsi="宋体"/>
                <w:color w:val="auto"/>
                <w:highlight w:val="none"/>
              </w:rPr>
              <w:t>称</w:t>
            </w:r>
          </w:p>
        </w:tc>
        <w:tc>
          <w:tcPr>
            <w:tcW w:w="883" w:type="dxa"/>
            <w:noWrap w:val="0"/>
            <w:vAlign w:val="center"/>
          </w:tcPr>
          <w:p w14:paraId="0BF0CEF0">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级别</w:t>
            </w:r>
          </w:p>
        </w:tc>
        <w:tc>
          <w:tcPr>
            <w:tcW w:w="1117" w:type="dxa"/>
            <w:noWrap w:val="0"/>
            <w:vAlign w:val="center"/>
          </w:tcPr>
          <w:p w14:paraId="1F820B3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证号</w:t>
            </w:r>
          </w:p>
        </w:tc>
        <w:tc>
          <w:tcPr>
            <w:tcW w:w="1000" w:type="dxa"/>
            <w:noWrap w:val="0"/>
            <w:vAlign w:val="center"/>
          </w:tcPr>
          <w:p w14:paraId="09366BEE">
            <w:pPr>
              <w:pageBreakBefore w:val="0"/>
              <w:kinsoku/>
              <w:wordWrap/>
              <w:overflowPunct/>
              <w:bidi w:val="0"/>
              <w:spacing w:before="100" w:after="100"/>
              <w:jc w:val="center"/>
              <w:textAlignment w:val="auto"/>
              <w:rPr>
                <w:rFonts w:hint="eastAsia" w:hAnsi="宋体"/>
                <w:color w:val="auto"/>
                <w:highlight w:val="none"/>
              </w:rPr>
            </w:pPr>
          </w:p>
        </w:tc>
      </w:tr>
      <w:tr w14:paraId="2CE78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DFD63E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4BF5A5D">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788CFE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AEF864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669AEB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06D80A3">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58273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8FA9E90">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33B35E6">
            <w:pPr>
              <w:pageBreakBefore w:val="0"/>
              <w:kinsoku/>
              <w:wordWrap/>
              <w:overflowPunct/>
              <w:bidi w:val="0"/>
              <w:spacing w:before="100" w:after="100"/>
              <w:jc w:val="center"/>
              <w:textAlignment w:val="auto"/>
              <w:rPr>
                <w:rFonts w:hint="eastAsia" w:hAnsi="宋体"/>
                <w:color w:val="auto"/>
                <w:highlight w:val="none"/>
              </w:rPr>
            </w:pPr>
          </w:p>
        </w:tc>
      </w:tr>
      <w:tr w14:paraId="05E38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2" w:hRule="exact"/>
        </w:trPr>
        <w:tc>
          <w:tcPr>
            <w:tcW w:w="879" w:type="dxa"/>
            <w:noWrap w:val="0"/>
            <w:vAlign w:val="center"/>
          </w:tcPr>
          <w:p w14:paraId="46D49F62">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6D85A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2B09B76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805A97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750DCE3">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4CE053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C2C7786">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30AA31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0CF38FA">
            <w:pPr>
              <w:pageBreakBefore w:val="0"/>
              <w:kinsoku/>
              <w:wordWrap/>
              <w:overflowPunct/>
              <w:bidi w:val="0"/>
              <w:spacing w:before="100" w:after="100"/>
              <w:jc w:val="center"/>
              <w:textAlignment w:val="auto"/>
              <w:rPr>
                <w:rFonts w:hint="eastAsia" w:hAnsi="宋体"/>
                <w:color w:val="auto"/>
                <w:highlight w:val="none"/>
              </w:rPr>
            </w:pPr>
          </w:p>
        </w:tc>
      </w:tr>
      <w:tr w14:paraId="2000E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2848E6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12E424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598D0A">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B4D49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10F07354">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B70F7D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AF812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8CD81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FDF8900">
            <w:pPr>
              <w:pageBreakBefore w:val="0"/>
              <w:kinsoku/>
              <w:wordWrap/>
              <w:overflowPunct/>
              <w:bidi w:val="0"/>
              <w:spacing w:before="100" w:after="100"/>
              <w:jc w:val="center"/>
              <w:textAlignment w:val="auto"/>
              <w:rPr>
                <w:rFonts w:hint="eastAsia" w:hAnsi="宋体"/>
                <w:color w:val="auto"/>
                <w:highlight w:val="none"/>
              </w:rPr>
            </w:pPr>
          </w:p>
        </w:tc>
      </w:tr>
      <w:tr w14:paraId="68CCB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011BA67">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154B9D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7791830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BCD9F0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B117120">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52A2C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046522">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52F1772">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0D1CB5A">
            <w:pPr>
              <w:pageBreakBefore w:val="0"/>
              <w:kinsoku/>
              <w:wordWrap/>
              <w:overflowPunct/>
              <w:bidi w:val="0"/>
              <w:spacing w:before="100" w:after="100"/>
              <w:jc w:val="center"/>
              <w:textAlignment w:val="auto"/>
              <w:rPr>
                <w:rFonts w:hint="eastAsia" w:hAnsi="宋体"/>
                <w:color w:val="auto"/>
                <w:highlight w:val="none"/>
              </w:rPr>
            </w:pPr>
          </w:p>
        </w:tc>
      </w:tr>
      <w:tr w14:paraId="3F4BA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6641BC0">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FFF020C">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80DB7F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B5228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A14259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FBCA19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1B870CE">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7E8BB3D5">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CE848F6">
            <w:pPr>
              <w:pageBreakBefore w:val="0"/>
              <w:kinsoku/>
              <w:wordWrap/>
              <w:overflowPunct/>
              <w:bidi w:val="0"/>
              <w:spacing w:before="100" w:after="100"/>
              <w:jc w:val="center"/>
              <w:textAlignment w:val="auto"/>
              <w:rPr>
                <w:rFonts w:hint="eastAsia" w:hAnsi="宋体"/>
                <w:color w:val="auto"/>
                <w:highlight w:val="none"/>
              </w:rPr>
            </w:pPr>
          </w:p>
        </w:tc>
      </w:tr>
      <w:tr w14:paraId="01AFD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227AF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9232A4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8A53A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0E74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7A484F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6CC884E">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E4F945">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960616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B8F33E7">
            <w:pPr>
              <w:pageBreakBefore w:val="0"/>
              <w:kinsoku/>
              <w:wordWrap/>
              <w:overflowPunct/>
              <w:bidi w:val="0"/>
              <w:spacing w:before="100" w:after="100"/>
              <w:jc w:val="center"/>
              <w:textAlignment w:val="auto"/>
              <w:rPr>
                <w:rFonts w:hint="eastAsia" w:hAnsi="宋体"/>
                <w:color w:val="auto"/>
                <w:highlight w:val="none"/>
              </w:rPr>
            </w:pPr>
          </w:p>
        </w:tc>
      </w:tr>
      <w:tr w14:paraId="4628A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4A13916D">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35FD476">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06F0D5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522017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E1BBE81">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2B0855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D7C106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2346B9AD">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33987285">
            <w:pPr>
              <w:pageBreakBefore w:val="0"/>
              <w:kinsoku/>
              <w:wordWrap/>
              <w:overflowPunct/>
              <w:bidi w:val="0"/>
              <w:spacing w:before="100" w:after="100"/>
              <w:jc w:val="center"/>
              <w:textAlignment w:val="auto"/>
              <w:rPr>
                <w:rFonts w:hint="eastAsia" w:hAnsi="宋体"/>
                <w:color w:val="auto"/>
                <w:highlight w:val="none"/>
              </w:rPr>
            </w:pPr>
          </w:p>
        </w:tc>
      </w:tr>
      <w:tr w14:paraId="643B5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13B4782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826B05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B40543B">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2F69CB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0D6AC79">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318863A">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DC46D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89CBF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7B7D19">
            <w:pPr>
              <w:pageBreakBefore w:val="0"/>
              <w:kinsoku/>
              <w:wordWrap/>
              <w:overflowPunct/>
              <w:bidi w:val="0"/>
              <w:spacing w:before="100" w:after="100"/>
              <w:jc w:val="center"/>
              <w:textAlignment w:val="auto"/>
              <w:rPr>
                <w:rFonts w:hint="eastAsia" w:hAnsi="宋体"/>
                <w:color w:val="auto"/>
                <w:highlight w:val="none"/>
              </w:rPr>
            </w:pPr>
          </w:p>
        </w:tc>
      </w:tr>
      <w:tr w14:paraId="6C7A1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74F434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988E0F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7EECAD6">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572080">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937F52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D4F9F4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C48F9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C079DF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2722A6">
            <w:pPr>
              <w:pageBreakBefore w:val="0"/>
              <w:kinsoku/>
              <w:wordWrap/>
              <w:overflowPunct/>
              <w:bidi w:val="0"/>
              <w:spacing w:before="100" w:after="100"/>
              <w:jc w:val="center"/>
              <w:textAlignment w:val="auto"/>
              <w:rPr>
                <w:rFonts w:hint="eastAsia" w:hAnsi="宋体"/>
                <w:color w:val="auto"/>
                <w:highlight w:val="none"/>
              </w:rPr>
            </w:pPr>
          </w:p>
        </w:tc>
      </w:tr>
      <w:tr w14:paraId="66574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3257E7B">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C7CAEB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C4A471D">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18CE2D3">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5CC9DB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33C9125">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1BEF0541">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B53C38A">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3DF0E8E">
            <w:pPr>
              <w:pageBreakBefore w:val="0"/>
              <w:kinsoku/>
              <w:wordWrap/>
              <w:overflowPunct/>
              <w:bidi w:val="0"/>
              <w:spacing w:before="100" w:after="100"/>
              <w:jc w:val="center"/>
              <w:textAlignment w:val="auto"/>
              <w:rPr>
                <w:rFonts w:hint="eastAsia" w:hAnsi="宋体"/>
                <w:color w:val="auto"/>
                <w:highlight w:val="none"/>
              </w:rPr>
            </w:pPr>
          </w:p>
        </w:tc>
      </w:tr>
      <w:tr w14:paraId="30A8F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8A50E1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8C0758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1F8F4573">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A71B17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9CF1B1D">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7AC41F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3C9A6B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21D5A6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F7B1FDA">
            <w:pPr>
              <w:pageBreakBefore w:val="0"/>
              <w:kinsoku/>
              <w:wordWrap/>
              <w:overflowPunct/>
              <w:bidi w:val="0"/>
              <w:spacing w:before="100" w:after="100"/>
              <w:jc w:val="center"/>
              <w:textAlignment w:val="auto"/>
              <w:rPr>
                <w:rFonts w:hint="eastAsia" w:hAnsi="宋体"/>
                <w:color w:val="auto"/>
                <w:highlight w:val="none"/>
              </w:rPr>
            </w:pPr>
          </w:p>
        </w:tc>
      </w:tr>
      <w:tr w14:paraId="7EF3C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0D68FA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A0628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636A9C7">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238B1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185CA7F">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8CEC26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53C0F5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05B9242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4C00594">
            <w:pPr>
              <w:pageBreakBefore w:val="0"/>
              <w:kinsoku/>
              <w:wordWrap/>
              <w:overflowPunct/>
              <w:bidi w:val="0"/>
              <w:spacing w:before="100" w:after="100"/>
              <w:jc w:val="center"/>
              <w:textAlignment w:val="auto"/>
              <w:rPr>
                <w:rFonts w:hint="eastAsia" w:hAnsi="宋体"/>
                <w:color w:val="auto"/>
                <w:highlight w:val="none"/>
              </w:rPr>
            </w:pPr>
          </w:p>
        </w:tc>
      </w:tr>
      <w:tr w14:paraId="1E835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61ECA36E">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CA202C8">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AEF9C24">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4BDFD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620FD045">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D7ECC84">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74FAA8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E99337">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EFFB827">
            <w:pPr>
              <w:pageBreakBefore w:val="0"/>
              <w:kinsoku/>
              <w:wordWrap/>
              <w:overflowPunct/>
              <w:bidi w:val="0"/>
              <w:spacing w:before="100" w:after="100"/>
              <w:jc w:val="center"/>
              <w:textAlignment w:val="auto"/>
              <w:rPr>
                <w:rFonts w:hint="eastAsia" w:hAnsi="宋体"/>
                <w:color w:val="auto"/>
                <w:highlight w:val="none"/>
              </w:rPr>
            </w:pPr>
          </w:p>
        </w:tc>
      </w:tr>
      <w:tr w14:paraId="6B32D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46AABB7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97FEDFE">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5DB598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C0C0DE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7FD4C27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3DB22F2">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6E65B5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0E22E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23618A0">
            <w:pPr>
              <w:pageBreakBefore w:val="0"/>
              <w:kinsoku/>
              <w:wordWrap/>
              <w:overflowPunct/>
              <w:bidi w:val="0"/>
              <w:spacing w:before="100" w:after="100"/>
              <w:jc w:val="center"/>
              <w:textAlignment w:val="auto"/>
              <w:rPr>
                <w:rFonts w:hint="eastAsia" w:hAnsi="宋体"/>
                <w:color w:val="auto"/>
                <w:highlight w:val="none"/>
              </w:rPr>
            </w:pPr>
          </w:p>
        </w:tc>
      </w:tr>
      <w:tr w14:paraId="0D54F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5250663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2C7C7E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105D6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11762B">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EAF95E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8A226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7CEB20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7BD032E">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C1E53EC">
            <w:pPr>
              <w:pageBreakBefore w:val="0"/>
              <w:kinsoku/>
              <w:wordWrap/>
              <w:overflowPunct/>
              <w:bidi w:val="0"/>
              <w:spacing w:before="100" w:after="100"/>
              <w:jc w:val="center"/>
              <w:textAlignment w:val="auto"/>
              <w:rPr>
                <w:rFonts w:hint="eastAsia" w:hAnsi="宋体"/>
                <w:color w:val="auto"/>
                <w:highlight w:val="none"/>
              </w:rPr>
            </w:pPr>
          </w:p>
        </w:tc>
      </w:tr>
      <w:tr w14:paraId="30213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FDF631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A7EA052">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2167D4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6CC480DF">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AE23DE8">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178EFF7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0D9EA90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4939214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A237286">
            <w:pPr>
              <w:pageBreakBefore w:val="0"/>
              <w:kinsoku/>
              <w:wordWrap/>
              <w:overflowPunct/>
              <w:bidi w:val="0"/>
              <w:spacing w:before="100" w:after="100"/>
              <w:jc w:val="center"/>
              <w:textAlignment w:val="auto"/>
              <w:rPr>
                <w:rFonts w:hint="eastAsia" w:hAnsi="宋体"/>
                <w:color w:val="auto"/>
                <w:highlight w:val="none"/>
              </w:rPr>
            </w:pPr>
          </w:p>
        </w:tc>
      </w:tr>
      <w:tr w14:paraId="1BC13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72FBA50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66047C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5720F870">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D1085C6">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D7525C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4F5F27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D4E762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791600C">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B421730">
            <w:pPr>
              <w:pageBreakBefore w:val="0"/>
              <w:kinsoku/>
              <w:wordWrap/>
              <w:overflowPunct/>
              <w:bidi w:val="0"/>
              <w:spacing w:before="100" w:after="100"/>
              <w:jc w:val="center"/>
              <w:textAlignment w:val="auto"/>
              <w:rPr>
                <w:rFonts w:hint="eastAsia" w:hAnsi="宋体"/>
                <w:color w:val="auto"/>
                <w:highlight w:val="none"/>
              </w:rPr>
            </w:pPr>
          </w:p>
        </w:tc>
      </w:tr>
    </w:tbl>
    <w:p w14:paraId="6909E65D">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0291DC18">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r>
        <w:rPr>
          <w:rFonts w:hint="eastAsia" w:ascii="宋体" w:hAnsi="宋体" w:cs="宋体"/>
          <w:color w:val="auto"/>
          <w:highlight w:val="none"/>
        </w:rPr>
        <w:t>注：拟投入本项目人员配备应与“</w:t>
      </w:r>
      <w:r>
        <w:rPr>
          <w:rFonts w:hint="eastAsia" w:ascii="宋体" w:hAnsi="宋体" w:cs="宋体"/>
          <w:color w:val="auto"/>
          <w:highlight w:val="none"/>
          <w:lang w:val="en-US" w:eastAsia="zh-CN"/>
        </w:rPr>
        <w:t>十</w:t>
      </w:r>
      <w:r>
        <w:rPr>
          <w:rFonts w:hint="eastAsia" w:ascii="宋体" w:hAnsi="宋体" w:cs="宋体"/>
          <w:color w:val="auto"/>
          <w:highlight w:val="none"/>
        </w:rPr>
        <w:t xml:space="preserve">、主要人员简历表”人员相一致。人数符合第五章 </w:t>
      </w:r>
      <w:r>
        <w:rPr>
          <w:rFonts w:hint="eastAsia" w:ascii="宋体" w:hAnsi="宋体" w:cs="宋体"/>
          <w:color w:val="auto"/>
          <w:highlight w:val="none"/>
          <w:lang w:val="en-US" w:eastAsia="zh-CN"/>
        </w:rPr>
        <w:t>采购</w:t>
      </w:r>
      <w:r>
        <w:rPr>
          <w:rFonts w:hint="eastAsia" w:ascii="宋体" w:hAnsi="宋体" w:cs="宋体"/>
          <w:color w:val="auto"/>
          <w:highlight w:val="none"/>
        </w:rPr>
        <w:t>人要求“4.</w:t>
      </w:r>
      <w:r>
        <w:rPr>
          <w:rFonts w:hint="eastAsia" w:ascii="宋体" w:hAnsi="宋体" w:cs="宋体"/>
          <w:color w:val="auto"/>
          <w:highlight w:val="none"/>
          <w:lang w:eastAsia="zh-CN"/>
        </w:rPr>
        <w:t>服务单位</w:t>
      </w:r>
      <w:r>
        <w:rPr>
          <w:rFonts w:hint="eastAsia" w:ascii="宋体" w:hAnsi="宋体" w:cs="宋体"/>
          <w:color w:val="auto"/>
          <w:highlight w:val="none"/>
        </w:rPr>
        <w:t>员和试验检测仪器设备要求”</w:t>
      </w:r>
    </w:p>
    <w:p w14:paraId="13F865AE">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p>
    <w:p w14:paraId="728FE627">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1085" w:name="_Toc389551338"/>
      <w:bookmarkStart w:id="1086" w:name="_Toc955630274"/>
      <w:bookmarkStart w:id="1087" w:name="_Toc1946168213"/>
      <w:bookmarkStart w:id="1088" w:name="_Toc1701849901"/>
      <w:bookmarkStart w:id="1089" w:name="_Toc1462498406"/>
      <w:r>
        <w:rPr>
          <w:rStyle w:val="62"/>
          <w:rFonts w:hint="eastAsia" w:ascii="宋体" w:hAnsi="宋体" w:cs="宋体"/>
          <w:color w:val="auto"/>
          <w:sz w:val="30"/>
          <w:szCs w:val="30"/>
          <w:highlight w:val="none"/>
          <w:lang w:val="en-US" w:eastAsia="zh-CN"/>
        </w:rPr>
        <w:t>十</w:t>
      </w:r>
      <w:r>
        <w:rPr>
          <w:rStyle w:val="62"/>
          <w:rFonts w:hint="eastAsia" w:ascii="宋体" w:hAnsi="宋体" w:cs="宋体"/>
          <w:color w:val="auto"/>
          <w:sz w:val="30"/>
          <w:szCs w:val="30"/>
          <w:highlight w:val="none"/>
        </w:rPr>
        <w:t>、主要人员简历表</w:t>
      </w:r>
    </w:p>
    <w:bookmarkEnd w:id="1085"/>
    <w:bookmarkEnd w:id="1086"/>
    <w:bookmarkEnd w:id="1087"/>
    <w:bookmarkEnd w:id="1088"/>
    <w:bookmarkEnd w:id="1089"/>
    <w:p w14:paraId="6B85398F">
      <w:pPr>
        <w:pageBreakBefore w:val="0"/>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1090" w:name="_Toc23715"/>
      <w:bookmarkStart w:id="1091" w:name="_Toc951752851"/>
      <w:bookmarkStart w:id="1092" w:name="_Toc1641508550"/>
      <w:bookmarkStart w:id="1093" w:name="_Toc403050107"/>
      <w:bookmarkStart w:id="1094" w:name="_Toc1766631565"/>
      <w:bookmarkStart w:id="1095" w:name="_Toc1019146833"/>
      <w:bookmarkStart w:id="1096" w:name="_Toc31368"/>
      <w:bookmarkStart w:id="1097" w:name="_Toc7953"/>
      <w:bookmarkStart w:id="1098" w:name="_Toc21242"/>
      <w:bookmarkStart w:id="1099" w:name="_Toc30123"/>
      <w:bookmarkStart w:id="1100" w:name="_Toc21383"/>
      <w:bookmarkStart w:id="1101" w:name="_Toc12389"/>
      <w:bookmarkStart w:id="1102" w:name="_Toc1509"/>
      <w:bookmarkStart w:id="1103" w:name="_Toc19109"/>
      <w:r>
        <w:rPr>
          <w:rStyle w:val="62"/>
          <w:rFonts w:hint="eastAsia" w:ascii="宋体" w:hAnsi="宋体" w:cs="宋体"/>
          <w:color w:val="auto"/>
          <w:sz w:val="28"/>
          <w:szCs w:val="28"/>
          <w:highlight w:val="none"/>
        </w:rPr>
        <w:t>（一）项目</w:t>
      </w:r>
      <w:r>
        <w:rPr>
          <w:rStyle w:val="62"/>
          <w:rFonts w:hint="eastAsia" w:ascii="宋体" w:hAnsi="宋体" w:cs="宋体"/>
          <w:color w:val="auto"/>
          <w:sz w:val="28"/>
          <w:szCs w:val="28"/>
          <w:highlight w:val="none"/>
          <w:lang w:eastAsia="zh-CN"/>
        </w:rPr>
        <w:t>负责人</w:t>
      </w:r>
      <w:r>
        <w:rPr>
          <w:rStyle w:val="62"/>
          <w:rFonts w:hint="eastAsia" w:ascii="宋体" w:hAnsi="宋体" w:cs="宋体"/>
          <w:color w:val="auto"/>
          <w:sz w:val="28"/>
          <w:szCs w:val="28"/>
          <w:highlight w:val="none"/>
        </w:rPr>
        <w:t>简历表</w:t>
      </w:r>
    </w:p>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14:paraId="13189261">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注：后附项目</w:t>
      </w:r>
      <w:r>
        <w:rPr>
          <w:rFonts w:hint="eastAsia" w:ascii="宋体" w:hAnsi="宋体" w:cs="宋体"/>
          <w:color w:val="auto"/>
          <w:highlight w:val="none"/>
          <w:lang w:eastAsia="zh-CN"/>
        </w:rPr>
        <w:t>负责人</w:t>
      </w:r>
      <w:r>
        <w:rPr>
          <w:rFonts w:hint="eastAsia" w:ascii="宋体" w:hAnsi="宋体" w:cs="宋体"/>
          <w:color w:val="auto"/>
          <w:highlight w:val="none"/>
        </w:rPr>
        <w:t>身份证、学历证、职称证（若有）、其他执业资格证书（若有）、提供劳动合同或投标截止时间前近六个月社保等证明材料、管理过的项目业绩证明材料等原件扫描件；符合第</w:t>
      </w:r>
      <w:r>
        <w:rPr>
          <w:rFonts w:hint="eastAsia" w:ascii="宋体" w:hAnsi="宋体" w:cs="宋体"/>
          <w:color w:val="auto"/>
          <w:highlight w:val="none"/>
          <w:lang w:val="en-US" w:eastAsia="zh-CN"/>
        </w:rPr>
        <w:t>一</w:t>
      </w:r>
      <w:r>
        <w:rPr>
          <w:rFonts w:hint="eastAsia" w:ascii="宋体" w:hAnsi="宋体" w:cs="宋体"/>
          <w:color w:val="auto"/>
          <w:highlight w:val="none"/>
        </w:rPr>
        <w:t>章</w:t>
      </w:r>
      <w:r>
        <w:rPr>
          <w:rFonts w:hint="eastAsia" w:ascii="宋体" w:hAnsi="宋体" w:cs="宋体"/>
          <w:color w:val="auto"/>
          <w:highlight w:val="none"/>
          <w:lang w:val="en-US" w:eastAsia="zh-CN"/>
        </w:rPr>
        <w:t xml:space="preserve"> 采购公告</w:t>
      </w:r>
      <w:r>
        <w:rPr>
          <w:rFonts w:hint="eastAsia" w:ascii="宋体" w:hAnsi="宋体" w:cs="宋体"/>
          <w:color w:val="auto"/>
          <w:highlight w:val="none"/>
        </w:rPr>
        <w:t>“供应商资格要求”</w:t>
      </w:r>
      <w:r>
        <w:rPr>
          <w:rFonts w:hint="eastAsia" w:ascii="宋体" w:hAnsi="宋体" w:cs="宋体"/>
          <w:color w:val="auto"/>
          <w:highlight w:val="none"/>
          <w:lang w:val="en-US" w:eastAsia="zh-CN"/>
        </w:rPr>
        <w:t>中的</w:t>
      </w:r>
      <w:r>
        <w:rPr>
          <w:rFonts w:hint="eastAsia" w:ascii="宋体" w:hAnsi="宋体" w:cs="宋体"/>
          <w:color w:val="auto"/>
          <w:highlight w:val="none"/>
        </w:rPr>
        <w:t>规定。</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722"/>
        <w:gridCol w:w="927"/>
        <w:gridCol w:w="1065"/>
        <w:gridCol w:w="706"/>
        <w:gridCol w:w="1261"/>
        <w:gridCol w:w="163"/>
        <w:gridCol w:w="2134"/>
      </w:tblGrid>
      <w:tr w14:paraId="116C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76568D8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1079" w:type="dxa"/>
            <w:gridSpan w:val="2"/>
            <w:noWrap w:val="0"/>
            <w:vAlign w:val="center"/>
          </w:tcPr>
          <w:p w14:paraId="5A58A5DE">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5DDA470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1065" w:type="dxa"/>
            <w:noWrap w:val="0"/>
            <w:vAlign w:val="center"/>
          </w:tcPr>
          <w:p w14:paraId="2F2A39CD">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52697B3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w:t>
            </w:r>
          </w:p>
        </w:tc>
        <w:tc>
          <w:tcPr>
            <w:tcW w:w="2134" w:type="dxa"/>
            <w:noWrap w:val="0"/>
            <w:vAlign w:val="center"/>
          </w:tcPr>
          <w:p w14:paraId="686686BB">
            <w:pPr>
              <w:pageBreakBefore w:val="0"/>
              <w:kinsoku/>
              <w:wordWrap/>
              <w:overflowPunct/>
              <w:bidi w:val="0"/>
              <w:jc w:val="center"/>
              <w:textAlignment w:val="auto"/>
              <w:rPr>
                <w:rFonts w:hint="eastAsia" w:ascii="宋体" w:hAnsi="宋体" w:cs="宋体"/>
                <w:color w:val="auto"/>
                <w:highlight w:val="none"/>
              </w:rPr>
            </w:pPr>
          </w:p>
        </w:tc>
      </w:tr>
      <w:tr w14:paraId="01EA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5BC6EC7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职称</w:t>
            </w:r>
          </w:p>
        </w:tc>
        <w:tc>
          <w:tcPr>
            <w:tcW w:w="1079" w:type="dxa"/>
            <w:gridSpan w:val="2"/>
            <w:noWrap w:val="0"/>
            <w:vAlign w:val="center"/>
          </w:tcPr>
          <w:p w14:paraId="41936AC8">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6025266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职务</w:t>
            </w:r>
          </w:p>
        </w:tc>
        <w:tc>
          <w:tcPr>
            <w:tcW w:w="1065" w:type="dxa"/>
            <w:noWrap w:val="0"/>
            <w:vAlign w:val="center"/>
          </w:tcPr>
          <w:p w14:paraId="5BF150CF">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3AB0D90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拟在本合同担任职务</w:t>
            </w:r>
          </w:p>
        </w:tc>
        <w:tc>
          <w:tcPr>
            <w:tcW w:w="2134" w:type="dxa"/>
            <w:noWrap w:val="0"/>
            <w:vAlign w:val="center"/>
          </w:tcPr>
          <w:p w14:paraId="172DEA7A">
            <w:pPr>
              <w:pageBreakBefore w:val="0"/>
              <w:kinsoku/>
              <w:wordWrap/>
              <w:overflowPunct/>
              <w:bidi w:val="0"/>
              <w:jc w:val="center"/>
              <w:textAlignment w:val="auto"/>
              <w:rPr>
                <w:rFonts w:hint="eastAsia" w:ascii="宋体" w:hAnsi="宋体" w:cs="宋体"/>
                <w:color w:val="auto"/>
                <w:highlight w:val="none"/>
              </w:rPr>
            </w:pPr>
          </w:p>
        </w:tc>
      </w:tr>
      <w:tr w14:paraId="7110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1DF63A1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7335" w:type="dxa"/>
            <w:gridSpan w:val="8"/>
            <w:noWrap w:val="0"/>
            <w:vAlign w:val="center"/>
          </w:tcPr>
          <w:p w14:paraId="2F05EA2B">
            <w:pPr>
              <w:pageBreakBefore w:val="0"/>
              <w:kinsoku/>
              <w:wordWrap/>
              <w:overflowPunct/>
              <w:bidi w:val="0"/>
              <w:ind w:firstLine="945" w:firstLineChars="450"/>
              <w:jc w:val="center"/>
              <w:textAlignment w:val="auto"/>
              <w:rPr>
                <w:rFonts w:hint="eastAsia" w:ascii="宋体" w:hAnsi="宋体" w:cs="宋体"/>
                <w:color w:val="auto"/>
                <w:highlight w:val="none"/>
              </w:rPr>
            </w:pPr>
            <w:r>
              <w:rPr>
                <w:rFonts w:hint="eastAsia" w:ascii="宋体" w:hAnsi="宋体" w:cs="宋体"/>
                <w:color w:val="auto"/>
                <w:highlight w:val="none"/>
              </w:rPr>
              <w:t>年毕业于      学校     专业</w:t>
            </w:r>
          </w:p>
        </w:tc>
      </w:tr>
      <w:tr w14:paraId="7ECD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8522" w:type="dxa"/>
            <w:gridSpan w:val="9"/>
            <w:noWrap w:val="0"/>
            <w:vAlign w:val="center"/>
          </w:tcPr>
          <w:p w14:paraId="297B0AA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主要工作经历</w:t>
            </w:r>
          </w:p>
        </w:tc>
      </w:tr>
      <w:tr w14:paraId="71D8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FB4FA60">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时间</w:t>
            </w:r>
          </w:p>
        </w:tc>
        <w:tc>
          <w:tcPr>
            <w:tcW w:w="3420" w:type="dxa"/>
            <w:gridSpan w:val="4"/>
            <w:noWrap w:val="0"/>
            <w:vAlign w:val="center"/>
          </w:tcPr>
          <w:p w14:paraId="208C952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参加过的类似项目</w:t>
            </w:r>
          </w:p>
        </w:tc>
        <w:tc>
          <w:tcPr>
            <w:tcW w:w="1261" w:type="dxa"/>
            <w:noWrap w:val="0"/>
            <w:vAlign w:val="center"/>
          </w:tcPr>
          <w:p w14:paraId="0241A0B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担任职务</w:t>
            </w:r>
          </w:p>
        </w:tc>
        <w:tc>
          <w:tcPr>
            <w:tcW w:w="2297" w:type="dxa"/>
            <w:gridSpan w:val="2"/>
            <w:noWrap w:val="0"/>
            <w:vAlign w:val="center"/>
          </w:tcPr>
          <w:p w14:paraId="5AF065C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发包人及联系电话</w:t>
            </w:r>
          </w:p>
        </w:tc>
      </w:tr>
      <w:tr w14:paraId="3E50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2DF13FA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2AF1EBC">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65847DA8">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7DEF554">
            <w:pPr>
              <w:pageBreakBefore w:val="0"/>
              <w:kinsoku/>
              <w:wordWrap/>
              <w:overflowPunct/>
              <w:bidi w:val="0"/>
              <w:jc w:val="center"/>
              <w:textAlignment w:val="auto"/>
              <w:rPr>
                <w:rFonts w:hint="eastAsia" w:ascii="宋体" w:hAnsi="宋体" w:cs="宋体"/>
                <w:color w:val="auto"/>
                <w:highlight w:val="none"/>
              </w:rPr>
            </w:pPr>
          </w:p>
        </w:tc>
      </w:tr>
      <w:tr w14:paraId="5209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026A233">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5A4D1033">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5F508B87">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2B084A5">
            <w:pPr>
              <w:pageBreakBefore w:val="0"/>
              <w:kinsoku/>
              <w:wordWrap/>
              <w:overflowPunct/>
              <w:bidi w:val="0"/>
              <w:jc w:val="center"/>
              <w:textAlignment w:val="auto"/>
              <w:rPr>
                <w:rFonts w:hint="eastAsia" w:ascii="宋体" w:hAnsi="宋体" w:cs="宋体"/>
                <w:color w:val="auto"/>
                <w:highlight w:val="none"/>
              </w:rPr>
            </w:pPr>
          </w:p>
        </w:tc>
      </w:tr>
      <w:tr w14:paraId="4278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48090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0D121E41">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3A0E3D12">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14166EF">
            <w:pPr>
              <w:pageBreakBefore w:val="0"/>
              <w:kinsoku/>
              <w:wordWrap/>
              <w:overflowPunct/>
              <w:bidi w:val="0"/>
              <w:jc w:val="center"/>
              <w:textAlignment w:val="auto"/>
              <w:rPr>
                <w:rFonts w:hint="eastAsia" w:ascii="宋体" w:hAnsi="宋体" w:cs="宋体"/>
                <w:color w:val="auto"/>
                <w:highlight w:val="none"/>
              </w:rPr>
            </w:pPr>
          </w:p>
        </w:tc>
      </w:tr>
      <w:tr w14:paraId="6B1B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E812F7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6B8FFFEA">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B11469D">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7A0FC0E9">
            <w:pPr>
              <w:pageBreakBefore w:val="0"/>
              <w:kinsoku/>
              <w:wordWrap/>
              <w:overflowPunct/>
              <w:bidi w:val="0"/>
              <w:jc w:val="center"/>
              <w:textAlignment w:val="auto"/>
              <w:rPr>
                <w:rFonts w:hint="eastAsia" w:ascii="宋体" w:hAnsi="宋体" w:cs="宋体"/>
                <w:color w:val="auto"/>
                <w:highlight w:val="none"/>
              </w:rPr>
            </w:pPr>
          </w:p>
        </w:tc>
      </w:tr>
      <w:tr w14:paraId="79D1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00E2AB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F75D6D2">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E9A5A70">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F5839F2">
            <w:pPr>
              <w:pageBreakBefore w:val="0"/>
              <w:kinsoku/>
              <w:wordWrap/>
              <w:overflowPunct/>
              <w:bidi w:val="0"/>
              <w:jc w:val="center"/>
              <w:textAlignment w:val="auto"/>
              <w:rPr>
                <w:rFonts w:hint="eastAsia" w:ascii="宋体" w:hAnsi="宋体" w:cs="宋体"/>
                <w:color w:val="auto"/>
                <w:highlight w:val="none"/>
              </w:rPr>
            </w:pPr>
          </w:p>
        </w:tc>
      </w:tr>
      <w:tr w14:paraId="1BC3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3D278DA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4236F8FF">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1A373DFC">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05BD55C">
            <w:pPr>
              <w:pageBreakBefore w:val="0"/>
              <w:kinsoku/>
              <w:wordWrap/>
              <w:overflowPunct/>
              <w:bidi w:val="0"/>
              <w:jc w:val="center"/>
              <w:textAlignment w:val="auto"/>
              <w:rPr>
                <w:rFonts w:hint="eastAsia" w:ascii="宋体" w:hAnsi="宋体" w:cs="宋体"/>
                <w:color w:val="auto"/>
                <w:highlight w:val="none"/>
              </w:rPr>
            </w:pPr>
          </w:p>
        </w:tc>
      </w:tr>
    </w:tbl>
    <w:p w14:paraId="72516429">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7DEE2359">
      <w:pPr>
        <w:pageBreakBefore w:val="0"/>
        <w:kinsoku/>
        <w:wordWrap/>
        <w:overflowPunct/>
        <w:bidi w:val="0"/>
        <w:spacing w:after="200"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rPr>
        <w:t>注：本表后须提供相关证明材料等原件扫描件。</w:t>
      </w:r>
    </w:p>
    <w:p w14:paraId="704C00EC">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41592F26">
      <w:pPr>
        <w:pageBreakBefore w:val="0"/>
        <w:numPr>
          <w:ilvl w:val="-1"/>
          <w:numId w:val="0"/>
        </w:numPr>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1104" w:name="_Toc7268"/>
      <w:bookmarkStart w:id="1105" w:name="_Toc15868"/>
      <w:bookmarkStart w:id="1106" w:name="_Toc4326"/>
      <w:bookmarkStart w:id="1107" w:name="_Toc13593"/>
      <w:bookmarkStart w:id="1108" w:name="_Toc12346"/>
      <w:bookmarkStart w:id="1109" w:name="_Toc5837"/>
      <w:bookmarkStart w:id="1110" w:name="_Toc11456"/>
      <w:bookmarkStart w:id="1111" w:name="_Toc32189"/>
      <w:bookmarkStart w:id="1112" w:name="_Toc20219"/>
      <w:r>
        <w:rPr>
          <w:rStyle w:val="62"/>
          <w:rFonts w:hint="eastAsia" w:ascii="宋体" w:hAnsi="宋体" w:cs="宋体"/>
          <w:color w:val="auto"/>
          <w:sz w:val="28"/>
          <w:szCs w:val="28"/>
          <w:highlight w:val="none"/>
        </w:rPr>
        <w:br w:type="page"/>
      </w:r>
      <w:bookmarkStart w:id="1113" w:name="_Toc1338493449"/>
      <w:bookmarkStart w:id="1114" w:name="_Toc2076217800"/>
      <w:bookmarkStart w:id="1115" w:name="_Toc1372230074"/>
      <w:bookmarkStart w:id="1116" w:name="_Toc1013185264"/>
      <w:bookmarkStart w:id="1117" w:name="_Toc133791381"/>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lang w:val="en-US" w:eastAsia="zh-CN"/>
        </w:rPr>
        <w:t>二</w:t>
      </w:r>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rPr>
        <w:t>其他主要人员简历表</w:t>
      </w:r>
    </w:p>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tbl>
      <w:tblPr>
        <w:tblStyle w:val="49"/>
        <w:tblW w:w="8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2868"/>
        <w:gridCol w:w="1207"/>
        <w:gridCol w:w="2639"/>
      </w:tblGrid>
      <w:tr w14:paraId="6947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AEE524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6714" w:type="dxa"/>
            <w:gridSpan w:val="3"/>
            <w:noWrap w:val="0"/>
            <w:vAlign w:val="center"/>
          </w:tcPr>
          <w:p w14:paraId="28D2785C">
            <w:pPr>
              <w:pageBreakBefore w:val="0"/>
              <w:kinsoku/>
              <w:wordWrap/>
              <w:overflowPunct/>
              <w:bidi w:val="0"/>
              <w:jc w:val="center"/>
              <w:textAlignment w:val="auto"/>
              <w:rPr>
                <w:rFonts w:hint="eastAsia" w:ascii="宋体" w:hAnsi="宋体" w:cs="宋体"/>
                <w:color w:val="auto"/>
                <w:highlight w:val="none"/>
              </w:rPr>
            </w:pPr>
          </w:p>
        </w:tc>
      </w:tr>
      <w:tr w14:paraId="4771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3B105D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拟在本项目担任的职务</w:t>
            </w:r>
          </w:p>
        </w:tc>
        <w:tc>
          <w:tcPr>
            <w:tcW w:w="2868" w:type="dxa"/>
            <w:noWrap w:val="0"/>
            <w:vAlign w:val="center"/>
          </w:tcPr>
          <w:p w14:paraId="0824E75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AF7F77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2639" w:type="dxa"/>
            <w:noWrap w:val="0"/>
            <w:vAlign w:val="center"/>
          </w:tcPr>
          <w:p w14:paraId="2BDEA9F0">
            <w:pPr>
              <w:pageBreakBefore w:val="0"/>
              <w:kinsoku/>
              <w:wordWrap/>
              <w:overflowPunct/>
              <w:bidi w:val="0"/>
              <w:jc w:val="center"/>
              <w:textAlignment w:val="auto"/>
              <w:rPr>
                <w:rFonts w:hint="eastAsia" w:ascii="宋体" w:hAnsi="宋体" w:cs="宋体"/>
                <w:color w:val="auto"/>
                <w:highlight w:val="none"/>
              </w:rPr>
            </w:pPr>
          </w:p>
        </w:tc>
      </w:tr>
      <w:tr w14:paraId="6163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1E18C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性别</w:t>
            </w:r>
          </w:p>
        </w:tc>
        <w:tc>
          <w:tcPr>
            <w:tcW w:w="2868" w:type="dxa"/>
            <w:noWrap w:val="0"/>
            <w:vAlign w:val="center"/>
          </w:tcPr>
          <w:p w14:paraId="3541C6A4">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B9BC4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2639" w:type="dxa"/>
            <w:noWrap w:val="0"/>
            <w:vAlign w:val="center"/>
          </w:tcPr>
          <w:p w14:paraId="0B410CCC">
            <w:pPr>
              <w:pageBreakBefore w:val="0"/>
              <w:kinsoku/>
              <w:wordWrap/>
              <w:overflowPunct/>
              <w:bidi w:val="0"/>
              <w:jc w:val="center"/>
              <w:textAlignment w:val="auto"/>
              <w:rPr>
                <w:rFonts w:hint="eastAsia" w:ascii="宋体" w:hAnsi="宋体" w:cs="宋体"/>
                <w:color w:val="auto"/>
                <w:highlight w:val="none"/>
              </w:rPr>
            </w:pPr>
          </w:p>
        </w:tc>
      </w:tr>
      <w:tr w14:paraId="1699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2EBFB5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学历和专业</w:t>
            </w:r>
          </w:p>
        </w:tc>
        <w:tc>
          <w:tcPr>
            <w:tcW w:w="2868" w:type="dxa"/>
            <w:noWrap w:val="0"/>
            <w:vAlign w:val="center"/>
          </w:tcPr>
          <w:p w14:paraId="628E3526">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3DE79C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毕业时间</w:t>
            </w:r>
          </w:p>
        </w:tc>
        <w:tc>
          <w:tcPr>
            <w:tcW w:w="2639" w:type="dxa"/>
            <w:noWrap w:val="0"/>
            <w:vAlign w:val="center"/>
          </w:tcPr>
          <w:p w14:paraId="565F0569">
            <w:pPr>
              <w:pageBreakBefore w:val="0"/>
              <w:kinsoku/>
              <w:wordWrap/>
              <w:overflowPunct/>
              <w:bidi w:val="0"/>
              <w:jc w:val="center"/>
              <w:textAlignment w:val="auto"/>
              <w:rPr>
                <w:rFonts w:hint="eastAsia" w:ascii="宋体" w:hAnsi="宋体" w:cs="宋体"/>
                <w:color w:val="auto"/>
                <w:highlight w:val="none"/>
              </w:rPr>
            </w:pPr>
          </w:p>
        </w:tc>
      </w:tr>
      <w:tr w14:paraId="00A1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F8DB0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拥有的执业资格</w:t>
            </w:r>
          </w:p>
        </w:tc>
        <w:tc>
          <w:tcPr>
            <w:tcW w:w="2868" w:type="dxa"/>
            <w:noWrap w:val="0"/>
            <w:vAlign w:val="center"/>
          </w:tcPr>
          <w:p w14:paraId="426C2B45">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255A0A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专业职称</w:t>
            </w:r>
          </w:p>
        </w:tc>
        <w:tc>
          <w:tcPr>
            <w:tcW w:w="2639" w:type="dxa"/>
            <w:noWrap w:val="0"/>
            <w:vAlign w:val="center"/>
          </w:tcPr>
          <w:p w14:paraId="6ABACA27">
            <w:pPr>
              <w:pageBreakBefore w:val="0"/>
              <w:kinsoku/>
              <w:wordWrap/>
              <w:overflowPunct/>
              <w:bidi w:val="0"/>
              <w:jc w:val="center"/>
              <w:textAlignment w:val="auto"/>
              <w:rPr>
                <w:rFonts w:hint="eastAsia" w:ascii="宋体" w:hAnsi="宋体" w:cs="宋体"/>
                <w:color w:val="auto"/>
                <w:highlight w:val="none"/>
              </w:rPr>
            </w:pPr>
          </w:p>
        </w:tc>
      </w:tr>
      <w:tr w14:paraId="112F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0BE205C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执业资格证书编号</w:t>
            </w:r>
          </w:p>
        </w:tc>
        <w:tc>
          <w:tcPr>
            <w:tcW w:w="2868" w:type="dxa"/>
            <w:noWrap w:val="0"/>
            <w:vAlign w:val="center"/>
          </w:tcPr>
          <w:p w14:paraId="0117D17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C8172F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工作年限</w:t>
            </w:r>
          </w:p>
        </w:tc>
        <w:tc>
          <w:tcPr>
            <w:tcW w:w="2639" w:type="dxa"/>
            <w:noWrap w:val="0"/>
            <w:vAlign w:val="center"/>
          </w:tcPr>
          <w:p w14:paraId="2A82DC04">
            <w:pPr>
              <w:pageBreakBefore w:val="0"/>
              <w:kinsoku/>
              <w:wordWrap/>
              <w:overflowPunct/>
              <w:bidi w:val="0"/>
              <w:jc w:val="center"/>
              <w:textAlignment w:val="auto"/>
              <w:rPr>
                <w:rFonts w:hint="eastAsia" w:ascii="宋体" w:hAnsi="宋体" w:cs="宋体"/>
                <w:color w:val="auto"/>
                <w:highlight w:val="none"/>
              </w:rPr>
            </w:pPr>
          </w:p>
        </w:tc>
      </w:tr>
      <w:tr w14:paraId="292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2" w:hRule="atLeast"/>
          <w:jc w:val="center"/>
        </w:trPr>
        <w:tc>
          <w:tcPr>
            <w:tcW w:w="1938" w:type="dxa"/>
            <w:noWrap w:val="0"/>
            <w:vAlign w:val="center"/>
          </w:tcPr>
          <w:p w14:paraId="5809264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主要工作业绩及担任的主要工作</w:t>
            </w:r>
          </w:p>
        </w:tc>
        <w:tc>
          <w:tcPr>
            <w:tcW w:w="6714" w:type="dxa"/>
            <w:gridSpan w:val="3"/>
            <w:noWrap w:val="0"/>
            <w:vAlign w:val="center"/>
          </w:tcPr>
          <w:p w14:paraId="6B40A164">
            <w:pPr>
              <w:pageBreakBefore w:val="0"/>
              <w:kinsoku/>
              <w:wordWrap/>
              <w:overflowPunct/>
              <w:bidi w:val="0"/>
              <w:jc w:val="center"/>
              <w:textAlignment w:val="auto"/>
              <w:rPr>
                <w:rFonts w:hint="eastAsia" w:ascii="宋体" w:hAnsi="宋体" w:cs="宋体"/>
                <w:color w:val="auto"/>
                <w:highlight w:val="none"/>
              </w:rPr>
            </w:pPr>
          </w:p>
        </w:tc>
      </w:tr>
    </w:tbl>
    <w:p w14:paraId="61FB83F3">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4FD81C18">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 xml:space="preserve">注：拟派往本项目的其他主要人员应分别填写简历表，并在表后提供相关证明材料等原件扫描件。注：应附身份证、学历证、职称证（若有）、执业资格证书、提供劳动合同（退休人员提供用工协议）或投标截止时间前近六个月社保等证明材料等原件扫描件；符合第一章 采购公告“供应商资格要求”中规定；人数符合第五章 </w:t>
      </w:r>
      <w:r>
        <w:rPr>
          <w:rFonts w:hint="eastAsia" w:ascii="宋体" w:hAnsi="宋体" w:cs="宋体"/>
          <w:color w:val="auto"/>
          <w:highlight w:val="none"/>
          <w:lang w:val="en-US" w:eastAsia="zh-CN"/>
        </w:rPr>
        <w:t>采购</w:t>
      </w:r>
      <w:r>
        <w:rPr>
          <w:rFonts w:hint="eastAsia" w:ascii="宋体" w:hAnsi="宋体" w:cs="宋体"/>
          <w:color w:val="auto"/>
          <w:highlight w:val="none"/>
        </w:rPr>
        <w:t>人要求“4.</w:t>
      </w:r>
      <w:r>
        <w:rPr>
          <w:rFonts w:hint="eastAsia" w:ascii="宋体" w:hAnsi="宋体" w:cs="宋体"/>
          <w:color w:val="auto"/>
          <w:highlight w:val="none"/>
          <w:lang w:eastAsia="zh-CN"/>
        </w:rPr>
        <w:t>服务单位</w:t>
      </w:r>
      <w:r>
        <w:rPr>
          <w:rFonts w:hint="eastAsia" w:ascii="宋体" w:hAnsi="宋体" w:cs="宋体"/>
          <w:color w:val="auto"/>
          <w:highlight w:val="none"/>
        </w:rPr>
        <w:t>员和试验检测仪器设备要求”</w:t>
      </w:r>
    </w:p>
    <w:p w14:paraId="4AF68D01">
      <w:pPr>
        <w:autoSpaceDE w:val="0"/>
        <w:autoSpaceDN w:val="0"/>
        <w:adjustRightInd w:val="0"/>
        <w:spacing w:line="360" w:lineRule="auto"/>
        <w:ind w:firstLine="210" w:firstLineChars="100"/>
        <w:jc w:val="left"/>
        <w:rPr>
          <w:rFonts w:hint="eastAsia" w:ascii="宋体" w:hAnsi="宋体" w:eastAsia="宋体" w:cs="宋体"/>
          <w:color w:val="auto"/>
          <w:szCs w:val="21"/>
          <w:highlight w:val="none"/>
        </w:rPr>
      </w:pPr>
    </w:p>
    <w:p w14:paraId="5D2D491A">
      <w:pPr>
        <w:tabs>
          <w:tab w:val="left" w:pos="360"/>
        </w:tabs>
        <w:spacing w:line="360" w:lineRule="auto"/>
        <w:jc w:val="left"/>
        <w:rPr>
          <w:rFonts w:hint="eastAsia" w:ascii="宋体" w:hAnsi="宋体" w:eastAsia="宋体" w:cs="宋体"/>
          <w:color w:val="auto"/>
          <w:szCs w:val="21"/>
          <w:highlight w:val="none"/>
        </w:rPr>
      </w:pPr>
      <w:bookmarkStart w:id="1118" w:name="_Toc20046"/>
      <w:bookmarkStart w:id="1119" w:name="_Toc14407"/>
      <w:bookmarkStart w:id="1120" w:name="_Toc31161"/>
      <w:bookmarkStart w:id="1121" w:name="_Toc55310075"/>
      <w:bookmarkStart w:id="1122" w:name="_Toc30263"/>
      <w:bookmarkStart w:id="1123" w:name="_Toc21658"/>
      <w:bookmarkStart w:id="1124" w:name="_Toc55229804"/>
      <w:bookmarkStart w:id="1125" w:name="_Toc3126"/>
      <w:bookmarkStart w:id="1126" w:name="_Toc55303762"/>
      <w:bookmarkStart w:id="1127" w:name="_Toc14929"/>
      <w:bookmarkStart w:id="1128" w:name="_Toc22179"/>
      <w:bookmarkStart w:id="1129" w:name="_Toc18835"/>
      <w:bookmarkStart w:id="1130" w:name="_Toc440110298"/>
      <w:bookmarkStart w:id="1131" w:name="_Toc7657"/>
      <w:bookmarkStart w:id="1132" w:name="_Toc15220"/>
    </w:p>
    <w:p w14:paraId="6604F955">
      <w:pPr>
        <w:widowControl/>
        <w:spacing w:after="200" w:line="360" w:lineRule="auto"/>
        <w:jc w:val="center"/>
        <w:outlineLvl w:val="2"/>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br w:type="page"/>
      </w:r>
      <w:bookmarkStart w:id="1133" w:name="_Toc1373338788"/>
      <w:bookmarkStart w:id="1134" w:name="_Toc319810049"/>
      <w:bookmarkStart w:id="1135" w:name="_Toc146929168"/>
      <w:bookmarkStart w:id="1136" w:name="_Toc1151925844"/>
      <w:bookmarkStart w:id="1137" w:name="_Toc578919303"/>
      <w:r>
        <w:rPr>
          <w:rStyle w:val="62"/>
          <w:rFonts w:hint="eastAsia" w:ascii="宋体" w:hAnsi="宋体" w:eastAsia="宋体" w:cs="宋体"/>
          <w:b/>
          <w:bCs/>
          <w:color w:val="auto"/>
          <w:sz w:val="30"/>
          <w:szCs w:val="30"/>
          <w:highlight w:val="none"/>
          <w:lang w:val="en-US" w:eastAsia="zh-CN"/>
        </w:rPr>
        <w:t>十一、</w:t>
      </w:r>
      <w:r>
        <w:rPr>
          <w:rStyle w:val="62"/>
          <w:rFonts w:hint="eastAsia" w:ascii="宋体" w:hAnsi="宋体" w:eastAsia="宋体" w:cs="宋体"/>
          <w:sz w:val="30"/>
          <w:szCs w:val="30"/>
          <w:highlight w:val="none"/>
          <w:lang w:eastAsia="zh-CN"/>
        </w:rPr>
        <w:t>供应商</w:t>
      </w:r>
      <w:r>
        <w:rPr>
          <w:rStyle w:val="62"/>
          <w:rFonts w:hint="eastAsia" w:ascii="宋体" w:hAnsi="宋体" w:eastAsia="宋体" w:cs="宋体"/>
          <w:b/>
          <w:bCs/>
          <w:color w:val="auto"/>
          <w:sz w:val="30"/>
          <w:szCs w:val="30"/>
          <w:highlight w:val="none"/>
        </w:rPr>
        <w:t>认为</w:t>
      </w:r>
      <w:r>
        <w:rPr>
          <w:rStyle w:val="62"/>
          <w:rFonts w:hint="eastAsia" w:ascii="宋体" w:hAnsi="宋体" w:eastAsia="宋体" w:cs="宋体"/>
          <w:sz w:val="30"/>
          <w:szCs w:val="30"/>
          <w:highlight w:val="none"/>
          <w:lang w:eastAsia="zh-CN"/>
        </w:rPr>
        <w:t>需要</w:t>
      </w:r>
      <w:r>
        <w:rPr>
          <w:rStyle w:val="62"/>
          <w:rFonts w:hint="eastAsia" w:ascii="宋体" w:hAnsi="宋体" w:eastAsia="宋体" w:cs="宋体"/>
          <w:sz w:val="30"/>
          <w:szCs w:val="30"/>
          <w:highlight w:val="none"/>
          <w:lang w:val="en-US" w:eastAsia="zh-CN"/>
        </w:rPr>
        <w:t>补充</w:t>
      </w:r>
      <w:r>
        <w:rPr>
          <w:rStyle w:val="62"/>
          <w:rFonts w:hint="eastAsia" w:ascii="宋体" w:hAnsi="宋体" w:eastAsia="宋体" w:cs="宋体"/>
          <w:b/>
          <w:bCs/>
          <w:color w:val="auto"/>
          <w:sz w:val="30"/>
          <w:szCs w:val="30"/>
          <w:highlight w:val="none"/>
        </w:rPr>
        <w:t>的其它资料</w:t>
      </w:r>
      <w:bookmarkEnd w:id="1133"/>
      <w:bookmarkEnd w:id="1134"/>
      <w:bookmarkEnd w:id="1135"/>
      <w:bookmarkEnd w:id="1136"/>
      <w:bookmarkEnd w:id="1137"/>
    </w:p>
    <w:p w14:paraId="3E34C781">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采购文件规定的其他资料或</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认为有必要提供的相关资料，包括但不限于</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开户许可</w:t>
      </w:r>
      <w:r>
        <w:rPr>
          <w:rFonts w:hint="eastAsia" w:ascii="宋体" w:hAnsi="宋体" w:cs="宋体"/>
          <w:color w:val="auto"/>
          <w:kern w:val="0"/>
          <w:sz w:val="24"/>
          <w:szCs w:val="24"/>
          <w:highlight w:val="none"/>
          <w:u w:val="single"/>
          <w:lang w:val="en-US" w:eastAsia="zh-CN"/>
        </w:rPr>
        <w:t>信息</w:t>
      </w:r>
      <w:r>
        <w:rPr>
          <w:rFonts w:hint="eastAsia" w:ascii="宋体" w:hAnsi="宋体" w:eastAsia="宋体" w:cs="宋体"/>
          <w:color w:val="auto"/>
          <w:kern w:val="0"/>
          <w:sz w:val="24"/>
          <w:szCs w:val="24"/>
          <w:highlight w:val="none"/>
          <w:u w:val="single"/>
        </w:rPr>
        <w:t>、所获荣誉</w:t>
      </w:r>
      <w:r>
        <w:rPr>
          <w:rFonts w:hint="eastAsia" w:ascii="宋体" w:hAnsi="宋体" w:eastAsia="宋体" w:cs="宋体"/>
          <w:color w:val="auto"/>
          <w:kern w:val="0"/>
          <w:sz w:val="24"/>
          <w:szCs w:val="24"/>
          <w:highlight w:val="none"/>
        </w:rPr>
        <w:t>等的复印件</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格式自拟</w:t>
      </w:r>
      <w:r>
        <w:rPr>
          <w:rFonts w:hint="eastAsia" w:ascii="宋体" w:hAnsi="宋体" w:cs="宋体"/>
          <w:color w:val="auto"/>
          <w:kern w:val="0"/>
          <w:sz w:val="24"/>
          <w:szCs w:val="24"/>
          <w:highlight w:val="none"/>
          <w:lang w:eastAsia="zh-CN"/>
        </w:rPr>
        <w:t>）</w:t>
      </w:r>
    </w:p>
    <w:p w14:paraId="56D7FB1C">
      <w:pPr>
        <w:rPr>
          <w:rFonts w:hint="eastAsia" w:ascii="宋体" w:hAnsi="宋体" w:eastAsia="宋体" w:cs="宋体"/>
          <w:color w:val="auto"/>
          <w:highlight w:val="none"/>
        </w:rPr>
      </w:pPr>
      <w:r>
        <w:rPr>
          <w:rFonts w:hint="eastAsia" w:ascii="宋体" w:hAnsi="宋体" w:eastAsia="宋体" w:cs="宋体"/>
          <w:bCs w:val="0"/>
          <w:color w:val="auto"/>
          <w:szCs w:val="21"/>
          <w:highlight w:val="none"/>
        </w:rPr>
        <w:br w:type="page"/>
      </w:r>
    </w:p>
    <w:p w14:paraId="1D269DD7">
      <w:pPr>
        <w:keepNext/>
        <w:keepLines/>
        <w:pageBreakBefore w:val="0"/>
        <w:widowControl w:val="0"/>
        <w:kinsoku/>
        <w:wordWrap/>
        <w:overflowPunct/>
        <w:topLinePunct w:val="0"/>
        <w:autoSpaceDE/>
        <w:autoSpaceDN/>
        <w:bidi w:val="0"/>
        <w:adjustRightInd/>
        <w:snapToGrid/>
        <w:spacing w:after="200"/>
        <w:ind w:firstLineChars="0"/>
        <w:jc w:val="center"/>
        <w:textAlignment w:val="auto"/>
        <w:outlineLvl w:val="1"/>
        <w:rPr>
          <w:rFonts w:hint="default" w:ascii="宋体" w:hAnsi="宋体" w:eastAsia="宋体" w:cs="宋体"/>
          <w:color w:val="auto"/>
          <w:highlight w:val="none"/>
          <w:lang w:val="en-US" w:eastAsia="zh-CN"/>
        </w:rPr>
      </w:pPr>
      <w:bookmarkStart w:id="1138" w:name="_Toc468108608"/>
      <w:bookmarkStart w:id="1139" w:name="_Toc1102110527"/>
      <w:bookmarkStart w:id="1140" w:name="_Toc1324493323"/>
      <w:bookmarkStart w:id="1141" w:name="_Toc1004565936"/>
      <w:bookmarkStart w:id="1142" w:name="_Toc1589723359"/>
      <w:r>
        <w:rPr>
          <w:rStyle w:val="62"/>
          <w:rFonts w:hint="eastAsia" w:ascii="宋体" w:hAnsi="宋体" w:cs="宋体"/>
          <w:color w:val="auto"/>
          <w:sz w:val="32"/>
          <w:szCs w:val="32"/>
          <w:highlight w:val="none"/>
          <w:lang w:eastAsia="zh-TW"/>
        </w:rPr>
        <w:t>第</w:t>
      </w:r>
      <w:r>
        <w:rPr>
          <w:rStyle w:val="62"/>
          <w:rFonts w:hint="eastAsia" w:ascii="宋体" w:hAnsi="宋体" w:cs="宋体"/>
          <w:color w:val="auto"/>
          <w:sz w:val="32"/>
          <w:szCs w:val="32"/>
          <w:highlight w:val="none"/>
          <w:lang w:val="en-US" w:eastAsia="zh-CN"/>
        </w:rPr>
        <w:t>三</w:t>
      </w:r>
      <w:r>
        <w:rPr>
          <w:rStyle w:val="62"/>
          <w:rFonts w:hint="eastAsia" w:ascii="宋体" w:hAnsi="宋体" w:cs="宋体"/>
          <w:color w:val="auto"/>
          <w:sz w:val="32"/>
          <w:szCs w:val="32"/>
          <w:highlight w:val="none"/>
          <w:lang w:eastAsia="zh-TW"/>
        </w:rPr>
        <w:t>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val="en-US" w:eastAsia="zh-CN"/>
        </w:rPr>
        <w:t>技术</w:t>
      </w:r>
      <w:r>
        <w:rPr>
          <w:rStyle w:val="62"/>
          <w:rFonts w:hint="eastAsia" w:ascii="宋体" w:hAnsi="宋体" w:cs="宋体"/>
          <w:color w:val="auto"/>
          <w:sz w:val="32"/>
          <w:szCs w:val="32"/>
          <w:highlight w:val="none"/>
          <w:lang w:eastAsia="zh-TW"/>
        </w:rPr>
        <w:t>部分</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8"/>
      <w:bookmarkEnd w:id="1139"/>
      <w:bookmarkEnd w:id="1140"/>
      <w:bookmarkEnd w:id="1141"/>
      <w:bookmarkEnd w:id="1142"/>
    </w:p>
    <w:p w14:paraId="2F1B0D23">
      <w:pPr>
        <w:pageBreakBefore w:val="0"/>
        <w:kinsoku/>
        <w:wordWrap/>
        <w:overflowPunct/>
        <w:bidi w:val="0"/>
        <w:spacing w:after="200" w:line="360" w:lineRule="auto"/>
        <w:jc w:val="center"/>
        <w:textAlignment w:val="auto"/>
        <w:outlineLvl w:val="2"/>
        <w:rPr>
          <w:rStyle w:val="62"/>
          <w:rFonts w:hint="default" w:ascii="宋体" w:hAnsi="宋体" w:cs="宋体"/>
          <w:color w:val="auto"/>
          <w:sz w:val="30"/>
          <w:szCs w:val="30"/>
          <w:highlight w:val="none"/>
        </w:rPr>
      </w:pPr>
      <w:bookmarkStart w:id="1143" w:name="_Toc16507"/>
      <w:bookmarkStart w:id="1144" w:name="_Toc10616"/>
      <w:bookmarkStart w:id="1145" w:name="_Toc1095311826"/>
      <w:bookmarkStart w:id="1146" w:name="_Toc1572547260"/>
      <w:bookmarkStart w:id="1147" w:name="_Toc357542501"/>
      <w:bookmarkStart w:id="1148" w:name="_Toc282931410"/>
      <w:bookmarkStart w:id="1149" w:name="_Toc202867489"/>
      <w:r>
        <w:rPr>
          <w:rStyle w:val="62"/>
          <w:rFonts w:hint="eastAsia" w:ascii="宋体" w:hAnsi="宋体" w:cs="宋体"/>
          <w:color w:val="auto"/>
          <w:sz w:val="30"/>
          <w:szCs w:val="30"/>
          <w:highlight w:val="none"/>
        </w:rPr>
        <w:t>一、技术方案</w:t>
      </w:r>
      <w:bookmarkEnd w:id="1143"/>
      <w:bookmarkEnd w:id="1144"/>
    </w:p>
    <w:bookmarkEnd w:id="1145"/>
    <w:bookmarkEnd w:id="1146"/>
    <w:bookmarkEnd w:id="1147"/>
    <w:bookmarkEnd w:id="1148"/>
    <w:bookmarkEnd w:id="1149"/>
    <w:p w14:paraId="27002F3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D4C663D">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lang w:val="en-US" w:eastAsia="zh-CN"/>
        </w:rPr>
        <w:t>供应商</w:t>
      </w:r>
      <w:r>
        <w:rPr>
          <w:rFonts w:hint="eastAsia" w:ascii="宋体" w:hAnsi="宋体" w:cs="宋体"/>
          <w:bCs/>
          <w:color w:val="auto"/>
          <w:highlight w:val="none"/>
        </w:rPr>
        <w:t>格式自拟，应包括但不限于以下内容（应</w:t>
      </w:r>
      <w:r>
        <w:rPr>
          <w:rFonts w:hint="eastAsia" w:ascii="宋体" w:hAnsi="宋体" w:cs="宋体"/>
          <w:bCs/>
          <w:color w:val="auto"/>
          <w:highlight w:val="none"/>
          <w:lang w:val="en-US" w:eastAsia="zh-CN"/>
        </w:rPr>
        <w:t>严格</w:t>
      </w:r>
      <w:r>
        <w:rPr>
          <w:rFonts w:hint="eastAsia" w:ascii="宋体" w:hAnsi="宋体" w:cs="宋体"/>
          <w:bCs/>
          <w:color w:val="auto"/>
          <w:highlight w:val="none"/>
        </w:rPr>
        <w:t>对照评标评审因素</w:t>
      </w:r>
      <w:r>
        <w:rPr>
          <w:rFonts w:hint="eastAsia" w:ascii="宋体" w:hAnsi="宋体" w:cs="宋体"/>
          <w:bCs/>
          <w:color w:val="auto"/>
          <w:highlight w:val="none"/>
          <w:lang w:val="en-US" w:eastAsia="zh-CN"/>
        </w:rPr>
        <w:t>进行论述，可</w:t>
      </w:r>
      <w:r>
        <w:rPr>
          <w:rFonts w:hint="eastAsia" w:ascii="宋体" w:hAnsi="宋体" w:cs="宋体"/>
          <w:bCs/>
          <w:color w:val="auto"/>
          <w:highlight w:val="none"/>
        </w:rPr>
        <w:t>做适当补充）：</w:t>
      </w:r>
    </w:p>
    <w:p w14:paraId="52BBFA05">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一、</w:t>
      </w:r>
      <w:r>
        <w:rPr>
          <w:rFonts w:hint="eastAsia" w:ascii="宋体" w:hAnsi="宋体" w:eastAsia="宋体" w:cs="宋体"/>
          <w:bCs/>
          <w:color w:val="auto"/>
          <w:highlight w:val="none"/>
          <w:lang w:eastAsia="zh-CN"/>
        </w:rPr>
        <w:t>全</w:t>
      </w:r>
      <w:r>
        <w:rPr>
          <w:rFonts w:hint="eastAsia" w:ascii="宋体" w:hAnsi="宋体" w:eastAsia="宋体" w:cs="宋体"/>
          <w:bCs/>
          <w:color w:val="auto"/>
          <w:highlight w:val="none"/>
          <w:lang w:val="en-US" w:eastAsia="zh-CN"/>
        </w:rPr>
        <w:t>招标控制价编制及</w:t>
      </w:r>
      <w:r>
        <w:rPr>
          <w:rFonts w:hint="eastAsia" w:ascii="宋体" w:hAnsi="宋体" w:eastAsia="宋体" w:cs="宋体"/>
          <w:bCs/>
          <w:color w:val="auto"/>
          <w:highlight w:val="none"/>
        </w:rPr>
        <w:t>全过程造价控制服务方案</w:t>
      </w:r>
    </w:p>
    <w:p w14:paraId="52F0995F">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二、重难点分析处理措施</w:t>
      </w:r>
    </w:p>
    <w:p w14:paraId="1D672A82">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lang w:eastAsia="zh-CN"/>
        </w:rPr>
        <w:t>三、项目</w:t>
      </w:r>
      <w:r>
        <w:rPr>
          <w:rFonts w:hint="eastAsia" w:ascii="宋体" w:hAnsi="宋体" w:eastAsia="宋体" w:cs="宋体"/>
          <w:bCs/>
          <w:color w:val="auto"/>
          <w:highlight w:val="none"/>
        </w:rPr>
        <w:t>投资控制措施</w:t>
      </w:r>
    </w:p>
    <w:p w14:paraId="7C26F20A">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四、项目合规性控制措施</w:t>
      </w:r>
    </w:p>
    <w:p w14:paraId="31FBA71E">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五、质量控制及保障措施</w:t>
      </w:r>
    </w:p>
    <w:p w14:paraId="4627D2A4">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六、服务质量及承诺</w:t>
      </w:r>
    </w:p>
    <w:p w14:paraId="29E65B4B">
      <w:pPr>
        <w:pageBreakBefore w:val="0"/>
        <w:kinsoku/>
        <w:wordWrap/>
        <w:overflowPunct/>
        <w:bidi w:val="0"/>
        <w:spacing w:after="200" w:line="360" w:lineRule="auto"/>
        <w:textAlignment w:val="auto"/>
        <w:rPr>
          <w:rFonts w:hint="eastAsia" w:ascii="宋体" w:hAnsi="宋体" w:eastAsia="宋体" w:cs="宋体"/>
          <w:bCs/>
          <w:color w:val="auto"/>
          <w:highlight w:val="none"/>
        </w:rPr>
      </w:pPr>
      <w:r>
        <w:rPr>
          <w:rFonts w:hint="eastAsia" w:ascii="宋体" w:hAnsi="宋体" w:eastAsia="宋体" w:cs="宋体"/>
          <w:bCs/>
          <w:color w:val="auto"/>
          <w:highlight w:val="none"/>
        </w:rPr>
        <w:t>七、服务团队人员配置情况</w:t>
      </w:r>
    </w:p>
    <w:p w14:paraId="2EF43B22">
      <w:pPr>
        <w:pageBreakBefore w:val="0"/>
        <w:kinsoku/>
        <w:wordWrap/>
        <w:overflowPunct/>
        <w:bidi w:val="0"/>
        <w:spacing w:after="200" w:line="360" w:lineRule="auto"/>
        <w:textAlignment w:val="auto"/>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八、其他</w:t>
      </w:r>
      <w:r>
        <w:rPr>
          <w:rFonts w:hint="eastAsia" w:ascii="宋体" w:hAnsi="宋体" w:eastAsia="宋体" w:cs="宋体"/>
          <w:bCs/>
          <w:color w:val="auto"/>
          <w:highlight w:val="none"/>
          <w:lang w:val="en-US" w:eastAsia="zh-CN"/>
        </w:rPr>
        <w:t>谈判申请</w:t>
      </w:r>
      <w:r>
        <w:rPr>
          <w:rFonts w:hint="eastAsia" w:ascii="宋体" w:hAnsi="宋体" w:eastAsia="宋体" w:cs="宋体"/>
          <w:bCs/>
          <w:color w:val="auto"/>
          <w:highlight w:val="none"/>
        </w:rPr>
        <w:t>人认为有必要材料</w:t>
      </w:r>
    </w:p>
    <w:p w14:paraId="3E5D2381">
      <w:pPr>
        <w:pageBreakBefore w:val="0"/>
        <w:kinsoku/>
        <w:wordWrap/>
        <w:overflowPunct/>
        <w:bidi w:val="0"/>
        <w:spacing w:after="200" w:line="360" w:lineRule="auto"/>
        <w:textAlignment w:val="auto"/>
        <w:rPr>
          <w:rFonts w:hint="eastAsia" w:ascii="宋体" w:hAnsi="宋体" w:eastAsia="宋体" w:cs="宋体"/>
          <w:bCs/>
          <w:color w:val="auto"/>
          <w:highlight w:val="none"/>
        </w:rPr>
      </w:pPr>
    </w:p>
    <w:p w14:paraId="3AD51EA2">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39DF7A94">
      <w:pPr>
        <w:pageBreakBefore w:val="0"/>
        <w:kinsoku/>
        <w:wordWrap/>
        <w:overflowPunct/>
        <w:bidi w:val="0"/>
        <w:spacing w:after="200" w:line="360" w:lineRule="auto"/>
        <w:textAlignment w:val="auto"/>
        <w:rPr>
          <w:rFonts w:hint="eastAsia" w:ascii="宋体" w:hAnsi="宋体" w:cs="宋体"/>
          <w:bCs/>
          <w:color w:val="auto"/>
          <w:highlight w:val="none"/>
        </w:rPr>
      </w:pPr>
    </w:p>
    <w:p w14:paraId="7B7F9366">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1150" w:name="_Toc14730"/>
      <w:r>
        <w:rPr>
          <w:rStyle w:val="62"/>
          <w:rFonts w:hint="eastAsia" w:ascii="宋体" w:hAnsi="宋体" w:cs="宋体"/>
          <w:color w:val="auto"/>
          <w:sz w:val="30"/>
          <w:szCs w:val="30"/>
          <w:highlight w:val="none"/>
        </w:rPr>
        <w:br w:type="page"/>
      </w:r>
      <w:bookmarkStart w:id="1151" w:name="_Toc522982945"/>
      <w:bookmarkStart w:id="1152" w:name="_Toc446918277"/>
      <w:bookmarkStart w:id="1153" w:name="_Toc609437126"/>
      <w:bookmarkStart w:id="1154" w:name="_Toc2041108695"/>
      <w:bookmarkStart w:id="1155" w:name="_Toc716700447"/>
      <w:r>
        <w:rPr>
          <w:rStyle w:val="62"/>
          <w:rFonts w:hint="eastAsia" w:ascii="宋体" w:hAnsi="宋体" w:cs="宋体"/>
          <w:color w:val="auto"/>
          <w:sz w:val="30"/>
          <w:szCs w:val="30"/>
          <w:highlight w:val="none"/>
        </w:rPr>
        <w:t>二、人员进场时间安排表</w:t>
      </w:r>
      <w:bookmarkEnd w:id="1150"/>
    </w:p>
    <w:bookmarkEnd w:id="1151"/>
    <w:bookmarkEnd w:id="1152"/>
    <w:bookmarkEnd w:id="1153"/>
    <w:bookmarkEnd w:id="1154"/>
    <w:bookmarkEnd w:id="1155"/>
    <w:p w14:paraId="103E29F7">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294"/>
        <w:gridCol w:w="1130"/>
        <w:gridCol w:w="3843"/>
        <w:gridCol w:w="1303"/>
      </w:tblGrid>
      <w:tr w14:paraId="5EFD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exact"/>
          <w:jc w:val="center"/>
        </w:trPr>
        <w:tc>
          <w:tcPr>
            <w:tcW w:w="775" w:type="dxa"/>
            <w:noWrap w:val="0"/>
            <w:vAlign w:val="center"/>
          </w:tcPr>
          <w:p w14:paraId="4000327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序号</w:t>
            </w:r>
          </w:p>
        </w:tc>
        <w:tc>
          <w:tcPr>
            <w:tcW w:w="1294" w:type="dxa"/>
            <w:noWrap w:val="0"/>
            <w:vAlign w:val="center"/>
          </w:tcPr>
          <w:p w14:paraId="5C8424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姓名</w:t>
            </w:r>
          </w:p>
        </w:tc>
        <w:tc>
          <w:tcPr>
            <w:tcW w:w="1130" w:type="dxa"/>
            <w:noWrap w:val="0"/>
            <w:vAlign w:val="center"/>
          </w:tcPr>
          <w:p w14:paraId="7D0D4900">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职务</w:t>
            </w:r>
          </w:p>
        </w:tc>
        <w:tc>
          <w:tcPr>
            <w:tcW w:w="3843" w:type="dxa"/>
            <w:noWrap w:val="0"/>
            <w:vAlign w:val="center"/>
          </w:tcPr>
          <w:p w14:paraId="7AB14A07">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进场时间</w:t>
            </w:r>
          </w:p>
        </w:tc>
        <w:tc>
          <w:tcPr>
            <w:tcW w:w="1303" w:type="dxa"/>
            <w:noWrap w:val="0"/>
            <w:vAlign w:val="center"/>
          </w:tcPr>
          <w:p w14:paraId="357310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备注</w:t>
            </w:r>
          </w:p>
        </w:tc>
      </w:tr>
      <w:tr w14:paraId="32AA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315FC1CB">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1</w:t>
            </w:r>
          </w:p>
        </w:tc>
        <w:tc>
          <w:tcPr>
            <w:tcW w:w="1294" w:type="dxa"/>
            <w:noWrap w:val="0"/>
            <w:vAlign w:val="center"/>
          </w:tcPr>
          <w:p w14:paraId="382A403F">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0E75DDD">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72CF49C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650DA2E">
            <w:pPr>
              <w:pageBreakBefore w:val="0"/>
              <w:kinsoku/>
              <w:wordWrap/>
              <w:overflowPunct/>
              <w:bidi w:val="0"/>
              <w:jc w:val="center"/>
              <w:textAlignment w:val="auto"/>
              <w:rPr>
                <w:rFonts w:hint="eastAsia" w:ascii="宋体" w:hAnsi="宋体" w:cs="宋体"/>
                <w:bCs/>
                <w:color w:val="auto"/>
                <w:highlight w:val="none"/>
              </w:rPr>
            </w:pPr>
          </w:p>
        </w:tc>
      </w:tr>
      <w:tr w14:paraId="65D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C8ED0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2</w:t>
            </w:r>
          </w:p>
        </w:tc>
        <w:tc>
          <w:tcPr>
            <w:tcW w:w="1294" w:type="dxa"/>
            <w:noWrap w:val="0"/>
            <w:vAlign w:val="center"/>
          </w:tcPr>
          <w:p w14:paraId="48659E3E">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A6CB9E">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4D8734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5F21C067">
            <w:pPr>
              <w:pageBreakBefore w:val="0"/>
              <w:kinsoku/>
              <w:wordWrap/>
              <w:overflowPunct/>
              <w:bidi w:val="0"/>
              <w:jc w:val="center"/>
              <w:textAlignment w:val="auto"/>
              <w:rPr>
                <w:rFonts w:hint="eastAsia" w:ascii="宋体" w:hAnsi="宋体" w:cs="宋体"/>
                <w:bCs/>
                <w:color w:val="auto"/>
                <w:highlight w:val="none"/>
              </w:rPr>
            </w:pPr>
          </w:p>
        </w:tc>
      </w:tr>
      <w:tr w14:paraId="3E44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6DB04AA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3</w:t>
            </w:r>
          </w:p>
        </w:tc>
        <w:tc>
          <w:tcPr>
            <w:tcW w:w="1294" w:type="dxa"/>
            <w:noWrap w:val="0"/>
            <w:vAlign w:val="center"/>
          </w:tcPr>
          <w:p w14:paraId="2B3EC20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685249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19F51DB9">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0E6E56AC">
            <w:pPr>
              <w:pageBreakBefore w:val="0"/>
              <w:kinsoku/>
              <w:wordWrap/>
              <w:overflowPunct/>
              <w:bidi w:val="0"/>
              <w:jc w:val="center"/>
              <w:textAlignment w:val="auto"/>
              <w:rPr>
                <w:rFonts w:hint="eastAsia" w:ascii="宋体" w:hAnsi="宋体" w:cs="宋体"/>
                <w:bCs/>
                <w:color w:val="auto"/>
                <w:highlight w:val="none"/>
              </w:rPr>
            </w:pPr>
          </w:p>
        </w:tc>
      </w:tr>
      <w:tr w14:paraId="77BB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0992B87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4</w:t>
            </w:r>
          </w:p>
        </w:tc>
        <w:tc>
          <w:tcPr>
            <w:tcW w:w="1294" w:type="dxa"/>
            <w:noWrap w:val="0"/>
            <w:vAlign w:val="center"/>
          </w:tcPr>
          <w:p w14:paraId="642D073B">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F7D93A">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0FD3F4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6703A143">
            <w:pPr>
              <w:pageBreakBefore w:val="0"/>
              <w:kinsoku/>
              <w:wordWrap/>
              <w:overflowPunct/>
              <w:bidi w:val="0"/>
              <w:jc w:val="center"/>
              <w:textAlignment w:val="auto"/>
              <w:rPr>
                <w:rFonts w:hint="eastAsia" w:ascii="宋体" w:hAnsi="宋体" w:cs="宋体"/>
                <w:bCs/>
                <w:color w:val="auto"/>
                <w:highlight w:val="none"/>
              </w:rPr>
            </w:pPr>
          </w:p>
        </w:tc>
      </w:tr>
      <w:tr w14:paraId="214E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AEA44B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w:t>
            </w:r>
          </w:p>
        </w:tc>
        <w:tc>
          <w:tcPr>
            <w:tcW w:w="1294" w:type="dxa"/>
            <w:noWrap w:val="0"/>
            <w:vAlign w:val="center"/>
          </w:tcPr>
          <w:p w14:paraId="595FE649">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240E4076">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4BD4E76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90639B6">
            <w:pPr>
              <w:pageBreakBefore w:val="0"/>
              <w:kinsoku/>
              <w:wordWrap/>
              <w:overflowPunct/>
              <w:bidi w:val="0"/>
              <w:jc w:val="center"/>
              <w:textAlignment w:val="auto"/>
              <w:rPr>
                <w:rFonts w:hint="eastAsia" w:ascii="宋体" w:hAnsi="宋体" w:cs="宋体"/>
                <w:bCs/>
                <w:color w:val="auto"/>
                <w:highlight w:val="none"/>
              </w:rPr>
            </w:pPr>
          </w:p>
        </w:tc>
      </w:tr>
      <w:tr w14:paraId="19A4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0AD582C">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341B2AB6">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4B4560">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2E947C69">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7285F9DA">
            <w:pPr>
              <w:pageBreakBefore w:val="0"/>
              <w:kinsoku/>
              <w:wordWrap/>
              <w:overflowPunct/>
              <w:bidi w:val="0"/>
              <w:jc w:val="center"/>
              <w:textAlignment w:val="auto"/>
              <w:rPr>
                <w:rFonts w:hint="eastAsia" w:ascii="宋体" w:hAnsi="宋体" w:cs="宋体"/>
                <w:bCs/>
                <w:color w:val="auto"/>
                <w:highlight w:val="none"/>
              </w:rPr>
            </w:pPr>
          </w:p>
        </w:tc>
      </w:tr>
      <w:tr w14:paraId="6588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891C9AD">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7473C034">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D1D55C">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1E14B1D">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1F88FC62">
            <w:pPr>
              <w:pageBreakBefore w:val="0"/>
              <w:kinsoku/>
              <w:wordWrap/>
              <w:overflowPunct/>
              <w:bidi w:val="0"/>
              <w:jc w:val="center"/>
              <w:textAlignment w:val="auto"/>
              <w:rPr>
                <w:rFonts w:hint="eastAsia" w:ascii="宋体" w:hAnsi="宋体" w:cs="宋体"/>
                <w:bCs/>
                <w:color w:val="auto"/>
                <w:highlight w:val="none"/>
              </w:rPr>
            </w:pPr>
          </w:p>
        </w:tc>
      </w:tr>
      <w:tr w14:paraId="0CC8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059EA7B">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41010F3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5B8497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063D596">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0E58B91D">
            <w:pPr>
              <w:pageBreakBefore w:val="0"/>
              <w:kinsoku/>
              <w:wordWrap/>
              <w:overflowPunct/>
              <w:bidi w:val="0"/>
              <w:jc w:val="center"/>
              <w:textAlignment w:val="auto"/>
              <w:rPr>
                <w:rFonts w:hint="eastAsia" w:ascii="宋体" w:hAnsi="宋体" w:cs="宋体"/>
                <w:bCs/>
                <w:color w:val="auto"/>
                <w:highlight w:val="none"/>
              </w:rPr>
            </w:pPr>
          </w:p>
        </w:tc>
      </w:tr>
    </w:tbl>
    <w:p w14:paraId="3F5E5FA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1D08B98F">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F538E5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55CDEFB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7164AE3E">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0914D613">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AEB9CD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D9232D8">
      <w:pPr>
        <w:pageBreakBefore w:val="0"/>
        <w:kinsoku/>
        <w:wordWrap/>
        <w:overflowPunct/>
        <w:bidi w:val="0"/>
        <w:snapToGrid w:val="0"/>
        <w:spacing w:after="200" w:line="360" w:lineRule="auto"/>
        <w:textAlignment w:val="auto"/>
        <w:rPr>
          <w:rFonts w:hint="eastAsia" w:ascii="宋体" w:hAnsi="宋体" w:cs="宋体"/>
          <w:color w:val="auto"/>
          <w:highlight w:val="none"/>
        </w:rPr>
      </w:pPr>
    </w:p>
    <w:p w14:paraId="507B981C">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1156" w:name="_Toc28916"/>
      <w:r>
        <w:rPr>
          <w:rStyle w:val="62"/>
          <w:rFonts w:hint="eastAsia" w:ascii="宋体" w:hAnsi="宋体" w:cs="宋体"/>
          <w:color w:val="auto"/>
          <w:sz w:val="30"/>
          <w:szCs w:val="30"/>
          <w:highlight w:val="none"/>
        </w:rPr>
        <w:br w:type="page"/>
      </w:r>
      <w:bookmarkStart w:id="1157" w:name="_Toc1823561827"/>
      <w:bookmarkStart w:id="1158" w:name="_Toc55951836"/>
      <w:bookmarkStart w:id="1159" w:name="_Toc1539117073"/>
      <w:bookmarkStart w:id="1160" w:name="_Toc1242469676"/>
      <w:bookmarkStart w:id="1161" w:name="_Toc1421811480"/>
      <w:r>
        <w:rPr>
          <w:rStyle w:val="62"/>
          <w:rFonts w:hint="eastAsia" w:ascii="宋体" w:hAnsi="宋体" w:cs="宋体"/>
          <w:color w:val="auto"/>
          <w:sz w:val="30"/>
          <w:szCs w:val="30"/>
          <w:highlight w:val="none"/>
        </w:rPr>
        <w:t>三、</w:t>
      </w:r>
      <w:r>
        <w:rPr>
          <w:rStyle w:val="62"/>
          <w:rFonts w:hint="eastAsia" w:ascii="宋体" w:hAnsi="宋体" w:cs="宋体"/>
          <w:color w:val="auto"/>
          <w:sz w:val="30"/>
          <w:szCs w:val="30"/>
          <w:highlight w:val="none"/>
          <w:lang w:val="en-US" w:eastAsia="zh-CN"/>
        </w:rPr>
        <w:t>拟</w:t>
      </w:r>
      <w:r>
        <w:rPr>
          <w:rStyle w:val="62"/>
          <w:rFonts w:hint="eastAsia" w:ascii="宋体" w:hAnsi="宋体" w:cs="宋体"/>
          <w:color w:val="auto"/>
          <w:sz w:val="30"/>
          <w:szCs w:val="30"/>
          <w:highlight w:val="none"/>
        </w:rPr>
        <w:t>投入的设备、仪器表</w:t>
      </w:r>
      <w:bookmarkEnd w:id="1156"/>
    </w:p>
    <w:bookmarkEnd w:id="1157"/>
    <w:bookmarkEnd w:id="1158"/>
    <w:bookmarkEnd w:id="1159"/>
    <w:bookmarkEnd w:id="1160"/>
    <w:bookmarkEnd w:id="1161"/>
    <w:p w14:paraId="4EDD6099">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90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306"/>
        <w:gridCol w:w="1306"/>
        <w:gridCol w:w="843"/>
        <w:gridCol w:w="1306"/>
        <w:gridCol w:w="1306"/>
        <w:gridCol w:w="1299"/>
        <w:gridCol w:w="845"/>
      </w:tblGrid>
      <w:tr w14:paraId="1233E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3" w:hRule="exact"/>
          <w:jc w:val="center"/>
        </w:trPr>
        <w:tc>
          <w:tcPr>
            <w:tcW w:w="841" w:type="dxa"/>
            <w:noWrap w:val="0"/>
            <w:vAlign w:val="center"/>
          </w:tcPr>
          <w:p w14:paraId="38BC67C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序号</w:t>
            </w:r>
          </w:p>
        </w:tc>
        <w:tc>
          <w:tcPr>
            <w:tcW w:w="1306" w:type="dxa"/>
            <w:noWrap w:val="0"/>
            <w:vAlign w:val="center"/>
          </w:tcPr>
          <w:p w14:paraId="648C3BE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设备名称</w:t>
            </w:r>
          </w:p>
        </w:tc>
        <w:tc>
          <w:tcPr>
            <w:tcW w:w="1306" w:type="dxa"/>
            <w:noWrap w:val="0"/>
            <w:vAlign w:val="center"/>
          </w:tcPr>
          <w:p w14:paraId="70C7C064">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规格型号</w:t>
            </w:r>
          </w:p>
        </w:tc>
        <w:tc>
          <w:tcPr>
            <w:tcW w:w="843" w:type="dxa"/>
            <w:noWrap w:val="0"/>
            <w:vAlign w:val="center"/>
          </w:tcPr>
          <w:p w14:paraId="282FF9F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数量</w:t>
            </w:r>
          </w:p>
        </w:tc>
        <w:tc>
          <w:tcPr>
            <w:tcW w:w="1306" w:type="dxa"/>
            <w:noWrap w:val="0"/>
            <w:vAlign w:val="center"/>
          </w:tcPr>
          <w:p w14:paraId="3D2AE7B9">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产地</w:t>
            </w:r>
            <w:r>
              <w:rPr>
                <w:rFonts w:hint="eastAsia" w:ascii="宋体" w:hAnsi="宋体" w:cs="宋体"/>
                <w:bCs/>
                <w:color w:val="auto"/>
                <w:highlight w:val="none"/>
                <w:lang w:val="en-US" w:eastAsia="zh-CN"/>
              </w:rPr>
              <w:t>/</w:t>
            </w:r>
            <w:r>
              <w:rPr>
                <w:rFonts w:hint="eastAsia" w:ascii="宋体" w:hAnsi="宋体" w:cs="宋体"/>
                <w:bCs/>
                <w:color w:val="auto"/>
                <w:highlight w:val="none"/>
              </w:rPr>
              <w:t>国家</w:t>
            </w:r>
          </w:p>
        </w:tc>
        <w:tc>
          <w:tcPr>
            <w:tcW w:w="1306" w:type="dxa"/>
            <w:noWrap w:val="0"/>
            <w:vAlign w:val="center"/>
          </w:tcPr>
          <w:p w14:paraId="10AB849D">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制造年代</w:t>
            </w:r>
          </w:p>
        </w:tc>
        <w:tc>
          <w:tcPr>
            <w:tcW w:w="1299" w:type="dxa"/>
            <w:noWrap w:val="0"/>
            <w:vAlign w:val="center"/>
          </w:tcPr>
          <w:p w14:paraId="336B57EF">
            <w:pPr>
              <w:pageBreakBefore w:val="0"/>
              <w:kinsoku/>
              <w:wordWrap/>
              <w:overflowPunct/>
              <w:bidi w:val="0"/>
              <w:jc w:val="center"/>
              <w:textAlignment w:val="auto"/>
              <w:rPr>
                <w:rFonts w:hint="default" w:ascii="宋体" w:hAnsi="宋体" w:eastAsia="宋体" w:cs="宋体"/>
                <w:bCs/>
                <w:color w:val="auto"/>
                <w:highlight w:val="none"/>
                <w:lang w:val="en-US" w:eastAsia="zh-CN"/>
              </w:rPr>
            </w:pPr>
            <w:r>
              <w:rPr>
                <w:rFonts w:hint="eastAsia" w:ascii="宋体" w:hAnsi="宋体" w:cs="宋体"/>
                <w:bCs/>
                <w:color w:val="auto"/>
                <w:highlight w:val="none"/>
                <w:lang w:val="en-US" w:eastAsia="zh-CN"/>
              </w:rPr>
              <w:t>拟使用部位</w:t>
            </w:r>
          </w:p>
        </w:tc>
        <w:tc>
          <w:tcPr>
            <w:tcW w:w="845" w:type="dxa"/>
            <w:noWrap w:val="0"/>
            <w:vAlign w:val="center"/>
          </w:tcPr>
          <w:p w14:paraId="1B7F6D04">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备注</w:t>
            </w:r>
          </w:p>
        </w:tc>
      </w:tr>
      <w:tr w14:paraId="0CD1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47DA4A0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1</w:t>
            </w:r>
          </w:p>
        </w:tc>
        <w:tc>
          <w:tcPr>
            <w:tcW w:w="1306" w:type="dxa"/>
            <w:noWrap w:val="0"/>
            <w:vAlign w:val="center"/>
          </w:tcPr>
          <w:p w14:paraId="52412A77">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34D7B22">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29D63E5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D7C464C">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07206E2">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31BA6727">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39D4D318">
            <w:pPr>
              <w:pageBreakBefore w:val="0"/>
              <w:kinsoku/>
              <w:wordWrap/>
              <w:overflowPunct/>
              <w:bidi w:val="0"/>
              <w:jc w:val="center"/>
              <w:textAlignment w:val="auto"/>
              <w:rPr>
                <w:rFonts w:hint="eastAsia" w:ascii="宋体" w:hAnsi="宋体" w:cs="宋体"/>
                <w:bCs/>
                <w:color w:val="auto"/>
                <w:highlight w:val="none"/>
              </w:rPr>
            </w:pPr>
          </w:p>
        </w:tc>
      </w:tr>
      <w:tr w14:paraId="729C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763D325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2</w:t>
            </w:r>
          </w:p>
        </w:tc>
        <w:tc>
          <w:tcPr>
            <w:tcW w:w="1306" w:type="dxa"/>
            <w:noWrap w:val="0"/>
            <w:vAlign w:val="center"/>
          </w:tcPr>
          <w:p w14:paraId="4CCF0A53">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47932A6">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005C8D09">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0421A56">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8EC1709">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576E5B0B">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724C63AC">
            <w:pPr>
              <w:pageBreakBefore w:val="0"/>
              <w:kinsoku/>
              <w:wordWrap/>
              <w:overflowPunct/>
              <w:bidi w:val="0"/>
              <w:jc w:val="center"/>
              <w:textAlignment w:val="auto"/>
              <w:rPr>
                <w:rFonts w:hint="eastAsia" w:ascii="宋体" w:hAnsi="宋体" w:cs="宋体"/>
                <w:bCs/>
                <w:color w:val="auto"/>
                <w:highlight w:val="none"/>
              </w:rPr>
            </w:pPr>
          </w:p>
        </w:tc>
      </w:tr>
      <w:tr w14:paraId="0C11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73B9386D">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3</w:t>
            </w:r>
          </w:p>
        </w:tc>
        <w:tc>
          <w:tcPr>
            <w:tcW w:w="1306" w:type="dxa"/>
            <w:noWrap w:val="0"/>
            <w:vAlign w:val="center"/>
          </w:tcPr>
          <w:p w14:paraId="6EB3A7DC">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7941EA8">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3CC7F530">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1B07462A">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0630494">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4920725E">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5AF0D001">
            <w:pPr>
              <w:pageBreakBefore w:val="0"/>
              <w:kinsoku/>
              <w:wordWrap/>
              <w:overflowPunct/>
              <w:bidi w:val="0"/>
              <w:jc w:val="center"/>
              <w:textAlignment w:val="auto"/>
              <w:rPr>
                <w:rFonts w:hint="eastAsia" w:ascii="宋体" w:hAnsi="宋体" w:cs="宋体"/>
                <w:bCs/>
                <w:color w:val="auto"/>
                <w:highlight w:val="none"/>
              </w:rPr>
            </w:pPr>
          </w:p>
        </w:tc>
      </w:tr>
      <w:tr w14:paraId="2FDF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01997BF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w:t>
            </w:r>
          </w:p>
        </w:tc>
        <w:tc>
          <w:tcPr>
            <w:tcW w:w="1306" w:type="dxa"/>
            <w:noWrap w:val="0"/>
            <w:vAlign w:val="center"/>
          </w:tcPr>
          <w:p w14:paraId="56CF656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AE14C60">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2AA21FD5">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B43B314">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5989C1E">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2110F81A">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0B5C5540">
            <w:pPr>
              <w:pageBreakBefore w:val="0"/>
              <w:kinsoku/>
              <w:wordWrap/>
              <w:overflowPunct/>
              <w:bidi w:val="0"/>
              <w:jc w:val="center"/>
              <w:textAlignment w:val="auto"/>
              <w:rPr>
                <w:rFonts w:hint="eastAsia" w:ascii="宋体" w:hAnsi="宋体" w:cs="宋体"/>
                <w:bCs/>
                <w:color w:val="auto"/>
                <w:highlight w:val="none"/>
              </w:rPr>
            </w:pPr>
          </w:p>
        </w:tc>
      </w:tr>
      <w:tr w14:paraId="2C48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3B350623">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0889A8C">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4C1E96B2">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357553D8">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147B4682">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C7C1FAF">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5E96778F">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75DB6B83">
            <w:pPr>
              <w:pageBreakBefore w:val="0"/>
              <w:kinsoku/>
              <w:wordWrap/>
              <w:overflowPunct/>
              <w:bidi w:val="0"/>
              <w:jc w:val="center"/>
              <w:textAlignment w:val="auto"/>
              <w:rPr>
                <w:rFonts w:hint="eastAsia" w:ascii="宋体" w:hAnsi="宋体" w:cs="宋体"/>
                <w:bCs/>
                <w:color w:val="auto"/>
                <w:highlight w:val="none"/>
              </w:rPr>
            </w:pPr>
          </w:p>
        </w:tc>
      </w:tr>
      <w:tr w14:paraId="2BC73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0DA62089">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2753971">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394AC71">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1A1ADDA8">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5240E6E">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214BAA7">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5CE3C272">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3D6CA55E">
            <w:pPr>
              <w:pageBreakBefore w:val="0"/>
              <w:kinsoku/>
              <w:wordWrap/>
              <w:overflowPunct/>
              <w:bidi w:val="0"/>
              <w:jc w:val="center"/>
              <w:textAlignment w:val="auto"/>
              <w:rPr>
                <w:rFonts w:hint="eastAsia" w:ascii="宋体" w:hAnsi="宋体" w:cs="宋体"/>
                <w:bCs/>
                <w:color w:val="auto"/>
                <w:highlight w:val="none"/>
              </w:rPr>
            </w:pPr>
          </w:p>
        </w:tc>
      </w:tr>
      <w:tr w14:paraId="08FA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04AC60C4">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D058F46">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0D73406">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6B5CE8EA">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31E8AFB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0627386">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3938D0E0">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45146EBF">
            <w:pPr>
              <w:pageBreakBefore w:val="0"/>
              <w:kinsoku/>
              <w:wordWrap/>
              <w:overflowPunct/>
              <w:bidi w:val="0"/>
              <w:jc w:val="center"/>
              <w:textAlignment w:val="auto"/>
              <w:rPr>
                <w:rFonts w:hint="eastAsia" w:ascii="宋体" w:hAnsi="宋体" w:cs="宋体"/>
                <w:bCs/>
                <w:color w:val="auto"/>
                <w:highlight w:val="none"/>
              </w:rPr>
            </w:pPr>
          </w:p>
        </w:tc>
      </w:tr>
      <w:tr w14:paraId="5D74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841" w:type="dxa"/>
            <w:noWrap w:val="0"/>
            <w:vAlign w:val="center"/>
          </w:tcPr>
          <w:p w14:paraId="1C06AE2F">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271CA11B">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53FFEBA9">
            <w:pPr>
              <w:pageBreakBefore w:val="0"/>
              <w:kinsoku/>
              <w:wordWrap/>
              <w:overflowPunct/>
              <w:bidi w:val="0"/>
              <w:jc w:val="center"/>
              <w:textAlignment w:val="auto"/>
              <w:rPr>
                <w:rFonts w:hint="eastAsia" w:ascii="宋体" w:hAnsi="宋体" w:cs="宋体"/>
                <w:bCs/>
                <w:color w:val="auto"/>
                <w:highlight w:val="none"/>
              </w:rPr>
            </w:pPr>
          </w:p>
        </w:tc>
        <w:tc>
          <w:tcPr>
            <w:tcW w:w="843" w:type="dxa"/>
            <w:noWrap w:val="0"/>
            <w:vAlign w:val="center"/>
          </w:tcPr>
          <w:p w14:paraId="145B33A1">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045599AA">
            <w:pPr>
              <w:pageBreakBefore w:val="0"/>
              <w:kinsoku/>
              <w:wordWrap/>
              <w:overflowPunct/>
              <w:bidi w:val="0"/>
              <w:jc w:val="center"/>
              <w:textAlignment w:val="auto"/>
              <w:rPr>
                <w:rFonts w:hint="eastAsia" w:ascii="宋体" w:hAnsi="宋体" w:cs="宋体"/>
                <w:bCs/>
                <w:color w:val="auto"/>
                <w:highlight w:val="none"/>
              </w:rPr>
            </w:pPr>
          </w:p>
        </w:tc>
        <w:tc>
          <w:tcPr>
            <w:tcW w:w="1306" w:type="dxa"/>
            <w:noWrap w:val="0"/>
            <w:vAlign w:val="center"/>
          </w:tcPr>
          <w:p w14:paraId="6CD06B55">
            <w:pPr>
              <w:pageBreakBefore w:val="0"/>
              <w:kinsoku/>
              <w:wordWrap/>
              <w:overflowPunct/>
              <w:bidi w:val="0"/>
              <w:jc w:val="center"/>
              <w:textAlignment w:val="auto"/>
              <w:rPr>
                <w:rFonts w:hint="eastAsia" w:ascii="宋体" w:hAnsi="宋体" w:cs="宋体"/>
                <w:bCs/>
                <w:color w:val="auto"/>
                <w:highlight w:val="none"/>
              </w:rPr>
            </w:pPr>
          </w:p>
        </w:tc>
        <w:tc>
          <w:tcPr>
            <w:tcW w:w="1299" w:type="dxa"/>
            <w:noWrap w:val="0"/>
            <w:vAlign w:val="center"/>
          </w:tcPr>
          <w:p w14:paraId="2238F7E3">
            <w:pPr>
              <w:pageBreakBefore w:val="0"/>
              <w:kinsoku/>
              <w:wordWrap/>
              <w:overflowPunct/>
              <w:bidi w:val="0"/>
              <w:jc w:val="center"/>
              <w:textAlignment w:val="auto"/>
              <w:rPr>
                <w:rFonts w:hint="eastAsia" w:ascii="宋体" w:hAnsi="宋体" w:cs="宋体"/>
                <w:bCs/>
                <w:color w:val="auto"/>
                <w:highlight w:val="none"/>
              </w:rPr>
            </w:pPr>
          </w:p>
        </w:tc>
        <w:tc>
          <w:tcPr>
            <w:tcW w:w="845" w:type="dxa"/>
            <w:noWrap w:val="0"/>
            <w:vAlign w:val="center"/>
          </w:tcPr>
          <w:p w14:paraId="18990A88">
            <w:pPr>
              <w:pageBreakBefore w:val="0"/>
              <w:kinsoku/>
              <w:wordWrap/>
              <w:overflowPunct/>
              <w:bidi w:val="0"/>
              <w:jc w:val="center"/>
              <w:textAlignment w:val="auto"/>
              <w:rPr>
                <w:rFonts w:hint="eastAsia" w:ascii="宋体" w:hAnsi="宋体" w:cs="宋体"/>
                <w:bCs/>
                <w:color w:val="auto"/>
                <w:highlight w:val="none"/>
              </w:rPr>
            </w:pPr>
          </w:p>
        </w:tc>
      </w:tr>
    </w:tbl>
    <w:p w14:paraId="6C651ED3">
      <w:pPr>
        <w:pageBreakBefore w:val="0"/>
        <w:kinsoku/>
        <w:wordWrap/>
        <w:overflowPunct/>
        <w:bidi w:val="0"/>
        <w:spacing w:after="200"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注：</w:t>
      </w:r>
      <w:r>
        <w:rPr>
          <w:rFonts w:hint="eastAsia" w:ascii="宋体" w:hAnsi="宋体" w:cs="宋体"/>
          <w:color w:val="auto"/>
          <w:highlight w:val="none"/>
        </w:rPr>
        <w:t xml:space="preserve">符合第五章 </w:t>
      </w:r>
      <w:r>
        <w:rPr>
          <w:rFonts w:hint="eastAsia" w:ascii="宋体" w:hAnsi="宋体" w:cs="宋体"/>
          <w:color w:val="auto"/>
          <w:highlight w:val="none"/>
          <w:lang w:eastAsia="zh-CN"/>
        </w:rPr>
        <w:t>采购人</w:t>
      </w:r>
      <w:r>
        <w:rPr>
          <w:rFonts w:hint="eastAsia" w:ascii="宋体" w:hAnsi="宋体" w:cs="宋体"/>
          <w:color w:val="auto"/>
          <w:highlight w:val="none"/>
        </w:rPr>
        <w:t>要求“4.</w:t>
      </w:r>
      <w:r>
        <w:rPr>
          <w:rFonts w:hint="eastAsia" w:ascii="宋体" w:hAnsi="宋体" w:cs="宋体"/>
          <w:color w:val="auto"/>
          <w:highlight w:val="none"/>
          <w:lang w:eastAsia="zh-CN"/>
        </w:rPr>
        <w:t>服务单位</w:t>
      </w:r>
      <w:r>
        <w:rPr>
          <w:rFonts w:hint="eastAsia" w:ascii="宋体" w:hAnsi="宋体" w:cs="宋体"/>
          <w:color w:val="auto"/>
          <w:highlight w:val="none"/>
        </w:rPr>
        <w:t>员和试验检测仪器设备要求”</w:t>
      </w:r>
    </w:p>
    <w:p w14:paraId="19341794">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26B9B294">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9698528">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21B7D490">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289810A7">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5E659F91">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642C39FB">
      <w:pPr>
        <w:pageBreakBefore w:val="0"/>
        <w:kinsoku/>
        <w:wordWrap/>
        <w:overflowPunct/>
        <w:bidi w:val="0"/>
        <w:snapToGrid w:val="0"/>
        <w:spacing w:after="200" w:line="360" w:lineRule="auto"/>
        <w:textAlignment w:val="auto"/>
        <w:rPr>
          <w:rFonts w:hint="eastAsia" w:ascii="宋体" w:hAnsi="宋体" w:cs="宋体"/>
          <w:color w:val="auto"/>
          <w:highlight w:val="none"/>
        </w:rPr>
      </w:pPr>
    </w:p>
    <w:p w14:paraId="407A2DC2">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1162" w:name="_Toc31871"/>
      <w:bookmarkStart w:id="1163" w:name="_Toc4195"/>
      <w:r>
        <w:rPr>
          <w:rStyle w:val="62"/>
          <w:rFonts w:hint="eastAsia" w:ascii="宋体" w:hAnsi="宋体" w:cs="宋体"/>
          <w:color w:val="auto"/>
          <w:sz w:val="30"/>
          <w:szCs w:val="30"/>
          <w:highlight w:val="none"/>
        </w:rPr>
        <w:br w:type="page"/>
      </w:r>
      <w:bookmarkStart w:id="1164" w:name="_Toc270965722"/>
      <w:bookmarkStart w:id="1165" w:name="_Toc931455844"/>
      <w:bookmarkStart w:id="1166" w:name="_Toc670232307"/>
      <w:bookmarkStart w:id="1167" w:name="_Toc1114258033"/>
      <w:bookmarkStart w:id="1168" w:name="_Toc184161105"/>
      <w:r>
        <w:rPr>
          <w:rStyle w:val="62"/>
          <w:rFonts w:hint="eastAsia" w:ascii="宋体" w:hAnsi="宋体" w:cs="宋体"/>
          <w:color w:val="auto"/>
          <w:sz w:val="30"/>
          <w:szCs w:val="30"/>
          <w:highlight w:val="none"/>
        </w:rPr>
        <w:t>四、专业</w:t>
      </w:r>
      <w:r>
        <w:rPr>
          <w:rStyle w:val="62"/>
          <w:rFonts w:hint="eastAsia" w:ascii="宋体" w:hAnsi="宋体" w:cs="宋体"/>
          <w:color w:val="auto"/>
          <w:sz w:val="30"/>
          <w:szCs w:val="30"/>
          <w:highlight w:val="none"/>
          <w:lang w:eastAsia="zh-CN"/>
        </w:rPr>
        <w:t>服务单位</w:t>
      </w:r>
      <w:r>
        <w:rPr>
          <w:rStyle w:val="62"/>
          <w:rFonts w:hint="eastAsia" w:ascii="宋体" w:hAnsi="宋体" w:cs="宋体"/>
          <w:color w:val="auto"/>
          <w:sz w:val="30"/>
          <w:szCs w:val="30"/>
          <w:highlight w:val="none"/>
        </w:rPr>
        <w:t>员配置、年龄结构及技术职称</w:t>
      </w:r>
      <w:bookmarkEnd w:id="1162"/>
      <w:bookmarkEnd w:id="1163"/>
    </w:p>
    <w:bookmarkEnd w:id="1164"/>
    <w:bookmarkEnd w:id="1165"/>
    <w:bookmarkEnd w:id="1166"/>
    <w:bookmarkEnd w:id="1167"/>
    <w:bookmarkEnd w:id="1168"/>
    <w:p w14:paraId="62CDE120">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9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930"/>
        <w:gridCol w:w="830"/>
        <w:gridCol w:w="1101"/>
        <w:gridCol w:w="1142"/>
        <w:gridCol w:w="1286"/>
        <w:gridCol w:w="1418"/>
        <w:gridCol w:w="1581"/>
      </w:tblGrid>
      <w:tr w14:paraId="126B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384D7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序号</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D6FAC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姓名</w:t>
            </w: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C52858F">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性别</w:t>
            </w: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D45A4F">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年龄</w:t>
            </w: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872B71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职称</w:t>
            </w: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20FE34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lang w:eastAsia="zh-CN"/>
              </w:rPr>
            </w:pPr>
            <w:r>
              <w:rPr>
                <w:rFonts w:hint="eastAsia" w:ascii="宋体" w:hAnsi="宋体" w:cs="宋体"/>
                <w:snapToGrid w:val="0"/>
                <w:color w:val="auto"/>
                <w:sz w:val="21"/>
                <w:szCs w:val="21"/>
                <w:highlight w:val="none"/>
                <w:lang w:val="en-US" w:eastAsia="zh-CN"/>
              </w:rPr>
              <w:t>专业</w:t>
            </w: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599E0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拟任职务</w:t>
            </w: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4C35A5">
            <w:pPr>
              <w:pStyle w:val="274"/>
              <w:pageBreakBefore w:val="0"/>
              <w:kinsoku/>
              <w:wordWrap/>
              <w:overflowPunct/>
              <w:bidi w:val="0"/>
              <w:spacing w:line="360" w:lineRule="auto"/>
              <w:jc w:val="center"/>
              <w:textAlignment w:val="auto"/>
              <w:rPr>
                <w:rFonts w:hint="default" w:ascii="宋体" w:hAnsi="宋体" w:eastAsia="宋体" w:cs="宋体"/>
                <w:snapToGrid w:val="0"/>
                <w:color w:val="auto"/>
                <w:sz w:val="21"/>
                <w:szCs w:val="21"/>
                <w:highlight w:val="none"/>
              </w:rPr>
            </w:pPr>
            <w:r>
              <w:rPr>
                <w:rFonts w:hint="default" w:ascii="宋体" w:hAnsi="宋体" w:cs="宋体"/>
                <w:snapToGrid w:val="0"/>
                <w:color w:val="auto"/>
                <w:sz w:val="21"/>
                <w:szCs w:val="21"/>
                <w:highlight w:val="none"/>
              </w:rPr>
              <w:t>专业工作年限</w:t>
            </w:r>
          </w:p>
        </w:tc>
      </w:tr>
      <w:tr w14:paraId="2C81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E99A4DD">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1</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C4ADD43">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D28ADD">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9C91C0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E00D4A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85C3B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DC62E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1664346">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65CB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8158579">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2</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0794C1">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E62E116">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9BA477">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1D41F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63D47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72EA6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F187B9">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7899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1FD65BE">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3</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19F1E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18A5F6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87479A7">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A9321D">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5D9C28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D21CA2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0C9E01">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47D0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8D0C5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w:t>
            </w: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80AC33">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9F5560C">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60B160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C2B5C5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71636C2">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B97D9AB">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F5084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r w14:paraId="0B4E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99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36F59F4">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9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C079E4">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83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AAF5B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0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8D244">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14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C926E45">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28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AC994E">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41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F1E087A">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c>
          <w:tcPr>
            <w:tcW w:w="158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41A0A8">
            <w:pPr>
              <w:pStyle w:val="274"/>
              <w:pageBreakBefore w:val="0"/>
              <w:kinsoku/>
              <w:wordWrap/>
              <w:overflowPunct/>
              <w:bidi w:val="0"/>
              <w:spacing w:line="360" w:lineRule="auto"/>
              <w:jc w:val="center"/>
              <w:textAlignment w:val="auto"/>
              <w:rPr>
                <w:rFonts w:hint="eastAsia" w:ascii="宋体" w:hAnsi="宋体" w:eastAsia="宋体" w:cs="宋体"/>
                <w:snapToGrid w:val="0"/>
                <w:color w:val="auto"/>
                <w:sz w:val="21"/>
                <w:szCs w:val="21"/>
                <w:highlight w:val="none"/>
              </w:rPr>
            </w:pPr>
          </w:p>
        </w:tc>
      </w:tr>
    </w:tbl>
    <w:p w14:paraId="44037A76">
      <w:pPr>
        <w:overflowPunct w:val="0"/>
        <w:spacing w:line="360" w:lineRule="auto"/>
        <w:ind w:firstLine="0" w:firstLineChars="0"/>
        <w:rPr>
          <w:rFonts w:hint="eastAsia" w:hAnsi="宋体"/>
          <w:sz w:val="21"/>
          <w:highlight w:val="none"/>
        </w:rPr>
      </w:pPr>
    </w:p>
    <w:p w14:paraId="2585F997">
      <w:pPr>
        <w:pStyle w:val="6"/>
        <w:numPr>
          <w:ilvl w:val="0"/>
          <w:numId w:val="13"/>
        </w:numPr>
        <w:overflowPunct w:val="0"/>
        <w:spacing w:before="120" w:beforeLines="50" w:after="120" w:afterLines="50" w:line="360" w:lineRule="auto"/>
        <w:rPr>
          <w:rFonts w:hint="eastAsia" w:hAnsi="宋体"/>
          <w:b/>
          <w:sz w:val="24"/>
          <w:highlight w:val="none"/>
        </w:rPr>
      </w:pPr>
      <w:bookmarkStart w:id="1169" w:name="_Toc146500190"/>
      <w:r>
        <w:rPr>
          <w:rFonts w:hint="eastAsia" w:hAnsi="宋体"/>
          <w:b/>
          <w:sz w:val="24"/>
          <w:highlight w:val="none"/>
          <w:lang w:val="en-US" w:eastAsia="zh-CN"/>
        </w:rPr>
        <w:t>拟投入人员</w:t>
      </w:r>
      <w:r>
        <w:rPr>
          <w:rFonts w:hAnsi="宋体"/>
          <w:b/>
          <w:sz w:val="24"/>
          <w:highlight w:val="none"/>
        </w:rPr>
        <w:t>年龄结构</w:t>
      </w:r>
      <w:r>
        <w:rPr>
          <w:rFonts w:hint="eastAsia" w:hAnsi="宋体"/>
          <w:b/>
          <w:sz w:val="24"/>
          <w:highlight w:val="none"/>
          <w:lang w:eastAsia="zh-CN"/>
        </w:rPr>
        <w:t>、</w:t>
      </w:r>
      <w:r>
        <w:rPr>
          <w:rFonts w:hint="eastAsia" w:hAnsi="宋体"/>
          <w:b/>
          <w:sz w:val="24"/>
          <w:highlight w:val="none"/>
          <w:lang w:val="en-US" w:eastAsia="zh-CN"/>
        </w:rPr>
        <w:t>专业工作年限、职称统计</w:t>
      </w:r>
      <w:bookmarkEnd w:id="1169"/>
      <w:r>
        <w:rPr>
          <w:rFonts w:hint="default" w:hAnsi="宋体"/>
          <w:b/>
          <w:sz w:val="24"/>
          <w:highlight w:val="none"/>
          <w:lang w:eastAsia="zh-CN"/>
        </w:rPr>
        <w:t>表</w:t>
      </w:r>
      <w:r>
        <w:rPr>
          <w:rFonts w:hint="eastAsia" w:hAnsi="宋体"/>
          <w:b/>
          <w:sz w:val="24"/>
          <w:highlight w:val="none"/>
          <w:lang w:val="en-US" w:eastAsia="zh-CN"/>
        </w:rPr>
        <w:t>：</w:t>
      </w:r>
    </w:p>
    <w:p w14:paraId="1131FC5E">
      <w:pPr>
        <w:pStyle w:val="6"/>
        <w:numPr>
          <w:ilvl w:val="0"/>
          <w:numId w:val="13"/>
        </w:numPr>
        <w:overflowPunct w:val="0"/>
        <w:spacing w:before="120" w:beforeLines="50" w:after="120" w:afterLines="50" w:line="360" w:lineRule="auto"/>
        <w:rPr>
          <w:rFonts w:hint="eastAsia" w:hAnsi="宋体"/>
          <w:b/>
          <w:sz w:val="24"/>
          <w:highlight w:val="none"/>
        </w:rPr>
      </w:pPr>
      <w:r>
        <w:rPr>
          <w:rFonts w:hint="eastAsia" w:hAnsi="宋体"/>
          <w:sz w:val="21"/>
          <w:highlight w:val="none"/>
          <w:vertAlign w:val="baseline"/>
          <w:lang w:val="en-US" w:eastAsia="zh-CN"/>
        </w:rPr>
        <w:t>拟投入总人数</w:t>
      </w:r>
      <w:r>
        <w:rPr>
          <w:rFonts w:hint="eastAsia" w:hAnsi="宋体"/>
          <w:sz w:val="21"/>
          <w:highlight w:val="none"/>
          <w:u w:val="single"/>
          <w:vertAlign w:val="baseline"/>
          <w:lang w:val="en-US" w:eastAsia="zh-CN"/>
        </w:rPr>
        <w:t xml:space="preserve">      </w:t>
      </w:r>
      <w:r>
        <w:rPr>
          <w:rFonts w:hint="eastAsia" w:hAnsi="宋体"/>
          <w:sz w:val="21"/>
          <w:highlight w:val="none"/>
          <w:vertAlign w:val="baseline"/>
          <w:lang w:val="en-US" w:eastAsia="zh-CN"/>
        </w:rPr>
        <w:t>人</w:t>
      </w:r>
    </w:p>
    <w:tbl>
      <w:tblPr>
        <w:tblStyle w:val="5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1"/>
        <w:gridCol w:w="1173"/>
        <w:gridCol w:w="1943"/>
        <w:gridCol w:w="1084"/>
        <w:gridCol w:w="1974"/>
        <w:gridCol w:w="935"/>
      </w:tblGrid>
      <w:tr w14:paraId="4E1A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24" w:type="dxa"/>
            <w:gridSpan w:val="2"/>
          </w:tcPr>
          <w:p w14:paraId="59A265D0">
            <w:pPr>
              <w:overflowPunct w:val="0"/>
              <w:spacing w:line="360" w:lineRule="auto"/>
              <w:jc w:val="center"/>
              <w:rPr>
                <w:rFonts w:hint="default" w:hAnsi="宋体"/>
                <w:sz w:val="21"/>
                <w:highlight w:val="none"/>
                <w:vertAlign w:val="baseline"/>
                <w:lang w:val="en-US" w:eastAsia="zh-CN"/>
              </w:rPr>
            </w:pPr>
            <w:r>
              <w:rPr>
                <w:rFonts w:hint="default" w:hAnsi="宋体"/>
                <w:sz w:val="21"/>
                <w:highlight w:val="none"/>
                <w:vertAlign w:val="baseline"/>
                <w:lang w:eastAsia="zh-CN"/>
              </w:rPr>
              <w:t>年龄结构</w:t>
            </w:r>
          </w:p>
        </w:tc>
        <w:tc>
          <w:tcPr>
            <w:tcW w:w="3027" w:type="dxa"/>
            <w:gridSpan w:val="2"/>
          </w:tcPr>
          <w:p w14:paraId="193ACC26">
            <w:pPr>
              <w:overflowPunct w:val="0"/>
              <w:spacing w:line="360" w:lineRule="auto"/>
              <w:jc w:val="center"/>
              <w:rPr>
                <w:rFonts w:hint="default" w:hAnsi="宋体"/>
                <w:sz w:val="21"/>
                <w:highlight w:val="none"/>
                <w:vertAlign w:val="baseline"/>
                <w:lang w:val="en-US" w:eastAsia="zh-CN"/>
              </w:rPr>
            </w:pPr>
            <w:r>
              <w:rPr>
                <w:rFonts w:hint="eastAsia" w:ascii="宋体" w:hAnsi="宋体" w:cs="Times New Roman"/>
                <w:sz w:val="21"/>
                <w:szCs w:val="24"/>
                <w:highlight w:val="none"/>
                <w:lang w:val="en-US" w:eastAsia="zh-CN"/>
              </w:rPr>
              <w:t>专业工作年限</w:t>
            </w:r>
          </w:p>
        </w:tc>
        <w:tc>
          <w:tcPr>
            <w:tcW w:w="2909" w:type="dxa"/>
            <w:gridSpan w:val="2"/>
          </w:tcPr>
          <w:p w14:paraId="34335A55">
            <w:pPr>
              <w:overflowPunct w:val="0"/>
              <w:spacing w:line="360" w:lineRule="auto"/>
              <w:jc w:val="center"/>
              <w:rPr>
                <w:rFonts w:hint="default" w:hAnsi="宋体"/>
                <w:sz w:val="21"/>
                <w:highlight w:val="none"/>
                <w:vertAlign w:val="baseline"/>
                <w:lang w:val="en-US" w:eastAsia="zh-CN"/>
              </w:rPr>
            </w:pPr>
            <w:r>
              <w:rPr>
                <w:rFonts w:hint="default" w:hAnsi="宋体"/>
                <w:sz w:val="21"/>
                <w:highlight w:val="none"/>
                <w:vertAlign w:val="baseline"/>
                <w:lang w:eastAsia="zh-CN"/>
              </w:rPr>
              <w:t>技术</w:t>
            </w:r>
            <w:r>
              <w:rPr>
                <w:rFonts w:hint="eastAsia" w:hAnsi="宋体"/>
                <w:sz w:val="21"/>
                <w:highlight w:val="none"/>
                <w:vertAlign w:val="baseline"/>
                <w:lang w:val="en-US" w:eastAsia="zh-CN"/>
              </w:rPr>
              <w:t>职称</w:t>
            </w:r>
          </w:p>
        </w:tc>
      </w:tr>
      <w:tr w14:paraId="360C1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1" w:type="dxa"/>
            <w:shd w:val="clear" w:color="auto" w:fill="auto"/>
            <w:vAlign w:val="top"/>
          </w:tcPr>
          <w:p w14:paraId="703F8E79">
            <w:pPr>
              <w:overflowPunct w:val="0"/>
              <w:spacing w:line="360" w:lineRule="auto"/>
              <w:jc w:val="center"/>
              <w:rPr>
                <w:rFonts w:hint="default"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30岁以下占比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173" w:type="dxa"/>
          </w:tcPr>
          <w:p w14:paraId="76732E4B">
            <w:pPr>
              <w:overflowPunct w:val="0"/>
              <w:spacing w:line="360" w:lineRule="auto"/>
              <w:jc w:val="center"/>
              <w:rPr>
                <w:rFonts w:hint="eastAsia" w:hAnsi="宋体"/>
                <w:sz w:val="21"/>
                <w:highlight w:val="none"/>
                <w:vertAlign w:val="baseline"/>
                <w:lang w:val="en-US" w:eastAsia="zh-CN"/>
              </w:rPr>
            </w:pPr>
          </w:p>
        </w:tc>
        <w:tc>
          <w:tcPr>
            <w:tcW w:w="1943" w:type="dxa"/>
          </w:tcPr>
          <w:p w14:paraId="0741A395">
            <w:pPr>
              <w:overflowPunct w:val="0"/>
              <w:spacing w:line="360" w:lineRule="auto"/>
              <w:jc w:val="center"/>
              <w:rPr>
                <w:rFonts w:hint="default" w:hAnsi="宋体"/>
                <w:sz w:val="21"/>
                <w:highlight w:val="none"/>
                <w:vertAlign w:val="baseline"/>
                <w:lang w:val="en-US" w:eastAsia="zh-CN"/>
              </w:rPr>
            </w:pPr>
            <w:r>
              <w:rPr>
                <w:rFonts w:hint="eastAsia" w:hAnsi="宋体"/>
                <w:sz w:val="21"/>
                <w:highlight w:val="none"/>
                <w:vertAlign w:val="baseline"/>
                <w:lang w:val="en-US" w:eastAsia="zh-CN"/>
              </w:rPr>
              <w:t>7年以下占比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084" w:type="dxa"/>
          </w:tcPr>
          <w:p w14:paraId="39B85144">
            <w:pPr>
              <w:overflowPunct w:val="0"/>
              <w:spacing w:line="360" w:lineRule="auto"/>
              <w:jc w:val="center"/>
              <w:rPr>
                <w:rFonts w:hint="eastAsia" w:hAnsi="宋体"/>
                <w:sz w:val="21"/>
                <w:highlight w:val="none"/>
                <w:vertAlign w:val="baseline"/>
                <w:lang w:val="en-US" w:eastAsia="zh-CN"/>
              </w:rPr>
            </w:pPr>
          </w:p>
        </w:tc>
        <w:tc>
          <w:tcPr>
            <w:tcW w:w="1974" w:type="dxa"/>
            <w:shd w:val="clear" w:color="auto" w:fill="auto"/>
            <w:vAlign w:val="top"/>
          </w:tcPr>
          <w:p w14:paraId="6B1E1C3B">
            <w:pPr>
              <w:overflowPunct w:val="0"/>
              <w:spacing w:line="360" w:lineRule="auto"/>
              <w:jc w:val="center"/>
              <w:rPr>
                <w:rFonts w:hint="default"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初级职称占比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935" w:type="dxa"/>
            <w:shd w:val="clear" w:color="auto" w:fill="auto"/>
            <w:vAlign w:val="top"/>
          </w:tcPr>
          <w:p w14:paraId="3B6A8439">
            <w:pPr>
              <w:overflowPunct w:val="0"/>
              <w:spacing w:line="360" w:lineRule="auto"/>
              <w:jc w:val="center"/>
              <w:rPr>
                <w:rFonts w:hint="eastAsia" w:hAnsi="宋体"/>
                <w:sz w:val="21"/>
                <w:highlight w:val="none"/>
                <w:vertAlign w:val="baseline"/>
                <w:lang w:val="en-US" w:eastAsia="zh-CN"/>
              </w:rPr>
            </w:pPr>
          </w:p>
        </w:tc>
      </w:tr>
      <w:tr w14:paraId="0355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1" w:type="dxa"/>
            <w:shd w:val="clear" w:color="auto" w:fill="auto"/>
            <w:vAlign w:val="top"/>
          </w:tcPr>
          <w:p w14:paraId="4A4F2975">
            <w:pPr>
              <w:overflowPunct w:val="0"/>
              <w:spacing w:line="360" w:lineRule="auto"/>
              <w:jc w:val="center"/>
              <w:rPr>
                <w:rFonts w:hint="eastAsia" w:ascii="Times New Roman" w:hAnsi="宋体" w:eastAsia="宋体" w:cs="Times New Roman"/>
                <w:kern w:val="2"/>
                <w:sz w:val="21"/>
                <w:highlight w:val="none"/>
                <w:vertAlign w:val="baseline"/>
                <w:lang w:val="en-US" w:eastAsia="zh-CN" w:bidi="ar-SA"/>
              </w:rPr>
            </w:pPr>
            <w:r>
              <w:rPr>
                <w:rFonts w:hint="eastAsia" w:ascii="Times New Roman" w:hAnsi="宋体" w:cs="Times New Roman"/>
                <w:sz w:val="21"/>
                <w:szCs w:val="20"/>
                <w:highlight w:val="none"/>
                <w:lang w:val="en-US" w:eastAsia="zh-CN"/>
              </w:rPr>
              <w:t>30</w:t>
            </w:r>
            <w:r>
              <w:rPr>
                <w:rFonts w:hint="eastAsia" w:ascii="Times New Roman" w:hAnsi="宋体" w:eastAsia="宋体" w:cs="Times New Roman"/>
                <w:sz w:val="21"/>
                <w:szCs w:val="20"/>
                <w:highlight w:val="none"/>
              </w:rPr>
              <w:t>-55岁</w:t>
            </w:r>
            <w:r>
              <w:rPr>
                <w:rFonts w:hint="eastAsia" w:ascii="Times New Roman" w:hAnsi="宋体" w:cs="Times New Roman"/>
                <w:sz w:val="21"/>
                <w:szCs w:val="20"/>
                <w:highlight w:val="none"/>
                <w:lang w:val="en-US" w:eastAsia="zh-CN"/>
              </w:rPr>
              <w:t>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173" w:type="dxa"/>
          </w:tcPr>
          <w:p w14:paraId="6FB172D8">
            <w:pPr>
              <w:overflowPunct w:val="0"/>
              <w:spacing w:line="360" w:lineRule="auto"/>
              <w:jc w:val="center"/>
              <w:rPr>
                <w:rFonts w:hint="eastAsia" w:hAnsi="宋体"/>
                <w:sz w:val="21"/>
                <w:highlight w:val="none"/>
                <w:vertAlign w:val="baseline"/>
                <w:lang w:val="en-US" w:eastAsia="zh-CN"/>
              </w:rPr>
            </w:pPr>
          </w:p>
        </w:tc>
        <w:tc>
          <w:tcPr>
            <w:tcW w:w="1943" w:type="dxa"/>
          </w:tcPr>
          <w:p w14:paraId="6481807A">
            <w:pPr>
              <w:overflowPunct w:val="0"/>
              <w:spacing w:line="360" w:lineRule="auto"/>
              <w:jc w:val="center"/>
              <w:rPr>
                <w:rFonts w:hint="default" w:hAnsi="宋体"/>
                <w:sz w:val="21"/>
                <w:highlight w:val="none"/>
                <w:vertAlign w:val="baseline"/>
                <w:lang w:val="en-US" w:eastAsia="zh-CN"/>
              </w:rPr>
            </w:pPr>
            <w:r>
              <w:rPr>
                <w:rFonts w:hint="eastAsia" w:hAnsi="宋体"/>
                <w:sz w:val="21"/>
                <w:highlight w:val="none"/>
                <w:vertAlign w:val="baseline"/>
                <w:lang w:val="en-US" w:eastAsia="zh-CN"/>
              </w:rPr>
              <w:t>7-15年占比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084" w:type="dxa"/>
          </w:tcPr>
          <w:p w14:paraId="385349B0">
            <w:pPr>
              <w:overflowPunct w:val="0"/>
              <w:spacing w:line="360" w:lineRule="auto"/>
              <w:jc w:val="center"/>
              <w:rPr>
                <w:rFonts w:hint="eastAsia" w:hAnsi="宋体"/>
                <w:sz w:val="21"/>
                <w:highlight w:val="none"/>
                <w:vertAlign w:val="baseline"/>
                <w:lang w:val="en-US" w:eastAsia="zh-CN"/>
              </w:rPr>
            </w:pPr>
          </w:p>
        </w:tc>
        <w:tc>
          <w:tcPr>
            <w:tcW w:w="1974" w:type="dxa"/>
            <w:shd w:val="clear" w:color="auto" w:fill="auto"/>
            <w:vAlign w:val="top"/>
          </w:tcPr>
          <w:p w14:paraId="7DC86A62">
            <w:pPr>
              <w:overflowPunct w:val="0"/>
              <w:spacing w:line="360" w:lineRule="auto"/>
              <w:jc w:val="center"/>
              <w:rPr>
                <w:rFonts w:hint="eastAsia"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中级职称占比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935" w:type="dxa"/>
            <w:shd w:val="clear" w:color="auto" w:fill="auto"/>
            <w:vAlign w:val="top"/>
          </w:tcPr>
          <w:p w14:paraId="045A613C">
            <w:pPr>
              <w:overflowPunct w:val="0"/>
              <w:spacing w:line="360" w:lineRule="auto"/>
              <w:jc w:val="center"/>
              <w:rPr>
                <w:rFonts w:hint="eastAsia" w:hAnsi="宋体"/>
                <w:sz w:val="21"/>
                <w:highlight w:val="none"/>
                <w:vertAlign w:val="baseline"/>
                <w:lang w:val="en-US" w:eastAsia="zh-CN"/>
              </w:rPr>
            </w:pPr>
          </w:p>
        </w:tc>
      </w:tr>
      <w:tr w14:paraId="0876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1" w:type="dxa"/>
            <w:shd w:val="clear" w:color="auto" w:fill="auto"/>
            <w:vAlign w:val="top"/>
          </w:tcPr>
          <w:p w14:paraId="4107B601">
            <w:pPr>
              <w:overflowPunct w:val="0"/>
              <w:spacing w:line="360" w:lineRule="auto"/>
              <w:jc w:val="center"/>
              <w:rPr>
                <w:rFonts w:hint="default" w:ascii="宋体" w:hAnsi="宋体" w:cs="Times New Roman"/>
                <w:sz w:val="21"/>
                <w:szCs w:val="24"/>
                <w:highlight w:val="none"/>
                <w:lang w:val="en-US" w:eastAsia="zh-CN"/>
              </w:rPr>
            </w:pPr>
            <w:r>
              <w:rPr>
                <w:rFonts w:hint="eastAsia" w:hAnsi="宋体"/>
                <w:sz w:val="21"/>
                <w:highlight w:val="none"/>
                <w:vertAlign w:val="baseline"/>
                <w:lang w:val="en-US" w:eastAsia="zh-CN"/>
              </w:rPr>
              <w:t>55岁以上占比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173" w:type="dxa"/>
          </w:tcPr>
          <w:p w14:paraId="7244FEAE">
            <w:pPr>
              <w:overflowPunct w:val="0"/>
              <w:spacing w:line="360" w:lineRule="auto"/>
              <w:jc w:val="center"/>
              <w:rPr>
                <w:rFonts w:hint="eastAsia" w:hAnsi="宋体"/>
                <w:sz w:val="21"/>
                <w:highlight w:val="none"/>
                <w:vertAlign w:val="baseline"/>
                <w:lang w:val="en-US" w:eastAsia="zh-CN"/>
              </w:rPr>
            </w:pPr>
          </w:p>
        </w:tc>
        <w:tc>
          <w:tcPr>
            <w:tcW w:w="1943" w:type="dxa"/>
          </w:tcPr>
          <w:p w14:paraId="73BBF628">
            <w:pPr>
              <w:overflowPunct w:val="0"/>
              <w:spacing w:line="360" w:lineRule="auto"/>
              <w:jc w:val="center"/>
              <w:rPr>
                <w:rFonts w:hint="default" w:hAnsi="宋体"/>
                <w:sz w:val="21"/>
                <w:highlight w:val="none"/>
                <w:vertAlign w:val="baseline"/>
                <w:lang w:val="en-US" w:eastAsia="zh-CN"/>
              </w:rPr>
            </w:pPr>
            <w:r>
              <w:rPr>
                <w:rFonts w:hint="eastAsia" w:hAnsi="宋体"/>
                <w:sz w:val="21"/>
                <w:highlight w:val="none"/>
                <w:vertAlign w:val="baseline"/>
                <w:lang w:val="en-US" w:eastAsia="zh-CN"/>
              </w:rPr>
              <w:t>15年以上占比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1084" w:type="dxa"/>
          </w:tcPr>
          <w:p w14:paraId="7F6E1776">
            <w:pPr>
              <w:overflowPunct w:val="0"/>
              <w:spacing w:line="360" w:lineRule="auto"/>
              <w:jc w:val="center"/>
              <w:rPr>
                <w:rFonts w:hint="eastAsia" w:hAnsi="宋体"/>
                <w:sz w:val="21"/>
                <w:highlight w:val="none"/>
                <w:vertAlign w:val="baseline"/>
                <w:lang w:val="en-US" w:eastAsia="zh-CN"/>
              </w:rPr>
            </w:pPr>
          </w:p>
        </w:tc>
        <w:tc>
          <w:tcPr>
            <w:tcW w:w="1974" w:type="dxa"/>
            <w:shd w:val="clear" w:color="auto" w:fill="auto"/>
            <w:vAlign w:val="top"/>
          </w:tcPr>
          <w:p w14:paraId="134FE70E">
            <w:pPr>
              <w:overflowPunct w:val="0"/>
              <w:spacing w:line="360" w:lineRule="auto"/>
              <w:jc w:val="center"/>
              <w:rPr>
                <w:rFonts w:hint="eastAsia" w:ascii="Times New Roman" w:hAnsi="宋体" w:eastAsia="宋体" w:cs="Times New Roman"/>
                <w:kern w:val="2"/>
                <w:sz w:val="21"/>
                <w:highlight w:val="none"/>
                <w:vertAlign w:val="baseline"/>
                <w:lang w:val="en-US" w:eastAsia="zh-CN" w:bidi="ar-SA"/>
              </w:rPr>
            </w:pPr>
            <w:r>
              <w:rPr>
                <w:rFonts w:hint="eastAsia" w:hAnsi="宋体"/>
                <w:sz w:val="21"/>
                <w:highlight w:val="none"/>
                <w:vertAlign w:val="baseline"/>
                <w:lang w:val="en-US" w:eastAsia="zh-CN"/>
              </w:rPr>
              <w:t>高级职称占比</w:t>
            </w:r>
            <w:r>
              <w:rPr>
                <w:rFonts w:hint="default" w:hAnsi="宋体"/>
                <w:sz w:val="21"/>
                <w:highlight w:val="none"/>
                <w:vertAlign w:val="baseline"/>
                <w:lang w:eastAsia="zh-CN"/>
              </w:rPr>
              <w:t>（</w:t>
            </w:r>
            <w:r>
              <w:rPr>
                <w:rFonts w:hint="eastAsia" w:hAnsi="宋体"/>
                <w:sz w:val="21"/>
                <w:highlight w:val="none"/>
                <w:vertAlign w:val="baseline"/>
                <w:lang w:val="en-US" w:eastAsia="zh-CN"/>
              </w:rPr>
              <w:t>%</w:t>
            </w:r>
            <w:r>
              <w:rPr>
                <w:rFonts w:hint="default" w:hAnsi="宋体"/>
                <w:sz w:val="21"/>
                <w:highlight w:val="none"/>
                <w:vertAlign w:val="baseline"/>
                <w:lang w:eastAsia="zh-CN"/>
              </w:rPr>
              <w:t>）</w:t>
            </w:r>
          </w:p>
        </w:tc>
        <w:tc>
          <w:tcPr>
            <w:tcW w:w="935" w:type="dxa"/>
            <w:shd w:val="clear" w:color="auto" w:fill="auto"/>
            <w:vAlign w:val="top"/>
          </w:tcPr>
          <w:p w14:paraId="2A543CED">
            <w:pPr>
              <w:overflowPunct w:val="0"/>
              <w:spacing w:line="360" w:lineRule="auto"/>
              <w:jc w:val="center"/>
              <w:rPr>
                <w:rFonts w:hint="eastAsia" w:hAnsi="宋体"/>
                <w:sz w:val="21"/>
                <w:highlight w:val="none"/>
                <w:vertAlign w:val="baseline"/>
                <w:lang w:val="en-US" w:eastAsia="zh-CN"/>
              </w:rPr>
            </w:pPr>
          </w:p>
        </w:tc>
      </w:tr>
    </w:tbl>
    <w:p w14:paraId="3306D580">
      <w:pPr>
        <w:overflowPunct w:val="0"/>
        <w:spacing w:line="360" w:lineRule="auto"/>
        <w:ind w:firstLine="0" w:firstLineChars="0"/>
        <w:rPr>
          <w:rFonts w:hint="eastAsia" w:hAnsi="宋体"/>
          <w:sz w:val="21"/>
          <w:highlight w:val="none"/>
        </w:rPr>
      </w:pPr>
    </w:p>
    <w:p w14:paraId="6AB6614F">
      <w:pPr>
        <w:pageBreakBefore w:val="0"/>
        <w:kinsoku/>
        <w:wordWrap/>
        <w:overflowPunct/>
        <w:bidi w:val="0"/>
        <w:snapToGrid w:val="0"/>
        <w:spacing w:after="200" w:line="360" w:lineRule="auto"/>
        <w:ind w:firstLine="0" w:firstLineChars="0"/>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p w14:paraId="18F9BEB9">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6220174C">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7E1B2ADD">
      <w:pPr>
        <w:keepNext w:val="0"/>
        <w:keepLines w:val="0"/>
        <w:pageBreakBefore w:val="0"/>
        <w:kinsoku/>
        <w:wordWrap/>
        <w:overflowPunct/>
        <w:topLinePunct w:val="0"/>
        <w:bidi w:val="0"/>
        <w:adjustRightInd w:val="0"/>
        <w:snapToGrid w:val="0"/>
        <w:spacing w:before="120" w:after="120" w:line="300" w:lineRule="auto"/>
        <w:ind w:firstLine="420" w:firstLineChars="200"/>
        <w:jc w:val="center"/>
        <w:textAlignment w:val="auto"/>
        <w:outlineLvl w:val="9"/>
        <w:rPr>
          <w:rFonts w:hint="eastAsia" w:ascii="宋体" w:hAnsi="宋体" w:eastAsia="宋体" w:cs="宋体"/>
          <w:bCs w:val="0"/>
          <w:color w:val="auto"/>
          <w:szCs w:val="21"/>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r>
        <w:rPr>
          <w:rFonts w:hint="eastAsia" w:ascii="宋体" w:hAnsi="宋体" w:eastAsia="宋体" w:cs="宋体"/>
          <w:bCs w:val="0"/>
          <w:color w:val="auto"/>
          <w:szCs w:val="21"/>
          <w:highlight w:val="none"/>
        </w:rPr>
        <w:br w:type="page"/>
      </w:r>
      <w:bookmarkStart w:id="1170" w:name="_Toc55310080"/>
    </w:p>
    <w:p w14:paraId="47D2A0E6">
      <w:pPr>
        <w:pStyle w:val="5"/>
        <w:pageBreakBefore w:val="0"/>
        <w:widowControl w:val="0"/>
        <w:kinsoku/>
        <w:wordWrap/>
        <w:overflowPunct/>
        <w:topLinePunct w:val="0"/>
        <w:autoSpaceDE/>
        <w:autoSpaceDN/>
        <w:bidi w:val="0"/>
        <w:ind w:firstLine="0" w:firstLineChars="0"/>
        <w:jc w:val="center"/>
        <w:textAlignment w:val="auto"/>
        <w:rPr>
          <w:rFonts w:hint="eastAsia" w:ascii="宋体" w:hAnsi="宋体" w:eastAsia="宋体" w:cs="宋体"/>
          <w:color w:val="auto"/>
          <w:highlight w:val="none"/>
          <w:lang w:val="en-US" w:eastAsia="zh-CN"/>
        </w:rPr>
      </w:pPr>
      <w:bookmarkStart w:id="1171" w:name="_Toc1095451326"/>
      <w:bookmarkStart w:id="1172" w:name="_Toc1691741360"/>
      <w:bookmarkStart w:id="1173" w:name="_Toc2515"/>
      <w:bookmarkStart w:id="1174" w:name="_Toc1074755151"/>
      <w:bookmarkStart w:id="1175" w:name="_Toc2002185506"/>
      <w:bookmarkStart w:id="1176" w:name="_Toc972916072"/>
      <w:bookmarkStart w:id="1177" w:name="_Toc7082"/>
      <w:r>
        <w:rPr>
          <w:rFonts w:hint="eastAsia" w:eastAsia="宋体" w:cs="宋体"/>
          <w:color w:val="auto"/>
          <w:highlight w:val="none"/>
          <w:lang w:val="en-US" w:eastAsia="zh-CN"/>
        </w:rPr>
        <w:t>五</w:t>
      </w:r>
      <w:r>
        <w:rPr>
          <w:rFonts w:hint="eastAsia" w:ascii="宋体" w:hAnsi="宋体" w:eastAsia="宋体" w:cs="宋体"/>
          <w:color w:val="auto"/>
          <w:highlight w:val="none"/>
          <w:lang w:val="en-US" w:eastAsia="zh-CN"/>
        </w:rPr>
        <w:t>、技术/商务偏离表</w:t>
      </w:r>
      <w:bookmarkEnd w:id="1171"/>
      <w:bookmarkEnd w:id="1172"/>
      <w:bookmarkEnd w:id="1173"/>
      <w:bookmarkEnd w:id="1174"/>
      <w:bookmarkEnd w:id="1175"/>
      <w:bookmarkEnd w:id="1176"/>
      <w:bookmarkEnd w:id="1177"/>
    </w:p>
    <w:p w14:paraId="7CE4989B">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竞争性谈判采购文件与响应文件的偏差</w:t>
      </w:r>
      <w:r>
        <w:rPr>
          <w:rFonts w:hint="eastAsia" w:ascii="宋体" w:hAnsi="宋体" w:eastAsia="宋体" w:cs="宋体"/>
          <w:b w:val="0"/>
          <w:color w:val="auto"/>
          <w:sz w:val="24"/>
          <w:highlight w:val="none"/>
        </w:rPr>
        <w:t>）</w:t>
      </w:r>
    </w:p>
    <w:tbl>
      <w:tblPr>
        <w:tblStyle w:val="49"/>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90F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restart"/>
            <w:vAlign w:val="center"/>
          </w:tcPr>
          <w:p w14:paraId="1153ECC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序号</w:t>
            </w:r>
          </w:p>
        </w:tc>
        <w:tc>
          <w:tcPr>
            <w:tcW w:w="3075" w:type="dxa"/>
            <w:gridSpan w:val="2"/>
            <w:vAlign w:val="center"/>
          </w:tcPr>
          <w:p w14:paraId="29D3424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竞争性谈判采购文件</w:t>
            </w:r>
          </w:p>
        </w:tc>
        <w:tc>
          <w:tcPr>
            <w:tcW w:w="3045" w:type="dxa"/>
            <w:gridSpan w:val="2"/>
            <w:vAlign w:val="center"/>
          </w:tcPr>
          <w:p w14:paraId="6B97771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响应文件</w:t>
            </w:r>
          </w:p>
        </w:tc>
        <w:tc>
          <w:tcPr>
            <w:tcW w:w="1642" w:type="dxa"/>
            <w:vMerge w:val="restart"/>
            <w:vAlign w:val="center"/>
          </w:tcPr>
          <w:p w14:paraId="18A12D36">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说  明</w:t>
            </w:r>
          </w:p>
        </w:tc>
      </w:tr>
      <w:tr w14:paraId="4162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continue"/>
            <w:vAlign w:val="center"/>
          </w:tcPr>
          <w:p w14:paraId="14A8C86F">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54E3508D">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95" w:type="dxa"/>
            <w:vAlign w:val="center"/>
          </w:tcPr>
          <w:p w14:paraId="319F20F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065" w:type="dxa"/>
            <w:vAlign w:val="center"/>
          </w:tcPr>
          <w:p w14:paraId="04D7D945">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80" w:type="dxa"/>
            <w:vAlign w:val="center"/>
          </w:tcPr>
          <w:p w14:paraId="7431876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642" w:type="dxa"/>
            <w:vMerge w:val="continue"/>
            <w:vAlign w:val="center"/>
          </w:tcPr>
          <w:p w14:paraId="27A32E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50BC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vAlign w:val="center"/>
          </w:tcPr>
          <w:p w14:paraId="3751151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4B98FDA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95" w:type="dxa"/>
            <w:vAlign w:val="center"/>
          </w:tcPr>
          <w:p w14:paraId="7125CB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65" w:type="dxa"/>
            <w:vAlign w:val="center"/>
          </w:tcPr>
          <w:p w14:paraId="3423EB9C">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80" w:type="dxa"/>
            <w:vAlign w:val="center"/>
          </w:tcPr>
          <w:p w14:paraId="35E41BF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642" w:type="dxa"/>
            <w:vAlign w:val="center"/>
          </w:tcPr>
          <w:p w14:paraId="0E6835D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4C67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4267D7F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5B881F1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7A47413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5BBCA3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7A9D11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62BE317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0B4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08F5E19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781ED3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83DBF5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21D3E6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E49E97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FB524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57D2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5C116D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93FD8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27232E8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292B74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2612DC5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CFD447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72DB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3F316D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2FFDF01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48CA921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73CD204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23B67B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31AB8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6A2B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154C8D10">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6B02E31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BB70F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65CB3EB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4AAC5C5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30A70C0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bl>
    <w:p w14:paraId="73B879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p w14:paraId="0811B49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供应商承诺：除上表中的偏差外，完全响应邀请文件的其他条款。</w:t>
      </w:r>
    </w:p>
    <w:p w14:paraId="6910165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color w:val="auto"/>
          <w:sz w:val="24"/>
          <w:highlight w:val="none"/>
        </w:rPr>
      </w:pPr>
    </w:p>
    <w:p w14:paraId="53C4B1C2">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供应商（</w:t>
      </w:r>
      <w:r>
        <w:rPr>
          <w:rFonts w:hint="eastAsia" w:ascii="宋体" w:hAnsi="宋体" w:cs="宋体"/>
          <w:b w:val="0"/>
          <w:color w:val="auto"/>
          <w:sz w:val="24"/>
          <w:highlight w:val="none"/>
          <w:lang w:val="en-US" w:eastAsia="zh-CN"/>
        </w:rPr>
        <w:t>单位公章</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u w:val="single"/>
          <w:lang w:val="en-US" w:eastAsia="zh-CN"/>
        </w:rPr>
        <w:t xml:space="preserve">                  </w:t>
      </w:r>
    </w:p>
    <w:p w14:paraId="287733B3">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color w:val="auto"/>
          <w:highlight w:val="none"/>
        </w:rPr>
      </w:pPr>
    </w:p>
    <w:p w14:paraId="3C33F74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 w:val="0"/>
          <w:color w:val="auto"/>
          <w:sz w:val="24"/>
          <w:highlight w:val="none"/>
        </w:rPr>
        <w:t>法定代表人或委托代理人（签字或</w:t>
      </w:r>
      <w:r>
        <w:rPr>
          <w:rFonts w:hint="eastAsia" w:ascii="宋体" w:hAnsi="宋体" w:eastAsia="宋体" w:cs="宋体"/>
          <w:b w:val="0"/>
          <w:color w:val="auto"/>
          <w:sz w:val="24"/>
          <w:highlight w:val="none"/>
          <w:lang w:val="en-US" w:eastAsia="zh-CN"/>
        </w:rPr>
        <w:t>签</w:t>
      </w:r>
      <w:r>
        <w:rPr>
          <w:rFonts w:hint="eastAsia" w:ascii="宋体" w:hAnsi="宋体" w:eastAsia="宋体" w:cs="宋体"/>
          <w:b w:val="0"/>
          <w:color w:val="auto"/>
          <w:sz w:val="24"/>
          <w:highlight w:val="none"/>
        </w:rPr>
        <w:t>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D968570">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highlight w:val="none"/>
        </w:rPr>
      </w:pPr>
    </w:p>
    <w:p w14:paraId="1548AA9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 xml:space="preserve">日期：    年     月    </w:t>
      </w:r>
      <w:r>
        <w:rPr>
          <w:rFonts w:hint="eastAsia" w:ascii="宋体" w:hAnsi="宋体" w:eastAsia="宋体" w:cs="宋体"/>
          <w:b w:val="0"/>
          <w:color w:val="auto"/>
          <w:sz w:val="24"/>
          <w:highlight w:val="none"/>
          <w:lang w:val="en-US" w:eastAsia="zh-CN"/>
        </w:rPr>
        <w:t>日</w:t>
      </w:r>
    </w:p>
    <w:p w14:paraId="6556B67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p w14:paraId="74FCC414">
      <w:pPr>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br w:type="page"/>
      </w:r>
    </w:p>
    <w:bookmarkEnd w:id="1170"/>
    <w:p w14:paraId="7521BDF3">
      <w:pPr>
        <w:keepNext w:val="0"/>
        <w:keepLines w:val="0"/>
        <w:spacing w:before="0" w:after="0" w:line="360" w:lineRule="auto"/>
        <w:jc w:val="left"/>
        <w:outlineLvl w:val="9"/>
        <w:rPr>
          <w:rFonts w:hint="eastAsia" w:ascii="宋体" w:hAnsi="宋体" w:eastAsia="宋体" w:cs="宋体"/>
          <w:color w:val="auto"/>
          <w:kern w:val="0"/>
          <w:sz w:val="24"/>
          <w:szCs w:val="20"/>
          <w:highlight w:val="none"/>
        </w:rPr>
      </w:pPr>
      <w:r>
        <w:rPr>
          <w:rFonts w:hint="eastAsia" w:ascii="宋体" w:hAnsi="宋体" w:eastAsia="宋体" w:cs="宋体"/>
          <w:b w:val="0"/>
          <w:bCs w:val="0"/>
          <w:color w:val="auto"/>
          <w:kern w:val="0"/>
          <w:sz w:val="24"/>
          <w:szCs w:val="20"/>
          <w:highlight w:val="none"/>
        </w:rPr>
        <w:t>附件：</w:t>
      </w:r>
      <w:bookmarkStart w:id="1178" w:name="_Toc451524373"/>
      <w:bookmarkEnd w:id="1178"/>
    </w:p>
    <w:p w14:paraId="403F7F0D">
      <w:pPr>
        <w:spacing w:after="200" w:line="360" w:lineRule="auto"/>
        <w:jc w:val="center"/>
        <w:outlineLvl w:val="2"/>
        <w:rPr>
          <w:rStyle w:val="62"/>
          <w:rFonts w:hint="eastAsia" w:ascii="宋体" w:hAnsi="宋体" w:eastAsia="宋体" w:cs="宋体"/>
          <w:color w:val="auto"/>
          <w:sz w:val="30"/>
          <w:szCs w:val="30"/>
          <w:highlight w:val="none"/>
          <w:lang w:val="zh-TW" w:eastAsia="zh-TW"/>
        </w:rPr>
      </w:pPr>
      <w:bookmarkStart w:id="1179" w:name="_Toc585570975"/>
      <w:bookmarkStart w:id="1180" w:name="_Toc815439390"/>
      <w:bookmarkStart w:id="1181" w:name="_Toc1698101680"/>
      <w:bookmarkStart w:id="1182" w:name="_Toc1548640825"/>
      <w:bookmarkStart w:id="1183" w:name="_Toc1917082458"/>
      <w:r>
        <w:rPr>
          <w:rStyle w:val="62"/>
          <w:rFonts w:hint="eastAsia" w:ascii="宋体" w:hAnsi="宋体" w:eastAsia="宋体" w:cs="宋体"/>
          <w:color w:val="auto"/>
          <w:sz w:val="30"/>
          <w:szCs w:val="30"/>
          <w:highlight w:val="none"/>
          <w:lang w:val="zh-TW" w:eastAsia="zh-TW"/>
        </w:rPr>
        <w:t>最终报价表</w:t>
      </w:r>
    </w:p>
    <w:bookmarkEnd w:id="1179"/>
    <w:bookmarkEnd w:id="1180"/>
    <w:bookmarkEnd w:id="1181"/>
    <w:bookmarkEnd w:id="1182"/>
    <w:bookmarkEnd w:id="1183"/>
    <w:p w14:paraId="54799F48">
      <w:pPr>
        <w:spacing w:line="360" w:lineRule="auto"/>
        <w:rPr>
          <w:rFonts w:hint="eastAsia" w:ascii="宋体" w:hAnsi="宋体" w:eastAsia="宋体" w:cs="宋体"/>
          <w:color w:val="auto"/>
          <w:kern w:val="0"/>
          <w:sz w:val="24"/>
          <w:highlight w:val="none"/>
        </w:rPr>
      </w:pPr>
    </w:p>
    <w:p w14:paraId="4C9B0AD5">
      <w:pPr>
        <w:spacing w:line="360" w:lineRule="auto"/>
        <w:rPr>
          <w:rFonts w:hint="default" w:ascii="宋体" w:hAnsi="宋体" w:eastAsia="宋体" w:cs="宋体"/>
          <w:color w:val="auto"/>
          <w:sz w:val="24"/>
          <w:szCs w:val="24"/>
          <w:highlight w:val="none"/>
          <w:u w:val="single"/>
          <w:lang w:val="en-US"/>
        </w:rPr>
      </w:pPr>
      <w:r>
        <w:rPr>
          <w:rFonts w:hint="eastAsia" w:ascii="宋体" w:hAnsi="宋体" w:eastAsia="宋体" w:cs="宋体"/>
          <w:color w:val="auto"/>
          <w:kern w:val="0"/>
          <w:sz w:val="24"/>
          <w:highlight w:val="none"/>
        </w:rPr>
        <w:t>项目名称：</w:t>
      </w:r>
      <w:r>
        <w:rPr>
          <w:rFonts w:hint="eastAsia" w:ascii="宋体" w:hAnsi="宋体" w:cs="宋体"/>
          <w:color w:val="auto"/>
          <w:kern w:val="0"/>
          <w:sz w:val="24"/>
          <w:highlight w:val="none"/>
          <w:u w:val="single"/>
          <w:lang w:val="en-US" w:eastAsia="zh-CN"/>
        </w:rPr>
        <w:t xml:space="preserve">大龙山风电场（二期）项目工程招标控制价编制及全过程造价控制咨询服务 </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16663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6" w:hRule="atLeast"/>
          <w:jc w:val="center"/>
        </w:trPr>
        <w:tc>
          <w:tcPr>
            <w:tcW w:w="704" w:type="dxa"/>
            <w:vAlign w:val="center"/>
          </w:tcPr>
          <w:p w14:paraId="684A33E1">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序号</w:t>
            </w:r>
          </w:p>
        </w:tc>
        <w:tc>
          <w:tcPr>
            <w:tcW w:w="1891" w:type="dxa"/>
            <w:vAlign w:val="center"/>
          </w:tcPr>
          <w:p w14:paraId="36476484">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项目</w:t>
            </w:r>
          </w:p>
        </w:tc>
        <w:tc>
          <w:tcPr>
            <w:tcW w:w="3516" w:type="dxa"/>
            <w:vAlign w:val="center"/>
          </w:tcPr>
          <w:p w14:paraId="17FA3D26">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报价内容及承诺</w:t>
            </w:r>
          </w:p>
        </w:tc>
        <w:tc>
          <w:tcPr>
            <w:tcW w:w="2756" w:type="dxa"/>
            <w:vAlign w:val="center"/>
          </w:tcPr>
          <w:p w14:paraId="0E1DF2EA">
            <w:pPr>
              <w:jc w:val="center"/>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备注</w:t>
            </w:r>
          </w:p>
        </w:tc>
      </w:tr>
      <w:tr w14:paraId="3387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3" w:hRule="atLeast"/>
          <w:jc w:val="center"/>
        </w:trPr>
        <w:tc>
          <w:tcPr>
            <w:tcW w:w="704" w:type="dxa"/>
            <w:vAlign w:val="center"/>
          </w:tcPr>
          <w:p w14:paraId="624575E8">
            <w:pPr>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891" w:type="dxa"/>
            <w:vAlign w:val="center"/>
          </w:tcPr>
          <w:p w14:paraId="32C97680">
            <w:pPr>
              <w:jc w:val="center"/>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报价总价（元）</w:t>
            </w:r>
          </w:p>
        </w:tc>
        <w:tc>
          <w:tcPr>
            <w:tcW w:w="3516" w:type="dxa"/>
            <w:vAlign w:val="center"/>
          </w:tcPr>
          <w:p w14:paraId="35975DC6">
            <w:pPr>
              <w:rPr>
                <w:color w:val="auto"/>
                <w:szCs w:val="21"/>
                <w:highlight w:val="none"/>
              </w:rPr>
            </w:pPr>
            <w:r>
              <w:rPr>
                <w:color w:val="auto"/>
                <w:szCs w:val="21"/>
                <w:highlight w:val="none"/>
              </w:rPr>
              <w:t>大写：</w:t>
            </w:r>
            <w:r>
              <w:rPr>
                <w:rFonts w:hint="eastAsia"/>
                <w:color w:val="auto"/>
                <w:szCs w:val="21"/>
                <w:highlight w:val="none"/>
                <w:u w:val="single"/>
              </w:rPr>
              <w:t xml:space="preserve">          </w:t>
            </w:r>
            <w:r>
              <w:rPr>
                <w:rFonts w:hint="eastAsia"/>
                <w:color w:val="auto"/>
                <w:szCs w:val="21"/>
                <w:highlight w:val="none"/>
              </w:rPr>
              <w:t>人民币</w:t>
            </w:r>
          </w:p>
          <w:p w14:paraId="72BCD034">
            <w:pPr>
              <w:jc w:val="both"/>
              <w:rPr>
                <w:rFonts w:hint="default" w:ascii="Times New Roman" w:hAnsi="Times New Roman" w:eastAsia="宋体" w:cs="Times New Roman"/>
                <w:szCs w:val="21"/>
                <w:highlight w:val="none"/>
                <w:lang w:val="en-US" w:eastAsia="zh-CN"/>
              </w:rPr>
            </w:pPr>
            <w:r>
              <w:rPr>
                <w:rFonts w:hint="eastAsia"/>
                <w:color w:val="auto"/>
                <w:szCs w:val="21"/>
                <w:highlight w:val="none"/>
              </w:rPr>
              <w:t>小写：</w:t>
            </w:r>
            <w:r>
              <w:rPr>
                <w:color w:val="auto"/>
                <w:szCs w:val="21"/>
                <w:highlight w:val="none"/>
              </w:rPr>
              <w:t>¥</w:t>
            </w:r>
            <w:r>
              <w:rPr>
                <w:rFonts w:hint="eastAsia"/>
                <w:color w:val="auto"/>
                <w:szCs w:val="21"/>
                <w:highlight w:val="none"/>
                <w:u w:val="single"/>
              </w:rPr>
              <w:t xml:space="preserve">           </w:t>
            </w:r>
          </w:p>
        </w:tc>
        <w:tc>
          <w:tcPr>
            <w:tcW w:w="2756" w:type="dxa"/>
            <w:vAlign w:val="center"/>
          </w:tcPr>
          <w:p w14:paraId="58C1DAE4">
            <w:pPr>
              <w:jc w:val="left"/>
              <w:rPr>
                <w:rFonts w:hint="default" w:ascii="Times New Roman" w:hAnsi="Times New Roman" w:eastAsia="宋体" w:cs="Times New Roman"/>
                <w:szCs w:val="21"/>
                <w:highlight w:val="none"/>
              </w:rPr>
            </w:pPr>
            <w:r>
              <w:rPr>
                <w:rFonts w:hint="eastAsia"/>
                <w:highlight w:val="none"/>
                <w:lang w:val="en-US" w:eastAsia="zh-CN"/>
              </w:rPr>
              <w:t>报价为含税价，税率为XX%。（</w:t>
            </w:r>
            <w:r>
              <w:rPr>
                <w:rFonts w:hint="eastAsia" w:ascii="宋体" w:hAnsi="宋体" w:eastAsia="宋体" w:cs="宋体"/>
                <w:kern w:val="2"/>
                <w:highlight w:val="none"/>
                <w:lang w:val="en-US" w:eastAsia="zh-CN"/>
              </w:rPr>
              <w:t>如有分项请按照分项报价</w:t>
            </w:r>
            <w:r>
              <w:rPr>
                <w:rFonts w:hint="eastAsia"/>
                <w:highlight w:val="none"/>
                <w:lang w:val="en-US" w:eastAsia="zh-CN"/>
              </w:rPr>
              <w:t>）</w:t>
            </w:r>
          </w:p>
        </w:tc>
      </w:tr>
      <w:tr w14:paraId="603F8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23B76C25">
            <w:pPr>
              <w:jc w:val="center"/>
              <w:rPr>
                <w:rFonts w:hint="eastAsia" w:ascii="Times New Roman" w:hAnsi="Times New Roman" w:eastAsia="宋体" w:cs="Times New Roman"/>
                <w:szCs w:val="21"/>
                <w:highlight w:val="none"/>
                <w:lang w:eastAsia="zh-CN"/>
              </w:rPr>
            </w:pPr>
            <w:r>
              <w:rPr>
                <w:rFonts w:hint="eastAsia" w:cs="Times New Roman"/>
                <w:szCs w:val="21"/>
                <w:highlight w:val="none"/>
                <w:lang w:val="en-US" w:eastAsia="zh-CN"/>
              </w:rPr>
              <w:t>3</w:t>
            </w:r>
          </w:p>
        </w:tc>
        <w:tc>
          <w:tcPr>
            <w:tcW w:w="1891" w:type="dxa"/>
            <w:vAlign w:val="center"/>
          </w:tcPr>
          <w:p w14:paraId="67A517F8">
            <w:pPr>
              <w:pStyle w:val="47"/>
              <w:ind w:firstLine="0" w:firstLineChars="0"/>
              <w:jc w:val="center"/>
              <w:rPr>
                <w:rFonts w:hint="default" w:ascii="Times New Roman" w:hAnsi="Times New Roman" w:cs="Times New Roman"/>
                <w:kern w:val="2"/>
                <w:sz w:val="21"/>
                <w:szCs w:val="21"/>
                <w:highlight w:val="none"/>
              </w:rPr>
            </w:pPr>
            <w:r>
              <w:rPr>
                <w:rFonts w:hint="default"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r>
              <w:rPr>
                <w:rFonts w:hint="default" w:ascii="Times New Roman" w:hAnsi="Times New Roman" w:cs="Times New Roman"/>
                <w:kern w:val="2"/>
                <w:sz w:val="21"/>
                <w:szCs w:val="21"/>
                <w:highlight w:val="none"/>
              </w:rPr>
              <w:t>承诺</w:t>
            </w:r>
          </w:p>
        </w:tc>
        <w:tc>
          <w:tcPr>
            <w:tcW w:w="3516" w:type="dxa"/>
            <w:vAlign w:val="center"/>
          </w:tcPr>
          <w:p w14:paraId="32F58E44">
            <w:pPr>
              <w:jc w:val="left"/>
              <w:rPr>
                <w:rFonts w:hint="default" w:ascii="Times New Roman" w:hAnsi="Times New Roman" w:eastAsia="宋体" w:cs="Times New Roman"/>
                <w:szCs w:val="21"/>
                <w:highlight w:val="none"/>
              </w:rPr>
            </w:pPr>
          </w:p>
        </w:tc>
        <w:tc>
          <w:tcPr>
            <w:tcW w:w="2756" w:type="dxa"/>
            <w:vAlign w:val="center"/>
          </w:tcPr>
          <w:p w14:paraId="4E6B89F6">
            <w:pPr>
              <w:jc w:val="center"/>
              <w:rPr>
                <w:rFonts w:hint="eastAsia" w:ascii="Times New Roman" w:hAnsi="Times New Roman" w:eastAsia="宋体" w:cs="Times New Roman"/>
                <w:szCs w:val="21"/>
                <w:highlight w:val="none"/>
                <w:lang w:val="en-US" w:eastAsia="zh-CN"/>
              </w:rPr>
            </w:pPr>
          </w:p>
        </w:tc>
      </w:tr>
    </w:tbl>
    <w:p w14:paraId="0429D535">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rPr>
          <w:rFonts w:hint="eastAsia" w:ascii="宋体" w:hAnsi="宋体" w:eastAsia="宋体" w:cs="宋体"/>
          <w:b w:val="0"/>
          <w:bCs w:val="0"/>
          <w:color w:val="FF0000"/>
          <w:kern w:val="2"/>
          <w:sz w:val="24"/>
          <w:szCs w:val="24"/>
          <w:highlight w:val="none"/>
          <w:lang w:val="en-US" w:eastAsia="zh-CN" w:bidi="ar-SA"/>
        </w:rPr>
      </w:pPr>
      <w:r>
        <w:rPr>
          <w:rFonts w:hint="eastAsia" w:ascii="宋体" w:hAnsi="宋体" w:eastAsia="宋体" w:cs="宋体"/>
          <w:b w:val="0"/>
          <w:bCs w:val="0"/>
          <w:color w:val="FF0000"/>
          <w:kern w:val="2"/>
          <w:sz w:val="24"/>
          <w:szCs w:val="24"/>
          <w:highlight w:val="none"/>
          <w:lang w:val="en-US" w:eastAsia="zh-CN" w:bidi="ar-SA"/>
        </w:rPr>
        <w:t>注：</w:t>
      </w:r>
    </w:p>
    <w:p w14:paraId="655DBCB7">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b w:val="0"/>
          <w:bCs w:val="0"/>
          <w:color w:val="FF0000"/>
          <w:kern w:val="0"/>
          <w:sz w:val="24"/>
          <w:szCs w:val="24"/>
          <w:highlight w:val="none"/>
          <w:lang w:val="zh-TW" w:bidi="zh-TW"/>
        </w:rPr>
      </w:pPr>
      <w:r>
        <w:rPr>
          <w:rFonts w:hint="eastAsia" w:ascii="宋体" w:hAnsi="宋体" w:eastAsia="宋体" w:cs="宋体"/>
          <w:b w:val="0"/>
          <w:bCs w:val="0"/>
          <w:color w:val="FF0000"/>
          <w:kern w:val="0"/>
          <w:sz w:val="24"/>
          <w:szCs w:val="24"/>
          <w:highlight w:val="none"/>
          <w:lang w:val="zh-TW" w:eastAsia="zh-TW" w:bidi="zh-TW"/>
        </w:rPr>
        <w:t>1</w:t>
      </w:r>
      <w:r>
        <w:rPr>
          <w:rFonts w:hint="eastAsia" w:ascii="宋体" w:hAnsi="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此表用于谈判结束后做最终报价使用，请勿装订在响应文件内！</w:t>
      </w:r>
    </w:p>
    <w:p w14:paraId="6B8BA629">
      <w:pPr>
        <w:pStyle w:val="39"/>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b w:val="0"/>
          <w:bCs w:val="0"/>
          <w:color w:val="FF0000"/>
          <w:kern w:val="0"/>
          <w:sz w:val="24"/>
          <w:szCs w:val="24"/>
          <w:highlight w:val="none"/>
          <w:lang w:val="zh-TW" w:eastAsia="zh-TW" w:bidi="zh-TW"/>
        </w:rPr>
      </w:pPr>
      <w:r>
        <w:rPr>
          <w:rFonts w:hint="eastAsia" w:ascii="宋体" w:hAnsi="宋体" w:eastAsia="宋体" w:cs="宋体"/>
          <w:b w:val="0"/>
          <w:bCs w:val="0"/>
          <w:color w:val="FF0000"/>
          <w:kern w:val="0"/>
          <w:sz w:val="24"/>
          <w:szCs w:val="24"/>
          <w:highlight w:val="none"/>
          <w:lang w:val="zh-TW" w:eastAsia="zh-TW" w:bidi="zh-TW"/>
        </w:rPr>
        <w:t>2</w:t>
      </w:r>
      <w:r>
        <w:rPr>
          <w:rFonts w:hint="eastAsia" w:ascii="宋体" w:hAnsi="宋体" w:eastAsia="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此表需加盖单位公章，请各供应商结合自身情况，提前准备。</w:t>
      </w:r>
    </w:p>
    <w:p w14:paraId="71FE38EE">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b w:val="0"/>
          <w:bCs w:val="0"/>
          <w:color w:val="FF0000"/>
          <w:kern w:val="0"/>
          <w:sz w:val="24"/>
          <w:szCs w:val="24"/>
          <w:highlight w:val="none"/>
          <w:lang w:val="en-US" w:eastAsia="zh-CN" w:bidi="zh-TW"/>
        </w:rPr>
      </w:pPr>
      <w:r>
        <w:rPr>
          <w:rFonts w:hint="eastAsia" w:ascii="宋体" w:hAnsi="宋体" w:eastAsia="宋体" w:cs="宋体"/>
          <w:b w:val="0"/>
          <w:bCs w:val="0"/>
          <w:color w:val="FF0000"/>
          <w:kern w:val="0"/>
          <w:sz w:val="24"/>
          <w:szCs w:val="24"/>
          <w:highlight w:val="none"/>
          <w:lang w:val="en-US" w:eastAsia="zh-CN" w:bidi="zh-TW"/>
        </w:rPr>
        <w:t>3.除合同另有规定外，报价包括供应商为完成本合同规定的工作所承担的全部费用，包括但不限于人工、材料、工器具、车辆、运费、利润、保险、税率及其他与此相关的所有费用，并考虑了应由乙方承担的义务、责任和风险所发生的费用；</w:t>
      </w:r>
    </w:p>
    <w:p w14:paraId="666D3C92">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default" w:ascii="宋体" w:hAnsi="宋体" w:eastAsia="宋体" w:cs="宋体"/>
          <w:b w:val="0"/>
          <w:bCs w:val="0"/>
          <w:color w:val="FF0000"/>
          <w:kern w:val="0"/>
          <w:sz w:val="24"/>
          <w:szCs w:val="24"/>
          <w:highlight w:val="none"/>
          <w:lang w:val="en-US" w:eastAsia="zh-CN" w:bidi="zh-TW"/>
        </w:rPr>
      </w:pPr>
      <w:r>
        <w:rPr>
          <w:rFonts w:hint="eastAsia" w:ascii="宋体" w:hAnsi="宋体" w:cs="宋体"/>
          <w:b w:val="0"/>
          <w:bCs w:val="0"/>
          <w:color w:val="FF0000"/>
          <w:kern w:val="0"/>
          <w:sz w:val="24"/>
          <w:szCs w:val="24"/>
          <w:highlight w:val="none"/>
          <w:lang w:val="en-US" w:eastAsia="zh-CN" w:bidi="zh-TW"/>
        </w:rPr>
        <w:t>4</w:t>
      </w:r>
      <w:r>
        <w:rPr>
          <w:rFonts w:hint="eastAsia" w:ascii="宋体" w:hAnsi="宋体" w:eastAsia="宋体" w:cs="宋体"/>
          <w:b w:val="0"/>
          <w:bCs w:val="0"/>
          <w:color w:val="FF0000"/>
          <w:kern w:val="0"/>
          <w:sz w:val="24"/>
          <w:szCs w:val="24"/>
          <w:highlight w:val="none"/>
          <w:lang w:val="en-US" w:eastAsia="zh-CN" w:bidi="zh-TW"/>
        </w:rPr>
        <w:t>.该报价为最终报价。</w:t>
      </w:r>
    </w:p>
    <w:p w14:paraId="47199EC2">
      <w:pPr>
        <w:pStyle w:val="39"/>
        <w:spacing w:line="360" w:lineRule="auto"/>
        <w:ind w:firstLine="0" w:firstLineChars="0"/>
        <w:rPr>
          <w:rFonts w:hint="eastAsia" w:ascii="宋体" w:hAnsi="宋体" w:eastAsia="宋体" w:cs="宋体"/>
          <w:color w:val="auto"/>
          <w:kern w:val="0"/>
          <w:sz w:val="20"/>
          <w:szCs w:val="20"/>
          <w:highlight w:val="none"/>
          <w:lang w:val="zh-TW" w:eastAsia="zh-TW" w:bidi="zh-TW"/>
        </w:rPr>
      </w:pPr>
    </w:p>
    <w:p w14:paraId="17A42D96">
      <w:pPr>
        <w:pStyle w:val="39"/>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15A222A">
      <w:pPr>
        <w:pStyle w:val="39"/>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rPr>
      </w:pPr>
    </w:p>
    <w:p w14:paraId="67BD3530">
      <w:pPr>
        <w:pStyle w:val="39"/>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2AF1663">
      <w:pPr>
        <w:pStyle w:val="39"/>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auto"/>
          <w:sz w:val="24"/>
          <w:szCs w:val="24"/>
          <w:highlight w:val="none"/>
        </w:rPr>
      </w:pPr>
    </w:p>
    <w:p w14:paraId="54635F1D">
      <w:pPr>
        <w:spacing w:line="24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r>
        <w:rPr>
          <w:rFonts w:hint="eastAsia" w:ascii="宋体" w:hAnsi="宋体" w:eastAsia="宋体" w:cs="宋体"/>
          <w:color w:val="auto"/>
          <w:sz w:val="24"/>
          <w:szCs w:val="24"/>
          <w:highlight w:val="none"/>
          <w:lang w:val="en-US" w:eastAsia="zh-CN"/>
        </w:rPr>
        <w:br w:type="page"/>
      </w:r>
    </w:p>
    <w:p w14:paraId="46A9D9C6">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1184" w:name="_Toc594097329"/>
      <w:bookmarkStart w:id="1185" w:name="_Toc2133330575"/>
      <w:bookmarkStart w:id="1186" w:name="_Toc1464340945"/>
      <w:bookmarkStart w:id="1187" w:name="_Toc1227828607"/>
      <w:bookmarkStart w:id="1188" w:name="_Toc148781961"/>
      <w:r>
        <w:rPr>
          <w:rStyle w:val="62"/>
          <w:rFonts w:hint="eastAsia" w:ascii="宋体" w:hAnsi="宋体" w:cs="宋体"/>
          <w:color w:val="auto"/>
          <w:sz w:val="30"/>
          <w:szCs w:val="30"/>
          <w:highlight w:val="none"/>
        </w:rPr>
        <w:t>投标报价汇总</w:t>
      </w:r>
    </w:p>
    <w:bookmarkEnd w:id="1184"/>
    <w:bookmarkEnd w:id="1185"/>
    <w:bookmarkEnd w:id="1186"/>
    <w:bookmarkEnd w:id="1187"/>
    <w:bookmarkEnd w:id="1188"/>
    <w:p w14:paraId="4C5156DE">
      <w:pPr>
        <w:pageBreakBefore w:val="0"/>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1189" w:name="_Toc403053721"/>
      <w:bookmarkStart w:id="1190" w:name="_Toc2023994040"/>
      <w:bookmarkStart w:id="1191" w:name="_Toc1349702406"/>
      <w:bookmarkStart w:id="1192" w:name="_Toc1444537601"/>
      <w:bookmarkStart w:id="1193" w:name="_Toc1913467462"/>
      <w:r>
        <w:rPr>
          <w:rStyle w:val="62"/>
          <w:rFonts w:hint="eastAsia" w:ascii="宋体" w:hAnsi="宋体" w:cs="宋体"/>
          <w:color w:val="auto"/>
          <w:sz w:val="28"/>
          <w:szCs w:val="28"/>
          <w:highlight w:val="none"/>
        </w:rPr>
        <w:t>（一）投标报价汇总表</w:t>
      </w:r>
    </w:p>
    <w:bookmarkEnd w:id="1189"/>
    <w:bookmarkEnd w:id="1190"/>
    <w:bookmarkEnd w:id="1191"/>
    <w:bookmarkEnd w:id="1192"/>
    <w:bookmarkEnd w:id="1193"/>
    <w:p w14:paraId="7037B916">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万元</w:t>
      </w:r>
    </w:p>
    <w:tbl>
      <w:tblPr>
        <w:tblStyle w:val="49"/>
        <w:tblW w:w="9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1231"/>
        <w:gridCol w:w="3592"/>
        <w:gridCol w:w="2171"/>
        <w:gridCol w:w="2136"/>
      </w:tblGrid>
      <w:tr w14:paraId="4551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7" w:hRule="atLeast"/>
          <w:tblHeader/>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0C440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序号</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B97EC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费用名称</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2ABD3D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金额</w:t>
            </w: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3FE29E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备注</w:t>
            </w:r>
          </w:p>
        </w:tc>
      </w:tr>
      <w:tr w14:paraId="60DE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8"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B77BC1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499B42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人工费用</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AD35CA">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2874A3">
            <w:pPr>
              <w:pageBreakBefore w:val="0"/>
              <w:kinsoku/>
              <w:wordWrap/>
              <w:overflowPunct/>
              <w:bidi w:val="0"/>
              <w:jc w:val="center"/>
              <w:textAlignment w:val="auto"/>
              <w:rPr>
                <w:rFonts w:hint="eastAsia" w:ascii="宋体" w:hAnsi="宋体" w:cs="宋体"/>
                <w:color w:val="auto"/>
                <w:highlight w:val="none"/>
              </w:rPr>
            </w:pPr>
          </w:p>
        </w:tc>
      </w:tr>
      <w:tr w14:paraId="373C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6"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408125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3592"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9615A6D">
            <w:pPr>
              <w:pageBreakBefore w:val="0"/>
              <w:kinsoku/>
              <w:wordWrap/>
              <w:overflowPunct/>
              <w:bidi w:val="0"/>
              <w:jc w:val="center"/>
              <w:textAlignment w:val="auto"/>
              <w:rPr>
                <w:rFonts w:hint="eastAsia" w:ascii="宋体" w:hAnsi="宋体" w:eastAsia="宋体" w:cs="宋体"/>
                <w:color w:val="auto"/>
                <w:kern w:val="2"/>
                <w:sz w:val="21"/>
                <w:highlight w:val="none"/>
                <w:lang w:val="en-US" w:eastAsia="zh-CN" w:bidi="ar-SA"/>
              </w:rPr>
            </w:pPr>
            <w:r>
              <w:rPr>
                <w:rFonts w:hint="eastAsia" w:ascii="宋体" w:hAnsi="宋体" w:cs="宋体"/>
                <w:color w:val="auto"/>
                <w:highlight w:val="none"/>
              </w:rPr>
              <w:t>管理费</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202BE9">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E49212E">
            <w:pPr>
              <w:pageBreakBefore w:val="0"/>
              <w:kinsoku/>
              <w:wordWrap/>
              <w:overflowPunct/>
              <w:bidi w:val="0"/>
              <w:jc w:val="center"/>
              <w:textAlignment w:val="auto"/>
              <w:rPr>
                <w:rFonts w:hint="eastAsia" w:ascii="宋体" w:hAnsi="宋体" w:cs="宋体"/>
                <w:color w:val="auto"/>
                <w:highlight w:val="none"/>
              </w:rPr>
            </w:pPr>
          </w:p>
        </w:tc>
      </w:tr>
      <w:tr w14:paraId="556F3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17A3B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3592"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131D9F35">
            <w:pPr>
              <w:pageBreakBefore w:val="0"/>
              <w:kinsoku/>
              <w:wordWrap/>
              <w:overflowPunct/>
              <w:bidi w:val="0"/>
              <w:jc w:val="center"/>
              <w:textAlignment w:val="auto"/>
              <w:rPr>
                <w:rFonts w:hint="eastAsia" w:ascii="宋体" w:hAnsi="宋体" w:eastAsia="宋体" w:cs="宋体"/>
                <w:color w:val="auto"/>
                <w:kern w:val="2"/>
                <w:sz w:val="21"/>
                <w:highlight w:val="none"/>
                <w:lang w:val="en-US" w:eastAsia="zh-CN" w:bidi="ar-SA"/>
              </w:rPr>
            </w:pPr>
            <w:r>
              <w:rPr>
                <w:rFonts w:hint="eastAsia" w:ascii="宋体" w:hAnsi="宋体" w:cs="宋体"/>
                <w:color w:val="auto"/>
                <w:highlight w:val="none"/>
              </w:rPr>
              <w:t>税金</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9D9E9F">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E90172">
            <w:pPr>
              <w:pageBreakBefore w:val="0"/>
              <w:kinsoku/>
              <w:wordWrap/>
              <w:overflowPunct/>
              <w:bidi w:val="0"/>
              <w:jc w:val="center"/>
              <w:textAlignment w:val="auto"/>
              <w:rPr>
                <w:rFonts w:hint="eastAsia" w:ascii="宋体" w:hAnsi="宋体" w:cs="宋体"/>
                <w:color w:val="auto"/>
                <w:highlight w:val="none"/>
              </w:rPr>
            </w:pPr>
          </w:p>
        </w:tc>
      </w:tr>
      <w:tr w14:paraId="50BC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DA944F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3592"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647F97D6">
            <w:pPr>
              <w:pageBreakBefore w:val="0"/>
              <w:kinsoku/>
              <w:wordWrap/>
              <w:overflowPunct/>
              <w:bidi w:val="0"/>
              <w:jc w:val="center"/>
              <w:textAlignment w:val="auto"/>
              <w:rPr>
                <w:rFonts w:hint="eastAsia" w:ascii="宋体" w:hAnsi="宋体" w:eastAsia="宋体" w:cs="宋体"/>
                <w:color w:val="auto"/>
                <w:kern w:val="2"/>
                <w:sz w:val="21"/>
                <w:highlight w:val="none"/>
                <w:lang w:val="en-US" w:eastAsia="zh-CN" w:bidi="ar-SA"/>
              </w:rPr>
            </w:pPr>
            <w:r>
              <w:rPr>
                <w:rFonts w:hint="eastAsia" w:ascii="宋体" w:hAnsi="宋体" w:cs="宋体"/>
                <w:color w:val="auto"/>
                <w:highlight w:val="none"/>
              </w:rPr>
              <w:t>利润</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F76FA0">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A26F5FD">
            <w:pPr>
              <w:pageBreakBefore w:val="0"/>
              <w:kinsoku/>
              <w:wordWrap/>
              <w:overflowPunct/>
              <w:bidi w:val="0"/>
              <w:jc w:val="center"/>
              <w:textAlignment w:val="auto"/>
              <w:rPr>
                <w:rFonts w:hint="eastAsia" w:ascii="宋体" w:hAnsi="宋体" w:cs="宋体"/>
                <w:color w:val="auto"/>
                <w:highlight w:val="none"/>
              </w:rPr>
            </w:pPr>
          </w:p>
        </w:tc>
      </w:tr>
      <w:tr w14:paraId="7EA7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1"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4110A4F">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3592" w:type="dxa"/>
            <w:tcBorders>
              <w:top w:val="single" w:color="auto" w:sz="4" w:space="0"/>
              <w:left w:val="single" w:color="auto" w:sz="4" w:space="0"/>
              <w:bottom w:val="single" w:color="auto" w:sz="4" w:space="0"/>
              <w:right w:val="single" w:color="auto" w:sz="4" w:space="0"/>
              <w:tl2br w:val="nil"/>
              <w:tr2bl w:val="nil"/>
            </w:tcBorders>
            <w:shd w:val="clear" w:color="auto" w:fill="auto"/>
            <w:noWrap w:val="0"/>
            <w:vAlign w:val="center"/>
          </w:tcPr>
          <w:p w14:paraId="3450794D">
            <w:pPr>
              <w:pageBreakBefore w:val="0"/>
              <w:kinsoku/>
              <w:wordWrap/>
              <w:overflowPunct/>
              <w:bidi w:val="0"/>
              <w:jc w:val="center"/>
              <w:textAlignment w:val="auto"/>
              <w:rPr>
                <w:rFonts w:hint="eastAsia" w:ascii="宋体" w:hAnsi="宋体" w:eastAsia="宋体" w:cs="宋体"/>
                <w:color w:val="auto"/>
                <w:kern w:val="2"/>
                <w:sz w:val="21"/>
                <w:highlight w:val="none"/>
                <w:lang w:val="en-US" w:eastAsia="zh-CN" w:bidi="ar-SA"/>
              </w:rPr>
            </w:pPr>
            <w:r>
              <w:rPr>
                <w:rFonts w:hint="eastAsia" w:ascii="宋体" w:hAnsi="宋体" w:cs="宋体"/>
                <w:color w:val="auto"/>
                <w:highlight w:val="none"/>
              </w:rPr>
              <w:t>……</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734BB6">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B5E6184">
            <w:pPr>
              <w:pageBreakBefore w:val="0"/>
              <w:kinsoku/>
              <w:wordWrap/>
              <w:overflowPunct/>
              <w:bidi w:val="0"/>
              <w:jc w:val="center"/>
              <w:textAlignment w:val="auto"/>
              <w:rPr>
                <w:rFonts w:hint="eastAsia" w:ascii="宋体" w:hAnsi="宋体" w:cs="宋体"/>
                <w:color w:val="auto"/>
                <w:highlight w:val="none"/>
              </w:rPr>
            </w:pPr>
          </w:p>
        </w:tc>
      </w:tr>
      <w:tr w14:paraId="33B0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9DCFD1">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DE6F874">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3EFF862">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FFDF91">
            <w:pPr>
              <w:pageBreakBefore w:val="0"/>
              <w:kinsoku/>
              <w:wordWrap/>
              <w:overflowPunct/>
              <w:bidi w:val="0"/>
              <w:jc w:val="center"/>
              <w:textAlignment w:val="auto"/>
              <w:rPr>
                <w:rFonts w:hint="eastAsia" w:ascii="宋体" w:hAnsi="宋体" w:cs="宋体"/>
                <w:color w:val="auto"/>
                <w:highlight w:val="none"/>
              </w:rPr>
            </w:pPr>
          </w:p>
        </w:tc>
      </w:tr>
      <w:tr w14:paraId="6347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8AB1742">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047B5EF">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627C13">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D8DB6C2">
            <w:pPr>
              <w:pageBreakBefore w:val="0"/>
              <w:kinsoku/>
              <w:wordWrap/>
              <w:overflowPunct/>
              <w:bidi w:val="0"/>
              <w:jc w:val="center"/>
              <w:textAlignment w:val="auto"/>
              <w:rPr>
                <w:rFonts w:hint="eastAsia" w:ascii="宋体" w:hAnsi="宋体" w:cs="宋体"/>
                <w:color w:val="auto"/>
                <w:highlight w:val="none"/>
              </w:rPr>
            </w:pPr>
          </w:p>
        </w:tc>
      </w:tr>
      <w:tr w14:paraId="1DD9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217D02">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5514087">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EBD54D9">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E962CD7">
            <w:pPr>
              <w:pageBreakBefore w:val="0"/>
              <w:kinsoku/>
              <w:wordWrap/>
              <w:overflowPunct/>
              <w:bidi w:val="0"/>
              <w:jc w:val="center"/>
              <w:textAlignment w:val="auto"/>
              <w:rPr>
                <w:rFonts w:hint="eastAsia" w:ascii="宋体" w:hAnsi="宋体" w:cs="宋体"/>
                <w:color w:val="auto"/>
                <w:highlight w:val="none"/>
              </w:rPr>
            </w:pPr>
          </w:p>
        </w:tc>
      </w:tr>
      <w:tr w14:paraId="60DDB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7B609AB">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3F790AD">
            <w:pPr>
              <w:pageBreakBefore w:val="0"/>
              <w:kinsoku/>
              <w:wordWrap/>
              <w:overflowPunct/>
              <w:bidi w:val="0"/>
              <w:jc w:val="center"/>
              <w:textAlignment w:val="auto"/>
              <w:rPr>
                <w:rFonts w:hint="eastAsia" w:ascii="宋体" w:hAnsi="宋体" w:cs="宋体"/>
                <w:color w:val="auto"/>
                <w:highlight w:val="none"/>
              </w:rPr>
            </w:pP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87A0061">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F320DA8">
            <w:pPr>
              <w:pageBreakBefore w:val="0"/>
              <w:kinsoku/>
              <w:wordWrap/>
              <w:overflowPunct/>
              <w:bidi w:val="0"/>
              <w:jc w:val="center"/>
              <w:textAlignment w:val="auto"/>
              <w:rPr>
                <w:rFonts w:hint="eastAsia" w:ascii="宋体" w:hAnsi="宋体" w:cs="宋体"/>
                <w:color w:val="auto"/>
                <w:highlight w:val="none"/>
              </w:rPr>
            </w:pPr>
          </w:p>
        </w:tc>
      </w:tr>
      <w:tr w14:paraId="0CDE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23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7FE770A">
            <w:pPr>
              <w:pageBreakBefore w:val="0"/>
              <w:kinsoku/>
              <w:wordWrap/>
              <w:overflowPunct/>
              <w:bidi w:val="0"/>
              <w:jc w:val="center"/>
              <w:textAlignment w:val="auto"/>
              <w:rPr>
                <w:rFonts w:hint="eastAsia" w:ascii="宋体" w:hAnsi="宋体" w:cs="宋体"/>
                <w:color w:val="auto"/>
                <w:highlight w:val="none"/>
              </w:rPr>
            </w:pPr>
          </w:p>
        </w:tc>
        <w:tc>
          <w:tcPr>
            <w:tcW w:w="359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7DBFA0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2171"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148A4A">
            <w:pPr>
              <w:pageBreakBefore w:val="0"/>
              <w:kinsoku/>
              <w:wordWrap/>
              <w:overflowPunct/>
              <w:bidi w:val="0"/>
              <w:jc w:val="center"/>
              <w:textAlignment w:val="auto"/>
              <w:rPr>
                <w:rFonts w:hint="eastAsia" w:ascii="宋体" w:hAnsi="宋体" w:cs="宋体"/>
                <w:color w:val="auto"/>
                <w:highlight w:val="none"/>
              </w:rPr>
            </w:pPr>
          </w:p>
        </w:tc>
        <w:tc>
          <w:tcPr>
            <w:tcW w:w="2136"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00E53A">
            <w:pPr>
              <w:pageBreakBefore w:val="0"/>
              <w:kinsoku/>
              <w:wordWrap/>
              <w:overflowPunct/>
              <w:bidi w:val="0"/>
              <w:jc w:val="center"/>
              <w:textAlignment w:val="auto"/>
              <w:rPr>
                <w:rFonts w:hint="eastAsia" w:ascii="宋体" w:hAnsi="宋体" w:cs="宋体"/>
                <w:color w:val="auto"/>
                <w:highlight w:val="none"/>
              </w:rPr>
            </w:pPr>
          </w:p>
        </w:tc>
      </w:tr>
    </w:tbl>
    <w:p w14:paraId="7B42D7D1">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47C838BA">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备注：税金暂按6%计列，合同执行时按国家税率标准为准。</w:t>
      </w:r>
    </w:p>
    <w:p w14:paraId="67FD046B">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6C5C3039">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75FC4B50">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w:t>
      </w:r>
      <w:r>
        <w:rPr>
          <w:rFonts w:hint="eastAsia" w:ascii="宋体" w:hAnsi="宋体" w:cs="宋体"/>
          <w:color w:val="auto"/>
          <w:highlight w:val="none"/>
        </w:rPr>
        <w:t>签章）</w:t>
      </w:r>
    </w:p>
    <w:p w14:paraId="6679125D">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3AE037DD">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47FAF36F">
      <w:pPr>
        <w:pageBreakBefore w:val="0"/>
        <w:kinsoku/>
        <w:wordWrap/>
        <w:overflowPunct/>
        <w:bidi w:val="0"/>
        <w:snapToGrid w:val="0"/>
        <w:spacing w:after="200" w:line="360" w:lineRule="auto"/>
        <w:ind w:firstLine="420" w:firstLineChars="200"/>
        <w:jc w:val="center"/>
        <w:textAlignment w:val="auto"/>
        <w:outlineLvl w:val="3"/>
        <w:rPr>
          <w:rStyle w:val="62"/>
          <w:rFonts w:hint="eastAsia" w:ascii="宋体" w:hAnsi="宋体" w:cs="宋体"/>
          <w:color w:val="auto"/>
          <w:sz w:val="28"/>
          <w:szCs w:val="28"/>
          <w:highlight w:val="none"/>
        </w:rPr>
      </w:pPr>
      <w:r>
        <w:rPr>
          <w:rFonts w:hint="eastAsia" w:ascii="宋体" w:hAnsi="宋体" w:cs="宋体"/>
          <w:color w:val="auto"/>
          <w:highlight w:val="none"/>
        </w:rPr>
        <w:br w:type="page"/>
      </w:r>
      <w:bookmarkStart w:id="1194" w:name="_Toc854860838"/>
      <w:bookmarkStart w:id="1195" w:name="_Toc43395730"/>
      <w:bookmarkStart w:id="1196" w:name="_Toc2062814671"/>
      <w:bookmarkStart w:id="1197" w:name="_Toc770005344"/>
      <w:bookmarkStart w:id="1198" w:name="_Toc314979378"/>
      <w:r>
        <w:rPr>
          <w:rStyle w:val="62"/>
          <w:rFonts w:hint="eastAsia" w:ascii="宋体" w:hAnsi="宋体" w:eastAsia="宋体" w:cs="宋体"/>
          <w:b/>
          <w:bCs/>
          <w:color w:val="auto"/>
          <w:sz w:val="28"/>
          <w:szCs w:val="28"/>
          <w:highlight w:val="none"/>
        </w:rPr>
        <w:t>（二）分项报价表</w:t>
      </w:r>
    </w:p>
    <w:bookmarkEnd w:id="1194"/>
    <w:bookmarkEnd w:id="1195"/>
    <w:bookmarkEnd w:id="1196"/>
    <w:bookmarkEnd w:id="1197"/>
    <w:bookmarkEnd w:id="1198"/>
    <w:p w14:paraId="3E172FE9">
      <w:pPr>
        <w:pageBreakBefore w:val="0"/>
        <w:kinsoku/>
        <w:wordWrap/>
        <w:overflowPunct/>
        <w:bidi w:val="0"/>
        <w:spacing w:line="360" w:lineRule="auto"/>
        <w:ind w:left="-2" w:leftChars="-1"/>
        <w:jc w:val="right"/>
        <w:textAlignment w:val="auto"/>
        <w:rPr>
          <w:rFonts w:hint="eastAsia" w:hAnsi="宋体"/>
          <w:color w:val="auto"/>
          <w:szCs w:val="24"/>
          <w:highlight w:val="none"/>
        </w:rPr>
      </w:pPr>
      <w:r>
        <w:rPr>
          <w:rFonts w:hint="eastAsia" w:hAnsi="宋体"/>
          <w:color w:val="auto"/>
          <w:szCs w:val="24"/>
          <w:highlight w:val="none"/>
        </w:rPr>
        <w:t>金额单位：人民币 元</w:t>
      </w:r>
    </w:p>
    <w:tbl>
      <w:tblPr>
        <w:tblStyle w:val="49"/>
        <w:tblW w:w="9472" w:type="dxa"/>
        <w:jc w:val="center"/>
        <w:tblLayout w:type="fixed"/>
        <w:tblCellMar>
          <w:top w:w="0" w:type="dxa"/>
          <w:left w:w="108" w:type="dxa"/>
          <w:bottom w:w="0" w:type="dxa"/>
          <w:right w:w="108" w:type="dxa"/>
        </w:tblCellMar>
      </w:tblPr>
      <w:tblGrid>
        <w:gridCol w:w="783"/>
        <w:gridCol w:w="2529"/>
        <w:gridCol w:w="784"/>
        <w:gridCol w:w="784"/>
        <w:gridCol w:w="2602"/>
        <w:gridCol w:w="1216"/>
        <w:gridCol w:w="774"/>
      </w:tblGrid>
      <w:tr w14:paraId="6714DBD8">
        <w:trPr>
          <w:trHeight w:val="699" w:hRule="atLeast"/>
          <w:jc w:val="center"/>
        </w:trPr>
        <w:tc>
          <w:tcPr>
            <w:tcW w:w="78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D689C40">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序号</w:t>
            </w:r>
          </w:p>
        </w:tc>
        <w:tc>
          <w:tcPr>
            <w:tcW w:w="2529" w:type="dxa"/>
            <w:tcBorders>
              <w:top w:val="single" w:color="auto" w:sz="4" w:space="0"/>
              <w:left w:val="nil"/>
              <w:bottom w:val="single" w:color="auto" w:sz="4" w:space="0"/>
              <w:right w:val="single" w:color="auto" w:sz="4" w:space="0"/>
              <w:tl2br w:val="nil"/>
              <w:tr2bl w:val="nil"/>
            </w:tcBorders>
            <w:noWrap w:val="0"/>
            <w:vAlign w:val="center"/>
          </w:tcPr>
          <w:p w14:paraId="594F7915">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岗位设置</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144EF014">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人数</w:t>
            </w:r>
          </w:p>
        </w:tc>
        <w:tc>
          <w:tcPr>
            <w:tcW w:w="784" w:type="dxa"/>
            <w:tcBorders>
              <w:top w:val="single" w:color="auto" w:sz="4" w:space="0"/>
              <w:left w:val="nil"/>
              <w:bottom w:val="single" w:color="auto" w:sz="4" w:space="0"/>
              <w:right w:val="single" w:color="auto" w:sz="4" w:space="0"/>
              <w:tl2br w:val="nil"/>
              <w:tr2bl w:val="nil"/>
            </w:tcBorders>
            <w:noWrap w:val="0"/>
            <w:vAlign w:val="center"/>
          </w:tcPr>
          <w:p w14:paraId="265AEBAC">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月数</w:t>
            </w:r>
          </w:p>
        </w:tc>
        <w:tc>
          <w:tcPr>
            <w:tcW w:w="2602" w:type="dxa"/>
            <w:tcBorders>
              <w:top w:val="single" w:color="auto" w:sz="4" w:space="0"/>
              <w:left w:val="nil"/>
              <w:bottom w:val="single" w:color="auto" w:sz="4" w:space="0"/>
              <w:right w:val="single" w:color="auto" w:sz="4" w:space="0"/>
              <w:tl2br w:val="nil"/>
              <w:tr2bl w:val="nil"/>
            </w:tcBorders>
            <w:noWrap w:val="0"/>
            <w:vAlign w:val="center"/>
          </w:tcPr>
          <w:p w14:paraId="3C88D689">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综合人工费（元/人·月）</w:t>
            </w:r>
          </w:p>
        </w:tc>
        <w:tc>
          <w:tcPr>
            <w:tcW w:w="1216" w:type="dxa"/>
            <w:tcBorders>
              <w:top w:val="single" w:color="auto" w:sz="4" w:space="0"/>
              <w:left w:val="nil"/>
              <w:bottom w:val="single" w:color="auto" w:sz="4" w:space="0"/>
              <w:right w:val="single" w:color="auto" w:sz="4" w:space="0"/>
              <w:tl2br w:val="nil"/>
              <w:tr2bl w:val="nil"/>
            </w:tcBorders>
            <w:noWrap w:val="0"/>
            <w:vAlign w:val="center"/>
          </w:tcPr>
          <w:p w14:paraId="5491EA91">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合价金额</w:t>
            </w: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08CFA960">
            <w:pPr>
              <w:pageBreakBefore w:val="0"/>
              <w:kinsoku/>
              <w:wordWrap/>
              <w:overflowPunct/>
              <w:bidi w:val="0"/>
              <w:spacing w:before="100" w:after="100"/>
              <w:jc w:val="center"/>
              <w:textAlignment w:val="auto"/>
              <w:rPr>
                <w:rFonts w:hint="eastAsia" w:ascii="宋体" w:hAnsi="宋体" w:cs="宋体"/>
                <w:b/>
                <w:color w:val="auto"/>
                <w:highlight w:val="none"/>
              </w:rPr>
            </w:pPr>
            <w:r>
              <w:rPr>
                <w:rFonts w:hint="eastAsia" w:ascii="宋体" w:hAnsi="宋体" w:cs="宋体"/>
                <w:b/>
                <w:color w:val="auto"/>
                <w:highlight w:val="none"/>
              </w:rPr>
              <w:t>备注</w:t>
            </w:r>
          </w:p>
        </w:tc>
      </w:tr>
      <w:tr w14:paraId="2AFEF806">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C758C54">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w:t>
            </w:r>
          </w:p>
        </w:tc>
        <w:tc>
          <w:tcPr>
            <w:tcW w:w="2529" w:type="dxa"/>
            <w:tcBorders>
              <w:top w:val="nil"/>
              <w:left w:val="nil"/>
              <w:bottom w:val="single" w:color="auto" w:sz="4" w:space="0"/>
              <w:right w:val="single" w:color="auto" w:sz="4" w:space="0"/>
              <w:tl2br w:val="nil"/>
              <w:tr2bl w:val="nil"/>
            </w:tcBorders>
            <w:noWrap w:val="0"/>
            <w:vAlign w:val="center"/>
          </w:tcPr>
          <w:p w14:paraId="22ABF980">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EA96E5D">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53898E8">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47EEF072">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2F3F074D">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E04EB28">
            <w:pPr>
              <w:pageBreakBefore w:val="0"/>
              <w:kinsoku/>
              <w:wordWrap/>
              <w:overflowPunct/>
              <w:bidi w:val="0"/>
              <w:spacing w:before="100" w:after="100"/>
              <w:jc w:val="center"/>
              <w:textAlignment w:val="auto"/>
              <w:rPr>
                <w:rFonts w:hint="eastAsia" w:ascii="宋体" w:hAnsi="宋体" w:cs="宋体"/>
                <w:color w:val="auto"/>
                <w:highlight w:val="none"/>
              </w:rPr>
            </w:pPr>
          </w:p>
        </w:tc>
      </w:tr>
      <w:tr w14:paraId="0C754155">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E9D0FF6">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2</w:t>
            </w:r>
          </w:p>
        </w:tc>
        <w:tc>
          <w:tcPr>
            <w:tcW w:w="2529" w:type="dxa"/>
            <w:tcBorders>
              <w:top w:val="nil"/>
              <w:left w:val="nil"/>
              <w:bottom w:val="single" w:color="auto" w:sz="4" w:space="0"/>
              <w:right w:val="single" w:color="auto" w:sz="4" w:space="0"/>
              <w:tl2br w:val="nil"/>
              <w:tr2bl w:val="nil"/>
            </w:tcBorders>
            <w:noWrap w:val="0"/>
            <w:vAlign w:val="center"/>
          </w:tcPr>
          <w:p w14:paraId="03427FCE">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8F52114">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4EF6E00">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951F1BE">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6D7D0145">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9BC6A6B">
            <w:pPr>
              <w:pageBreakBefore w:val="0"/>
              <w:kinsoku/>
              <w:wordWrap/>
              <w:overflowPunct/>
              <w:bidi w:val="0"/>
              <w:spacing w:before="100" w:after="100"/>
              <w:jc w:val="center"/>
              <w:textAlignment w:val="auto"/>
              <w:rPr>
                <w:rFonts w:hint="eastAsia" w:ascii="宋体" w:hAnsi="宋体" w:cs="宋体"/>
                <w:color w:val="auto"/>
                <w:highlight w:val="none"/>
              </w:rPr>
            </w:pPr>
          </w:p>
        </w:tc>
      </w:tr>
      <w:tr w14:paraId="6DFD5033">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AF13A93">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3</w:t>
            </w:r>
          </w:p>
        </w:tc>
        <w:tc>
          <w:tcPr>
            <w:tcW w:w="2529" w:type="dxa"/>
            <w:tcBorders>
              <w:top w:val="nil"/>
              <w:left w:val="nil"/>
              <w:bottom w:val="single" w:color="auto" w:sz="4" w:space="0"/>
              <w:right w:val="single" w:color="auto" w:sz="4" w:space="0"/>
              <w:tl2br w:val="nil"/>
              <w:tr2bl w:val="nil"/>
            </w:tcBorders>
            <w:noWrap w:val="0"/>
            <w:vAlign w:val="center"/>
          </w:tcPr>
          <w:p w14:paraId="36F1646B">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14851FCD">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8134450">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758CB6BF">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3033EDB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5992D44">
            <w:pPr>
              <w:pageBreakBefore w:val="0"/>
              <w:kinsoku/>
              <w:wordWrap/>
              <w:overflowPunct/>
              <w:bidi w:val="0"/>
              <w:spacing w:before="100" w:after="100"/>
              <w:jc w:val="center"/>
              <w:textAlignment w:val="auto"/>
              <w:rPr>
                <w:rFonts w:hint="eastAsia" w:ascii="宋体" w:hAnsi="宋体" w:cs="宋体"/>
                <w:color w:val="auto"/>
                <w:highlight w:val="none"/>
              </w:rPr>
            </w:pPr>
          </w:p>
        </w:tc>
      </w:tr>
      <w:tr w14:paraId="76817046">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6066FAC5">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4</w:t>
            </w:r>
          </w:p>
        </w:tc>
        <w:tc>
          <w:tcPr>
            <w:tcW w:w="2529" w:type="dxa"/>
            <w:tcBorders>
              <w:top w:val="nil"/>
              <w:left w:val="nil"/>
              <w:bottom w:val="single" w:color="auto" w:sz="4" w:space="0"/>
              <w:right w:val="single" w:color="auto" w:sz="4" w:space="0"/>
              <w:tl2br w:val="nil"/>
              <w:tr2bl w:val="nil"/>
            </w:tcBorders>
            <w:noWrap w:val="0"/>
            <w:vAlign w:val="center"/>
          </w:tcPr>
          <w:p w14:paraId="5BEB46F8">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0D45536">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5DDEC267">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329AAEE7">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63C705BF">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0106F24">
            <w:pPr>
              <w:pageBreakBefore w:val="0"/>
              <w:kinsoku/>
              <w:wordWrap/>
              <w:overflowPunct/>
              <w:bidi w:val="0"/>
              <w:spacing w:before="100" w:after="100"/>
              <w:jc w:val="center"/>
              <w:textAlignment w:val="auto"/>
              <w:rPr>
                <w:rFonts w:hint="eastAsia" w:ascii="宋体" w:hAnsi="宋体" w:cs="宋体"/>
                <w:color w:val="auto"/>
                <w:highlight w:val="none"/>
              </w:rPr>
            </w:pPr>
          </w:p>
        </w:tc>
      </w:tr>
      <w:tr w14:paraId="593FDE42">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4AAA56D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5</w:t>
            </w:r>
          </w:p>
        </w:tc>
        <w:tc>
          <w:tcPr>
            <w:tcW w:w="2529" w:type="dxa"/>
            <w:tcBorders>
              <w:top w:val="nil"/>
              <w:left w:val="nil"/>
              <w:bottom w:val="single" w:color="auto" w:sz="4" w:space="0"/>
              <w:right w:val="single" w:color="auto" w:sz="4" w:space="0"/>
              <w:tl2br w:val="nil"/>
              <w:tr2bl w:val="nil"/>
            </w:tcBorders>
            <w:noWrap w:val="0"/>
            <w:vAlign w:val="center"/>
          </w:tcPr>
          <w:p w14:paraId="30D812B9">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2139A227">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CF73FB3">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72A1C7B2">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63F3A767">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F9F9FBB">
            <w:pPr>
              <w:pageBreakBefore w:val="0"/>
              <w:kinsoku/>
              <w:wordWrap/>
              <w:overflowPunct/>
              <w:bidi w:val="0"/>
              <w:spacing w:before="100" w:after="100"/>
              <w:jc w:val="center"/>
              <w:textAlignment w:val="auto"/>
              <w:rPr>
                <w:rFonts w:hint="eastAsia" w:ascii="宋体" w:hAnsi="宋体" w:cs="宋体"/>
                <w:color w:val="auto"/>
                <w:highlight w:val="none"/>
              </w:rPr>
            </w:pPr>
          </w:p>
        </w:tc>
      </w:tr>
      <w:tr w14:paraId="69461F1F">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1ECEE114">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6</w:t>
            </w:r>
          </w:p>
        </w:tc>
        <w:tc>
          <w:tcPr>
            <w:tcW w:w="2529" w:type="dxa"/>
            <w:tcBorders>
              <w:top w:val="nil"/>
              <w:left w:val="nil"/>
              <w:bottom w:val="single" w:color="auto" w:sz="4" w:space="0"/>
              <w:right w:val="single" w:color="auto" w:sz="4" w:space="0"/>
              <w:tl2br w:val="nil"/>
              <w:tr2bl w:val="nil"/>
            </w:tcBorders>
            <w:noWrap w:val="0"/>
            <w:vAlign w:val="center"/>
          </w:tcPr>
          <w:p w14:paraId="01060B3D">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8693B59">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792E939A">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94A1AC6">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0F40A7CA">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4D6DB7">
            <w:pPr>
              <w:pageBreakBefore w:val="0"/>
              <w:kinsoku/>
              <w:wordWrap/>
              <w:overflowPunct/>
              <w:bidi w:val="0"/>
              <w:spacing w:before="100" w:after="100"/>
              <w:jc w:val="center"/>
              <w:textAlignment w:val="auto"/>
              <w:rPr>
                <w:rFonts w:hint="eastAsia" w:ascii="宋体" w:hAnsi="宋体" w:cs="宋体"/>
                <w:color w:val="auto"/>
                <w:highlight w:val="none"/>
              </w:rPr>
            </w:pPr>
          </w:p>
        </w:tc>
      </w:tr>
      <w:tr w14:paraId="03514453">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5379E940">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7</w:t>
            </w:r>
          </w:p>
        </w:tc>
        <w:tc>
          <w:tcPr>
            <w:tcW w:w="2529" w:type="dxa"/>
            <w:tcBorders>
              <w:top w:val="nil"/>
              <w:left w:val="nil"/>
              <w:bottom w:val="single" w:color="auto" w:sz="4" w:space="0"/>
              <w:right w:val="single" w:color="auto" w:sz="4" w:space="0"/>
              <w:tl2br w:val="nil"/>
              <w:tr2bl w:val="nil"/>
            </w:tcBorders>
            <w:noWrap w:val="0"/>
            <w:vAlign w:val="center"/>
          </w:tcPr>
          <w:p w14:paraId="343696A5">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1E2B8781">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16C24DCE">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05811B68">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705335EA">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6E65B5A">
            <w:pPr>
              <w:pageBreakBefore w:val="0"/>
              <w:kinsoku/>
              <w:wordWrap/>
              <w:overflowPunct/>
              <w:bidi w:val="0"/>
              <w:spacing w:before="100" w:after="100"/>
              <w:jc w:val="center"/>
              <w:textAlignment w:val="auto"/>
              <w:rPr>
                <w:rFonts w:hint="eastAsia" w:ascii="宋体" w:hAnsi="宋体" w:cs="宋体"/>
                <w:color w:val="auto"/>
                <w:highlight w:val="none"/>
              </w:rPr>
            </w:pPr>
          </w:p>
        </w:tc>
      </w:tr>
      <w:tr w14:paraId="5215A360">
        <w:trPr>
          <w:trHeight w:val="623" w:hRule="atLeast"/>
          <w:jc w:val="center"/>
        </w:trPr>
        <w:tc>
          <w:tcPr>
            <w:tcW w:w="783" w:type="dxa"/>
            <w:tcBorders>
              <w:top w:val="nil"/>
              <w:left w:val="single" w:color="auto" w:sz="4" w:space="0"/>
              <w:bottom w:val="single" w:color="auto" w:sz="4" w:space="0"/>
              <w:right w:val="single" w:color="auto" w:sz="4" w:space="0"/>
              <w:tl2br w:val="nil"/>
              <w:tr2bl w:val="nil"/>
            </w:tcBorders>
            <w:noWrap w:val="0"/>
            <w:vAlign w:val="center"/>
          </w:tcPr>
          <w:p w14:paraId="7C23610C">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11</w:t>
            </w:r>
          </w:p>
        </w:tc>
        <w:tc>
          <w:tcPr>
            <w:tcW w:w="2529" w:type="dxa"/>
            <w:tcBorders>
              <w:top w:val="nil"/>
              <w:left w:val="nil"/>
              <w:bottom w:val="single" w:color="auto" w:sz="4" w:space="0"/>
              <w:right w:val="single" w:color="auto" w:sz="4" w:space="0"/>
              <w:tl2br w:val="nil"/>
              <w:tr2bl w:val="nil"/>
            </w:tcBorders>
            <w:noWrap w:val="0"/>
            <w:vAlign w:val="center"/>
          </w:tcPr>
          <w:p w14:paraId="355E0EDD">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080CE71C">
            <w:pPr>
              <w:pageBreakBefore w:val="0"/>
              <w:kinsoku/>
              <w:wordWrap/>
              <w:overflowPunct/>
              <w:bidi w:val="0"/>
              <w:spacing w:before="100" w:after="100"/>
              <w:jc w:val="center"/>
              <w:textAlignment w:val="auto"/>
              <w:rPr>
                <w:rFonts w:hint="eastAsia" w:ascii="宋体" w:hAnsi="宋体" w:cs="宋体"/>
                <w:color w:val="auto"/>
                <w:highlight w:val="none"/>
              </w:rPr>
            </w:pPr>
          </w:p>
        </w:tc>
        <w:tc>
          <w:tcPr>
            <w:tcW w:w="784" w:type="dxa"/>
            <w:tcBorders>
              <w:top w:val="nil"/>
              <w:left w:val="nil"/>
              <w:bottom w:val="single" w:color="auto" w:sz="4" w:space="0"/>
              <w:right w:val="single" w:color="auto" w:sz="4" w:space="0"/>
              <w:tl2br w:val="nil"/>
              <w:tr2bl w:val="nil"/>
            </w:tcBorders>
            <w:noWrap w:val="0"/>
            <w:vAlign w:val="center"/>
          </w:tcPr>
          <w:p w14:paraId="3EC4EA12">
            <w:pPr>
              <w:pageBreakBefore w:val="0"/>
              <w:kinsoku/>
              <w:wordWrap/>
              <w:overflowPunct/>
              <w:bidi w:val="0"/>
              <w:spacing w:before="100" w:after="100"/>
              <w:jc w:val="center"/>
              <w:textAlignment w:val="auto"/>
              <w:rPr>
                <w:rFonts w:hint="eastAsia" w:ascii="宋体" w:hAnsi="宋体" w:cs="宋体"/>
                <w:color w:val="auto"/>
                <w:highlight w:val="none"/>
              </w:rPr>
            </w:pPr>
          </w:p>
        </w:tc>
        <w:tc>
          <w:tcPr>
            <w:tcW w:w="2602" w:type="dxa"/>
            <w:tcBorders>
              <w:top w:val="nil"/>
              <w:left w:val="nil"/>
              <w:bottom w:val="single" w:color="auto" w:sz="4" w:space="0"/>
              <w:right w:val="single" w:color="auto" w:sz="4" w:space="0"/>
              <w:tl2br w:val="nil"/>
              <w:tr2bl w:val="nil"/>
            </w:tcBorders>
            <w:noWrap w:val="0"/>
            <w:vAlign w:val="center"/>
          </w:tcPr>
          <w:p w14:paraId="5EFDCA3F">
            <w:pPr>
              <w:pageBreakBefore w:val="0"/>
              <w:kinsoku/>
              <w:wordWrap/>
              <w:overflowPunct/>
              <w:bidi w:val="0"/>
              <w:spacing w:before="100" w:after="100"/>
              <w:jc w:val="center"/>
              <w:textAlignment w:val="auto"/>
              <w:rPr>
                <w:rFonts w:hint="eastAsia" w:ascii="宋体" w:hAnsi="宋体" w:cs="宋体"/>
                <w:color w:val="auto"/>
                <w:highlight w:val="none"/>
              </w:rPr>
            </w:pPr>
          </w:p>
        </w:tc>
        <w:tc>
          <w:tcPr>
            <w:tcW w:w="1216" w:type="dxa"/>
            <w:tcBorders>
              <w:top w:val="nil"/>
              <w:left w:val="nil"/>
              <w:bottom w:val="single" w:color="auto" w:sz="4" w:space="0"/>
              <w:right w:val="single" w:color="auto" w:sz="4" w:space="0"/>
              <w:tl2br w:val="nil"/>
              <w:tr2bl w:val="nil"/>
            </w:tcBorders>
            <w:noWrap w:val="0"/>
            <w:vAlign w:val="center"/>
          </w:tcPr>
          <w:p w14:paraId="08AF4133">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single" w:color="auto" w:sz="4" w:space="0"/>
              <w:left w:val="nil"/>
              <w:bottom w:val="single" w:color="auto" w:sz="4" w:space="0"/>
              <w:right w:val="single" w:color="auto" w:sz="4" w:space="0"/>
              <w:tl2br w:val="nil"/>
              <w:tr2bl w:val="nil"/>
            </w:tcBorders>
            <w:noWrap w:val="0"/>
            <w:vAlign w:val="center"/>
          </w:tcPr>
          <w:p w14:paraId="56A05660">
            <w:pPr>
              <w:pageBreakBefore w:val="0"/>
              <w:kinsoku/>
              <w:wordWrap/>
              <w:overflowPunct/>
              <w:bidi w:val="0"/>
              <w:spacing w:before="100" w:after="100"/>
              <w:jc w:val="center"/>
              <w:textAlignment w:val="auto"/>
              <w:rPr>
                <w:rFonts w:hint="eastAsia" w:ascii="宋体" w:hAnsi="宋体" w:cs="宋体"/>
                <w:color w:val="auto"/>
                <w:highlight w:val="none"/>
              </w:rPr>
            </w:pPr>
          </w:p>
        </w:tc>
      </w:tr>
      <w:tr w14:paraId="53B7D8F8">
        <w:trPr>
          <w:trHeight w:val="623" w:hRule="atLeast"/>
          <w:jc w:val="center"/>
        </w:trPr>
        <w:tc>
          <w:tcPr>
            <w:tcW w:w="7482" w:type="dxa"/>
            <w:gridSpan w:val="5"/>
            <w:tcBorders>
              <w:top w:val="nil"/>
              <w:left w:val="single" w:color="auto" w:sz="4" w:space="0"/>
              <w:bottom w:val="single" w:color="auto" w:sz="4" w:space="0"/>
              <w:right w:val="single" w:color="auto" w:sz="4" w:space="0"/>
              <w:tl2br w:val="nil"/>
              <w:tr2bl w:val="nil"/>
            </w:tcBorders>
            <w:noWrap w:val="0"/>
            <w:vAlign w:val="center"/>
          </w:tcPr>
          <w:p w14:paraId="67426EE5">
            <w:pPr>
              <w:pageBreakBefore w:val="0"/>
              <w:kinsoku/>
              <w:wordWrap/>
              <w:overflowPunct/>
              <w:bidi w:val="0"/>
              <w:spacing w:before="100" w:after="100"/>
              <w:jc w:val="center"/>
              <w:textAlignment w:val="auto"/>
              <w:rPr>
                <w:rFonts w:hint="eastAsia" w:ascii="宋体" w:hAnsi="宋体" w:cs="宋体"/>
                <w:color w:val="auto"/>
                <w:highlight w:val="none"/>
              </w:rPr>
            </w:pPr>
            <w:r>
              <w:rPr>
                <w:rFonts w:hint="eastAsia" w:ascii="宋体" w:hAnsi="宋体" w:cs="宋体"/>
                <w:color w:val="auto"/>
                <w:highlight w:val="none"/>
              </w:rPr>
              <w:t>合计</w:t>
            </w:r>
          </w:p>
        </w:tc>
        <w:tc>
          <w:tcPr>
            <w:tcW w:w="1216" w:type="dxa"/>
            <w:tcBorders>
              <w:top w:val="nil"/>
              <w:left w:val="nil"/>
              <w:bottom w:val="single" w:color="auto" w:sz="4" w:space="0"/>
              <w:right w:val="single" w:color="auto" w:sz="4" w:space="0"/>
              <w:tl2br w:val="nil"/>
              <w:tr2bl w:val="nil"/>
            </w:tcBorders>
            <w:noWrap w:val="0"/>
            <w:vAlign w:val="center"/>
          </w:tcPr>
          <w:p w14:paraId="34EBA468">
            <w:pPr>
              <w:pageBreakBefore w:val="0"/>
              <w:kinsoku/>
              <w:wordWrap/>
              <w:overflowPunct/>
              <w:bidi w:val="0"/>
              <w:spacing w:before="100" w:after="100"/>
              <w:jc w:val="center"/>
              <w:textAlignment w:val="auto"/>
              <w:rPr>
                <w:rFonts w:hint="eastAsia" w:ascii="宋体" w:hAnsi="宋体" w:cs="宋体"/>
                <w:color w:val="auto"/>
                <w:highlight w:val="none"/>
              </w:rPr>
            </w:pPr>
          </w:p>
        </w:tc>
        <w:tc>
          <w:tcPr>
            <w:tcW w:w="774" w:type="dxa"/>
            <w:tcBorders>
              <w:top w:val="nil"/>
              <w:left w:val="nil"/>
              <w:bottom w:val="single" w:color="auto" w:sz="4" w:space="0"/>
              <w:right w:val="single" w:color="auto" w:sz="4" w:space="0"/>
              <w:tl2br w:val="nil"/>
              <w:tr2bl w:val="nil"/>
            </w:tcBorders>
            <w:noWrap w:val="0"/>
            <w:vAlign w:val="center"/>
          </w:tcPr>
          <w:p w14:paraId="2FCA76CE">
            <w:pPr>
              <w:pageBreakBefore w:val="0"/>
              <w:kinsoku/>
              <w:wordWrap/>
              <w:overflowPunct/>
              <w:bidi w:val="0"/>
              <w:spacing w:before="100" w:after="100"/>
              <w:jc w:val="center"/>
              <w:textAlignment w:val="auto"/>
              <w:rPr>
                <w:rFonts w:hint="eastAsia" w:ascii="宋体" w:hAnsi="宋体" w:cs="宋体"/>
                <w:color w:val="auto"/>
                <w:highlight w:val="none"/>
              </w:rPr>
            </w:pPr>
          </w:p>
        </w:tc>
      </w:tr>
    </w:tbl>
    <w:p w14:paraId="64F3672E">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r>
        <w:rPr>
          <w:rStyle w:val="288"/>
          <w:rFonts w:hint="eastAsia" w:ascii="宋体" w:hAnsi="宋体" w:cs="宋体"/>
          <w:color w:val="auto"/>
          <w:highlight w:val="none"/>
        </w:rPr>
        <w:t>备注：综合人工费包括投标人为完成</w:t>
      </w:r>
      <w:r>
        <w:rPr>
          <w:rStyle w:val="288"/>
          <w:rFonts w:hint="eastAsia" w:ascii="宋体" w:hAnsi="宋体" w:cs="宋体"/>
          <w:color w:val="auto"/>
          <w:highlight w:val="none"/>
          <w:lang w:eastAsia="zh-CN"/>
        </w:rPr>
        <w:t>咨询</w:t>
      </w:r>
      <w:r>
        <w:rPr>
          <w:rStyle w:val="288"/>
          <w:rFonts w:hint="eastAsia" w:ascii="宋体" w:hAnsi="宋体" w:cs="宋体"/>
          <w:color w:val="auto"/>
          <w:highlight w:val="none"/>
        </w:rPr>
        <w:t>工作所产生的工作人员薪酬、办公、差旅、通讯、食宿、车辆、设备、保险、利润、税金等所有费用。</w:t>
      </w:r>
    </w:p>
    <w:p w14:paraId="1F02FAC9">
      <w:pPr>
        <w:pageBreakBefore w:val="0"/>
        <w:kinsoku/>
        <w:wordWrap/>
        <w:overflowPunct/>
        <w:bidi w:val="0"/>
        <w:adjustRightInd w:val="0"/>
        <w:snapToGrid w:val="0"/>
        <w:spacing w:after="200" w:line="360" w:lineRule="auto"/>
        <w:ind w:firstLine="480" w:firstLineChars="200"/>
        <w:textAlignment w:val="auto"/>
        <w:rPr>
          <w:rStyle w:val="288"/>
          <w:rFonts w:hint="eastAsia" w:ascii="宋体" w:hAnsi="宋体" w:cs="宋体"/>
          <w:color w:val="auto"/>
          <w:highlight w:val="none"/>
        </w:rPr>
      </w:pPr>
    </w:p>
    <w:p w14:paraId="5A74377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val="en-US"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7D84C151">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w:t>
      </w:r>
      <w:r>
        <w:rPr>
          <w:rFonts w:hint="eastAsia" w:ascii="宋体" w:hAnsi="宋体" w:cs="宋体"/>
          <w:color w:val="auto"/>
          <w:highlight w:val="none"/>
        </w:rPr>
        <w:t>签章）</w:t>
      </w:r>
    </w:p>
    <w:p w14:paraId="4258BB3F">
      <w:pPr>
        <w:widowControl/>
        <w:spacing w:after="200" w:line="360" w:lineRule="auto"/>
        <w:ind w:left="2318" w:leftChars="1104"/>
        <w:jc w:val="left"/>
        <w:rPr>
          <w:rFonts w:hint="eastAsia" w:ascii="宋体" w:hAnsi="宋体" w:eastAsia="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sectPr>
      <w:headerReference r:id="rId7" w:type="default"/>
      <w:footerReference r:id="rId8"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43"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方正书宋_GBK">
    <w:altName w:val="书宋-简"/>
    <w:panose1 w:val="02000000000000000000"/>
    <w:charset w:val="86"/>
    <w:family w:val="auto"/>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MyriadMM_700_300_">
    <w:altName w:val="FT EliraSans"/>
    <w:panose1 w:val="00000000000000000000"/>
    <w:charset w:val="00"/>
    <w:family w:val="auto"/>
    <w:pitch w:val="default"/>
    <w:sig w:usb0="00000000" w:usb1="00000000" w:usb2="00000000" w:usb3="00000000" w:csb0="00000001" w:csb1="00000000"/>
  </w:font>
  <w:font w:name="C059">
    <w:altName w:val="FT EliraSans"/>
    <w:panose1 w:val="00000500000000000000"/>
    <w:charset w:val="00"/>
    <w:family w:val="auto"/>
    <w:pitch w:val="default"/>
    <w:sig w:usb0="00000000" w:usb1="00000000" w:usb2="00000000" w:usb3="00000000" w:csb0="6000009F" w:csb1="00000000"/>
  </w:font>
  <w:font w:name="FT AeroSans">
    <w:panose1 w:val="020B0504030202020204"/>
    <w:charset w:val="00"/>
    <w:family w:val="auto"/>
    <w:pitch w:val="default"/>
    <w:sig w:usb0="0000028F" w:usb1="00000000" w:usb2="00000000" w:usb3="00000000" w:csb0="0000011F" w:csb1="07030000"/>
  </w:font>
  <w:font w:name="DejaVu Sans">
    <w:altName w:val="Noto Sans Bengali UI Medium"/>
    <w:panose1 w:val="020B0603030804020204"/>
    <w:charset w:val="00"/>
    <w:family w:val="auto"/>
    <w:pitch w:val="default"/>
    <w:sig w:usb0="00000000" w:usb1="00000000" w:usb2="0A246029" w:usb3="0400200C" w:csb0="600001FF" w:csb1="DFFF0000"/>
  </w:font>
  <w:font w:name="Noto Sans Bengali UI Medium">
    <w:panose1 w:val="020B0602040504020204"/>
    <w:charset w:val="00"/>
    <w:family w:val="auto"/>
    <w:pitch w:val="default"/>
    <w:sig w:usb0="80018023" w:usb1="00002042" w:usb2="00000000" w:usb3="00000000" w:csb0="00000093" w:csb1="00000000"/>
  </w:font>
  <w:font w:name="黑体-简">
    <w:panose1 w:val="02010609060101010101"/>
    <w:charset w:val="86"/>
    <w:family w:val="auto"/>
    <w:pitch w:val="default"/>
    <w:sig w:usb0="A00002BF" w:usb1="3ACF7CFA" w:usb2="00000016" w:usb3="00000000" w:csb0="00040001" w:csb1="00000000"/>
  </w:font>
  <w:font w:name="方正黑体_GBK">
    <w:panose1 w:val="02010600010101010101"/>
    <w:charset w:val="86"/>
    <w:family w:val="auto"/>
    <w:pitch w:val="default"/>
    <w:sig w:usb0="00000001" w:usb1="080E0000" w:usb2="00000000" w:usb3="00000000" w:csb0="00040000" w:csb1="00000000"/>
  </w:font>
  <w:font w:name="FTToken">
    <w:panose1 w:val="05000000000000000000"/>
    <w:charset w:val="00"/>
    <w:family w:val="auto"/>
    <w:pitch w:val="default"/>
    <w:sig w:usb0="00000000" w:usb1="10000000" w:usb2="00000000" w:usb3="00000000" w:csb0="80000000" w:csb1="00000000"/>
  </w:font>
  <w:font w:name="MathJax_Vector">
    <w:altName w:val="DejaVu Math TeX Gyre"/>
    <w:panose1 w:val="02000603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A00F9EE" w:usb2="02000008" w:usb3="00000000" w:csb0="60000193" w:csb1="0DD40000"/>
  </w:font>
  <w:font w:name="Cambria">
    <w:altName w:val="FT KliphSerif"/>
    <w:panose1 w:val="02040503050406030204"/>
    <w:charset w:val="00"/>
    <w:family w:val="roman"/>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FreeSerif">
    <w:altName w:val="FT Thymes"/>
    <w:panose1 w:val="02020603050405020304"/>
    <w:charset w:val="00"/>
    <w:family w:val="auto"/>
    <w:pitch w:val="default"/>
    <w:sig w:usb0="00000000" w:usb1="00000000" w:usb2="43501B29" w:usb3="04000043" w:csb0="600101FF" w:csb1="FFFF0000"/>
  </w:font>
  <w:font w:name="FT Thymes">
    <w:panose1 w:val="02020603050405020304"/>
    <w:charset w:val="00"/>
    <w:family w:val="auto"/>
    <w:pitch w:val="default"/>
    <w:sig w:usb0="E0002EFF" w:usb1="C000785B" w:usb2="00000009" w:usb3="00000000" w:csb0="00000001" w:csb1="00000000"/>
  </w:font>
  <w:font w:name="新宋体">
    <w:altName w:val="书宋-简"/>
    <w:panose1 w:val="02010609030101010101"/>
    <w:charset w:val="86"/>
    <w:family w:val="modern"/>
    <w:pitch w:val="default"/>
    <w:sig w:usb0="00000000" w:usb1="00000000" w:usb2="00000006" w:usb3="00000000" w:csb0="00040001" w:csb1="00000000"/>
  </w:font>
  <w:font w:name="宋体-18030">
    <w:altName w:val="书宋-简"/>
    <w:panose1 w:val="00000000000000000000"/>
    <w:charset w:val="86"/>
    <w:family w:val="modern"/>
    <w:pitch w:val="default"/>
    <w:sig w:usb0="00000000" w:usb1="00000000" w:usb2="000A005E" w:usb3="00000000" w:csb0="00040001" w:csb1="00000000"/>
  </w:font>
  <w:font w:name="Droid Sans Fallback">
    <w:altName w:val="Noto Sans CJK JP"/>
    <w:panose1 w:val="020B0502000000000001"/>
    <w:charset w:val="86"/>
    <w:family w:val="auto"/>
    <w:pitch w:val="default"/>
    <w:sig w:usb0="00000000" w:usb1="00000000" w:usb2="00000036" w:usb3="00000000" w:csb0="203F01FF" w:csb1="D7FF0000"/>
  </w:font>
  <w:font w:name="Noto Sans CJK JP">
    <w:panose1 w:val="020B0500000000000000"/>
    <w:charset w:val="86"/>
    <w:family w:val="auto"/>
    <w:pitch w:val="default"/>
    <w:sig w:usb0="30000083" w:usb1="2BDF3C10" w:usb2="00000016" w:usb3="00000000" w:csb0="602E0107" w:csb1="00000000"/>
  </w:font>
  <w:font w:name="HarmonyOS Sans">
    <w:panose1 w:val="00000500000000000000"/>
    <w:charset w:val="00"/>
    <w:family w:val="auto"/>
    <w:pitch w:val="default"/>
    <w:sig w:usb0="A0000287" w:usb1="00000011" w:usb2="00000000" w:usb3="00000000" w:csb0="00000001" w:csb1="00000000"/>
  </w:font>
  <w:font w:name="Microsoft YaHei UI">
    <w:altName w:val="Noto Sans CJK JP"/>
    <w:panose1 w:val="020B0503020204020204"/>
    <w:charset w:val="86"/>
    <w:family w:val="swiss"/>
    <w:pitch w:val="default"/>
    <w:sig w:usb0="00000000" w:usb1="00000000" w:usb2="00000016" w:usb3="00000000" w:csb0="0004001F" w:csb1="00000000"/>
  </w:font>
  <w:font w:name="Verdana">
    <w:altName w:val="Noto Sans Bengali UI Medium"/>
    <w:panose1 w:val="020B0604030504040204"/>
    <w:charset w:val="00"/>
    <w:family w:val="swiss"/>
    <w:pitch w:val="default"/>
    <w:sig w:usb0="00000000" w:usb1="00000000" w:usb2="00000010" w:usb3="00000000" w:csb0="2000019F" w:csb1="00000000"/>
  </w:font>
  <w:font w:name="Ubuntu Light">
    <w:altName w:val="FT AeroSans"/>
    <w:panose1 w:val="020B0604030602030204"/>
    <w:charset w:val="00"/>
    <w:family w:val="auto"/>
    <w:pitch w:val="default"/>
    <w:sig w:usb0="00000000" w:usb1="00000000" w:usb2="00000000" w:usb3="00000000" w:csb0="2000009F" w:csb1="56010000"/>
  </w:font>
  <w:font w:name="Sim Hei+ 2">
    <w:altName w:val="鸿蒙黑体"/>
    <w:panose1 w:val="00000000000000000000"/>
    <w:charset w:val="86"/>
    <w:family w:val="auto"/>
    <w:pitch w:val="default"/>
    <w:sig w:usb0="00000000" w:usb1="00000000" w:usb2="00000010" w:usb3="00000000" w:csb0="00040000" w:csb1="00000000"/>
  </w:font>
  <w:font w:name="鸿蒙黑体">
    <w:panose1 w:val="00000500000000000000"/>
    <w:charset w:val="86"/>
    <w:family w:val="auto"/>
    <w:pitch w:val="default"/>
    <w:sig w:usb0="A00002BF" w:usb1="18EF7CFA" w:usb2="00000016" w:usb3="00000000" w:csb0="00040001" w:csb1="00000000"/>
  </w:font>
  <w:font w:name="华文仿宋">
    <w:altName w:val="仿宋-简"/>
    <w:panose1 w:val="02010600040101010101"/>
    <w:charset w:val="86"/>
    <w:family w:val="auto"/>
    <w:pitch w:val="default"/>
    <w:sig w:usb0="00000000" w:usb1="00000000" w:usb2="00000000" w:usb3="00000000" w:csb0="0004009F" w:csb1="DFD70000"/>
  </w:font>
  <w:font w:name="仿宋-简">
    <w:panose1 w:val="02010609060101010101"/>
    <w:charset w:val="86"/>
    <w:family w:val="auto"/>
    <w:pitch w:val="default"/>
    <w:sig w:usb0="A00002BF" w:usb1="3AC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Wingdings 2">
    <w:altName w:val="FTToken2"/>
    <w:panose1 w:val="05020102010507070707"/>
    <w:charset w:val="02"/>
    <w:family w:val="roman"/>
    <w:pitch w:val="default"/>
    <w:sig w:usb0="00000000" w:usb1="00000000" w:usb2="00000000" w:usb3="00000000" w:csb0="80000000" w:csb1="00000000"/>
  </w:font>
  <w:font w:name="FTToken2">
    <w:panose1 w:val="05020102010507070707"/>
    <w:charset w:val="00"/>
    <w:family w:val="auto"/>
    <w:pitch w:val="default"/>
    <w:sig w:usb0="00000000" w:usb1="10000000" w:usb2="00000000" w:usb3="00000000" w:csb0="80000000" w:csb1="00000000"/>
  </w:font>
  <w:font w:name="Kingsoft UE">
    <w:altName w:val="鸿蒙黑体"/>
    <w:panose1 w:val="00000000000000000000"/>
    <w:charset w:val="00"/>
    <w:family w:val="auto"/>
    <w:pitch w:val="default"/>
    <w:sig w:usb0="00000000" w:usb1="00000000" w:usb2="00000000" w:usb3="00000000" w:csb0="00000000" w:csb1="00000000"/>
  </w:font>
  <w:font w:name="Noto Sans Symbols 2">
    <w:panose1 w:val="020B0502040504020204"/>
    <w:charset w:val="00"/>
    <w:family w:val="auto"/>
    <w:pitch w:val="default"/>
    <w:sig w:usb0="80000003" w:usb1="0200E3E4" w:usb2="00040020" w:usb3="0580A048" w:csb0="00000001" w:csb1="00000000"/>
  </w:font>
  <w:font w:name="Kingsoft Sign">
    <w:panose1 w:val="05050102010706020507"/>
    <w:charset w:val="00"/>
    <w:family w:val="auto"/>
    <w:pitch w:val="default"/>
    <w:sig w:usb0="00000000" w:usb1="10000000" w:usb2="00000000" w:usb3="00000000" w:csb0="00000001" w:csb1="00000000"/>
  </w:font>
  <w:font w:name="Wingdings 2">
    <w:altName w:val="鸿蒙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C26E">
    <w:pPr>
      <w:pStyle w:val="3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59AE5">
    <w:pPr>
      <w:pStyle w:val="3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2C86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A272D">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FAAD7">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3FA90">
    <w:pPr>
      <w:pStyle w:val="36"/>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19CDD8"/>
    <w:multiLevelType w:val="multilevel"/>
    <w:tmpl w:val="C719CDD8"/>
    <w:lvl w:ilvl="0" w:tentative="0">
      <w:start w:val="0"/>
      <w:numFmt w:val="none"/>
      <w:lvlText w:val=""/>
      <w:lvlJc w:val="left"/>
      <w:pPr>
        <w:tabs>
          <w:tab w:val="left" w:pos="360"/>
        </w:tabs>
      </w:pPr>
      <w:rPr>
        <w:rFonts w:hint="default" w:ascii="Times New Roman" w:hAnsi="Calibri" w:eastAsia="Times New Roman"/>
        <w:u w:val="none"/>
      </w:rPr>
    </w:lvl>
    <w:lvl w:ilvl="1" w:tentative="0">
      <w:start w:val="1"/>
      <w:numFmt w:val="decimal"/>
      <w:lvlText w:val="?"/>
      <w:lvlJc w:val="left"/>
      <w:rPr>
        <w:rFonts w:hint="default" w:ascii="Times New Roman" w:hAnsi="Times New Roman" w:eastAsia="Times New Roman"/>
        <w:u w:val="none"/>
      </w:rPr>
    </w:lvl>
    <w:lvl w:ilvl="2" w:tentative="0">
      <w:start w:val="1"/>
      <w:numFmt w:val="decimal"/>
      <w:lvlText w:val="?"/>
      <w:lvlJc w:val="left"/>
      <w:rPr>
        <w:rFonts w:hint="default" w:ascii="Times New Roman" w:hAnsi="Times New Roman" w:eastAsia="Times New Roman"/>
        <w:u w:val="none"/>
      </w:rPr>
    </w:lvl>
    <w:lvl w:ilvl="3" w:tentative="0">
      <w:start w:val="1"/>
      <w:numFmt w:val="decimal"/>
      <w:lvlText w:val="?"/>
      <w:lvlJc w:val="left"/>
      <w:rPr>
        <w:rFonts w:hint="default" w:ascii="Times New Roman" w:hAnsi="Times New Roman" w:eastAsia="Times New Roman"/>
        <w:u w:val="none"/>
      </w:rPr>
    </w:lvl>
    <w:lvl w:ilvl="4" w:tentative="0">
      <w:start w:val="1"/>
      <w:numFmt w:val="decimal"/>
      <w:lvlText w:val="?"/>
      <w:lvlJc w:val="left"/>
      <w:rPr>
        <w:rFonts w:hint="default" w:ascii="Times New Roman" w:hAnsi="Times New Roman" w:eastAsia="Times New Roman"/>
        <w:u w:val="none"/>
      </w:rPr>
    </w:lvl>
    <w:lvl w:ilvl="5" w:tentative="0">
      <w:start w:val="1"/>
      <w:numFmt w:val="decimal"/>
      <w:lvlText w:val="?"/>
      <w:lvlJc w:val="left"/>
      <w:rPr>
        <w:rFonts w:hint="default" w:ascii="Times New Roman" w:hAnsi="Times New Roman" w:eastAsia="Times New Roman"/>
        <w:u w:val="none"/>
      </w:rPr>
    </w:lvl>
    <w:lvl w:ilvl="6" w:tentative="0">
      <w:start w:val="1"/>
      <w:numFmt w:val="decimal"/>
      <w:lvlText w:val="?"/>
      <w:lvlJc w:val="left"/>
      <w:rPr>
        <w:rFonts w:hint="default" w:ascii="Times New Roman" w:hAnsi="Times New Roman" w:eastAsia="Times New Roman"/>
        <w:u w:val="none"/>
      </w:rPr>
    </w:lvl>
    <w:lvl w:ilvl="7" w:tentative="0">
      <w:start w:val="1"/>
      <w:numFmt w:val="decimal"/>
      <w:lvlText w:val="?"/>
      <w:lvlJc w:val="left"/>
      <w:rPr>
        <w:rFonts w:hint="default" w:ascii="Times New Roman" w:hAnsi="Times New Roman" w:eastAsia="Times New Roman"/>
        <w:u w:val="none"/>
      </w:rPr>
    </w:lvl>
    <w:lvl w:ilvl="8" w:tentative="0">
      <w:start w:val="1"/>
      <w:numFmt w:val="decimal"/>
      <w:lvlText w:val="?"/>
      <w:lvlJc w:val="left"/>
      <w:rPr>
        <w:rFonts w:hint="default" w:ascii="Times New Roman" w:hAnsi="Times New Roman" w:eastAsia="Times New Roman"/>
        <w:u w:val="none"/>
      </w:rPr>
    </w:lvl>
  </w:abstractNum>
  <w:abstractNum w:abstractNumId="1">
    <w:nsid w:val="CBCE91F8"/>
    <w:multiLevelType w:val="singleLevel"/>
    <w:tmpl w:val="CBCE91F8"/>
    <w:lvl w:ilvl="0" w:tentative="0">
      <w:start w:val="2"/>
      <w:numFmt w:val="chineseCounting"/>
      <w:suff w:val="nothing"/>
      <w:lvlText w:val="（%1）"/>
      <w:lvlJc w:val="left"/>
      <w:rPr>
        <w:rFonts w:hint="eastAsia"/>
      </w:rPr>
    </w:lvl>
  </w:abstractNum>
  <w:abstractNum w:abstractNumId="2">
    <w:nsid w:val="E7FC15D1"/>
    <w:multiLevelType w:val="singleLevel"/>
    <w:tmpl w:val="E7FC15D1"/>
    <w:lvl w:ilvl="0" w:tentative="0">
      <w:start w:val="2"/>
      <w:numFmt w:val="chineseCounting"/>
      <w:suff w:val="nothing"/>
      <w:lvlText w:val="%1、"/>
      <w:lvlJc w:val="left"/>
      <w:rPr>
        <w:rFonts w:hint="eastAsia"/>
      </w:rPr>
    </w:lvl>
  </w:abstractNum>
  <w:abstractNum w:abstractNumId="3">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6"/>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4">
    <w:nsid w:val="1FC91163"/>
    <w:multiLevelType w:val="multilevel"/>
    <w:tmpl w:val="1FC91163"/>
    <w:lvl w:ilvl="0" w:tentative="0">
      <w:start w:val="1"/>
      <w:numFmt w:val="decimal"/>
      <w:pStyle w:val="188"/>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5">
    <w:nsid w:val="203371BF"/>
    <w:multiLevelType w:val="multilevel"/>
    <w:tmpl w:val="203371BF"/>
    <w:lvl w:ilvl="0" w:tentative="0">
      <w:start w:val="1"/>
      <w:numFmt w:val="decimal"/>
      <w:pStyle w:val="30"/>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419E1B70"/>
    <w:multiLevelType w:val="multilevel"/>
    <w:tmpl w:val="419E1B70"/>
    <w:lvl w:ilvl="0" w:tentative="0">
      <w:start w:val="2"/>
      <w:numFmt w:val="bullet"/>
      <w:pStyle w:val="14"/>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7">
    <w:nsid w:val="44C50F90"/>
    <w:multiLevelType w:val="multilevel"/>
    <w:tmpl w:val="44C50F90"/>
    <w:lvl w:ilvl="0" w:tentative="0">
      <w:start w:val="1"/>
      <w:numFmt w:val="lowerLetter"/>
      <w:pStyle w:val="26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0"/>
      <w:lvlText w:val="%2)"/>
      <w:lvlJc w:val="left"/>
      <w:pPr>
        <w:tabs>
          <w:tab w:val="left" w:pos="1260"/>
        </w:tabs>
        <w:ind w:left="1259" w:hanging="419"/>
      </w:pPr>
      <w:rPr>
        <w:rFonts w:hint="eastAsia"/>
      </w:rPr>
    </w:lvl>
    <w:lvl w:ilvl="2" w:tentative="0">
      <w:start w:val="1"/>
      <w:numFmt w:val="decimal"/>
      <w:pStyle w:val="22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8">
    <w:nsid w:val="4E915938"/>
    <w:multiLevelType w:val="multilevel"/>
    <w:tmpl w:val="4E915938"/>
    <w:lvl w:ilvl="0" w:tentative="0">
      <w:start w:val="1"/>
      <w:numFmt w:val="decimal"/>
      <w:pStyle w:val="1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50C857A2"/>
    <w:multiLevelType w:val="multilevel"/>
    <w:tmpl w:val="50C857A2"/>
    <w:lvl w:ilvl="0" w:tentative="0">
      <w:start w:val="1"/>
      <w:numFmt w:val="bullet"/>
      <w:pStyle w:val="22"/>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10">
    <w:nsid w:val="57FAFCA7"/>
    <w:multiLevelType w:val="singleLevel"/>
    <w:tmpl w:val="57FAFCA7"/>
    <w:lvl w:ilvl="0" w:tentative="0">
      <w:start w:val="1"/>
      <w:numFmt w:val="decimal"/>
      <w:suff w:val="nothing"/>
      <w:lvlText w:val="（%1）"/>
      <w:lvlJc w:val="left"/>
    </w:lvl>
  </w:abstractNum>
  <w:abstractNum w:abstractNumId="11">
    <w:nsid w:val="5B5E6480"/>
    <w:multiLevelType w:val="multilevel"/>
    <w:tmpl w:val="5B5E6480"/>
    <w:lvl w:ilvl="0" w:tentative="0">
      <w:start w:val="5"/>
      <w:numFmt w:val="decimal"/>
      <w:pStyle w:val="25"/>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6FDCAC89"/>
    <w:multiLevelType w:val="singleLevel"/>
    <w:tmpl w:val="6FDCAC89"/>
    <w:lvl w:ilvl="0" w:tentative="0">
      <w:start w:val="3"/>
      <w:numFmt w:val="decimal"/>
      <w:suff w:val="nothing"/>
      <w:lvlText w:val="%1、"/>
      <w:lvlJc w:val="left"/>
    </w:lvl>
  </w:abstractNum>
  <w:num w:numId="1">
    <w:abstractNumId w:val="6"/>
  </w:num>
  <w:num w:numId="2">
    <w:abstractNumId w:val="8"/>
  </w:num>
  <w:num w:numId="3">
    <w:abstractNumId w:val="9"/>
  </w:num>
  <w:num w:numId="4">
    <w:abstractNumId w:val="11"/>
  </w:num>
  <w:num w:numId="5">
    <w:abstractNumId w:val="5"/>
  </w:num>
  <w:num w:numId="6">
    <w:abstractNumId w:val="4"/>
  </w:num>
  <w:num w:numId="7">
    <w:abstractNumId w:val="7"/>
  </w:num>
  <w:num w:numId="8">
    <w:abstractNumId w:val="3"/>
  </w:num>
  <w:num w:numId="9">
    <w:abstractNumId w:val="10"/>
  </w:num>
  <w:num w:numId="10">
    <w:abstractNumId w:val="12"/>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YjFjMThiN2Q1N2U5YTE5NGM3NzMyNDM3MGVjZW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62677"/>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72C73"/>
    <w:rsid w:val="00583C11"/>
    <w:rsid w:val="00595AB1"/>
    <w:rsid w:val="005B655E"/>
    <w:rsid w:val="005B6B58"/>
    <w:rsid w:val="005B7165"/>
    <w:rsid w:val="005C0FFC"/>
    <w:rsid w:val="005C16D5"/>
    <w:rsid w:val="005C7F05"/>
    <w:rsid w:val="005F14BD"/>
    <w:rsid w:val="00625876"/>
    <w:rsid w:val="00641F4E"/>
    <w:rsid w:val="0065077B"/>
    <w:rsid w:val="00656027"/>
    <w:rsid w:val="00671DC9"/>
    <w:rsid w:val="0067262E"/>
    <w:rsid w:val="006A1659"/>
    <w:rsid w:val="006B2400"/>
    <w:rsid w:val="006E2CD4"/>
    <w:rsid w:val="006E3C98"/>
    <w:rsid w:val="007229FF"/>
    <w:rsid w:val="00742789"/>
    <w:rsid w:val="00746E26"/>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B5B02"/>
    <w:rsid w:val="00DD4CEF"/>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0FF7FBD"/>
    <w:rsid w:val="010F6384"/>
    <w:rsid w:val="013C7B31"/>
    <w:rsid w:val="013F68D0"/>
    <w:rsid w:val="01A21DEA"/>
    <w:rsid w:val="01A73311"/>
    <w:rsid w:val="01CB77BB"/>
    <w:rsid w:val="01E8507C"/>
    <w:rsid w:val="022159DC"/>
    <w:rsid w:val="022B5FB7"/>
    <w:rsid w:val="0298598F"/>
    <w:rsid w:val="02B0310F"/>
    <w:rsid w:val="02FA6A24"/>
    <w:rsid w:val="0316290F"/>
    <w:rsid w:val="032A3795"/>
    <w:rsid w:val="03345AEF"/>
    <w:rsid w:val="03BC7AA7"/>
    <w:rsid w:val="03C842F0"/>
    <w:rsid w:val="03F65AB8"/>
    <w:rsid w:val="042C1A18"/>
    <w:rsid w:val="04685125"/>
    <w:rsid w:val="04A04A3B"/>
    <w:rsid w:val="04FD1F7F"/>
    <w:rsid w:val="050666C2"/>
    <w:rsid w:val="052370BF"/>
    <w:rsid w:val="053D708D"/>
    <w:rsid w:val="056469EA"/>
    <w:rsid w:val="05E030DA"/>
    <w:rsid w:val="05F15F19"/>
    <w:rsid w:val="062B10E4"/>
    <w:rsid w:val="06694116"/>
    <w:rsid w:val="06710C2F"/>
    <w:rsid w:val="07686EDA"/>
    <w:rsid w:val="07857AD5"/>
    <w:rsid w:val="07D92767"/>
    <w:rsid w:val="07F27D26"/>
    <w:rsid w:val="07FB0E0D"/>
    <w:rsid w:val="080C11CE"/>
    <w:rsid w:val="0832788F"/>
    <w:rsid w:val="0899544F"/>
    <w:rsid w:val="08E92ED7"/>
    <w:rsid w:val="09156301"/>
    <w:rsid w:val="09781E59"/>
    <w:rsid w:val="09D91F4F"/>
    <w:rsid w:val="0A98311F"/>
    <w:rsid w:val="0AA93ABA"/>
    <w:rsid w:val="0ABA6F54"/>
    <w:rsid w:val="0B0E2A2F"/>
    <w:rsid w:val="0B503723"/>
    <w:rsid w:val="0B567751"/>
    <w:rsid w:val="0BFA6A04"/>
    <w:rsid w:val="0C317843"/>
    <w:rsid w:val="0C6A432F"/>
    <w:rsid w:val="0C732241"/>
    <w:rsid w:val="0C8939EA"/>
    <w:rsid w:val="0C9153AE"/>
    <w:rsid w:val="0CA05FA3"/>
    <w:rsid w:val="0CEC2E27"/>
    <w:rsid w:val="0D7B6314"/>
    <w:rsid w:val="0D9F4334"/>
    <w:rsid w:val="0DF91CCC"/>
    <w:rsid w:val="0DFF4F4B"/>
    <w:rsid w:val="0E7A5BB4"/>
    <w:rsid w:val="0E7D2072"/>
    <w:rsid w:val="0E89799C"/>
    <w:rsid w:val="0F0E2816"/>
    <w:rsid w:val="0F7A2146"/>
    <w:rsid w:val="0FA117D8"/>
    <w:rsid w:val="0FA57E95"/>
    <w:rsid w:val="0FA61B22"/>
    <w:rsid w:val="0FAC53B1"/>
    <w:rsid w:val="0FBA2AF7"/>
    <w:rsid w:val="0FDA60B2"/>
    <w:rsid w:val="0FF2423B"/>
    <w:rsid w:val="10415E67"/>
    <w:rsid w:val="10546334"/>
    <w:rsid w:val="10A60D33"/>
    <w:rsid w:val="10E66F1E"/>
    <w:rsid w:val="110C1E59"/>
    <w:rsid w:val="116F32A6"/>
    <w:rsid w:val="117C6D9C"/>
    <w:rsid w:val="11CC0E0B"/>
    <w:rsid w:val="11F04E67"/>
    <w:rsid w:val="11F96046"/>
    <w:rsid w:val="12301923"/>
    <w:rsid w:val="127F1010"/>
    <w:rsid w:val="131028FE"/>
    <w:rsid w:val="132930B8"/>
    <w:rsid w:val="139258B1"/>
    <w:rsid w:val="139D09B9"/>
    <w:rsid w:val="13DC50A4"/>
    <w:rsid w:val="14332066"/>
    <w:rsid w:val="144F6E2C"/>
    <w:rsid w:val="14C904F8"/>
    <w:rsid w:val="14E30F66"/>
    <w:rsid w:val="152005C0"/>
    <w:rsid w:val="153233E2"/>
    <w:rsid w:val="15520056"/>
    <w:rsid w:val="15B71182"/>
    <w:rsid w:val="160F67C2"/>
    <w:rsid w:val="16186259"/>
    <w:rsid w:val="16610551"/>
    <w:rsid w:val="16747FA1"/>
    <w:rsid w:val="16797767"/>
    <w:rsid w:val="169C20ED"/>
    <w:rsid w:val="16A37D53"/>
    <w:rsid w:val="16C11CFA"/>
    <w:rsid w:val="16E37B64"/>
    <w:rsid w:val="17292261"/>
    <w:rsid w:val="175064D0"/>
    <w:rsid w:val="17987C6A"/>
    <w:rsid w:val="17A52389"/>
    <w:rsid w:val="17CA1126"/>
    <w:rsid w:val="17DA0E7D"/>
    <w:rsid w:val="17DD62FD"/>
    <w:rsid w:val="18085350"/>
    <w:rsid w:val="18454A6A"/>
    <w:rsid w:val="18533B1C"/>
    <w:rsid w:val="187A1973"/>
    <w:rsid w:val="18A805E4"/>
    <w:rsid w:val="18BD0C76"/>
    <w:rsid w:val="18E87C5C"/>
    <w:rsid w:val="190C3E25"/>
    <w:rsid w:val="191F5C12"/>
    <w:rsid w:val="19385576"/>
    <w:rsid w:val="1A0542F5"/>
    <w:rsid w:val="1A835819"/>
    <w:rsid w:val="1A841C44"/>
    <w:rsid w:val="1A8C6662"/>
    <w:rsid w:val="1ADE4528"/>
    <w:rsid w:val="1B3C4A90"/>
    <w:rsid w:val="1B593847"/>
    <w:rsid w:val="1B596AF8"/>
    <w:rsid w:val="1B8F5B60"/>
    <w:rsid w:val="1BA77DA9"/>
    <w:rsid w:val="1BC544AA"/>
    <w:rsid w:val="1CA244F7"/>
    <w:rsid w:val="1CA4563B"/>
    <w:rsid w:val="1CBC630A"/>
    <w:rsid w:val="1CE94523"/>
    <w:rsid w:val="1D2B39CA"/>
    <w:rsid w:val="1D5B7281"/>
    <w:rsid w:val="1D766471"/>
    <w:rsid w:val="1D7768AC"/>
    <w:rsid w:val="1DD2420E"/>
    <w:rsid w:val="1DDD564C"/>
    <w:rsid w:val="1DF7421F"/>
    <w:rsid w:val="1E00478E"/>
    <w:rsid w:val="1E0651D3"/>
    <w:rsid w:val="1E354D19"/>
    <w:rsid w:val="1E5A1E57"/>
    <w:rsid w:val="1E6B1705"/>
    <w:rsid w:val="1E870283"/>
    <w:rsid w:val="1E9A6CF6"/>
    <w:rsid w:val="1EB50F39"/>
    <w:rsid w:val="1EEE0193"/>
    <w:rsid w:val="1F1A2D4E"/>
    <w:rsid w:val="1F1D4CF8"/>
    <w:rsid w:val="1F2219BE"/>
    <w:rsid w:val="1F5C5EA6"/>
    <w:rsid w:val="1F5F1A7A"/>
    <w:rsid w:val="1F757C62"/>
    <w:rsid w:val="1FBD2CFD"/>
    <w:rsid w:val="1FE860E4"/>
    <w:rsid w:val="1FF15BA7"/>
    <w:rsid w:val="1FF651BD"/>
    <w:rsid w:val="2011571A"/>
    <w:rsid w:val="205F2ACD"/>
    <w:rsid w:val="20B47E17"/>
    <w:rsid w:val="20E20180"/>
    <w:rsid w:val="20EA173D"/>
    <w:rsid w:val="20ED593C"/>
    <w:rsid w:val="2105362C"/>
    <w:rsid w:val="21170715"/>
    <w:rsid w:val="2161238C"/>
    <w:rsid w:val="21780E44"/>
    <w:rsid w:val="21E1382B"/>
    <w:rsid w:val="21F7620D"/>
    <w:rsid w:val="21FC3AB5"/>
    <w:rsid w:val="22057B73"/>
    <w:rsid w:val="221C66B3"/>
    <w:rsid w:val="228455F3"/>
    <w:rsid w:val="22A00653"/>
    <w:rsid w:val="22A64846"/>
    <w:rsid w:val="22AD38F8"/>
    <w:rsid w:val="23070815"/>
    <w:rsid w:val="2330745C"/>
    <w:rsid w:val="23426EE9"/>
    <w:rsid w:val="23CE520A"/>
    <w:rsid w:val="241122B3"/>
    <w:rsid w:val="241A6B45"/>
    <w:rsid w:val="24534E8E"/>
    <w:rsid w:val="24727151"/>
    <w:rsid w:val="25222D23"/>
    <w:rsid w:val="253C3860"/>
    <w:rsid w:val="25430894"/>
    <w:rsid w:val="254D62D4"/>
    <w:rsid w:val="259B38F6"/>
    <w:rsid w:val="25A0519D"/>
    <w:rsid w:val="25ED5027"/>
    <w:rsid w:val="26105AEF"/>
    <w:rsid w:val="26352233"/>
    <w:rsid w:val="264D353E"/>
    <w:rsid w:val="268427BE"/>
    <w:rsid w:val="269B4210"/>
    <w:rsid w:val="269E1DA3"/>
    <w:rsid w:val="26BF25AF"/>
    <w:rsid w:val="26C0631B"/>
    <w:rsid w:val="26E34FB2"/>
    <w:rsid w:val="27442975"/>
    <w:rsid w:val="274C05D2"/>
    <w:rsid w:val="274D5CF8"/>
    <w:rsid w:val="27737460"/>
    <w:rsid w:val="27A328AD"/>
    <w:rsid w:val="27FC5E27"/>
    <w:rsid w:val="27FD20A3"/>
    <w:rsid w:val="28311B7A"/>
    <w:rsid w:val="28F234D5"/>
    <w:rsid w:val="2930608D"/>
    <w:rsid w:val="293765D9"/>
    <w:rsid w:val="296617BB"/>
    <w:rsid w:val="298E7F53"/>
    <w:rsid w:val="29E62FBA"/>
    <w:rsid w:val="2A123D98"/>
    <w:rsid w:val="2A1A7CCB"/>
    <w:rsid w:val="2A3165D2"/>
    <w:rsid w:val="2A3C6EB3"/>
    <w:rsid w:val="2A6B59EA"/>
    <w:rsid w:val="2A9111AE"/>
    <w:rsid w:val="2A934CE6"/>
    <w:rsid w:val="2AAF2533"/>
    <w:rsid w:val="2AAF5D64"/>
    <w:rsid w:val="2B215C9E"/>
    <w:rsid w:val="2B2A6D39"/>
    <w:rsid w:val="2B7E45FB"/>
    <w:rsid w:val="2B8C133F"/>
    <w:rsid w:val="2B9B5C81"/>
    <w:rsid w:val="2B9D3EAE"/>
    <w:rsid w:val="2BCA01EB"/>
    <w:rsid w:val="2BCF3D57"/>
    <w:rsid w:val="2C726B1C"/>
    <w:rsid w:val="2CA022EC"/>
    <w:rsid w:val="2CC03F9B"/>
    <w:rsid w:val="2CD12E13"/>
    <w:rsid w:val="2CF55009"/>
    <w:rsid w:val="2CF72EFE"/>
    <w:rsid w:val="2D183FA1"/>
    <w:rsid w:val="2D487AF9"/>
    <w:rsid w:val="2D9C58E4"/>
    <w:rsid w:val="2DBA3437"/>
    <w:rsid w:val="2DBE4083"/>
    <w:rsid w:val="2DC311E7"/>
    <w:rsid w:val="2DC60326"/>
    <w:rsid w:val="2DD56D57"/>
    <w:rsid w:val="2DE2737A"/>
    <w:rsid w:val="2DF40D4A"/>
    <w:rsid w:val="2E472D1E"/>
    <w:rsid w:val="2E5E3BFA"/>
    <w:rsid w:val="2E963209"/>
    <w:rsid w:val="2EF069F5"/>
    <w:rsid w:val="2F0C6DE0"/>
    <w:rsid w:val="2F372B34"/>
    <w:rsid w:val="2F8E1CE6"/>
    <w:rsid w:val="2F9B1678"/>
    <w:rsid w:val="2FD46667"/>
    <w:rsid w:val="2FE10B52"/>
    <w:rsid w:val="30080AE4"/>
    <w:rsid w:val="300E7895"/>
    <w:rsid w:val="30132CDD"/>
    <w:rsid w:val="30671803"/>
    <w:rsid w:val="30853312"/>
    <w:rsid w:val="30892325"/>
    <w:rsid w:val="30D616E4"/>
    <w:rsid w:val="31545329"/>
    <w:rsid w:val="31A62AB1"/>
    <w:rsid w:val="325D64DC"/>
    <w:rsid w:val="32950020"/>
    <w:rsid w:val="329830F5"/>
    <w:rsid w:val="32DC7A40"/>
    <w:rsid w:val="32FC2E65"/>
    <w:rsid w:val="33377170"/>
    <w:rsid w:val="334A5A4C"/>
    <w:rsid w:val="33842801"/>
    <w:rsid w:val="33853840"/>
    <w:rsid w:val="339A3BBA"/>
    <w:rsid w:val="33E66C7A"/>
    <w:rsid w:val="33EA3AA1"/>
    <w:rsid w:val="33F05D9B"/>
    <w:rsid w:val="33FC10E5"/>
    <w:rsid w:val="341C6171"/>
    <w:rsid w:val="34C815C2"/>
    <w:rsid w:val="34EF47FD"/>
    <w:rsid w:val="34F3738C"/>
    <w:rsid w:val="34F7429B"/>
    <w:rsid w:val="35396A91"/>
    <w:rsid w:val="35721392"/>
    <w:rsid w:val="35954E58"/>
    <w:rsid w:val="35FC25FB"/>
    <w:rsid w:val="36414337"/>
    <w:rsid w:val="364A0BAA"/>
    <w:rsid w:val="367A77B8"/>
    <w:rsid w:val="370061A6"/>
    <w:rsid w:val="371B53B2"/>
    <w:rsid w:val="37246554"/>
    <w:rsid w:val="374942DA"/>
    <w:rsid w:val="376E2676"/>
    <w:rsid w:val="37BF0A7E"/>
    <w:rsid w:val="37D805D5"/>
    <w:rsid w:val="37F1665A"/>
    <w:rsid w:val="37FB47C0"/>
    <w:rsid w:val="384F1BBC"/>
    <w:rsid w:val="38712833"/>
    <w:rsid w:val="3884392E"/>
    <w:rsid w:val="389600D6"/>
    <w:rsid w:val="38AA4EFA"/>
    <w:rsid w:val="38F07455"/>
    <w:rsid w:val="390C188D"/>
    <w:rsid w:val="393020FA"/>
    <w:rsid w:val="39852267"/>
    <w:rsid w:val="39E71C0F"/>
    <w:rsid w:val="3A0C2EC0"/>
    <w:rsid w:val="3A5B5743"/>
    <w:rsid w:val="3A683CF4"/>
    <w:rsid w:val="3A6F795A"/>
    <w:rsid w:val="3AA27AA4"/>
    <w:rsid w:val="3AB3600D"/>
    <w:rsid w:val="3ACA2ADF"/>
    <w:rsid w:val="3ACD613B"/>
    <w:rsid w:val="3AEC6FAE"/>
    <w:rsid w:val="3AFB69A5"/>
    <w:rsid w:val="3B4148B0"/>
    <w:rsid w:val="3B7B7192"/>
    <w:rsid w:val="3B8406BA"/>
    <w:rsid w:val="3BED7258"/>
    <w:rsid w:val="3CCB5C9F"/>
    <w:rsid w:val="3D791A70"/>
    <w:rsid w:val="3DA31F6B"/>
    <w:rsid w:val="3DB91479"/>
    <w:rsid w:val="3DBE7BF7"/>
    <w:rsid w:val="3DBF7AD1"/>
    <w:rsid w:val="3E0613C2"/>
    <w:rsid w:val="3E272BFC"/>
    <w:rsid w:val="3E3A0475"/>
    <w:rsid w:val="3E3B7D6A"/>
    <w:rsid w:val="3E41181E"/>
    <w:rsid w:val="3E5C50AF"/>
    <w:rsid w:val="3E6E73FF"/>
    <w:rsid w:val="3ECF6625"/>
    <w:rsid w:val="3ECF7E9E"/>
    <w:rsid w:val="3ED83F43"/>
    <w:rsid w:val="3EDD7507"/>
    <w:rsid w:val="3F1750D1"/>
    <w:rsid w:val="3F30338E"/>
    <w:rsid w:val="3F5879E4"/>
    <w:rsid w:val="3F6075B2"/>
    <w:rsid w:val="3FC95142"/>
    <w:rsid w:val="3FCE446E"/>
    <w:rsid w:val="3FFB73A3"/>
    <w:rsid w:val="40880C84"/>
    <w:rsid w:val="40C14FA6"/>
    <w:rsid w:val="40C53BB2"/>
    <w:rsid w:val="40E70B24"/>
    <w:rsid w:val="413546A3"/>
    <w:rsid w:val="416E6DBD"/>
    <w:rsid w:val="417E5BAB"/>
    <w:rsid w:val="41817E2F"/>
    <w:rsid w:val="418331C2"/>
    <w:rsid w:val="41C34EE4"/>
    <w:rsid w:val="420240D9"/>
    <w:rsid w:val="420E1825"/>
    <w:rsid w:val="422D35A3"/>
    <w:rsid w:val="42311FDE"/>
    <w:rsid w:val="424D2346"/>
    <w:rsid w:val="42530DE6"/>
    <w:rsid w:val="427B05CE"/>
    <w:rsid w:val="429E0CCE"/>
    <w:rsid w:val="42F047A3"/>
    <w:rsid w:val="43042CFF"/>
    <w:rsid w:val="43296B90"/>
    <w:rsid w:val="4380721E"/>
    <w:rsid w:val="438F5102"/>
    <w:rsid w:val="43C2309C"/>
    <w:rsid w:val="43F17C0E"/>
    <w:rsid w:val="44117875"/>
    <w:rsid w:val="441575AA"/>
    <w:rsid w:val="44177C73"/>
    <w:rsid w:val="444E56DE"/>
    <w:rsid w:val="445A46AE"/>
    <w:rsid w:val="445F098C"/>
    <w:rsid w:val="449862EE"/>
    <w:rsid w:val="449E01CA"/>
    <w:rsid w:val="44D42A37"/>
    <w:rsid w:val="44E86818"/>
    <w:rsid w:val="4512627F"/>
    <w:rsid w:val="451F659E"/>
    <w:rsid w:val="45DC3DA3"/>
    <w:rsid w:val="45F236B5"/>
    <w:rsid w:val="464A6950"/>
    <w:rsid w:val="469F00B5"/>
    <w:rsid w:val="472D1FA6"/>
    <w:rsid w:val="47961EA1"/>
    <w:rsid w:val="47AD571C"/>
    <w:rsid w:val="47DF145A"/>
    <w:rsid w:val="47E71B3C"/>
    <w:rsid w:val="484B739A"/>
    <w:rsid w:val="48714FA8"/>
    <w:rsid w:val="48EF55A7"/>
    <w:rsid w:val="490A7C09"/>
    <w:rsid w:val="495A6EDA"/>
    <w:rsid w:val="497476FF"/>
    <w:rsid w:val="499B6DEF"/>
    <w:rsid w:val="49DA4F74"/>
    <w:rsid w:val="49DE3930"/>
    <w:rsid w:val="49F85A68"/>
    <w:rsid w:val="4A7A2AAD"/>
    <w:rsid w:val="4A9C07BF"/>
    <w:rsid w:val="4A9C4966"/>
    <w:rsid w:val="4AAD105A"/>
    <w:rsid w:val="4ACF780E"/>
    <w:rsid w:val="4AD94653"/>
    <w:rsid w:val="4AE275A3"/>
    <w:rsid w:val="4AF64A04"/>
    <w:rsid w:val="4B2466A5"/>
    <w:rsid w:val="4B286AD4"/>
    <w:rsid w:val="4B2D1FE9"/>
    <w:rsid w:val="4B9B2A59"/>
    <w:rsid w:val="4BAF5DA7"/>
    <w:rsid w:val="4BC84870"/>
    <w:rsid w:val="4BC86043"/>
    <w:rsid w:val="4BD544AE"/>
    <w:rsid w:val="4BE80345"/>
    <w:rsid w:val="4BF011E0"/>
    <w:rsid w:val="4C7774BB"/>
    <w:rsid w:val="4CB65578"/>
    <w:rsid w:val="4CBA6052"/>
    <w:rsid w:val="4D275349"/>
    <w:rsid w:val="4D470EED"/>
    <w:rsid w:val="4DBF621E"/>
    <w:rsid w:val="4DD96E49"/>
    <w:rsid w:val="4E273840"/>
    <w:rsid w:val="4E430ECC"/>
    <w:rsid w:val="4E486FBE"/>
    <w:rsid w:val="4E4B1590"/>
    <w:rsid w:val="4E9E4291"/>
    <w:rsid w:val="4EDB463D"/>
    <w:rsid w:val="4EF92D15"/>
    <w:rsid w:val="4F14094E"/>
    <w:rsid w:val="4FA9104D"/>
    <w:rsid w:val="4FE50A40"/>
    <w:rsid w:val="50027E21"/>
    <w:rsid w:val="500A4697"/>
    <w:rsid w:val="50D75A9A"/>
    <w:rsid w:val="50E83041"/>
    <w:rsid w:val="50F36840"/>
    <w:rsid w:val="51793711"/>
    <w:rsid w:val="51A541FC"/>
    <w:rsid w:val="51EF61A2"/>
    <w:rsid w:val="52636D79"/>
    <w:rsid w:val="526E5A66"/>
    <w:rsid w:val="52A92C55"/>
    <w:rsid w:val="52F12681"/>
    <w:rsid w:val="5300605D"/>
    <w:rsid w:val="535512DF"/>
    <w:rsid w:val="536006DF"/>
    <w:rsid w:val="53615E36"/>
    <w:rsid w:val="5377332D"/>
    <w:rsid w:val="53A37DD9"/>
    <w:rsid w:val="53CB06EC"/>
    <w:rsid w:val="53CE7AB4"/>
    <w:rsid w:val="53D371AE"/>
    <w:rsid w:val="53F3288B"/>
    <w:rsid w:val="54055FD1"/>
    <w:rsid w:val="54696247"/>
    <w:rsid w:val="549D7C50"/>
    <w:rsid w:val="54A14421"/>
    <w:rsid w:val="54E846DC"/>
    <w:rsid w:val="54EF499E"/>
    <w:rsid w:val="54F3187D"/>
    <w:rsid w:val="55145C34"/>
    <w:rsid w:val="551572DC"/>
    <w:rsid w:val="552359B4"/>
    <w:rsid w:val="55512E72"/>
    <w:rsid w:val="55542E19"/>
    <w:rsid w:val="55BB1E0A"/>
    <w:rsid w:val="55EA66C3"/>
    <w:rsid w:val="56117B70"/>
    <w:rsid w:val="567727F9"/>
    <w:rsid w:val="56A94E29"/>
    <w:rsid w:val="56B93E5E"/>
    <w:rsid w:val="56BD17EF"/>
    <w:rsid w:val="56F01E8D"/>
    <w:rsid w:val="56F444EE"/>
    <w:rsid w:val="57035D70"/>
    <w:rsid w:val="5728333A"/>
    <w:rsid w:val="575F5176"/>
    <w:rsid w:val="57717397"/>
    <w:rsid w:val="57A001D2"/>
    <w:rsid w:val="57AF20E7"/>
    <w:rsid w:val="57E3664C"/>
    <w:rsid w:val="57F25A5C"/>
    <w:rsid w:val="580A640A"/>
    <w:rsid w:val="58220054"/>
    <w:rsid w:val="583170F5"/>
    <w:rsid w:val="58360893"/>
    <w:rsid w:val="58615653"/>
    <w:rsid w:val="58661417"/>
    <w:rsid w:val="58B55CA2"/>
    <w:rsid w:val="58E67293"/>
    <w:rsid w:val="58E76FB2"/>
    <w:rsid w:val="58F24A5D"/>
    <w:rsid w:val="591F63D5"/>
    <w:rsid w:val="59A267B9"/>
    <w:rsid w:val="59AD44EB"/>
    <w:rsid w:val="59AF49A4"/>
    <w:rsid w:val="59CB2475"/>
    <w:rsid w:val="59DE4B15"/>
    <w:rsid w:val="59F64A97"/>
    <w:rsid w:val="59FB65D1"/>
    <w:rsid w:val="5A010721"/>
    <w:rsid w:val="5A3D73FE"/>
    <w:rsid w:val="5A403D88"/>
    <w:rsid w:val="5AA76636"/>
    <w:rsid w:val="5ADD3986"/>
    <w:rsid w:val="5AFA34B2"/>
    <w:rsid w:val="5AFF583F"/>
    <w:rsid w:val="5B771EE8"/>
    <w:rsid w:val="5BAD3DF8"/>
    <w:rsid w:val="5BC479AE"/>
    <w:rsid w:val="5BDA77E8"/>
    <w:rsid w:val="5C220805"/>
    <w:rsid w:val="5C294CC8"/>
    <w:rsid w:val="5C5477DD"/>
    <w:rsid w:val="5C6215FC"/>
    <w:rsid w:val="5C816B80"/>
    <w:rsid w:val="5CAB57ED"/>
    <w:rsid w:val="5CC52DED"/>
    <w:rsid w:val="5D0B68F7"/>
    <w:rsid w:val="5D417DBC"/>
    <w:rsid w:val="5D6667CE"/>
    <w:rsid w:val="5D731EE5"/>
    <w:rsid w:val="5D7F5C7E"/>
    <w:rsid w:val="5D8E0435"/>
    <w:rsid w:val="5D91471E"/>
    <w:rsid w:val="5DA30337"/>
    <w:rsid w:val="5DAE08A9"/>
    <w:rsid w:val="5DD26426"/>
    <w:rsid w:val="5E3B0EDD"/>
    <w:rsid w:val="5E58354A"/>
    <w:rsid w:val="5E585024"/>
    <w:rsid w:val="5E9B30E7"/>
    <w:rsid w:val="5E9C230D"/>
    <w:rsid w:val="5EEA11A6"/>
    <w:rsid w:val="5F594AB5"/>
    <w:rsid w:val="5F6A4923"/>
    <w:rsid w:val="5FA0433C"/>
    <w:rsid w:val="5FC847E6"/>
    <w:rsid w:val="5FD32738"/>
    <w:rsid w:val="609D3DFE"/>
    <w:rsid w:val="60D25B0D"/>
    <w:rsid w:val="60E10822"/>
    <w:rsid w:val="61086EFF"/>
    <w:rsid w:val="615F541C"/>
    <w:rsid w:val="615F7176"/>
    <w:rsid w:val="61687878"/>
    <w:rsid w:val="616A0F73"/>
    <w:rsid w:val="61BC0AE2"/>
    <w:rsid w:val="61FB0E26"/>
    <w:rsid w:val="61FF4EEF"/>
    <w:rsid w:val="623A6307"/>
    <w:rsid w:val="623B585A"/>
    <w:rsid w:val="62C70F1C"/>
    <w:rsid w:val="62E50E4D"/>
    <w:rsid w:val="62FD48CC"/>
    <w:rsid w:val="633435EC"/>
    <w:rsid w:val="636B1EAE"/>
    <w:rsid w:val="63703B24"/>
    <w:rsid w:val="63AB1B39"/>
    <w:rsid w:val="64185826"/>
    <w:rsid w:val="64325827"/>
    <w:rsid w:val="64750FBE"/>
    <w:rsid w:val="647D79D6"/>
    <w:rsid w:val="656C639B"/>
    <w:rsid w:val="66234616"/>
    <w:rsid w:val="66500180"/>
    <w:rsid w:val="667F3020"/>
    <w:rsid w:val="66836700"/>
    <w:rsid w:val="668F0CB3"/>
    <w:rsid w:val="669C102C"/>
    <w:rsid w:val="66AD70A0"/>
    <w:rsid w:val="66CF5787"/>
    <w:rsid w:val="66E005EB"/>
    <w:rsid w:val="67303A36"/>
    <w:rsid w:val="67482713"/>
    <w:rsid w:val="677803D6"/>
    <w:rsid w:val="67B81997"/>
    <w:rsid w:val="67DC6A09"/>
    <w:rsid w:val="67F0485E"/>
    <w:rsid w:val="684476C9"/>
    <w:rsid w:val="689B37CB"/>
    <w:rsid w:val="68A53DBE"/>
    <w:rsid w:val="69474951"/>
    <w:rsid w:val="69D4466B"/>
    <w:rsid w:val="69F15723"/>
    <w:rsid w:val="69FE5A6C"/>
    <w:rsid w:val="6A1172C8"/>
    <w:rsid w:val="6A1B3158"/>
    <w:rsid w:val="6A325274"/>
    <w:rsid w:val="6AC46743"/>
    <w:rsid w:val="6AC57B32"/>
    <w:rsid w:val="6AFB1E97"/>
    <w:rsid w:val="6B5C6B96"/>
    <w:rsid w:val="6B66327F"/>
    <w:rsid w:val="6B840C2D"/>
    <w:rsid w:val="6C127A1B"/>
    <w:rsid w:val="6C1A6F22"/>
    <w:rsid w:val="6C3E44F1"/>
    <w:rsid w:val="6C454C25"/>
    <w:rsid w:val="6C5E5A56"/>
    <w:rsid w:val="6CAE4B52"/>
    <w:rsid w:val="6CE710B3"/>
    <w:rsid w:val="6D0A2068"/>
    <w:rsid w:val="6D245E51"/>
    <w:rsid w:val="6D3031D5"/>
    <w:rsid w:val="6D6D06FE"/>
    <w:rsid w:val="6D99505B"/>
    <w:rsid w:val="6DFD7A2B"/>
    <w:rsid w:val="6E2F6AE6"/>
    <w:rsid w:val="6E56533E"/>
    <w:rsid w:val="6E753769"/>
    <w:rsid w:val="6EB16947"/>
    <w:rsid w:val="6EBC78F0"/>
    <w:rsid w:val="6EC341BB"/>
    <w:rsid w:val="6ED90940"/>
    <w:rsid w:val="6F352D82"/>
    <w:rsid w:val="6F3B793B"/>
    <w:rsid w:val="6F730175"/>
    <w:rsid w:val="6F783C3C"/>
    <w:rsid w:val="6FD0564D"/>
    <w:rsid w:val="6FF1D0FC"/>
    <w:rsid w:val="6FFB71F3"/>
    <w:rsid w:val="700178E6"/>
    <w:rsid w:val="70294DB1"/>
    <w:rsid w:val="706236E0"/>
    <w:rsid w:val="70E821FE"/>
    <w:rsid w:val="715C2F64"/>
    <w:rsid w:val="717D7D79"/>
    <w:rsid w:val="718B446E"/>
    <w:rsid w:val="725758DD"/>
    <w:rsid w:val="725C190D"/>
    <w:rsid w:val="72AA7185"/>
    <w:rsid w:val="72F13B80"/>
    <w:rsid w:val="73E7745D"/>
    <w:rsid w:val="73FC1800"/>
    <w:rsid w:val="747358AE"/>
    <w:rsid w:val="748200B4"/>
    <w:rsid w:val="7482161F"/>
    <w:rsid w:val="74DF34B9"/>
    <w:rsid w:val="74EB49E5"/>
    <w:rsid w:val="75034244"/>
    <w:rsid w:val="751F67E8"/>
    <w:rsid w:val="75591196"/>
    <w:rsid w:val="756170ED"/>
    <w:rsid w:val="76612DCA"/>
    <w:rsid w:val="768904A9"/>
    <w:rsid w:val="769B7F4D"/>
    <w:rsid w:val="76B10A7D"/>
    <w:rsid w:val="76B64E1F"/>
    <w:rsid w:val="779E520E"/>
    <w:rsid w:val="77F84862"/>
    <w:rsid w:val="77F96BEF"/>
    <w:rsid w:val="77FB3824"/>
    <w:rsid w:val="78454752"/>
    <w:rsid w:val="78746DE5"/>
    <w:rsid w:val="789D300C"/>
    <w:rsid w:val="78BC5426"/>
    <w:rsid w:val="78BE62B2"/>
    <w:rsid w:val="78F244F2"/>
    <w:rsid w:val="792210F1"/>
    <w:rsid w:val="79D31C3D"/>
    <w:rsid w:val="79FF39B0"/>
    <w:rsid w:val="7A1E62D6"/>
    <w:rsid w:val="7A2C568E"/>
    <w:rsid w:val="7A3E28EB"/>
    <w:rsid w:val="7A441D0C"/>
    <w:rsid w:val="7A886B78"/>
    <w:rsid w:val="7ACF0B99"/>
    <w:rsid w:val="7B2C5E58"/>
    <w:rsid w:val="7BFA5853"/>
    <w:rsid w:val="7C4E5B9F"/>
    <w:rsid w:val="7D4DC1C3"/>
    <w:rsid w:val="7DCB1123"/>
    <w:rsid w:val="7DD7656E"/>
    <w:rsid w:val="7DFD73F4"/>
    <w:rsid w:val="7E0DA67E"/>
    <w:rsid w:val="7E2003DD"/>
    <w:rsid w:val="7E295333"/>
    <w:rsid w:val="7E2E4A6C"/>
    <w:rsid w:val="7E734CE1"/>
    <w:rsid w:val="7E7F4CA2"/>
    <w:rsid w:val="7E867872"/>
    <w:rsid w:val="7E8D1FAB"/>
    <w:rsid w:val="7EB335DB"/>
    <w:rsid w:val="7ECB21E9"/>
    <w:rsid w:val="7F3B5B63"/>
    <w:rsid w:val="7F675F3F"/>
    <w:rsid w:val="7FBA6601"/>
    <w:rsid w:val="7FE76490"/>
    <w:rsid w:val="7FED23E2"/>
    <w:rsid w:val="7FFE7E18"/>
    <w:rsid w:val="9BF85268"/>
    <w:rsid w:val="AEF746EE"/>
    <w:rsid w:val="D2E41BF5"/>
    <w:rsid w:val="D7FFC332"/>
    <w:rsid w:val="EFF782A7"/>
    <w:rsid w:val="F77DA6F5"/>
    <w:rsid w:val="FE56CB71"/>
    <w:rsid w:val="FF0F4C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62"/>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4">
    <w:name w:val="heading 2"/>
    <w:basedOn w:val="1"/>
    <w:next w:val="1"/>
    <w:link w:val="76"/>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link w:val="119"/>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6">
    <w:name w:val="heading 4"/>
    <w:basedOn w:val="1"/>
    <w:next w:val="1"/>
    <w:link w:val="12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7">
    <w:name w:val="heading 5"/>
    <w:basedOn w:val="1"/>
    <w:next w:val="1"/>
    <w:link w:val="122"/>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8">
    <w:name w:val="heading 6"/>
    <w:basedOn w:val="1"/>
    <w:next w:val="1"/>
    <w:link w:val="131"/>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9">
    <w:name w:val="heading 7"/>
    <w:basedOn w:val="1"/>
    <w:next w:val="1"/>
    <w:link w:val="85"/>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0">
    <w:name w:val="heading 8"/>
    <w:basedOn w:val="1"/>
    <w:next w:val="1"/>
    <w:link w:val="107"/>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1">
    <w:name w:val="heading 9"/>
    <w:basedOn w:val="1"/>
    <w:next w:val="1"/>
    <w:link w:val="102"/>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11"/>
    <w:qFormat/>
    <w:uiPriority w:val="0"/>
    <w:pPr>
      <w:spacing w:after="120"/>
    </w:pPr>
    <w:rPr>
      <w:rFonts w:asciiTheme="minorHAnsi" w:hAnsiTheme="minorHAnsi" w:eastAsiaTheme="minorEastAsia" w:cstheme="minorBidi"/>
      <w:szCs w:val="24"/>
    </w:rPr>
  </w:style>
  <w:style w:type="paragraph" w:styleId="12">
    <w:name w:val="table of authorities"/>
    <w:basedOn w:val="13"/>
    <w:next w:val="13"/>
    <w:unhideWhenUsed/>
    <w:qFormat/>
    <w:uiPriority w:val="99"/>
    <w:pPr>
      <w:ind w:left="420" w:leftChars="200"/>
    </w:pPr>
  </w:style>
  <w:style w:type="paragraph" w:customStyle="1" w:styleId="13">
    <w:name w:val="Normal_2"/>
    <w:next w:val="12"/>
    <w:unhideWhenUsed/>
    <w:qFormat/>
    <w:uiPriority w:val="0"/>
    <w:pPr>
      <w:widowControl w:val="0"/>
      <w:jc w:val="both"/>
    </w:pPr>
    <w:rPr>
      <w:rFonts w:hint="eastAsia" w:ascii="Times New Roman" w:hAnsi="Times New Roman" w:eastAsia="宋体" w:cs="Times New Roman"/>
      <w:kern w:val="2"/>
      <w:sz w:val="21"/>
      <w:szCs w:val="24"/>
      <w:lang w:val="en-US" w:eastAsia="zh-CN" w:bidi="ar-SA"/>
    </w:rPr>
  </w:style>
  <w:style w:type="paragraph" w:styleId="14">
    <w:name w:val="List Bullet 4"/>
    <w:basedOn w:val="1"/>
    <w:qFormat/>
    <w:uiPriority w:val="0"/>
    <w:pPr>
      <w:numPr>
        <w:ilvl w:val="0"/>
        <w:numId w:val="1"/>
      </w:numPr>
      <w:tabs>
        <w:tab w:val="left" w:pos="1620"/>
      </w:tabs>
    </w:pPr>
    <w:rPr>
      <w:szCs w:val="24"/>
    </w:rPr>
  </w:style>
  <w:style w:type="paragraph" w:styleId="15">
    <w:name w:val="Normal Indent"/>
    <w:basedOn w:val="1"/>
    <w:qFormat/>
    <w:uiPriority w:val="0"/>
    <w:pPr>
      <w:ind w:firstLine="420" w:firstLineChars="200"/>
    </w:pPr>
    <w:rPr>
      <w:szCs w:val="21"/>
    </w:rPr>
  </w:style>
  <w:style w:type="paragraph" w:styleId="16">
    <w:name w:val="caption"/>
    <w:basedOn w:val="1"/>
    <w:next w:val="1"/>
    <w:qFormat/>
    <w:uiPriority w:val="0"/>
    <w:rPr>
      <w:rFonts w:ascii="Cambria" w:hAnsi="Cambria" w:eastAsia="黑体"/>
      <w:sz w:val="20"/>
    </w:rPr>
  </w:style>
  <w:style w:type="paragraph" w:styleId="17">
    <w:name w:val="List Bullet"/>
    <w:basedOn w:val="1"/>
    <w:qFormat/>
    <w:uiPriority w:val="0"/>
    <w:pPr>
      <w:numPr>
        <w:ilvl w:val="0"/>
        <w:numId w:val="2"/>
      </w:numPr>
      <w:tabs>
        <w:tab w:val="left" w:pos="360"/>
      </w:tabs>
    </w:pPr>
    <w:rPr>
      <w:szCs w:val="24"/>
    </w:rPr>
  </w:style>
  <w:style w:type="paragraph" w:styleId="18">
    <w:name w:val="Document Map"/>
    <w:basedOn w:val="1"/>
    <w:link w:val="103"/>
    <w:qFormat/>
    <w:uiPriority w:val="0"/>
    <w:pPr>
      <w:shd w:val="clear" w:color="auto" w:fill="000080"/>
    </w:pPr>
    <w:rPr>
      <w:rFonts w:asciiTheme="minorHAnsi" w:hAnsiTheme="minorHAnsi" w:eastAsiaTheme="minorEastAsia" w:cstheme="minorBidi"/>
      <w:szCs w:val="24"/>
    </w:rPr>
  </w:style>
  <w:style w:type="paragraph" w:styleId="19">
    <w:name w:val="toa heading"/>
    <w:basedOn w:val="1"/>
    <w:next w:val="1"/>
    <w:qFormat/>
    <w:uiPriority w:val="0"/>
    <w:pPr>
      <w:spacing w:before="120"/>
    </w:pPr>
    <w:rPr>
      <w:rFonts w:ascii="Arial" w:hAnsi="Arial" w:cs="Arial"/>
      <w:sz w:val="24"/>
      <w:szCs w:val="24"/>
    </w:rPr>
  </w:style>
  <w:style w:type="paragraph" w:styleId="20">
    <w:name w:val="annotation text"/>
    <w:basedOn w:val="1"/>
    <w:link w:val="130"/>
    <w:qFormat/>
    <w:uiPriority w:val="0"/>
    <w:pPr>
      <w:jc w:val="left"/>
    </w:pPr>
    <w:rPr>
      <w:rFonts w:asciiTheme="minorHAnsi" w:hAnsiTheme="minorHAnsi" w:eastAsiaTheme="minorEastAsia" w:cstheme="minorBidi"/>
      <w:szCs w:val="24"/>
    </w:rPr>
  </w:style>
  <w:style w:type="paragraph" w:styleId="21">
    <w:name w:val="Body Text 3"/>
    <w:basedOn w:val="1"/>
    <w:link w:val="115"/>
    <w:qFormat/>
    <w:uiPriority w:val="0"/>
    <w:rPr>
      <w:rFonts w:ascii="宋体" w:hAnsiTheme="minorHAnsi" w:eastAsiaTheme="minorEastAsia" w:cstheme="minorBidi"/>
      <w:sz w:val="24"/>
      <w:szCs w:val="22"/>
    </w:rPr>
  </w:style>
  <w:style w:type="paragraph" w:styleId="22">
    <w:name w:val="List Bullet 3"/>
    <w:basedOn w:val="1"/>
    <w:qFormat/>
    <w:uiPriority w:val="0"/>
    <w:pPr>
      <w:numPr>
        <w:ilvl w:val="0"/>
        <w:numId w:val="3"/>
      </w:numPr>
      <w:tabs>
        <w:tab w:val="left" w:pos="1200"/>
      </w:tabs>
    </w:pPr>
    <w:rPr>
      <w:szCs w:val="24"/>
    </w:rPr>
  </w:style>
  <w:style w:type="paragraph" w:styleId="23">
    <w:name w:val="Body Text Indent"/>
    <w:basedOn w:val="1"/>
    <w:link w:val="84"/>
    <w:qFormat/>
    <w:uiPriority w:val="0"/>
    <w:pPr>
      <w:ind w:left="1620" w:leftChars="200" w:hanging="1200" w:hangingChars="500"/>
    </w:pPr>
    <w:rPr>
      <w:rFonts w:ascii="宋体" w:hAnsi="宋体" w:eastAsiaTheme="minorEastAsia" w:cstheme="minorBidi"/>
      <w:sz w:val="24"/>
      <w:szCs w:val="24"/>
    </w:rPr>
  </w:style>
  <w:style w:type="paragraph" w:styleId="24">
    <w:name w:val="Block Text"/>
    <w:basedOn w:val="1"/>
    <w:qFormat/>
    <w:uiPriority w:val="0"/>
    <w:pPr>
      <w:widowControl/>
      <w:spacing w:after="120"/>
      <w:ind w:left="1440" w:leftChars="700" w:right="1440" w:rightChars="700"/>
      <w:jc w:val="left"/>
    </w:pPr>
    <w:rPr>
      <w:kern w:val="0"/>
      <w:sz w:val="20"/>
    </w:rPr>
  </w:style>
  <w:style w:type="paragraph" w:styleId="25">
    <w:name w:val="List Bullet 2"/>
    <w:basedOn w:val="1"/>
    <w:qFormat/>
    <w:uiPriority w:val="0"/>
    <w:pPr>
      <w:numPr>
        <w:ilvl w:val="0"/>
        <w:numId w:val="4"/>
      </w:numPr>
      <w:tabs>
        <w:tab w:val="left" w:pos="780"/>
      </w:tabs>
    </w:pPr>
    <w:rPr>
      <w:szCs w:val="24"/>
    </w:rPr>
  </w:style>
  <w:style w:type="paragraph" w:styleId="26">
    <w:name w:val="index 4"/>
    <w:basedOn w:val="1"/>
    <w:next w:val="1"/>
    <w:qFormat/>
    <w:uiPriority w:val="0"/>
    <w:pPr>
      <w:ind w:left="600" w:leftChars="600"/>
    </w:pPr>
    <w:rPr>
      <w:szCs w:val="24"/>
    </w:rPr>
  </w:style>
  <w:style w:type="paragraph" w:styleId="27">
    <w:name w:val="toc 5"/>
    <w:basedOn w:val="1"/>
    <w:next w:val="1"/>
    <w:semiHidden/>
    <w:qFormat/>
    <w:uiPriority w:val="0"/>
    <w:pPr>
      <w:widowControl w:val="0"/>
    </w:pPr>
    <w:rPr>
      <w:rFonts w:ascii="Times New Roman" w:hAnsi="Times New Roman" w:eastAsia="宋体" w:cs="Times New Roman"/>
      <w:kern w:val="2"/>
      <w:sz w:val="22"/>
      <w:szCs w:val="22"/>
      <w:lang w:val="en-US" w:eastAsia="zh-CN" w:bidi="ar-SA"/>
    </w:rPr>
  </w:style>
  <w:style w:type="paragraph" w:styleId="28">
    <w:name w:val="toc 3"/>
    <w:basedOn w:val="1"/>
    <w:next w:val="1"/>
    <w:unhideWhenUsed/>
    <w:qFormat/>
    <w:uiPriority w:val="39"/>
    <w:pPr>
      <w:ind w:left="840" w:leftChars="400"/>
    </w:pPr>
  </w:style>
  <w:style w:type="paragraph" w:styleId="29">
    <w:name w:val="Plain Text"/>
    <w:basedOn w:val="1"/>
    <w:link w:val="123"/>
    <w:qFormat/>
    <w:uiPriority w:val="0"/>
    <w:pPr>
      <w:autoSpaceDE w:val="0"/>
      <w:autoSpaceDN w:val="0"/>
      <w:adjustRightInd w:val="0"/>
      <w:jc w:val="left"/>
    </w:pPr>
    <w:rPr>
      <w:rFonts w:ascii="宋体" w:hAnsiTheme="minorHAnsi" w:eastAsiaTheme="minorEastAsia" w:cstheme="minorBidi"/>
      <w:szCs w:val="24"/>
    </w:rPr>
  </w:style>
  <w:style w:type="paragraph" w:styleId="30">
    <w:name w:val="List Bullet 5"/>
    <w:basedOn w:val="1"/>
    <w:qFormat/>
    <w:uiPriority w:val="0"/>
    <w:pPr>
      <w:numPr>
        <w:ilvl w:val="0"/>
        <w:numId w:val="5"/>
      </w:numPr>
      <w:tabs>
        <w:tab w:val="left" w:pos="2040"/>
      </w:tabs>
    </w:pPr>
    <w:rPr>
      <w:szCs w:val="24"/>
    </w:rPr>
  </w:style>
  <w:style w:type="paragraph" w:styleId="31">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2">
    <w:name w:val="Date"/>
    <w:basedOn w:val="1"/>
    <w:next w:val="1"/>
    <w:link w:val="100"/>
    <w:qFormat/>
    <w:uiPriority w:val="0"/>
    <w:pPr>
      <w:autoSpaceDE w:val="0"/>
      <w:autoSpaceDN w:val="0"/>
      <w:adjustRightInd w:val="0"/>
      <w:ind w:left="100"/>
      <w:jc w:val="left"/>
    </w:pPr>
    <w:rPr>
      <w:rFonts w:ascii="宋体" w:hAnsiTheme="minorHAnsi" w:eastAsiaTheme="minorEastAsia" w:cstheme="minorBidi"/>
      <w:szCs w:val="21"/>
    </w:rPr>
  </w:style>
  <w:style w:type="paragraph" w:styleId="33">
    <w:name w:val="Body Text Indent 2"/>
    <w:basedOn w:val="1"/>
    <w:link w:val="113"/>
    <w:qFormat/>
    <w:uiPriority w:val="0"/>
    <w:pPr>
      <w:ind w:left="1" w:firstLine="538" w:firstLineChars="192"/>
    </w:pPr>
    <w:rPr>
      <w:rFonts w:asciiTheme="minorHAnsi" w:hAnsiTheme="minorHAnsi" w:eastAsiaTheme="minorEastAsia" w:cstheme="minorBidi"/>
      <w:color w:val="000000"/>
      <w:sz w:val="28"/>
      <w:szCs w:val="24"/>
    </w:rPr>
  </w:style>
  <w:style w:type="paragraph" w:styleId="34">
    <w:name w:val="Balloon Text"/>
    <w:basedOn w:val="1"/>
    <w:link w:val="104"/>
    <w:qFormat/>
    <w:uiPriority w:val="0"/>
    <w:rPr>
      <w:rFonts w:asciiTheme="minorHAnsi" w:hAnsiTheme="minorHAnsi" w:eastAsiaTheme="minorEastAsia" w:cstheme="minorBidi"/>
      <w:sz w:val="18"/>
      <w:szCs w:val="18"/>
    </w:rPr>
  </w:style>
  <w:style w:type="paragraph" w:styleId="35">
    <w:name w:val="footer"/>
    <w:basedOn w:val="1"/>
    <w:link w:val="61"/>
    <w:unhideWhenUsed/>
    <w:qFormat/>
    <w:uiPriority w:val="99"/>
    <w:pPr>
      <w:tabs>
        <w:tab w:val="center" w:pos="4153"/>
        <w:tab w:val="right" w:pos="8306"/>
      </w:tabs>
      <w:snapToGrid w:val="0"/>
      <w:jc w:val="left"/>
    </w:pPr>
    <w:rPr>
      <w:sz w:val="18"/>
      <w:szCs w:val="18"/>
    </w:rPr>
  </w:style>
  <w:style w:type="paragraph" w:styleId="36">
    <w:name w:val="header"/>
    <w:basedOn w:val="1"/>
    <w:link w:val="60"/>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style>
  <w:style w:type="paragraph" w:styleId="38">
    <w:name w:val="Subtitle"/>
    <w:basedOn w:val="1"/>
    <w:next w:val="1"/>
    <w:link w:val="92"/>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9">
    <w:name w:val="Body Text Indent 3"/>
    <w:basedOn w:val="1"/>
    <w:link w:val="71"/>
    <w:qFormat/>
    <w:uiPriority w:val="0"/>
    <w:pPr>
      <w:ind w:firstLine="538" w:firstLineChars="192"/>
    </w:pPr>
    <w:rPr>
      <w:rFonts w:asciiTheme="minorHAnsi" w:hAnsiTheme="minorHAnsi" w:eastAsiaTheme="minorEastAsia" w:cstheme="minorBidi"/>
      <w:color w:val="000000"/>
      <w:sz w:val="28"/>
      <w:szCs w:val="24"/>
    </w:rPr>
  </w:style>
  <w:style w:type="paragraph" w:styleId="40">
    <w:name w:val="toc 2"/>
    <w:basedOn w:val="1"/>
    <w:next w:val="1"/>
    <w:unhideWhenUsed/>
    <w:qFormat/>
    <w:uiPriority w:val="39"/>
    <w:pPr>
      <w:ind w:left="420" w:leftChars="200"/>
    </w:pPr>
  </w:style>
  <w:style w:type="paragraph" w:styleId="41">
    <w:name w:val="Body Text 2"/>
    <w:basedOn w:val="1"/>
    <w:link w:val="133"/>
    <w:qFormat/>
    <w:uiPriority w:val="0"/>
    <w:pPr>
      <w:spacing w:after="120" w:line="480" w:lineRule="auto"/>
    </w:pPr>
    <w:rPr>
      <w:rFonts w:asciiTheme="minorHAnsi" w:hAnsiTheme="minorHAnsi" w:eastAsiaTheme="minorEastAsia" w:cstheme="minorBidi"/>
      <w:szCs w:val="24"/>
    </w:rPr>
  </w:style>
  <w:style w:type="paragraph" w:styleId="42">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ind w:firstLine="480" w:firstLineChars="200"/>
      <w:jc w:val="center"/>
    </w:pPr>
    <w:rPr>
      <w:sz w:val="24"/>
      <w:szCs w:val="24"/>
    </w:rPr>
  </w:style>
  <w:style w:type="paragraph" w:styleId="45">
    <w:name w:val="Title"/>
    <w:basedOn w:val="1"/>
    <w:next w:val="1"/>
    <w:link w:val="114"/>
    <w:qFormat/>
    <w:uiPriority w:val="0"/>
    <w:pPr>
      <w:spacing w:before="240" w:after="60"/>
      <w:jc w:val="center"/>
      <w:outlineLvl w:val="0"/>
    </w:pPr>
    <w:rPr>
      <w:rFonts w:ascii="Cambria" w:hAnsi="Cambria" w:eastAsiaTheme="minorEastAsia" w:cstheme="minorBidi"/>
      <w:b/>
      <w:bCs/>
      <w:sz w:val="32"/>
      <w:szCs w:val="32"/>
    </w:rPr>
  </w:style>
  <w:style w:type="paragraph" w:styleId="46">
    <w:name w:val="annotation subject"/>
    <w:basedOn w:val="20"/>
    <w:next w:val="20"/>
    <w:link w:val="93"/>
    <w:qFormat/>
    <w:uiPriority w:val="0"/>
    <w:rPr>
      <w:rFonts w:ascii="宋体"/>
      <w:b/>
      <w:bCs/>
      <w:sz w:val="28"/>
      <w:szCs w:val="22"/>
    </w:rPr>
  </w:style>
  <w:style w:type="paragraph" w:styleId="47">
    <w:name w:val="Body Text First Indent"/>
    <w:basedOn w:val="2"/>
    <w:qFormat/>
    <w:uiPriority w:val="0"/>
    <w:pPr>
      <w:adjustRightInd w:val="0"/>
      <w:spacing w:line="360" w:lineRule="atLeast"/>
      <w:ind w:firstLine="420" w:firstLineChars="100"/>
      <w:jc w:val="left"/>
      <w:textAlignment w:val="baseline"/>
    </w:pPr>
    <w:rPr>
      <w:kern w:val="0"/>
      <w:sz w:val="24"/>
    </w:rPr>
  </w:style>
  <w:style w:type="paragraph" w:styleId="48">
    <w:name w:val="Body Text First Indent 2"/>
    <w:basedOn w:val="23"/>
    <w:link w:val="129"/>
    <w:semiHidden/>
    <w:unhideWhenUsed/>
    <w:qFormat/>
    <w:uiPriority w:val="0"/>
    <w:pPr>
      <w:spacing w:after="120"/>
      <w:ind w:left="420" w:firstLine="420" w:firstLineChars="200"/>
    </w:pPr>
    <w:rPr>
      <w:b/>
      <w:bCs/>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0"/>
    <w:rPr>
      <w:color w:val="800080"/>
      <w:u w:val="single"/>
    </w:rPr>
  </w:style>
  <w:style w:type="character" w:styleId="55">
    <w:name w:val="Emphasis"/>
    <w:qFormat/>
    <w:uiPriority w:val="0"/>
    <w:rPr>
      <w:i/>
      <w:iCs/>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customStyle="1" w:styleId="58">
    <w:name w:val="标题 1 Char"/>
    <w:link w:val="3"/>
    <w:qFormat/>
    <w:uiPriority w:val="0"/>
    <w:rPr>
      <w:rFonts w:ascii="仿宋_GB2312" w:hAnsi="MyriadMM_700_300_" w:eastAsia="宋体" w:cs="Times New Roman"/>
      <w:b/>
      <w:bCs/>
      <w:color w:val="000000"/>
      <w:kern w:val="0"/>
      <w:sz w:val="28"/>
      <w:szCs w:val="20"/>
    </w:rPr>
  </w:style>
  <w:style w:type="paragraph" w:customStyle="1" w:styleId="59">
    <w:name w:val="样式2"/>
    <w:basedOn w:val="36"/>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character" w:customStyle="1" w:styleId="60">
    <w:name w:val="页眉 Char1"/>
    <w:basedOn w:val="51"/>
    <w:link w:val="36"/>
    <w:qFormat/>
    <w:uiPriority w:val="99"/>
    <w:rPr>
      <w:sz w:val="18"/>
      <w:szCs w:val="18"/>
    </w:rPr>
  </w:style>
  <w:style w:type="character" w:customStyle="1" w:styleId="61">
    <w:name w:val="页脚 Char1"/>
    <w:basedOn w:val="51"/>
    <w:link w:val="35"/>
    <w:qFormat/>
    <w:uiPriority w:val="99"/>
    <w:rPr>
      <w:sz w:val="18"/>
      <w:szCs w:val="18"/>
    </w:rPr>
  </w:style>
  <w:style w:type="character" w:customStyle="1" w:styleId="62">
    <w:name w:val="标题 1 字符"/>
    <w:basedOn w:val="51"/>
    <w:link w:val="3"/>
    <w:qFormat/>
    <w:uiPriority w:val="9"/>
    <w:rPr>
      <w:rFonts w:ascii="Times New Roman" w:hAnsi="Times New Roman" w:eastAsia="宋体" w:cs="Times New Roman"/>
      <w:b/>
      <w:bCs/>
      <w:kern w:val="44"/>
      <w:sz w:val="44"/>
      <w:szCs w:val="44"/>
    </w:rPr>
  </w:style>
  <w:style w:type="character" w:customStyle="1" w:styleId="63">
    <w:name w:val="标题 2 字符"/>
    <w:basedOn w:val="51"/>
    <w:semiHidden/>
    <w:qFormat/>
    <w:uiPriority w:val="9"/>
    <w:rPr>
      <w:rFonts w:asciiTheme="majorHAnsi" w:hAnsiTheme="majorHAnsi" w:eastAsiaTheme="majorEastAsia" w:cstheme="majorBidi"/>
      <w:b/>
      <w:bCs/>
      <w:sz w:val="32"/>
      <w:szCs w:val="32"/>
    </w:rPr>
  </w:style>
  <w:style w:type="character" w:customStyle="1" w:styleId="64">
    <w:name w:val="标题 3 字符"/>
    <w:basedOn w:val="51"/>
    <w:semiHidden/>
    <w:qFormat/>
    <w:uiPriority w:val="9"/>
    <w:rPr>
      <w:rFonts w:ascii="Times New Roman" w:hAnsi="Times New Roman" w:eastAsia="宋体" w:cs="Times New Roman"/>
      <w:b/>
      <w:bCs/>
      <w:sz w:val="32"/>
      <w:szCs w:val="32"/>
    </w:rPr>
  </w:style>
  <w:style w:type="character" w:customStyle="1" w:styleId="65">
    <w:name w:val="标题 4 字符"/>
    <w:basedOn w:val="51"/>
    <w:semiHidden/>
    <w:qFormat/>
    <w:uiPriority w:val="9"/>
    <w:rPr>
      <w:rFonts w:asciiTheme="majorHAnsi" w:hAnsiTheme="majorHAnsi" w:eastAsiaTheme="majorEastAsia" w:cstheme="majorBidi"/>
      <w:b/>
      <w:bCs/>
      <w:sz w:val="28"/>
      <w:szCs w:val="28"/>
    </w:rPr>
  </w:style>
  <w:style w:type="character" w:customStyle="1" w:styleId="66">
    <w:name w:val="标题 5 字符"/>
    <w:basedOn w:val="51"/>
    <w:semiHidden/>
    <w:qFormat/>
    <w:uiPriority w:val="9"/>
    <w:rPr>
      <w:rFonts w:ascii="Times New Roman" w:hAnsi="Times New Roman" w:eastAsia="宋体" w:cs="Times New Roman"/>
      <w:b/>
      <w:bCs/>
      <w:sz w:val="28"/>
      <w:szCs w:val="28"/>
    </w:rPr>
  </w:style>
  <w:style w:type="character" w:customStyle="1" w:styleId="67">
    <w:name w:val="标题 6 字符"/>
    <w:basedOn w:val="51"/>
    <w:semiHidden/>
    <w:qFormat/>
    <w:uiPriority w:val="9"/>
    <w:rPr>
      <w:rFonts w:asciiTheme="majorHAnsi" w:hAnsiTheme="majorHAnsi" w:eastAsiaTheme="majorEastAsia" w:cstheme="majorBidi"/>
      <w:b/>
      <w:bCs/>
      <w:sz w:val="24"/>
      <w:szCs w:val="24"/>
    </w:rPr>
  </w:style>
  <w:style w:type="character" w:customStyle="1" w:styleId="68">
    <w:name w:val="标题 7 字符"/>
    <w:basedOn w:val="51"/>
    <w:semiHidden/>
    <w:qFormat/>
    <w:uiPriority w:val="9"/>
    <w:rPr>
      <w:rFonts w:ascii="Times New Roman" w:hAnsi="Times New Roman" w:eastAsia="宋体" w:cs="Times New Roman"/>
      <w:b/>
      <w:bCs/>
      <w:sz w:val="24"/>
      <w:szCs w:val="24"/>
    </w:rPr>
  </w:style>
  <w:style w:type="character" w:customStyle="1" w:styleId="69">
    <w:name w:val="标题 8 字符"/>
    <w:basedOn w:val="51"/>
    <w:semiHidden/>
    <w:qFormat/>
    <w:uiPriority w:val="9"/>
    <w:rPr>
      <w:rFonts w:asciiTheme="majorHAnsi" w:hAnsiTheme="majorHAnsi" w:eastAsiaTheme="majorEastAsia" w:cstheme="majorBidi"/>
      <w:sz w:val="24"/>
      <w:szCs w:val="24"/>
    </w:rPr>
  </w:style>
  <w:style w:type="character" w:customStyle="1" w:styleId="70">
    <w:name w:val="标题 9 字符"/>
    <w:basedOn w:val="51"/>
    <w:semiHidden/>
    <w:qFormat/>
    <w:uiPriority w:val="9"/>
    <w:rPr>
      <w:rFonts w:asciiTheme="majorHAnsi" w:hAnsiTheme="majorHAnsi" w:eastAsiaTheme="majorEastAsia" w:cstheme="majorBidi"/>
      <w:szCs w:val="21"/>
    </w:rPr>
  </w:style>
  <w:style w:type="character" w:customStyle="1" w:styleId="71">
    <w:name w:val="正文文本缩进 3 Char"/>
    <w:link w:val="39"/>
    <w:qFormat/>
    <w:uiPriority w:val="0"/>
    <w:rPr>
      <w:color w:val="000000"/>
      <w:sz w:val="28"/>
      <w:szCs w:val="24"/>
    </w:rPr>
  </w:style>
  <w:style w:type="character" w:customStyle="1" w:styleId="72">
    <w:name w:val="正文文本 3 Char1"/>
    <w:semiHidden/>
    <w:qFormat/>
    <w:uiPriority w:val="0"/>
    <w:rPr>
      <w:kern w:val="2"/>
      <w:sz w:val="16"/>
      <w:szCs w:val="16"/>
    </w:rPr>
  </w:style>
  <w:style w:type="character" w:customStyle="1" w:styleId="73">
    <w:name w:val="标题 2 Char Char"/>
    <w:qFormat/>
    <w:uiPriority w:val="0"/>
    <w:rPr>
      <w:rFonts w:hAnsi="仿宋_GB2312"/>
    </w:rPr>
  </w:style>
  <w:style w:type="character" w:customStyle="1" w:styleId="74">
    <w:name w:val="明显强调1"/>
    <w:qFormat/>
    <w:uiPriority w:val="0"/>
    <w:rPr>
      <w:b/>
      <w:bCs/>
      <w:i/>
      <w:iCs/>
      <w:color w:val="4F81BD"/>
    </w:rPr>
  </w:style>
  <w:style w:type="character" w:customStyle="1" w:styleId="75">
    <w:name w:val="引用 Char2"/>
    <w:qFormat/>
    <w:uiPriority w:val="29"/>
    <w:rPr>
      <w:i/>
      <w:iCs/>
      <w:color w:val="000000"/>
      <w:kern w:val="2"/>
      <w:sz w:val="21"/>
    </w:rPr>
  </w:style>
  <w:style w:type="character" w:customStyle="1" w:styleId="76">
    <w:name w:val="标题 2 Char1"/>
    <w:link w:val="4"/>
    <w:qFormat/>
    <w:uiPriority w:val="0"/>
    <w:rPr>
      <w:rFonts w:ascii="Arial" w:hAnsi="Arial" w:eastAsia="黑体" w:cs="Times New Roman"/>
      <w:b/>
      <w:bCs/>
      <w:sz w:val="32"/>
      <w:szCs w:val="32"/>
    </w:rPr>
  </w:style>
  <w:style w:type="character" w:customStyle="1" w:styleId="77">
    <w:name w:val="标题 1 Char1"/>
    <w:qFormat/>
    <w:uiPriority w:val="0"/>
    <w:rPr>
      <w:rFonts w:ascii="宋体-18030" w:eastAsia="宋体-18030"/>
      <w:b/>
      <w:kern w:val="2"/>
      <w:sz w:val="44"/>
    </w:rPr>
  </w:style>
  <w:style w:type="character" w:customStyle="1" w:styleId="78">
    <w:name w:val="批注文字 Char1"/>
    <w:semiHidden/>
    <w:qFormat/>
    <w:locked/>
    <w:uiPriority w:val="0"/>
    <w:rPr>
      <w:kern w:val="2"/>
      <w:sz w:val="21"/>
      <w:szCs w:val="24"/>
    </w:rPr>
  </w:style>
  <w:style w:type="character" w:customStyle="1" w:styleId="79">
    <w:name w:val="正文首行缩进 2 Char1"/>
    <w:semiHidden/>
    <w:qFormat/>
    <w:uiPriority w:val="0"/>
    <w:rPr>
      <w:rFonts w:ascii="宋体" w:hAnsi="宋体"/>
      <w:kern w:val="2"/>
      <w:sz w:val="21"/>
      <w:szCs w:val="24"/>
    </w:rPr>
  </w:style>
  <w:style w:type="character" w:customStyle="1" w:styleId="80">
    <w:name w:val="普通文字 Char Char1"/>
    <w:qFormat/>
    <w:uiPriority w:val="0"/>
    <w:rPr>
      <w:rFonts w:ascii="宋体" w:eastAsia="宋体"/>
      <w:kern w:val="2"/>
      <w:sz w:val="21"/>
      <w:lang w:val="en-US" w:eastAsia="zh-CN" w:bidi="ar-SA"/>
    </w:rPr>
  </w:style>
  <w:style w:type="character" w:customStyle="1" w:styleId="81">
    <w:name w:val="批注文字 Char Char"/>
    <w:qFormat/>
    <w:uiPriority w:val="0"/>
    <w:rPr>
      <w:rFonts w:ascii="宋体" w:hAnsi="Times New Roman" w:eastAsia="宋体" w:cs="Times New Roman"/>
      <w:sz w:val="28"/>
      <w:szCs w:val="20"/>
    </w:rPr>
  </w:style>
  <w:style w:type="character" w:customStyle="1" w:styleId="82">
    <w:name w:val="副标题 Char1"/>
    <w:qFormat/>
    <w:uiPriority w:val="0"/>
    <w:rPr>
      <w:rFonts w:ascii="Cambria" w:hAnsi="Cambria" w:cs="Times New Roman"/>
      <w:b/>
      <w:bCs/>
      <w:kern w:val="28"/>
      <w:sz w:val="32"/>
      <w:szCs w:val="32"/>
    </w:rPr>
  </w:style>
  <w:style w:type="character" w:customStyle="1" w:styleId="83">
    <w:name w:val="批注主题 Char2"/>
    <w:qFormat/>
    <w:uiPriority w:val="0"/>
    <w:rPr>
      <w:rFonts w:eastAsia="宋体"/>
      <w:b/>
      <w:bCs/>
      <w:kern w:val="2"/>
      <w:sz w:val="21"/>
      <w:szCs w:val="24"/>
      <w:lang w:val="en-US" w:eastAsia="zh-CN" w:bidi="ar-SA"/>
    </w:rPr>
  </w:style>
  <w:style w:type="character" w:customStyle="1" w:styleId="84">
    <w:name w:val="正文文本缩进 Char"/>
    <w:link w:val="23"/>
    <w:qFormat/>
    <w:uiPriority w:val="0"/>
    <w:rPr>
      <w:rFonts w:ascii="宋体" w:hAnsi="宋体"/>
      <w:sz w:val="24"/>
      <w:szCs w:val="24"/>
    </w:rPr>
  </w:style>
  <w:style w:type="character" w:customStyle="1" w:styleId="85">
    <w:name w:val="标题 7 Char"/>
    <w:link w:val="9"/>
    <w:qFormat/>
    <w:uiPriority w:val="0"/>
    <w:rPr>
      <w:rFonts w:ascii="Arial" w:hAnsi="Arial" w:eastAsia="仿宋_GB2312" w:cs="Times New Roman"/>
      <w:kern w:val="0"/>
      <w:sz w:val="28"/>
      <w:szCs w:val="20"/>
      <w:lang w:val="en-US" w:eastAsia="zh-CN"/>
    </w:rPr>
  </w:style>
  <w:style w:type="character" w:customStyle="1" w:styleId="86">
    <w:name w:val="HTML 预设格式 Char"/>
    <w:link w:val="42"/>
    <w:qFormat/>
    <w:uiPriority w:val="0"/>
    <w:rPr>
      <w:rFonts w:ascii="宋体" w:hAnsi="宋体" w:cs="宋体"/>
      <w:sz w:val="24"/>
      <w:szCs w:val="24"/>
    </w:rPr>
  </w:style>
  <w:style w:type="character" w:customStyle="1" w:styleId="87">
    <w:name w:val="明显引用 Char"/>
    <w:link w:val="88"/>
    <w:qFormat/>
    <w:uiPriority w:val="0"/>
    <w:rPr>
      <w:b/>
      <w:bCs/>
      <w:i/>
      <w:iCs/>
      <w:color w:val="4F81BD"/>
    </w:rPr>
  </w:style>
  <w:style w:type="paragraph" w:styleId="88">
    <w:name w:val="Intense Quote"/>
    <w:basedOn w:val="1"/>
    <w:next w:val="1"/>
    <w:link w:val="87"/>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9">
    <w:name w:val="引用 Char1"/>
    <w:qFormat/>
    <w:uiPriority w:val="29"/>
    <w:rPr>
      <w:i/>
      <w:iCs/>
      <w:color w:val="000000"/>
      <w:kern w:val="2"/>
      <w:sz w:val="21"/>
      <w:szCs w:val="24"/>
    </w:rPr>
  </w:style>
  <w:style w:type="character" w:customStyle="1" w:styleId="90">
    <w:name w:val="批注框文本 Char1"/>
    <w:qFormat/>
    <w:uiPriority w:val="0"/>
    <w:rPr>
      <w:kern w:val="2"/>
      <w:sz w:val="18"/>
      <w:szCs w:val="18"/>
    </w:rPr>
  </w:style>
  <w:style w:type="character" w:customStyle="1" w:styleId="91">
    <w:name w:val="日期 Char1"/>
    <w:qFormat/>
    <w:uiPriority w:val="0"/>
    <w:rPr>
      <w:kern w:val="2"/>
      <w:sz w:val="21"/>
      <w:szCs w:val="22"/>
    </w:rPr>
  </w:style>
  <w:style w:type="character" w:customStyle="1" w:styleId="92">
    <w:name w:val="副标题 Char"/>
    <w:link w:val="38"/>
    <w:qFormat/>
    <w:uiPriority w:val="0"/>
    <w:rPr>
      <w:rFonts w:ascii="Cambria" w:hAnsi="Cambria"/>
      <w:b/>
      <w:bCs/>
      <w:kern w:val="28"/>
      <w:sz w:val="32"/>
      <w:szCs w:val="32"/>
    </w:rPr>
  </w:style>
  <w:style w:type="character" w:customStyle="1" w:styleId="93">
    <w:name w:val="批注主题 Char"/>
    <w:link w:val="46"/>
    <w:qFormat/>
    <w:uiPriority w:val="0"/>
    <w:rPr>
      <w:rFonts w:ascii="宋体"/>
      <w:b/>
      <w:bCs/>
      <w:sz w:val="28"/>
    </w:rPr>
  </w:style>
  <w:style w:type="character" w:customStyle="1" w:styleId="94">
    <w:name w:val="question-title2"/>
    <w:basedOn w:val="51"/>
    <w:qFormat/>
    <w:uiPriority w:val="0"/>
  </w:style>
  <w:style w:type="character" w:customStyle="1" w:styleId="95">
    <w:name w:val="页眉 Char"/>
    <w:qFormat/>
    <w:uiPriority w:val="0"/>
    <w:rPr>
      <w:kern w:val="2"/>
      <w:sz w:val="18"/>
    </w:rPr>
  </w:style>
  <w:style w:type="character" w:customStyle="1" w:styleId="96">
    <w:name w:val="批注主题 Char1"/>
    <w:qFormat/>
    <w:uiPriority w:val="0"/>
    <w:rPr>
      <w:b/>
      <w:bCs/>
      <w:kern w:val="2"/>
      <w:sz w:val="21"/>
      <w:szCs w:val="22"/>
    </w:rPr>
  </w:style>
  <w:style w:type="character" w:customStyle="1" w:styleId="97">
    <w:name w:val="不明显强调1"/>
    <w:qFormat/>
    <w:uiPriority w:val="0"/>
    <w:rPr>
      <w:i/>
      <w:iCs/>
      <w:color w:val="808080"/>
    </w:rPr>
  </w:style>
  <w:style w:type="character" w:customStyle="1" w:styleId="98">
    <w:name w:val="引用 Char"/>
    <w:link w:val="99"/>
    <w:qFormat/>
    <w:uiPriority w:val="0"/>
    <w:rPr>
      <w:i/>
      <w:iCs/>
      <w:color w:val="000000"/>
    </w:rPr>
  </w:style>
  <w:style w:type="paragraph" w:styleId="99">
    <w:name w:val="Quote"/>
    <w:basedOn w:val="1"/>
    <w:next w:val="1"/>
    <w:link w:val="98"/>
    <w:qFormat/>
    <w:uiPriority w:val="0"/>
    <w:rPr>
      <w:rFonts w:asciiTheme="minorHAnsi" w:hAnsiTheme="minorHAnsi" w:eastAsiaTheme="minorEastAsia" w:cstheme="minorBidi"/>
      <w:i/>
      <w:iCs/>
      <w:color w:val="000000"/>
      <w:szCs w:val="22"/>
    </w:rPr>
  </w:style>
  <w:style w:type="character" w:customStyle="1" w:styleId="100">
    <w:name w:val="日期 Char"/>
    <w:link w:val="32"/>
    <w:qFormat/>
    <w:uiPriority w:val="0"/>
    <w:rPr>
      <w:rFonts w:ascii="宋体"/>
      <w:szCs w:val="21"/>
    </w:rPr>
  </w:style>
  <w:style w:type="character" w:customStyle="1" w:styleId="101">
    <w:name w:val="apple-converted-space"/>
    <w:basedOn w:val="51"/>
    <w:qFormat/>
    <w:uiPriority w:val="0"/>
  </w:style>
  <w:style w:type="character" w:customStyle="1" w:styleId="102">
    <w:name w:val="标题 9 Char"/>
    <w:link w:val="11"/>
    <w:qFormat/>
    <w:uiPriority w:val="0"/>
    <w:rPr>
      <w:rFonts w:ascii="Arial" w:hAnsi="Arial" w:eastAsia="仿宋_GB2312" w:cs="Times New Roman"/>
      <w:kern w:val="0"/>
      <w:sz w:val="28"/>
      <w:szCs w:val="20"/>
      <w:lang w:val="en-US" w:eastAsia="zh-CN"/>
    </w:rPr>
  </w:style>
  <w:style w:type="character" w:customStyle="1" w:styleId="103">
    <w:name w:val="文档结构图 Char"/>
    <w:link w:val="18"/>
    <w:qFormat/>
    <w:uiPriority w:val="0"/>
    <w:rPr>
      <w:szCs w:val="24"/>
      <w:shd w:val="clear" w:color="auto" w:fill="000080"/>
    </w:rPr>
  </w:style>
  <w:style w:type="character" w:customStyle="1" w:styleId="104">
    <w:name w:val="批注框文本 Char"/>
    <w:link w:val="34"/>
    <w:qFormat/>
    <w:uiPriority w:val="0"/>
    <w:rPr>
      <w:sz w:val="18"/>
      <w:szCs w:val="18"/>
    </w:rPr>
  </w:style>
  <w:style w:type="character" w:customStyle="1" w:styleId="105">
    <w:name w:val="不明显参考1"/>
    <w:qFormat/>
    <w:uiPriority w:val="0"/>
    <w:rPr>
      <w:smallCaps/>
      <w:color w:val="C0504D"/>
      <w:u w:val="single"/>
    </w:rPr>
  </w:style>
  <w:style w:type="character" w:customStyle="1" w:styleId="106">
    <w:name w:val="明显引用 Char1"/>
    <w:qFormat/>
    <w:uiPriority w:val="30"/>
    <w:rPr>
      <w:b/>
      <w:bCs/>
      <w:i/>
      <w:iCs/>
      <w:color w:val="4F81BD"/>
      <w:kern w:val="2"/>
      <w:sz w:val="21"/>
      <w:szCs w:val="24"/>
    </w:rPr>
  </w:style>
  <w:style w:type="character" w:customStyle="1" w:styleId="107">
    <w:name w:val="标题 8 Char"/>
    <w:link w:val="10"/>
    <w:qFormat/>
    <w:uiPriority w:val="0"/>
    <w:rPr>
      <w:rFonts w:ascii="Arial" w:hAnsi="Arial" w:eastAsia="仿宋_GB2312" w:cs="Times New Roman"/>
      <w:kern w:val="0"/>
      <w:sz w:val="28"/>
      <w:szCs w:val="20"/>
      <w:lang w:val="en-US" w:eastAsia="zh-CN"/>
    </w:rPr>
  </w:style>
  <w:style w:type="character" w:customStyle="1" w:styleId="108">
    <w:name w:val="HTML 预设格式 Char1"/>
    <w:semiHidden/>
    <w:qFormat/>
    <w:uiPriority w:val="0"/>
    <w:rPr>
      <w:rFonts w:ascii="Courier New" w:hAnsi="Courier New" w:cs="Courier New"/>
      <w:kern w:val="2"/>
    </w:rPr>
  </w:style>
  <w:style w:type="character" w:customStyle="1" w:styleId="109">
    <w:name w:val="书籍标题1"/>
    <w:qFormat/>
    <w:uiPriority w:val="0"/>
    <w:rPr>
      <w:b/>
      <w:bCs/>
      <w:smallCaps/>
      <w:spacing w:val="5"/>
    </w:rPr>
  </w:style>
  <w:style w:type="character" w:customStyle="1" w:styleId="110">
    <w:name w:val="明显参考1"/>
    <w:qFormat/>
    <w:uiPriority w:val="0"/>
    <w:rPr>
      <w:b/>
      <w:bCs/>
      <w:smallCaps/>
      <w:color w:val="C0504D"/>
      <w:spacing w:val="5"/>
      <w:u w:val="single"/>
    </w:rPr>
  </w:style>
  <w:style w:type="character" w:customStyle="1" w:styleId="111">
    <w:name w:val="正文文本 Char"/>
    <w:link w:val="2"/>
    <w:qFormat/>
    <w:uiPriority w:val="0"/>
    <w:rPr>
      <w:szCs w:val="24"/>
    </w:rPr>
  </w:style>
  <w:style w:type="character" w:customStyle="1" w:styleId="112">
    <w:name w:val="纯文本 Char Char Char Char Char Char Char Char Char1"/>
    <w:qFormat/>
    <w:uiPriority w:val="0"/>
    <w:rPr>
      <w:rFonts w:ascii="宋体" w:hAnsi="Courier New"/>
      <w:kern w:val="2"/>
      <w:sz w:val="21"/>
    </w:rPr>
  </w:style>
  <w:style w:type="character" w:customStyle="1" w:styleId="113">
    <w:name w:val="正文文本缩进 2 Char"/>
    <w:link w:val="33"/>
    <w:qFormat/>
    <w:uiPriority w:val="0"/>
    <w:rPr>
      <w:color w:val="000000"/>
      <w:sz w:val="28"/>
      <w:szCs w:val="24"/>
    </w:rPr>
  </w:style>
  <w:style w:type="character" w:customStyle="1" w:styleId="114">
    <w:name w:val="标题 Char"/>
    <w:link w:val="45"/>
    <w:qFormat/>
    <w:uiPriority w:val="0"/>
    <w:rPr>
      <w:rFonts w:ascii="Cambria" w:hAnsi="Cambria"/>
      <w:b/>
      <w:bCs/>
      <w:sz w:val="32"/>
      <w:szCs w:val="32"/>
    </w:rPr>
  </w:style>
  <w:style w:type="character" w:customStyle="1" w:styleId="115">
    <w:name w:val="正文文本 3 Char"/>
    <w:link w:val="21"/>
    <w:qFormat/>
    <w:uiPriority w:val="0"/>
    <w:rPr>
      <w:rFonts w:ascii="宋体"/>
      <w:sz w:val="24"/>
    </w:rPr>
  </w:style>
  <w:style w:type="character" w:customStyle="1" w:styleId="116">
    <w:name w:val="正文文本 Char1"/>
    <w:qFormat/>
    <w:uiPriority w:val="0"/>
    <w:rPr>
      <w:kern w:val="2"/>
      <w:sz w:val="21"/>
      <w:szCs w:val="22"/>
    </w:rPr>
  </w:style>
  <w:style w:type="character" w:customStyle="1" w:styleId="117">
    <w:name w:val="文档结构图 Char1"/>
    <w:qFormat/>
    <w:uiPriority w:val="0"/>
    <w:rPr>
      <w:rFonts w:ascii="宋体"/>
      <w:kern w:val="2"/>
      <w:sz w:val="18"/>
      <w:szCs w:val="18"/>
    </w:rPr>
  </w:style>
  <w:style w:type="character" w:customStyle="1" w:styleId="118">
    <w:name w:val="页脚 Char"/>
    <w:qFormat/>
    <w:uiPriority w:val="99"/>
    <w:rPr>
      <w:kern w:val="2"/>
      <w:sz w:val="18"/>
    </w:rPr>
  </w:style>
  <w:style w:type="character" w:customStyle="1" w:styleId="119">
    <w:name w:val="标题 3 Char"/>
    <w:link w:val="5"/>
    <w:qFormat/>
    <w:uiPriority w:val="0"/>
    <w:rPr>
      <w:rFonts w:ascii="宋体" w:hAnsi="宋体" w:eastAsia="黑体" w:cs="Times New Roman"/>
      <w:b/>
      <w:bCs/>
      <w:sz w:val="32"/>
      <w:szCs w:val="32"/>
    </w:rPr>
  </w:style>
  <w:style w:type="character" w:customStyle="1" w:styleId="120">
    <w:name w:val="明显引用 Char2"/>
    <w:qFormat/>
    <w:uiPriority w:val="30"/>
    <w:rPr>
      <w:b/>
      <w:bCs/>
      <w:i/>
      <w:iCs/>
      <w:color w:val="4F81BD"/>
      <w:kern w:val="2"/>
      <w:sz w:val="21"/>
    </w:rPr>
  </w:style>
  <w:style w:type="character" w:customStyle="1" w:styleId="121">
    <w:name w:val="标题 4 Char"/>
    <w:link w:val="6"/>
    <w:qFormat/>
    <w:uiPriority w:val="0"/>
    <w:rPr>
      <w:rFonts w:ascii="Arial" w:hAnsi="Arial" w:eastAsia="仿宋_GB2312" w:cs="Times New Roman"/>
      <w:b/>
      <w:kern w:val="0"/>
      <w:sz w:val="28"/>
      <w:szCs w:val="20"/>
      <w:lang w:val="en-US" w:eastAsia="zh-CN"/>
    </w:rPr>
  </w:style>
  <w:style w:type="character" w:customStyle="1" w:styleId="122">
    <w:name w:val="标题 5 Char"/>
    <w:link w:val="7"/>
    <w:qFormat/>
    <w:uiPriority w:val="0"/>
    <w:rPr>
      <w:rFonts w:ascii="Arial" w:hAnsi="Arial" w:eastAsia="仿宋_GB2312" w:cs="Times New Roman"/>
      <w:kern w:val="0"/>
      <w:sz w:val="28"/>
      <w:szCs w:val="20"/>
      <w:lang w:val="en-US" w:eastAsia="zh-CN"/>
    </w:rPr>
  </w:style>
  <w:style w:type="character" w:customStyle="1" w:styleId="123">
    <w:name w:val="纯文本 Char"/>
    <w:link w:val="29"/>
    <w:qFormat/>
    <w:uiPriority w:val="0"/>
    <w:rPr>
      <w:rFonts w:ascii="宋体"/>
      <w:szCs w:val="24"/>
    </w:rPr>
  </w:style>
  <w:style w:type="character" w:customStyle="1" w:styleId="124">
    <w:name w:val="标题4 Char Char"/>
    <w:link w:val="125"/>
    <w:qFormat/>
    <w:uiPriority w:val="0"/>
    <w:rPr>
      <w:rFonts w:ascii="Arial" w:hAnsi="Arial"/>
      <w:b/>
      <w:bCs/>
      <w:sz w:val="24"/>
      <w:szCs w:val="32"/>
    </w:rPr>
  </w:style>
  <w:style w:type="paragraph" w:customStyle="1" w:styleId="125">
    <w:name w:val="标题4"/>
    <w:basedOn w:val="4"/>
    <w:next w:val="26"/>
    <w:link w:val="124"/>
    <w:qFormat/>
    <w:uiPriority w:val="0"/>
    <w:pPr>
      <w:spacing w:line="413" w:lineRule="auto"/>
    </w:pPr>
    <w:rPr>
      <w:rFonts w:eastAsiaTheme="minorEastAsia" w:cstheme="minorBidi"/>
      <w:sz w:val="24"/>
    </w:rPr>
  </w:style>
  <w:style w:type="character" w:customStyle="1" w:styleId="126">
    <w:name w:val="批注主题 Char3"/>
    <w:semiHidden/>
    <w:qFormat/>
    <w:uiPriority w:val="0"/>
    <w:rPr>
      <w:b/>
      <w:bCs/>
      <w:kern w:val="2"/>
      <w:sz w:val="21"/>
      <w:szCs w:val="24"/>
    </w:rPr>
  </w:style>
  <w:style w:type="character" w:customStyle="1" w:styleId="127">
    <w:name w:val="style11"/>
    <w:qFormat/>
    <w:uiPriority w:val="0"/>
    <w:rPr>
      <w:b/>
      <w:bCs/>
    </w:rPr>
  </w:style>
  <w:style w:type="character" w:customStyle="1" w:styleId="128">
    <w:name w:val="标题 2 Char"/>
    <w:qFormat/>
    <w:uiPriority w:val="0"/>
    <w:rPr>
      <w:rFonts w:ascii="Cambria" w:hAnsi="Cambria" w:eastAsia="宋体" w:cs="Times New Roman"/>
      <w:b/>
      <w:bCs/>
      <w:kern w:val="2"/>
      <w:sz w:val="32"/>
      <w:szCs w:val="32"/>
    </w:rPr>
  </w:style>
  <w:style w:type="character" w:customStyle="1" w:styleId="129">
    <w:name w:val="正文首行缩进 2 Char"/>
    <w:link w:val="48"/>
    <w:semiHidden/>
    <w:qFormat/>
    <w:uiPriority w:val="0"/>
    <w:rPr>
      <w:rFonts w:ascii="宋体" w:hAnsi="宋体"/>
      <w:b/>
      <w:bCs/>
      <w:sz w:val="24"/>
      <w:szCs w:val="24"/>
    </w:rPr>
  </w:style>
  <w:style w:type="character" w:customStyle="1" w:styleId="130">
    <w:name w:val="批注文字 Char"/>
    <w:link w:val="20"/>
    <w:qFormat/>
    <w:uiPriority w:val="0"/>
    <w:rPr>
      <w:szCs w:val="24"/>
    </w:rPr>
  </w:style>
  <w:style w:type="character" w:customStyle="1" w:styleId="131">
    <w:name w:val="标题 6 Char"/>
    <w:link w:val="8"/>
    <w:qFormat/>
    <w:uiPriority w:val="0"/>
    <w:rPr>
      <w:rFonts w:ascii="Arial" w:hAnsi="Arial" w:eastAsia="仿宋_GB2312" w:cs="Times New Roman"/>
      <w:kern w:val="0"/>
      <w:sz w:val="28"/>
      <w:szCs w:val="20"/>
      <w:lang w:val="en-US" w:eastAsia="zh-CN"/>
    </w:rPr>
  </w:style>
  <w:style w:type="character" w:customStyle="1" w:styleId="132">
    <w:name w:val="javascript"/>
    <w:basedOn w:val="51"/>
    <w:qFormat/>
    <w:uiPriority w:val="0"/>
  </w:style>
  <w:style w:type="character" w:customStyle="1" w:styleId="133">
    <w:name w:val="正文文本 2 Char"/>
    <w:link w:val="41"/>
    <w:qFormat/>
    <w:uiPriority w:val="0"/>
    <w:rPr>
      <w:szCs w:val="24"/>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5"/>
    <w:link w:val="137"/>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1"/>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styleId="142">
    <w:name w:val="List Paragraph"/>
    <w:basedOn w:val="1"/>
    <w:qFormat/>
    <w:uiPriority w:val="34"/>
    <w:pPr>
      <w:ind w:firstLine="420" w:firstLineChars="200"/>
    </w:pPr>
  </w:style>
  <w:style w:type="character" w:customStyle="1" w:styleId="143">
    <w:name w:val="副标题 字符"/>
    <w:basedOn w:val="51"/>
    <w:qFormat/>
    <w:uiPriority w:val="11"/>
    <w:rPr>
      <w:b/>
      <w:bCs/>
      <w:kern w:val="28"/>
      <w:sz w:val="32"/>
      <w:szCs w:val="32"/>
    </w:rPr>
  </w:style>
  <w:style w:type="character" w:customStyle="1" w:styleId="144">
    <w:name w:val="日期 字符"/>
    <w:basedOn w:val="51"/>
    <w:qFormat/>
    <w:uiPriority w:val="0"/>
    <w:rPr>
      <w:rFonts w:ascii="Times New Roman" w:hAnsi="Times New Roman" w:eastAsia="宋体" w:cs="Times New Roman"/>
      <w:szCs w:val="20"/>
    </w:rPr>
  </w:style>
  <w:style w:type="character" w:customStyle="1" w:styleId="145">
    <w:name w:val="正文文本 3 字符"/>
    <w:basedOn w:val="51"/>
    <w:semiHidden/>
    <w:qFormat/>
    <w:uiPriority w:val="99"/>
    <w:rPr>
      <w:rFonts w:ascii="Times New Roman" w:hAnsi="Times New Roman" w:eastAsia="宋体" w:cs="Times New Roman"/>
      <w:sz w:val="16"/>
      <w:szCs w:val="16"/>
    </w:rPr>
  </w:style>
  <w:style w:type="character" w:customStyle="1" w:styleId="146">
    <w:name w:val="HTML 预设格式 字符"/>
    <w:basedOn w:val="51"/>
    <w:semiHidden/>
    <w:qFormat/>
    <w:uiPriority w:val="99"/>
    <w:rPr>
      <w:rFonts w:ascii="Courier New" w:hAnsi="Courier New" w:eastAsia="宋体" w:cs="Courier New"/>
      <w:sz w:val="20"/>
      <w:szCs w:val="20"/>
    </w:rPr>
  </w:style>
  <w:style w:type="character" w:customStyle="1" w:styleId="147">
    <w:name w:val="正文文本 2 字符"/>
    <w:basedOn w:val="51"/>
    <w:semiHidden/>
    <w:qFormat/>
    <w:uiPriority w:val="99"/>
    <w:rPr>
      <w:rFonts w:ascii="Times New Roman" w:hAnsi="Times New Roman" w:eastAsia="宋体" w:cs="Times New Roman"/>
      <w:szCs w:val="20"/>
    </w:rPr>
  </w:style>
  <w:style w:type="character" w:customStyle="1" w:styleId="148">
    <w:name w:val="批注文字 字符"/>
    <w:basedOn w:val="51"/>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1"/>
    <w:semiHidden/>
    <w:qFormat/>
    <w:uiPriority w:val="99"/>
    <w:rPr>
      <w:rFonts w:ascii="Times New Roman" w:hAnsi="Times New Roman" w:eastAsia="宋体" w:cs="Times New Roman"/>
      <w:szCs w:val="20"/>
    </w:rPr>
  </w:style>
  <w:style w:type="character" w:customStyle="1" w:styleId="151">
    <w:name w:val="正文文本 字符"/>
    <w:basedOn w:val="51"/>
    <w:semiHidden/>
    <w:qFormat/>
    <w:uiPriority w:val="99"/>
    <w:rPr>
      <w:rFonts w:ascii="Times New Roman" w:hAnsi="Times New Roman" w:eastAsia="宋体" w:cs="Times New Roman"/>
      <w:szCs w:val="20"/>
    </w:rPr>
  </w:style>
  <w:style w:type="character" w:customStyle="1" w:styleId="152">
    <w:name w:val="文档结构图 字符"/>
    <w:basedOn w:val="51"/>
    <w:semiHidden/>
    <w:qFormat/>
    <w:uiPriority w:val="99"/>
    <w:rPr>
      <w:rFonts w:ascii="Microsoft YaHei UI" w:hAnsi="Times New Roman" w:eastAsia="Microsoft YaHei UI" w:cs="Times New Roman"/>
      <w:sz w:val="18"/>
      <w:szCs w:val="18"/>
    </w:rPr>
  </w:style>
  <w:style w:type="character" w:customStyle="1" w:styleId="153">
    <w:name w:val="纯文本 字符"/>
    <w:basedOn w:val="51"/>
    <w:semiHidden/>
    <w:qFormat/>
    <w:uiPriority w:val="99"/>
    <w:rPr>
      <w:rFonts w:hAnsi="Courier New" w:cs="Courier New" w:asciiTheme="minorEastAsia"/>
      <w:szCs w:val="20"/>
    </w:rPr>
  </w:style>
  <w:style w:type="character" w:customStyle="1" w:styleId="154">
    <w:name w:val="标题 字符"/>
    <w:basedOn w:val="51"/>
    <w:qFormat/>
    <w:uiPriority w:val="10"/>
    <w:rPr>
      <w:rFonts w:asciiTheme="majorHAnsi" w:hAnsiTheme="majorHAnsi" w:eastAsiaTheme="majorEastAsia" w:cstheme="majorBidi"/>
      <w:b/>
      <w:bCs/>
      <w:sz w:val="32"/>
      <w:szCs w:val="32"/>
    </w:rPr>
  </w:style>
  <w:style w:type="character" w:customStyle="1" w:styleId="155">
    <w:name w:val="批注框文本 字符"/>
    <w:basedOn w:val="51"/>
    <w:semiHidden/>
    <w:qFormat/>
    <w:uiPriority w:val="99"/>
    <w:rPr>
      <w:rFonts w:ascii="Times New Roman" w:hAnsi="Times New Roman" w:eastAsia="宋体" w:cs="Times New Roman"/>
      <w:sz w:val="18"/>
      <w:szCs w:val="18"/>
    </w:rPr>
  </w:style>
  <w:style w:type="character" w:customStyle="1" w:styleId="156">
    <w:name w:val="正文文本缩进 2 字符"/>
    <w:basedOn w:val="51"/>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3">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4">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character" w:customStyle="1" w:styleId="165">
    <w:name w:val="引用 字符"/>
    <w:basedOn w:val="51"/>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7">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9">
    <w:name w:val="TOC 标题1"/>
    <w:basedOn w:val="3"/>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0">
    <w:name w:val="CM27"/>
    <w:basedOn w:val="171"/>
    <w:next w:val="171"/>
    <w:qFormat/>
    <w:uiPriority w:val="0"/>
    <w:pPr>
      <w:spacing w:after="718"/>
    </w:pPr>
    <w:rPr>
      <w:rFonts w:cs="Sim Hei+ 2"/>
      <w:color w:val="auto"/>
    </w:rPr>
  </w:style>
  <w:style w:type="paragraph" w:customStyle="1" w:styleId="1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3">
    <w:name w:val="日期1"/>
    <w:basedOn w:val="1"/>
    <w:next w:val="1"/>
    <w:qFormat/>
    <w:uiPriority w:val="0"/>
    <w:pPr>
      <w:adjustRightInd w:val="0"/>
      <w:textAlignment w:val="baseline"/>
    </w:pPr>
    <w:rPr>
      <w:rFonts w:ascii="宋体"/>
      <w:kern w:val="0"/>
      <w:sz w:val="24"/>
    </w:rPr>
  </w:style>
  <w:style w:type="paragraph" w:customStyle="1" w:styleId="174">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5">
    <w:name w:val="表格文字"/>
    <w:basedOn w:val="1"/>
    <w:qFormat/>
    <w:uiPriority w:val="0"/>
    <w:pPr>
      <w:adjustRightInd w:val="0"/>
      <w:spacing w:line="420" w:lineRule="atLeast"/>
      <w:jc w:val="left"/>
      <w:textAlignment w:val="baseline"/>
    </w:pPr>
    <w:rPr>
      <w:kern w:val="0"/>
    </w:rPr>
  </w:style>
  <w:style w:type="paragraph" w:customStyle="1" w:styleId="176">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8">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9">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0">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1">
    <w:name w:val="Char2 Char Char Char Char Char Char"/>
    <w:basedOn w:val="18"/>
    <w:qFormat/>
    <w:uiPriority w:val="0"/>
    <w:rPr>
      <w:rFonts w:ascii="Tahoma" w:hAnsi="Tahoma"/>
      <w:sz w:val="24"/>
    </w:rPr>
  </w:style>
  <w:style w:type="paragraph" w:customStyle="1" w:styleId="1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4">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5">
    <w:name w:val="表格标题"/>
    <w:basedOn w:val="1"/>
    <w:next w:val="178"/>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7">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8">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9">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0">
    <w:name w:val="二级无"/>
    <w:basedOn w:val="191"/>
    <w:qFormat/>
    <w:uiPriority w:val="0"/>
    <w:pPr>
      <w:spacing w:before="0" w:beforeLines="0" w:after="0" w:afterLines="0"/>
      <w:ind w:left="0"/>
    </w:pPr>
    <w:rPr>
      <w:rFonts w:ascii="宋体" w:eastAsia="宋体"/>
    </w:rPr>
  </w:style>
  <w:style w:type="paragraph" w:customStyle="1" w:styleId="191">
    <w:name w:val="二级条标题"/>
    <w:basedOn w:val="192"/>
    <w:next w:val="1"/>
    <w:qFormat/>
    <w:uiPriority w:val="0"/>
    <w:pPr>
      <w:numPr>
        <w:ilvl w:val="0"/>
        <w:numId w:val="0"/>
      </w:numPr>
      <w:spacing w:before="50" w:after="50"/>
      <w:ind w:left="840"/>
      <w:outlineLvl w:val="3"/>
    </w:pPr>
  </w:style>
  <w:style w:type="paragraph" w:customStyle="1" w:styleId="192">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3">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5">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6">
    <w:name w:val="目录"/>
    <w:basedOn w:val="1"/>
    <w:qFormat/>
    <w:uiPriority w:val="0"/>
    <w:pPr>
      <w:widowControl/>
      <w:jc w:val="center"/>
    </w:pPr>
    <w:rPr>
      <w:rFonts w:ascii="宋体"/>
      <w:b/>
      <w:kern w:val="0"/>
      <w:sz w:val="36"/>
    </w:rPr>
  </w:style>
  <w:style w:type="paragraph" w:customStyle="1" w:styleId="197">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8">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9">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1">
    <w:name w:val="三级条标题"/>
    <w:basedOn w:val="191"/>
    <w:next w:val="1"/>
    <w:qFormat/>
    <w:uiPriority w:val="0"/>
    <w:pPr>
      <w:numPr>
        <w:ilvl w:val="3"/>
      </w:numPr>
      <w:ind w:left="840"/>
      <w:outlineLvl w:val="4"/>
    </w:pPr>
  </w:style>
  <w:style w:type="paragraph" w:customStyle="1" w:styleId="202">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3">
    <w:name w:val="修订1"/>
    <w:qFormat/>
    <w:uiPriority w:val="0"/>
    <w:rPr>
      <w:rFonts w:ascii="Times New Roman" w:hAnsi="Times New Roman" w:eastAsia="宋体" w:cs="Times New Roman"/>
      <w:kern w:val="2"/>
      <w:sz w:val="21"/>
      <w:szCs w:val="24"/>
      <w:lang w:val="en-US" w:eastAsia="zh-CN" w:bidi="ar-SA"/>
    </w:rPr>
  </w:style>
  <w:style w:type="paragraph" w:customStyle="1" w:styleId="204">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5">
    <w:name w:val="Absatz2AL"/>
    <w:basedOn w:val="2"/>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6">
    <w:name w:val="默认段落字体 Para Char Char Char Char Char"/>
    <w:basedOn w:val="1"/>
    <w:qFormat/>
    <w:uiPriority w:val="0"/>
    <w:rPr>
      <w:szCs w:val="21"/>
    </w:rPr>
  </w:style>
  <w:style w:type="paragraph" w:customStyle="1" w:styleId="207">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8">
    <w:name w:val="样式 标题 3 + (中文) 黑体 小四 非加粗 段前: 7.8 磅 段后: 0 磅 行距: 固定值 20 磅"/>
    <w:basedOn w:val="5"/>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0">
    <w:name w:val="Char Char Char Char"/>
    <w:basedOn w:val="1"/>
    <w:qFormat/>
    <w:uiPriority w:val="0"/>
    <w:pPr>
      <w:spacing w:line="240" w:lineRule="atLeast"/>
      <w:ind w:left="420" w:firstLine="420"/>
    </w:pPr>
    <w:rPr>
      <w:kern w:val="0"/>
      <w:szCs w:val="21"/>
    </w:rPr>
  </w:style>
  <w:style w:type="character" w:customStyle="1" w:styleId="211">
    <w:name w:val="明显引用 字符"/>
    <w:basedOn w:val="51"/>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2">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4">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5">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7">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8">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9">
    <w:name w:val="目录文字"/>
    <w:basedOn w:val="1"/>
    <w:qFormat/>
    <w:uiPriority w:val="0"/>
    <w:pPr>
      <w:widowControl/>
      <w:spacing w:line="480" w:lineRule="auto"/>
      <w:jc w:val="left"/>
    </w:pPr>
    <w:rPr>
      <w:rFonts w:ascii="宋体" w:hAnsi="宋体"/>
      <w:kern w:val="0"/>
      <w:sz w:val="24"/>
    </w:rPr>
  </w:style>
  <w:style w:type="paragraph" w:customStyle="1" w:styleId="220">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21">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2">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4">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5">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6">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7">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9">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1">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2">
    <w:name w:val="Char12"/>
    <w:basedOn w:val="1"/>
    <w:qFormat/>
    <w:uiPriority w:val="0"/>
  </w:style>
  <w:style w:type="paragraph" w:customStyle="1" w:styleId="233">
    <w:name w:val="表格"/>
    <w:basedOn w:val="1"/>
    <w:qFormat/>
    <w:uiPriority w:val="0"/>
    <w:pPr>
      <w:tabs>
        <w:tab w:val="left" w:pos="1200"/>
      </w:tabs>
      <w:spacing w:line="500" w:lineRule="exact"/>
      <w:jc w:val="center"/>
    </w:pPr>
    <w:rPr>
      <w:rFonts w:ascii="宋体"/>
      <w:sz w:val="24"/>
      <w:szCs w:val="18"/>
    </w:rPr>
  </w:style>
  <w:style w:type="paragraph" w:customStyle="1" w:styleId="234">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5">
    <w:name w:val="1"/>
    <w:basedOn w:val="1"/>
    <w:next w:val="24"/>
    <w:qFormat/>
    <w:uiPriority w:val="0"/>
    <w:pPr>
      <w:adjustRightInd w:val="0"/>
      <w:ind w:left="420" w:right="33"/>
      <w:jc w:val="left"/>
      <w:textAlignment w:val="baseline"/>
    </w:pPr>
    <w:rPr>
      <w:kern w:val="0"/>
      <w:sz w:val="24"/>
    </w:rPr>
  </w:style>
  <w:style w:type="paragraph" w:customStyle="1" w:styleId="23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7">
    <w:name w:val="No Spacing"/>
    <w:link w:val="284"/>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9">
    <w:name w:val="Char Char Char Char Char Char Char Char Char Char Char Char"/>
    <w:basedOn w:val="1"/>
    <w:qFormat/>
    <w:uiPriority w:val="0"/>
    <w:pPr>
      <w:spacing w:line="240" w:lineRule="atLeast"/>
      <w:ind w:left="420" w:firstLine="420"/>
    </w:pPr>
    <w:rPr>
      <w:kern w:val="0"/>
      <w:szCs w:val="21"/>
    </w:rPr>
  </w:style>
  <w:style w:type="paragraph" w:customStyle="1" w:styleId="24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1">
    <w:name w:val="_Style 27"/>
    <w:basedOn w:val="1"/>
    <w:next w:val="24"/>
    <w:qFormat/>
    <w:uiPriority w:val="0"/>
    <w:pPr>
      <w:adjustRightInd w:val="0"/>
      <w:ind w:left="420" w:right="33"/>
      <w:jc w:val="left"/>
      <w:textAlignment w:val="baseline"/>
    </w:pPr>
    <w:rPr>
      <w:kern w:val="0"/>
      <w:sz w:val="24"/>
    </w:rPr>
  </w:style>
  <w:style w:type="paragraph" w:customStyle="1" w:styleId="242">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3">
    <w:name w:val="Char Char Char Char1"/>
    <w:basedOn w:val="1"/>
    <w:qFormat/>
    <w:uiPriority w:val="0"/>
    <w:pPr>
      <w:spacing w:line="240" w:lineRule="atLeast"/>
      <w:ind w:left="420" w:firstLine="420"/>
    </w:pPr>
    <w:rPr>
      <w:kern w:val="0"/>
      <w:szCs w:val="21"/>
    </w:rPr>
  </w:style>
  <w:style w:type="paragraph" w:customStyle="1" w:styleId="24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5">
    <w:name w:val="CM8"/>
    <w:basedOn w:val="171"/>
    <w:next w:val="171"/>
    <w:qFormat/>
    <w:uiPriority w:val="0"/>
    <w:pPr>
      <w:spacing w:line="500" w:lineRule="atLeast"/>
    </w:pPr>
    <w:rPr>
      <w:rFonts w:cs="Sim Hei+ 2"/>
      <w:color w:val="auto"/>
    </w:rPr>
  </w:style>
  <w:style w:type="paragraph" w:customStyle="1" w:styleId="24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7">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8">
    <w:name w:val="列表段落1"/>
    <w:basedOn w:val="1"/>
    <w:qFormat/>
    <w:uiPriority w:val="0"/>
    <w:pPr>
      <w:ind w:firstLine="420" w:firstLineChars="200"/>
    </w:pPr>
    <w:rPr>
      <w:rFonts w:ascii="宋体" w:hAnsi="宋体"/>
      <w:szCs w:val="24"/>
    </w:rPr>
  </w:style>
  <w:style w:type="paragraph" w:customStyle="1" w:styleId="249">
    <w:name w:val="Char Char Char"/>
    <w:basedOn w:val="1"/>
    <w:qFormat/>
    <w:uiPriority w:val="0"/>
    <w:rPr>
      <w:rFonts w:ascii="Tahoma" w:hAnsi="Tahoma"/>
      <w:sz w:val="24"/>
    </w:rPr>
  </w:style>
  <w:style w:type="paragraph" w:customStyle="1" w:styleId="250">
    <w:name w:val="Char Char Char Char Char Char Char Char Char Char Char Char1"/>
    <w:basedOn w:val="1"/>
    <w:qFormat/>
    <w:uiPriority w:val="0"/>
    <w:pPr>
      <w:spacing w:line="240" w:lineRule="atLeast"/>
      <w:ind w:left="420" w:firstLine="420"/>
    </w:pPr>
    <w:rPr>
      <w:kern w:val="0"/>
      <w:szCs w:val="21"/>
    </w:rPr>
  </w:style>
  <w:style w:type="paragraph" w:customStyle="1" w:styleId="251">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2">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3">
    <w:name w:val="样式1"/>
    <w:basedOn w:val="19"/>
    <w:qFormat/>
    <w:uiPriority w:val="0"/>
    <w:pPr>
      <w:spacing w:line="360" w:lineRule="auto"/>
    </w:pPr>
    <w:rPr>
      <w:rFonts w:cs="Times New Roman"/>
      <w:szCs w:val="20"/>
    </w:rPr>
  </w:style>
  <w:style w:type="paragraph" w:customStyle="1" w:styleId="254">
    <w:name w:val="五级条标题"/>
    <w:basedOn w:val="255"/>
    <w:next w:val="1"/>
    <w:qFormat/>
    <w:uiPriority w:val="0"/>
    <w:pPr>
      <w:numPr>
        <w:ilvl w:val="5"/>
      </w:numPr>
      <w:ind w:left="840"/>
      <w:outlineLvl w:val="6"/>
    </w:pPr>
  </w:style>
  <w:style w:type="paragraph" w:customStyle="1" w:styleId="255">
    <w:name w:val="四级条标题"/>
    <w:basedOn w:val="201"/>
    <w:next w:val="1"/>
    <w:qFormat/>
    <w:uiPriority w:val="0"/>
    <w:pPr>
      <w:numPr>
        <w:ilvl w:val="4"/>
      </w:numPr>
      <w:ind w:left="840"/>
      <w:outlineLvl w:val="5"/>
    </w:pPr>
  </w:style>
  <w:style w:type="paragraph" w:customStyle="1" w:styleId="25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7">
    <w:name w:val="日期11"/>
    <w:basedOn w:val="1"/>
    <w:next w:val="1"/>
    <w:qFormat/>
    <w:uiPriority w:val="0"/>
    <w:pPr>
      <w:adjustRightInd w:val="0"/>
      <w:textAlignment w:val="baseline"/>
    </w:pPr>
    <w:rPr>
      <w:rFonts w:ascii="宋体"/>
      <w:kern w:val="0"/>
      <w:sz w:val="24"/>
    </w:rPr>
  </w:style>
  <w:style w:type="paragraph" w:customStyle="1" w:styleId="258">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9">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1">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62">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3">
    <w:name w:val="CM24"/>
    <w:basedOn w:val="171"/>
    <w:next w:val="171"/>
    <w:qFormat/>
    <w:uiPriority w:val="0"/>
    <w:pPr>
      <w:spacing w:after="495"/>
    </w:pPr>
    <w:rPr>
      <w:rFonts w:cs="Sim Hei+ 2"/>
      <w:color w:val="auto"/>
    </w:rPr>
  </w:style>
  <w:style w:type="paragraph" w:customStyle="1" w:styleId="264">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5">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6">
    <w:name w:val="三级无"/>
    <w:basedOn w:val="201"/>
    <w:qFormat/>
    <w:uiPriority w:val="0"/>
    <w:pPr>
      <w:numPr>
        <w:numId w:val="8"/>
      </w:numPr>
      <w:tabs>
        <w:tab w:val="left" w:pos="432"/>
        <w:tab w:val="left" w:pos="864"/>
      </w:tabs>
      <w:spacing w:before="0" w:beforeLines="0" w:after="0" w:afterLines="0"/>
    </w:pPr>
    <w:rPr>
      <w:rFonts w:ascii="宋体" w:eastAsia="宋体"/>
    </w:rPr>
  </w:style>
  <w:style w:type="paragraph" w:customStyle="1" w:styleId="2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9">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0">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1">
    <w:name w:val="抬头"/>
    <w:basedOn w:val="1"/>
    <w:qFormat/>
    <w:uiPriority w:val="0"/>
    <w:pPr>
      <w:spacing w:beforeLines="50" w:line="360" w:lineRule="auto"/>
    </w:pPr>
    <w:rPr>
      <w:rFonts w:ascii="宋体"/>
      <w:sz w:val="24"/>
      <w:szCs w:val="24"/>
    </w:rPr>
  </w:style>
  <w:style w:type="character" w:customStyle="1" w:styleId="272">
    <w:name w:val="纯文本 Char1"/>
    <w:qFormat/>
    <w:uiPriority w:val="0"/>
    <w:rPr>
      <w:rFonts w:ascii="宋体" w:hAnsi="Times New Roman"/>
      <w:kern w:val="2"/>
      <w:sz w:val="21"/>
    </w:rPr>
  </w:style>
  <w:style w:type="character" w:customStyle="1" w:styleId="273">
    <w:name w:val="正文文本首行缩进 2 字符"/>
    <w:basedOn w:val="150"/>
    <w:semiHidden/>
    <w:qFormat/>
    <w:uiPriority w:val="99"/>
    <w:rPr>
      <w:rFonts w:ascii="Times New Roman" w:hAnsi="Times New Roman" w:eastAsia="宋体" w:cs="Times New Roman"/>
      <w:szCs w:val="20"/>
    </w:rPr>
  </w:style>
  <w:style w:type="paragraph" w:customStyle="1" w:styleId="274">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wj样式 + 首行缩进:  2 字符"/>
    <w:basedOn w:val="1"/>
    <w:qFormat/>
    <w:uiPriority w:val="0"/>
    <w:pPr>
      <w:spacing w:line="360" w:lineRule="auto"/>
      <w:ind w:firstLine="536" w:firstLineChars="200"/>
    </w:pPr>
    <w:rPr>
      <w:rFonts w:cs="宋体"/>
      <w:spacing w:val="14"/>
      <w:sz w:val="24"/>
    </w:rPr>
  </w:style>
  <w:style w:type="character" w:customStyle="1" w:styleId="276">
    <w:name w:val="Hyperlink.0"/>
    <w:qFormat/>
    <w:uiPriority w:val="0"/>
    <w:rPr>
      <w:rFonts w:ascii="宋体" w:hAnsi="宋体" w:eastAsia="宋体" w:cs="宋体"/>
      <w:sz w:val="24"/>
      <w:szCs w:val="24"/>
      <w:lang w:val="en-US"/>
    </w:rPr>
  </w:style>
  <w:style w:type="character" w:customStyle="1" w:styleId="277">
    <w:name w:val="Hyperlink.1"/>
    <w:qFormat/>
    <w:uiPriority w:val="0"/>
    <w:rPr>
      <w:rFonts w:ascii="宋体" w:hAnsi="宋体" w:eastAsia="宋体" w:cs="宋体"/>
      <w:sz w:val="24"/>
      <w:szCs w:val="24"/>
      <w:lang w:val="zh-TW" w:eastAsia="zh-TW"/>
    </w:rPr>
  </w:style>
  <w:style w:type="character" w:customStyle="1" w:styleId="278">
    <w:name w:val="无"/>
    <w:qFormat/>
    <w:uiPriority w:val="0"/>
  </w:style>
  <w:style w:type="character" w:customStyle="1" w:styleId="279">
    <w:name w:val="font11"/>
    <w:qFormat/>
    <w:uiPriority w:val="0"/>
    <w:rPr>
      <w:rFonts w:hint="eastAsia" w:ascii="宋体" w:hAnsi="宋体" w:eastAsia="宋体" w:cs="宋体"/>
      <w:color w:val="000000"/>
      <w:sz w:val="22"/>
      <w:szCs w:val="22"/>
      <w:u w:val="none"/>
    </w:rPr>
  </w:style>
  <w:style w:type="character" w:customStyle="1" w:styleId="280">
    <w:name w:val="font01"/>
    <w:qFormat/>
    <w:uiPriority w:val="0"/>
    <w:rPr>
      <w:rFonts w:ascii="Tahoma" w:hAnsi="Tahoma" w:eastAsia="Tahoma" w:cs="Tahoma"/>
      <w:color w:val="000000"/>
      <w:sz w:val="22"/>
      <w:szCs w:val="22"/>
      <w:u w:val="none"/>
    </w:rPr>
  </w:style>
  <w:style w:type="paragraph" w:customStyle="1" w:styleId="281">
    <w:name w:val="Plain Text2"/>
    <w:basedOn w:val="1"/>
    <w:qFormat/>
    <w:uiPriority w:val="0"/>
    <w:pPr>
      <w:adjustRightInd w:val="0"/>
      <w:spacing w:line="312" w:lineRule="atLeast"/>
      <w:textAlignment w:val="baseline"/>
    </w:pPr>
    <w:rPr>
      <w:rFonts w:ascii="宋体" w:hAnsi="Courier New"/>
      <w:sz w:val="20"/>
    </w:rPr>
  </w:style>
  <w:style w:type="character" w:customStyle="1" w:styleId="282">
    <w:name w:val="font21"/>
    <w:qFormat/>
    <w:uiPriority w:val="0"/>
    <w:rPr>
      <w:rFonts w:hint="eastAsia" w:ascii="宋体" w:hAnsi="宋体" w:eastAsia="宋体" w:cs="宋体"/>
      <w:b/>
      <w:color w:val="000000"/>
      <w:sz w:val="20"/>
      <w:szCs w:val="20"/>
      <w:u w:val="none"/>
    </w:rPr>
  </w:style>
  <w:style w:type="character" w:customStyle="1" w:styleId="283">
    <w:name w:val="font31"/>
    <w:qFormat/>
    <w:uiPriority w:val="0"/>
    <w:rPr>
      <w:rFonts w:hint="default" w:ascii="Times New Roman" w:hAnsi="Times New Roman" w:cs="Times New Roman"/>
      <w:b/>
      <w:color w:val="000000"/>
      <w:sz w:val="20"/>
      <w:szCs w:val="20"/>
      <w:u w:val="none"/>
    </w:rPr>
  </w:style>
  <w:style w:type="character" w:customStyle="1" w:styleId="284">
    <w:name w:val="无间隔 Char"/>
    <w:link w:val="237"/>
    <w:qFormat/>
    <w:locked/>
    <w:uiPriority w:val="1"/>
    <w:rPr>
      <w:rFonts w:ascii="Calibri" w:hAnsi="Calibri"/>
      <w:kern w:val="2"/>
      <w:sz w:val="21"/>
      <w:szCs w:val="22"/>
    </w:rPr>
  </w:style>
  <w:style w:type="paragraph" w:customStyle="1" w:styleId="285">
    <w:name w:val="正文（标准）"/>
    <w:basedOn w:val="1"/>
    <w:next w:val="1"/>
    <w:semiHidden/>
    <w:qFormat/>
    <w:uiPriority w:val="0"/>
    <w:pPr>
      <w:spacing w:line="560" w:lineRule="exact"/>
      <w:ind w:firstLine="525"/>
    </w:pPr>
    <w:rPr>
      <w:rFonts w:ascii="宋体" w:hAnsi="宋体" w:eastAsia="仿宋_GB2312" w:cs="宋体"/>
      <w:sz w:val="28"/>
      <w:szCs w:val="28"/>
    </w:rPr>
  </w:style>
  <w:style w:type="table" w:customStyle="1" w:styleId="286">
    <w:name w:val="Table Normal"/>
    <w:semiHidden/>
    <w:unhideWhenUsed/>
    <w:qFormat/>
    <w:uiPriority w:val="0"/>
    <w:tblPr>
      <w:tblCellMar>
        <w:top w:w="0" w:type="dxa"/>
        <w:left w:w="0" w:type="dxa"/>
        <w:bottom w:w="0" w:type="dxa"/>
        <w:right w:w="0" w:type="dxa"/>
      </w:tblCellMar>
    </w:tblPr>
  </w:style>
  <w:style w:type="paragraph" w:customStyle="1" w:styleId="287">
    <w:name w:val="Table Text"/>
    <w:basedOn w:val="1"/>
    <w:semiHidden/>
    <w:qFormat/>
    <w:uiPriority w:val="0"/>
    <w:rPr>
      <w:rFonts w:ascii="Arial" w:hAnsi="Arial" w:eastAsia="Arial" w:cs="Arial"/>
      <w:sz w:val="21"/>
      <w:szCs w:val="21"/>
      <w:lang w:val="en-US" w:eastAsia="en-US" w:bidi="ar-SA"/>
    </w:rPr>
  </w:style>
  <w:style w:type="character" w:customStyle="1" w:styleId="288">
    <w:name w:val="10"/>
    <w:unhideWhenUsed/>
    <w:qFormat/>
    <w:uiPriority w:val="0"/>
    <w:rPr>
      <w:rFonts w:hint="default" w:ascii="Times New Roman" w:hAnsi="Wingdings" w:eastAsia="宋体"/>
      <w:sz w:val="24"/>
      <w:szCs w:val="24"/>
      <w:lang w:eastAsia="en-US"/>
    </w:rPr>
  </w:style>
  <w:style w:type="paragraph" w:customStyle="1" w:styleId="289">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无间隔2"/>
    <w:qFormat/>
    <w:uiPriority w:val="0"/>
    <w:pPr>
      <w:adjustRightInd w:val="0"/>
      <w:snapToGrid w:val="0"/>
    </w:pPr>
    <w:rPr>
      <w:rFonts w:ascii="Times New Roman" w:hAnsi="Times New Roman" w:eastAsia="宋体" w:cs="Times New Roman"/>
      <w:sz w:val="22"/>
      <w:szCs w:val="22"/>
      <w:lang w:val="en-US" w:eastAsia="zh-CN" w:bidi="ar-SA"/>
    </w:rPr>
  </w:style>
  <w:style w:type="paragraph" w:customStyle="1" w:styleId="291">
    <w:name w:val="Table Paragraph"/>
    <w:basedOn w:val="1"/>
    <w:qFormat/>
    <w:uiPriority w:val="1"/>
    <w:pPr>
      <w:widowControl w:val="0"/>
    </w:pPr>
    <w:rPr>
      <w:rFonts w:ascii="宋体" w:hAnsi="宋体" w:cs="宋体"/>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95</Pages>
  <Words>4346</Words>
  <Characters>4762</Characters>
  <Lines>155</Lines>
  <Paragraphs>43</Paragraphs>
  <TotalTime>13</TotalTime>
  <ScaleCrop>false</ScaleCrop>
  <LinksUpToDate>false</LinksUpToDate>
  <CharactersWithSpaces>5490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2023-08-30T07:09:00Z</dcterms:created>
  <dc:creator>马 俊松</dc:creator>
  <cp:lastModifiedBy>企业用户_1203882377</cp:lastModifiedBy>
  <cp:lastPrinted>2025-07-26T08:40:00Z</cp:lastPrinted>
  <dcterms:modified xsi:type="dcterms:W3CDTF">2026-11-01T17:10:45Z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B128B7CEF8BFEE8A8524E46A3751C7D1_43</vt:lpwstr>
  </property>
  <property fmtid="{D5CDD505-2E9C-101B-9397-08002B2CF9AE}" pid="4" name="KSOTemplateDocerSaveRecord">
    <vt:lpwstr>eyJoZGlkIjoiMTRhYTAzOTEyMTU5Y2E4YzgyMDQzMDdkNzY0OWNiY2IiLCJ1c2VySWQiOiIxNzEwMjgxNDc3In0=</vt:lpwstr>
  </property>
</Properties>
</file>