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5A252E">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0" w:firstLineChars="0"/>
        <w:jc w:val="center"/>
        <w:textAlignment w:val="auto"/>
        <w:outlineLvl w:val="9"/>
        <w:rPr>
          <w:rFonts w:hint="eastAsia" w:ascii="宋体" w:hAnsi="宋体" w:eastAsia="宋体" w:cs="宋体"/>
          <w:b/>
          <w:bCs/>
          <w:color w:val="auto"/>
          <w:sz w:val="44"/>
          <w:szCs w:val="44"/>
          <w:highlight w:val="none"/>
          <w:lang w:val="en-US" w:eastAsia="zh-CN"/>
        </w:rPr>
      </w:pPr>
      <w:r>
        <w:rPr>
          <w:rFonts w:hint="eastAsia" w:ascii="宋体" w:hAnsi="宋体" w:eastAsia="宋体" w:cs="宋体"/>
          <w:b/>
          <w:bCs/>
          <w:i w:val="0"/>
          <w:caps w:val="0"/>
          <w:color w:val="auto"/>
          <w:spacing w:val="0"/>
          <w:kern w:val="0"/>
          <w:sz w:val="44"/>
          <w:szCs w:val="44"/>
          <w:highlight w:val="none"/>
          <w:lang w:val="en-US" w:eastAsia="zh-CN" w:bidi="ar-SA"/>
        </w:rPr>
        <w:t>克州机关事务管理局梧桐苑小区劳务服务及其他劳务服务采购项目</w:t>
      </w:r>
    </w:p>
    <w:p w14:paraId="41089DF3">
      <w:pPr>
        <w:widowControl/>
        <w:tabs>
          <w:tab w:val="left" w:pos="6013"/>
        </w:tabs>
        <w:autoSpaceDE w:val="0"/>
        <w:autoSpaceDN w:val="0"/>
        <w:ind w:right="-26"/>
        <w:jc w:val="center"/>
        <w:textAlignment w:val="bottom"/>
        <w:rPr>
          <w:rFonts w:hint="eastAsia" w:ascii="宋体" w:hAnsi="宋体" w:cs="宋体"/>
          <w:b/>
          <w:bCs/>
          <w:color w:val="auto"/>
          <w:kern w:val="0"/>
          <w:sz w:val="32"/>
          <w:szCs w:val="32"/>
          <w:highlight w:val="none"/>
          <w:shd w:val="clear" w:color="auto" w:fill="FFFFFF"/>
        </w:rPr>
      </w:pPr>
    </w:p>
    <w:p w14:paraId="75E5311C">
      <w:pPr>
        <w:widowControl/>
        <w:tabs>
          <w:tab w:val="left" w:pos="6013"/>
        </w:tabs>
        <w:autoSpaceDE w:val="0"/>
        <w:autoSpaceDN w:val="0"/>
        <w:ind w:right="-26"/>
        <w:jc w:val="center"/>
        <w:textAlignment w:val="bottom"/>
        <w:rPr>
          <w:rFonts w:hint="default" w:ascii="宋体" w:hAnsi="宋体" w:eastAsia="宋体" w:cs="宋体"/>
          <w:b/>
          <w:bCs/>
          <w:color w:val="auto"/>
          <w:kern w:val="0"/>
          <w:sz w:val="32"/>
          <w:szCs w:val="32"/>
          <w:highlight w:val="none"/>
          <w:shd w:val="clear" w:color="auto" w:fill="FFFFFF"/>
          <w:lang w:val="en-US" w:eastAsia="zh-CN"/>
        </w:rPr>
      </w:pPr>
      <w:r>
        <w:rPr>
          <w:rFonts w:hint="eastAsia" w:ascii="仿宋" w:hAnsi="仿宋" w:eastAsia="仿宋" w:cs="仿宋"/>
          <w:b/>
          <w:bCs/>
          <w:color w:val="auto"/>
          <w:kern w:val="0"/>
          <w:sz w:val="32"/>
          <w:szCs w:val="32"/>
          <w:highlight w:val="none"/>
          <w:shd w:val="clear" w:color="auto" w:fill="FFFFFF"/>
        </w:rPr>
        <w:t>项目编号：</w:t>
      </w:r>
      <w:r>
        <w:rPr>
          <w:rFonts w:hint="eastAsia" w:ascii="仿宋" w:hAnsi="仿宋" w:eastAsia="仿宋" w:cs="仿宋"/>
          <w:b/>
          <w:bCs/>
          <w:color w:val="auto"/>
          <w:kern w:val="0"/>
          <w:sz w:val="32"/>
          <w:szCs w:val="32"/>
          <w:highlight w:val="none"/>
          <w:shd w:val="clear" w:color="auto" w:fill="FFFFFF"/>
          <w:lang w:eastAsia="zh-CN"/>
        </w:rPr>
        <w:t>KZZB-2026</w:t>
      </w:r>
      <w:r>
        <w:rPr>
          <w:rFonts w:hint="eastAsia" w:ascii="仿宋" w:hAnsi="仿宋" w:eastAsia="仿宋" w:cs="仿宋"/>
          <w:b/>
          <w:bCs/>
          <w:color w:val="auto"/>
          <w:kern w:val="0"/>
          <w:sz w:val="32"/>
          <w:szCs w:val="32"/>
          <w:highlight w:val="none"/>
          <w:shd w:val="clear" w:color="auto" w:fill="FFFFFF"/>
          <w:lang w:val="en-US" w:eastAsia="zh-CN"/>
        </w:rPr>
        <w:t>137</w:t>
      </w:r>
    </w:p>
    <w:p w14:paraId="29D6A4D0">
      <w:pPr>
        <w:widowControl/>
        <w:tabs>
          <w:tab w:val="left" w:pos="6013"/>
        </w:tabs>
        <w:autoSpaceDE w:val="0"/>
        <w:autoSpaceDN w:val="0"/>
        <w:ind w:right="-26"/>
        <w:jc w:val="center"/>
        <w:textAlignment w:val="bottom"/>
        <w:rPr>
          <w:rFonts w:hint="default" w:ascii="宋体" w:hAnsi="宋体"/>
          <w:b/>
          <w:color w:val="FF0000"/>
          <w:sz w:val="96"/>
          <w:szCs w:val="96"/>
          <w:highlight w:val="none"/>
          <w:lang w:val="en-US" w:eastAsia="zh-CN"/>
        </w:rPr>
      </w:pPr>
      <w:r>
        <w:rPr>
          <w:rFonts w:hint="eastAsia" w:ascii="宋体" w:hAnsi="宋体" w:cs="宋体"/>
          <w:b/>
          <w:bCs/>
          <w:color w:val="FF0000"/>
          <w:kern w:val="0"/>
          <w:sz w:val="36"/>
          <w:szCs w:val="36"/>
          <w:highlight w:val="none"/>
          <w:shd w:val="clear" w:color="auto" w:fill="FFFFFF"/>
          <w:lang w:val="en-US" w:eastAsia="zh-CN"/>
        </w:rPr>
        <w:t xml:space="preserve"> </w:t>
      </w:r>
    </w:p>
    <w:p w14:paraId="3C54FECD">
      <w:pPr>
        <w:widowControl/>
        <w:tabs>
          <w:tab w:val="left" w:pos="6013"/>
        </w:tabs>
        <w:autoSpaceDE w:val="0"/>
        <w:autoSpaceDN w:val="0"/>
        <w:ind w:right="-26"/>
        <w:jc w:val="center"/>
        <w:textAlignment w:val="bottom"/>
        <w:rPr>
          <w:rFonts w:hint="eastAsia" w:ascii="宋体" w:hAnsi="宋体"/>
          <w:b/>
          <w:color w:val="auto"/>
          <w:sz w:val="72"/>
          <w:szCs w:val="72"/>
          <w:highlight w:val="none"/>
          <w:lang w:eastAsia="zh-CN"/>
        </w:rPr>
      </w:pPr>
      <w:r>
        <w:rPr>
          <w:rFonts w:hint="eastAsia" w:ascii="宋体" w:hAnsi="宋体"/>
          <w:b/>
          <w:color w:val="auto"/>
          <w:sz w:val="72"/>
          <w:szCs w:val="72"/>
          <w:highlight w:val="none"/>
          <w:lang w:eastAsia="zh-CN"/>
        </w:rPr>
        <w:t>磋</w:t>
      </w:r>
    </w:p>
    <w:p w14:paraId="338A35B0">
      <w:pPr>
        <w:widowControl/>
        <w:tabs>
          <w:tab w:val="left" w:pos="6013"/>
        </w:tabs>
        <w:autoSpaceDE w:val="0"/>
        <w:autoSpaceDN w:val="0"/>
        <w:ind w:right="-26"/>
        <w:jc w:val="center"/>
        <w:textAlignment w:val="bottom"/>
        <w:rPr>
          <w:rFonts w:hint="eastAsia" w:ascii="宋体" w:hAnsi="宋体" w:eastAsia="宋体"/>
          <w:b/>
          <w:color w:val="auto"/>
          <w:sz w:val="72"/>
          <w:szCs w:val="72"/>
          <w:highlight w:val="none"/>
          <w:lang w:eastAsia="zh-CN"/>
        </w:rPr>
      </w:pPr>
      <w:r>
        <w:rPr>
          <w:rFonts w:hint="eastAsia" w:ascii="宋体" w:hAnsi="宋体"/>
          <w:b/>
          <w:color w:val="auto"/>
          <w:sz w:val="72"/>
          <w:szCs w:val="72"/>
          <w:highlight w:val="none"/>
          <w:lang w:eastAsia="zh-CN"/>
        </w:rPr>
        <w:t>商</w:t>
      </w:r>
    </w:p>
    <w:p w14:paraId="17278FA4">
      <w:pPr>
        <w:widowControl/>
        <w:tabs>
          <w:tab w:val="left" w:pos="4502"/>
          <w:tab w:val="center" w:pos="4832"/>
        </w:tabs>
        <w:autoSpaceDE w:val="0"/>
        <w:autoSpaceDN w:val="0"/>
        <w:ind w:right="-26"/>
        <w:jc w:val="center"/>
        <w:textAlignment w:val="bottom"/>
        <w:rPr>
          <w:rFonts w:hint="eastAsia" w:ascii="宋体" w:hAnsi="宋体"/>
          <w:b/>
          <w:color w:val="auto"/>
          <w:sz w:val="72"/>
          <w:szCs w:val="72"/>
          <w:highlight w:val="none"/>
        </w:rPr>
      </w:pPr>
      <w:r>
        <w:rPr>
          <w:rFonts w:hint="eastAsia" w:ascii="宋体" w:hAnsi="宋体"/>
          <w:b/>
          <w:color w:val="auto"/>
          <w:sz w:val="72"/>
          <w:szCs w:val="72"/>
          <w:highlight w:val="none"/>
        </w:rPr>
        <w:t>文</w:t>
      </w:r>
    </w:p>
    <w:p w14:paraId="3B13F7BD">
      <w:pPr>
        <w:widowControl/>
        <w:autoSpaceDE w:val="0"/>
        <w:autoSpaceDN w:val="0"/>
        <w:ind w:right="-26"/>
        <w:jc w:val="center"/>
        <w:textAlignment w:val="bottom"/>
        <w:rPr>
          <w:rFonts w:hint="eastAsia" w:ascii="宋体" w:hAnsi="宋体"/>
          <w:b/>
          <w:color w:val="auto"/>
          <w:sz w:val="52"/>
          <w:szCs w:val="52"/>
          <w:highlight w:val="none"/>
        </w:rPr>
      </w:pPr>
      <w:r>
        <w:rPr>
          <w:rFonts w:hint="eastAsia" w:ascii="宋体" w:hAnsi="宋体"/>
          <w:b/>
          <w:color w:val="auto"/>
          <w:sz w:val="72"/>
          <w:szCs w:val="72"/>
          <w:highlight w:val="none"/>
        </w:rPr>
        <w:t>件</w:t>
      </w:r>
    </w:p>
    <w:p w14:paraId="5A0BA59D">
      <w:pPr>
        <w:pStyle w:val="34"/>
        <w:rPr>
          <w:rFonts w:hint="eastAsia"/>
          <w:color w:val="auto"/>
          <w:highlight w:val="none"/>
        </w:rPr>
      </w:pPr>
    </w:p>
    <w:p w14:paraId="06EB3AE3">
      <w:pPr>
        <w:pStyle w:val="34"/>
        <w:rPr>
          <w:rFonts w:hint="eastAsia"/>
          <w:color w:val="auto"/>
          <w:highlight w:val="none"/>
        </w:rPr>
      </w:pPr>
    </w:p>
    <w:p w14:paraId="1344B3D4">
      <w:pPr>
        <w:keepNext w:val="0"/>
        <w:keepLines w:val="0"/>
        <w:pageBreakBefore w:val="0"/>
        <w:widowControl/>
        <w:kinsoku/>
        <w:wordWrap/>
        <w:overflowPunct/>
        <w:topLinePunct w:val="0"/>
        <w:autoSpaceDE w:val="0"/>
        <w:autoSpaceDN w:val="0"/>
        <w:bidi w:val="0"/>
        <w:adjustRightInd/>
        <w:snapToGrid/>
        <w:spacing w:line="740" w:lineRule="exact"/>
        <w:ind w:right="-26" w:firstLine="627" w:firstLineChars="196"/>
        <w:textAlignment w:val="bottom"/>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lang w:eastAsia="zh-CN"/>
        </w:rPr>
        <w:t>采购单位</w:t>
      </w:r>
      <w:r>
        <w:rPr>
          <w:rFonts w:hint="eastAsia" w:ascii="仿宋" w:hAnsi="仿宋" w:eastAsia="仿宋" w:cs="仿宋"/>
          <w:b/>
          <w:color w:val="auto"/>
          <w:sz w:val="32"/>
          <w:szCs w:val="32"/>
          <w:highlight w:val="none"/>
        </w:rPr>
        <w:t>：</w:t>
      </w:r>
      <w:r>
        <w:rPr>
          <w:rFonts w:hint="eastAsia" w:ascii="仿宋" w:hAnsi="仿宋" w:eastAsia="仿宋" w:cs="仿宋"/>
          <w:b/>
          <w:color w:val="auto"/>
          <w:sz w:val="32"/>
          <w:szCs w:val="32"/>
          <w:highlight w:val="none"/>
          <w:lang w:val="en-US" w:eastAsia="zh-CN"/>
        </w:rPr>
        <w:t>克孜勒苏柯尔克孜自治州机关事务管理局</w:t>
      </w:r>
    </w:p>
    <w:p w14:paraId="5F749189">
      <w:pPr>
        <w:keepNext w:val="0"/>
        <w:keepLines w:val="0"/>
        <w:pageBreakBefore w:val="0"/>
        <w:widowControl/>
        <w:kinsoku/>
        <w:wordWrap/>
        <w:overflowPunct/>
        <w:topLinePunct w:val="0"/>
        <w:autoSpaceDE w:val="0"/>
        <w:autoSpaceDN w:val="0"/>
        <w:bidi w:val="0"/>
        <w:adjustRightInd/>
        <w:snapToGrid/>
        <w:spacing w:line="740" w:lineRule="exact"/>
        <w:ind w:right="-26" w:firstLine="627" w:firstLineChars="196"/>
        <w:textAlignment w:val="bottom"/>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eastAsia="zh-CN"/>
        </w:rPr>
        <w:t>联</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lang w:eastAsia="zh-CN"/>
        </w:rPr>
        <w:t>系</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lang w:eastAsia="zh-CN"/>
        </w:rPr>
        <w:t>人：</w:t>
      </w:r>
      <w:r>
        <w:rPr>
          <w:rFonts w:hint="eastAsia" w:ascii="仿宋" w:hAnsi="仿宋" w:eastAsia="仿宋" w:cs="仿宋"/>
          <w:b/>
          <w:color w:val="auto"/>
          <w:sz w:val="32"/>
          <w:szCs w:val="32"/>
          <w:highlight w:val="none"/>
          <w:lang w:val="en-US" w:eastAsia="zh-CN"/>
        </w:rPr>
        <w:t xml:space="preserve">依先生 </w:t>
      </w:r>
    </w:p>
    <w:p w14:paraId="4D232BAE">
      <w:pPr>
        <w:keepNext w:val="0"/>
        <w:keepLines w:val="0"/>
        <w:pageBreakBefore w:val="0"/>
        <w:widowControl/>
        <w:kinsoku/>
        <w:wordWrap/>
        <w:overflowPunct/>
        <w:topLinePunct w:val="0"/>
        <w:autoSpaceDE w:val="0"/>
        <w:autoSpaceDN w:val="0"/>
        <w:bidi w:val="0"/>
        <w:adjustRightInd/>
        <w:snapToGrid/>
        <w:spacing w:line="740" w:lineRule="exact"/>
        <w:ind w:right="-26" w:firstLine="627" w:firstLineChars="196"/>
        <w:textAlignment w:val="bottom"/>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联系电话：19999781002</w:t>
      </w:r>
    </w:p>
    <w:p w14:paraId="29CA1540">
      <w:pPr>
        <w:keepNext w:val="0"/>
        <w:keepLines w:val="0"/>
        <w:pageBreakBefore w:val="0"/>
        <w:widowControl/>
        <w:kinsoku/>
        <w:wordWrap/>
        <w:overflowPunct/>
        <w:topLinePunct w:val="0"/>
        <w:autoSpaceDE w:val="0"/>
        <w:autoSpaceDN w:val="0"/>
        <w:bidi w:val="0"/>
        <w:adjustRightInd/>
        <w:snapToGrid/>
        <w:spacing w:line="740" w:lineRule="exact"/>
        <w:ind w:right="-26" w:firstLine="627" w:firstLineChars="196"/>
        <w:textAlignment w:val="bottom"/>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lang w:eastAsia="zh-CN"/>
        </w:rPr>
        <w:t>代理机构：新疆万邦建业工程项目管理有限公司</w:t>
      </w:r>
    </w:p>
    <w:p w14:paraId="0687467C">
      <w:pPr>
        <w:keepNext w:val="0"/>
        <w:keepLines w:val="0"/>
        <w:pageBreakBefore w:val="0"/>
        <w:widowControl/>
        <w:kinsoku/>
        <w:wordWrap/>
        <w:overflowPunct/>
        <w:topLinePunct w:val="0"/>
        <w:autoSpaceDE w:val="0"/>
        <w:autoSpaceDN w:val="0"/>
        <w:bidi w:val="0"/>
        <w:adjustRightInd/>
        <w:snapToGrid/>
        <w:spacing w:line="740" w:lineRule="exact"/>
        <w:ind w:right="-28" w:firstLine="627" w:firstLineChars="196"/>
        <w:textAlignment w:val="bottom"/>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eastAsia="zh-CN"/>
        </w:rPr>
        <w:t>联</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lang w:eastAsia="zh-CN"/>
        </w:rPr>
        <w:t>系</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lang w:eastAsia="zh-CN"/>
        </w:rPr>
        <w:t>人：</w:t>
      </w:r>
      <w:r>
        <w:rPr>
          <w:rFonts w:hint="eastAsia" w:ascii="仿宋" w:hAnsi="仿宋" w:eastAsia="仿宋" w:cs="仿宋"/>
          <w:b/>
          <w:color w:val="auto"/>
          <w:sz w:val="32"/>
          <w:szCs w:val="32"/>
          <w:highlight w:val="none"/>
          <w:lang w:val="en-US" w:eastAsia="zh-CN"/>
        </w:rPr>
        <w:t xml:space="preserve">佟先生      </w:t>
      </w:r>
    </w:p>
    <w:p w14:paraId="6C70EF99">
      <w:pPr>
        <w:keepNext w:val="0"/>
        <w:keepLines w:val="0"/>
        <w:pageBreakBefore w:val="0"/>
        <w:kinsoku/>
        <w:wordWrap/>
        <w:overflowPunct/>
        <w:topLinePunct w:val="0"/>
        <w:bidi w:val="0"/>
        <w:adjustRightInd/>
        <w:snapToGrid/>
        <w:spacing w:line="740" w:lineRule="exact"/>
        <w:ind w:firstLine="640" w:firstLineChars="2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lang w:eastAsia="zh-CN"/>
        </w:rPr>
        <w:t>联系电话: 18167696669</w:t>
      </w:r>
    </w:p>
    <w:p w14:paraId="0F8DD23C">
      <w:pPr>
        <w:rPr>
          <w:rFonts w:hint="eastAsia"/>
          <w:color w:val="auto"/>
          <w:highlight w:val="none"/>
        </w:rPr>
      </w:pPr>
    </w:p>
    <w:p w14:paraId="7A360D3F">
      <w:pPr>
        <w:jc w:val="center"/>
        <w:rPr>
          <w:rFonts w:hint="eastAsia"/>
          <w:b/>
          <w:color w:val="auto"/>
          <w:sz w:val="36"/>
          <w:highlight w:val="none"/>
        </w:rPr>
      </w:pPr>
    </w:p>
    <w:p w14:paraId="5855065C">
      <w:pPr>
        <w:jc w:val="center"/>
        <w:rPr>
          <w:b/>
          <w:color w:val="auto"/>
          <w:sz w:val="36"/>
          <w:highlight w:val="none"/>
        </w:rPr>
      </w:pPr>
      <w:r>
        <w:rPr>
          <w:rFonts w:hint="eastAsia"/>
          <w:b/>
          <w:color w:val="auto"/>
          <w:sz w:val="36"/>
          <w:highlight w:val="none"/>
        </w:rPr>
        <w:t>目  录</w:t>
      </w:r>
    </w:p>
    <w:p w14:paraId="6F98C3D8">
      <w:pPr>
        <w:spacing w:line="360" w:lineRule="exact"/>
        <w:jc w:val="center"/>
        <w:rPr>
          <w:b/>
          <w:color w:val="auto"/>
          <w:sz w:val="36"/>
          <w:highlight w:val="none"/>
        </w:rPr>
      </w:pPr>
    </w:p>
    <w:p w14:paraId="720E4940">
      <w:pPr>
        <w:pStyle w:val="15"/>
        <w:tabs>
          <w:tab w:val="right" w:leader="underscore" w:pos="9638"/>
        </w:tabs>
        <w:spacing w:line="480" w:lineRule="auto"/>
        <w:rPr>
          <w:rFonts w:hint="eastAsia" w:ascii="仿宋" w:hAnsi="仿宋" w:eastAsia="仿宋" w:cs="仿宋"/>
          <w:sz w:val="32"/>
          <w:szCs w:val="32"/>
        </w:rPr>
      </w:pPr>
      <w:r>
        <w:rPr>
          <w:color w:val="auto"/>
          <w:highlight w:val="none"/>
        </w:rPr>
        <w:fldChar w:fldCharType="begin"/>
      </w:r>
      <w:r>
        <w:rPr>
          <w:color w:val="auto"/>
          <w:highlight w:val="none"/>
        </w:rPr>
        <w:instrText xml:space="preserve">TOC \o "1-3" \h \u </w:instrText>
      </w:r>
      <w:r>
        <w:rPr>
          <w:color w:val="auto"/>
          <w:highlight w:val="none"/>
        </w:rPr>
        <w:fldChar w:fldCharType="separate"/>
      </w: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_Toc19814 </w:instrText>
      </w:r>
      <w:r>
        <w:rPr>
          <w:rFonts w:hint="eastAsia" w:ascii="仿宋" w:hAnsi="仿宋" w:eastAsia="仿宋" w:cs="仿宋"/>
          <w:sz w:val="32"/>
          <w:szCs w:val="32"/>
          <w:highlight w:val="none"/>
        </w:rPr>
        <w:fldChar w:fldCharType="separate"/>
      </w:r>
      <w:r>
        <w:rPr>
          <w:rFonts w:hint="eastAsia" w:ascii="仿宋" w:hAnsi="仿宋" w:eastAsia="仿宋" w:cs="仿宋"/>
          <w:bCs/>
          <w:sz w:val="32"/>
          <w:szCs w:val="32"/>
        </w:rPr>
        <w:t xml:space="preserve">第一章 </w:t>
      </w:r>
      <w:r>
        <w:rPr>
          <w:rFonts w:hint="eastAsia" w:ascii="仿宋" w:hAnsi="仿宋" w:eastAsia="仿宋" w:cs="仿宋"/>
          <w:bCs/>
          <w:sz w:val="32"/>
          <w:szCs w:val="32"/>
          <w:highlight w:val="none"/>
        </w:rPr>
        <w:t>招标公告</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_Toc19814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color w:val="auto"/>
          <w:sz w:val="32"/>
          <w:szCs w:val="32"/>
          <w:highlight w:val="none"/>
        </w:rPr>
        <w:fldChar w:fldCharType="end"/>
      </w:r>
    </w:p>
    <w:p w14:paraId="53370111">
      <w:pPr>
        <w:pStyle w:val="15"/>
        <w:tabs>
          <w:tab w:val="right" w:leader="underscore" w:pos="9638"/>
        </w:tabs>
        <w:spacing w:line="480" w:lineRule="auto"/>
        <w:rPr>
          <w:rFonts w:hint="eastAsia" w:ascii="仿宋" w:hAnsi="仿宋" w:eastAsia="仿宋" w:cs="仿宋"/>
          <w:sz w:val="32"/>
          <w:szCs w:val="32"/>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_Toc16423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rPr>
        <w:t>第二章 投标人须知</w:t>
      </w:r>
      <w:r>
        <w:rPr>
          <w:rFonts w:hint="eastAsia" w:ascii="仿宋" w:hAnsi="仿宋" w:eastAsia="仿宋" w:cs="仿宋"/>
          <w:sz w:val="32"/>
          <w:szCs w:val="32"/>
        </w:rPr>
        <w:tab/>
      </w:r>
      <w:r>
        <w:rPr>
          <w:rFonts w:hint="eastAsia" w:ascii="仿宋" w:hAnsi="仿宋" w:eastAsia="仿宋" w:cs="仿宋"/>
          <w:sz w:val="32"/>
          <w:szCs w:val="32"/>
          <w:lang w:val="en-US" w:eastAsia="zh-CN"/>
        </w:rPr>
        <w:t>6</w:t>
      </w:r>
      <w:r>
        <w:rPr>
          <w:rFonts w:hint="eastAsia" w:ascii="仿宋" w:hAnsi="仿宋" w:eastAsia="仿宋" w:cs="仿宋"/>
          <w:color w:val="auto"/>
          <w:sz w:val="32"/>
          <w:szCs w:val="32"/>
          <w:highlight w:val="none"/>
        </w:rPr>
        <w:fldChar w:fldCharType="end"/>
      </w:r>
    </w:p>
    <w:p w14:paraId="1C536BBF">
      <w:pPr>
        <w:pStyle w:val="15"/>
        <w:tabs>
          <w:tab w:val="right" w:leader="underscore" w:pos="9638"/>
        </w:tabs>
        <w:spacing w:line="480" w:lineRule="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_Toc16190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第三章 评标办法</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lang w:val="en-US" w:eastAsia="zh-CN"/>
        </w:rPr>
        <w:t>1</w:t>
      </w:r>
    </w:p>
    <w:p w14:paraId="0FD5B333">
      <w:pPr>
        <w:pStyle w:val="15"/>
        <w:tabs>
          <w:tab w:val="right" w:leader="underscore" w:pos="9638"/>
        </w:tabs>
        <w:spacing w:line="480" w:lineRule="auto"/>
        <w:rPr>
          <w:rFonts w:hint="eastAsia" w:ascii="仿宋" w:hAnsi="仿宋" w:eastAsia="仿宋" w:cs="仿宋"/>
          <w:sz w:val="32"/>
          <w:szCs w:val="32"/>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_Toc3465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rPr>
        <w:t xml:space="preserve">第四章 </w:t>
      </w:r>
      <w:r>
        <w:rPr>
          <w:rFonts w:hint="eastAsia" w:ascii="仿宋" w:hAnsi="仿宋" w:eastAsia="仿宋" w:cs="仿宋"/>
          <w:sz w:val="32"/>
          <w:szCs w:val="32"/>
          <w:highlight w:val="none"/>
          <w:lang w:val="en-US" w:eastAsia="zh-CN"/>
        </w:rPr>
        <w:t>服务</w:t>
      </w:r>
      <w:r>
        <w:rPr>
          <w:rFonts w:hint="eastAsia" w:ascii="仿宋" w:hAnsi="仿宋" w:eastAsia="仿宋" w:cs="仿宋"/>
          <w:sz w:val="32"/>
          <w:szCs w:val="32"/>
          <w:highlight w:val="none"/>
        </w:rPr>
        <w:t>采购内容</w:t>
      </w:r>
      <w:r>
        <w:rPr>
          <w:rFonts w:hint="eastAsia" w:ascii="仿宋" w:hAnsi="仿宋" w:eastAsia="仿宋" w:cs="仿宋"/>
          <w:sz w:val="32"/>
          <w:szCs w:val="32"/>
        </w:rPr>
        <w:tab/>
      </w:r>
      <w:r>
        <w:rPr>
          <w:rFonts w:hint="eastAsia" w:ascii="仿宋" w:hAnsi="仿宋" w:eastAsia="仿宋" w:cs="仿宋"/>
          <w:sz w:val="32"/>
          <w:szCs w:val="32"/>
          <w:lang w:val="en-US" w:eastAsia="zh-CN"/>
        </w:rPr>
        <w:t>6</w:t>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lang w:val="en-US" w:eastAsia="zh-CN"/>
        </w:rPr>
        <w:t>5</w:t>
      </w:r>
    </w:p>
    <w:p w14:paraId="089B84D3">
      <w:pPr>
        <w:pStyle w:val="15"/>
        <w:tabs>
          <w:tab w:val="right" w:leader="underscore" w:pos="9638"/>
        </w:tabs>
        <w:spacing w:line="480" w:lineRule="auto"/>
        <w:rPr>
          <w:rFonts w:hint="eastAsia" w:ascii="仿宋" w:hAnsi="仿宋" w:eastAsia="仿宋" w:cs="仿宋"/>
          <w:sz w:val="32"/>
          <w:szCs w:val="32"/>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_Toc10352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eastAsia="zh-CN"/>
        </w:rPr>
        <w:t>第五章</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合同条款及格式</w:t>
      </w:r>
      <w:r>
        <w:rPr>
          <w:rFonts w:hint="eastAsia" w:ascii="仿宋" w:hAnsi="仿宋" w:eastAsia="仿宋" w:cs="仿宋"/>
          <w:sz w:val="32"/>
          <w:szCs w:val="32"/>
        </w:rPr>
        <w:tab/>
      </w:r>
      <w:r>
        <w:rPr>
          <w:rFonts w:hint="eastAsia" w:ascii="仿宋" w:hAnsi="仿宋" w:eastAsia="仿宋" w:cs="仿宋"/>
          <w:sz w:val="32"/>
          <w:szCs w:val="32"/>
          <w:lang w:val="en-US" w:eastAsia="zh-CN"/>
        </w:rPr>
        <w:t>77</w:t>
      </w:r>
      <w:r>
        <w:rPr>
          <w:rFonts w:hint="eastAsia" w:ascii="仿宋" w:hAnsi="仿宋" w:eastAsia="仿宋" w:cs="仿宋"/>
          <w:color w:val="auto"/>
          <w:sz w:val="32"/>
          <w:szCs w:val="32"/>
          <w:highlight w:val="none"/>
        </w:rPr>
        <w:fldChar w:fldCharType="end"/>
      </w:r>
    </w:p>
    <w:p w14:paraId="0142624D">
      <w:pPr>
        <w:pStyle w:val="15"/>
        <w:tabs>
          <w:tab w:val="right" w:leader="underscore" w:pos="9638"/>
        </w:tabs>
        <w:spacing w:line="480" w:lineRule="auto"/>
        <w:rPr>
          <w:rFonts w:hint="default" w:eastAsia="仿宋"/>
          <w:lang w:val="en-US" w:eastAsia="zh-CN"/>
        </w:rPr>
      </w:pPr>
      <w:r>
        <w:rPr>
          <w:rFonts w:hint="eastAsia" w:ascii="仿宋" w:hAnsi="仿宋" w:eastAsia="仿宋" w:cs="仿宋"/>
          <w:color w:val="auto"/>
          <w:sz w:val="32"/>
          <w:szCs w:val="32"/>
          <w:highlight w:val="none"/>
        </w:rPr>
        <w:fldChar w:fldCharType="begin"/>
      </w:r>
      <w:r>
        <w:rPr>
          <w:rFonts w:hint="eastAsia" w:ascii="仿宋" w:hAnsi="仿宋" w:eastAsia="仿宋" w:cs="仿宋"/>
          <w:sz w:val="32"/>
          <w:szCs w:val="32"/>
          <w:highlight w:val="none"/>
        </w:rPr>
        <w:instrText xml:space="preserve"> HYPERLINK \l _Toc6790 </w:instrText>
      </w:r>
      <w:r>
        <w:rPr>
          <w:rFonts w:hint="eastAsia" w:ascii="仿宋" w:hAnsi="仿宋" w:eastAsia="仿宋" w:cs="仿宋"/>
          <w:sz w:val="32"/>
          <w:szCs w:val="32"/>
          <w:highlight w:val="none"/>
        </w:rPr>
        <w:fldChar w:fldCharType="separate"/>
      </w:r>
      <w:r>
        <w:rPr>
          <w:rFonts w:hint="eastAsia" w:ascii="仿宋" w:hAnsi="仿宋" w:eastAsia="仿宋" w:cs="仿宋"/>
          <w:sz w:val="32"/>
          <w:szCs w:val="32"/>
          <w:highlight w:val="none"/>
          <w:lang w:val="en-US" w:eastAsia="zh-CN"/>
        </w:rPr>
        <w:t>第六章</w:t>
      </w:r>
      <w:r>
        <w:rPr>
          <w:rFonts w:hint="eastAsia" w:ascii="仿宋" w:hAnsi="仿宋" w:eastAsia="仿宋" w:cs="仿宋"/>
          <w:sz w:val="32"/>
          <w:szCs w:val="32"/>
          <w:highlight w:val="none"/>
        </w:rPr>
        <w:t xml:space="preserve"> 投标文件格式</w:t>
      </w:r>
      <w:r>
        <w:rPr>
          <w:rFonts w:hint="eastAsia" w:ascii="仿宋" w:hAnsi="仿宋" w:eastAsia="仿宋" w:cs="仿宋"/>
          <w:sz w:val="32"/>
          <w:szCs w:val="32"/>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lang w:val="en-US" w:eastAsia="zh-CN"/>
        </w:rPr>
        <w:t>87</w:t>
      </w:r>
    </w:p>
    <w:p w14:paraId="35826A5A">
      <w:pPr>
        <w:pStyle w:val="19"/>
        <w:rPr>
          <w:rFonts w:hint="eastAsia"/>
          <w:color w:val="auto"/>
          <w:highlight w:val="none"/>
        </w:rPr>
        <w:sectPr>
          <w:headerReference r:id="rId3" w:type="default"/>
          <w:footerReference r:id="rId4" w:type="default"/>
          <w:type w:val="continuous"/>
          <w:pgSz w:w="11906" w:h="16838"/>
          <w:pgMar w:top="1440" w:right="1134" w:bottom="1440" w:left="1134" w:header="851" w:footer="992" w:gutter="0"/>
          <w:pgBorders>
            <w:top w:val="none" w:sz="0" w:space="0"/>
            <w:left w:val="none" w:sz="0" w:space="0"/>
            <w:bottom w:val="none" w:sz="0" w:space="0"/>
            <w:right w:val="none" w:sz="0" w:space="0"/>
          </w:pgBorders>
          <w:pgNumType w:fmt="decimal" w:start="1"/>
          <w:cols w:space="720" w:num="1"/>
          <w:rtlGutter w:val="0"/>
          <w:docGrid w:type="linesAndChars" w:linePitch="312" w:charSpace="0"/>
        </w:sectPr>
      </w:pPr>
      <w:r>
        <w:rPr>
          <w:color w:val="auto"/>
          <w:highlight w:val="none"/>
        </w:rPr>
        <w:fldChar w:fldCharType="end"/>
      </w:r>
    </w:p>
    <w:p w14:paraId="5970AA79">
      <w:pPr>
        <w:pStyle w:val="19"/>
        <w:rPr>
          <w:rFonts w:hint="eastAsia"/>
          <w:color w:val="auto"/>
          <w:highlight w:val="none"/>
        </w:rPr>
      </w:pPr>
    </w:p>
    <w:p w14:paraId="028C8112">
      <w:pPr>
        <w:numPr>
          <w:ilvl w:val="0"/>
          <w:numId w:val="2"/>
        </w:numPr>
        <w:spacing w:line="420" w:lineRule="exact"/>
        <w:jc w:val="center"/>
        <w:outlineLvl w:val="0"/>
        <w:rPr>
          <w:rFonts w:hint="eastAsia"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lang w:val="en-US" w:eastAsia="zh-CN"/>
        </w:rPr>
        <w:t xml:space="preserve">  </w:t>
      </w:r>
      <w:bookmarkStart w:id="0" w:name="_Toc19242"/>
      <w:bookmarkStart w:id="1" w:name="_Toc19814"/>
      <w:r>
        <w:rPr>
          <w:rFonts w:hint="eastAsia" w:ascii="仿宋" w:hAnsi="仿宋" w:eastAsia="仿宋" w:cs="仿宋"/>
          <w:b/>
          <w:bCs/>
          <w:color w:val="auto"/>
          <w:sz w:val="40"/>
          <w:szCs w:val="40"/>
          <w:highlight w:val="none"/>
        </w:rPr>
        <w:t>招标公告</w:t>
      </w:r>
      <w:bookmarkEnd w:id="0"/>
      <w:bookmarkEnd w:id="1"/>
    </w:p>
    <w:p w14:paraId="2AB63C4F">
      <w:pPr>
        <w:spacing w:before="30" w:line="360" w:lineRule="auto"/>
        <w:jc w:val="center"/>
        <w:rPr>
          <w:rFonts w:hint="eastAsia" w:ascii="仿宋" w:hAnsi="仿宋" w:eastAsia="仿宋" w:cs="仿宋"/>
          <w:sz w:val="32"/>
          <w:szCs w:val="32"/>
        </w:rPr>
      </w:pPr>
      <w:r>
        <w:rPr>
          <w:rFonts w:hint="eastAsia" w:ascii="仿宋" w:hAnsi="仿宋" w:eastAsia="仿宋" w:cs="仿宋"/>
          <w:b/>
          <w:bCs/>
          <w:spacing w:val="7"/>
          <w:sz w:val="32"/>
          <w:szCs w:val="32"/>
          <w:lang w:val="en-US" w:eastAsia="zh-CN"/>
        </w:rPr>
        <w:t>克州机关事务管理局梧桐苑小区劳务服务及其他劳务服务采购项目</w:t>
      </w:r>
      <w:r>
        <w:rPr>
          <w:rFonts w:hint="eastAsia" w:ascii="仿宋" w:hAnsi="仿宋" w:eastAsia="仿宋" w:cs="仿宋"/>
          <w:b/>
          <w:bCs/>
          <w:spacing w:val="7"/>
          <w:sz w:val="32"/>
          <w:szCs w:val="32"/>
        </w:rPr>
        <w:t>竞争性磋商公告</w:t>
      </w:r>
    </w:p>
    <w:tbl>
      <w:tblPr>
        <w:tblStyle w:val="46"/>
        <w:tblW w:w="9440"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40"/>
      </w:tblGrid>
      <w:tr w14:paraId="574B974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27" w:hRule="atLeast"/>
        </w:trPr>
        <w:tc>
          <w:tcPr>
            <w:tcW w:w="9440" w:type="dxa"/>
            <w:vAlign w:val="top"/>
          </w:tcPr>
          <w:p w14:paraId="0A5D8518">
            <w:pPr>
              <w:spacing w:before="43" w:line="360" w:lineRule="auto"/>
              <w:ind w:left="103"/>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eastAsia="zh-CN"/>
              </w:rPr>
              <w:t>项目概况</w:t>
            </w:r>
          </w:p>
          <w:p w14:paraId="683DE3BA">
            <w:pPr>
              <w:spacing w:before="43" w:line="360" w:lineRule="auto"/>
              <w:ind w:left="103" w:firstLine="676" w:firstLineChars="200"/>
              <w:rPr>
                <w:rFonts w:hint="eastAsia" w:ascii="仿宋" w:hAnsi="仿宋" w:eastAsia="仿宋" w:cs="仿宋"/>
                <w:color w:val="auto"/>
                <w:spacing w:val="9"/>
                <w:sz w:val="32"/>
                <w:szCs w:val="32"/>
                <w:lang w:eastAsia="zh-CN"/>
              </w:rPr>
            </w:pPr>
            <w:r>
              <w:rPr>
                <w:rFonts w:hint="eastAsia" w:ascii="仿宋" w:hAnsi="仿宋" w:eastAsia="仿宋" w:cs="仿宋"/>
                <w:color w:val="auto"/>
                <w:spacing w:val="9"/>
                <w:sz w:val="32"/>
                <w:szCs w:val="32"/>
                <w:lang w:val="en-US" w:eastAsia="zh-CN"/>
              </w:rPr>
              <w:t>克州机关事务管理局梧桐苑小区劳务服务及其他劳务服务采购项目</w:t>
            </w:r>
            <w:r>
              <w:rPr>
                <w:rFonts w:hint="eastAsia" w:ascii="仿宋" w:hAnsi="仿宋" w:eastAsia="仿宋" w:cs="仿宋"/>
                <w:color w:val="auto"/>
                <w:spacing w:val="9"/>
                <w:sz w:val="32"/>
                <w:szCs w:val="32"/>
                <w:lang w:eastAsia="zh-CN"/>
              </w:rPr>
              <w:t>的潜在投标人应在政府采购云平台（</w:t>
            </w:r>
            <w:r>
              <w:rPr>
                <w:rFonts w:hint="eastAsia" w:ascii="仿宋" w:hAnsi="仿宋" w:eastAsia="仿宋" w:cs="仿宋"/>
                <w:color w:val="auto"/>
                <w:spacing w:val="9"/>
                <w:sz w:val="32"/>
                <w:szCs w:val="32"/>
                <w:lang w:eastAsia="zh-CN"/>
              </w:rPr>
              <w:fldChar w:fldCharType="begin"/>
            </w:r>
            <w:r>
              <w:rPr>
                <w:rFonts w:hint="eastAsia" w:ascii="仿宋" w:hAnsi="仿宋" w:eastAsia="仿宋" w:cs="仿宋"/>
                <w:color w:val="auto"/>
                <w:spacing w:val="9"/>
                <w:sz w:val="32"/>
                <w:szCs w:val="32"/>
                <w:lang w:eastAsia="zh-CN"/>
              </w:rPr>
              <w:instrText xml:space="preserve"> HYPERLINK "https://www.zcygov.cn" </w:instrText>
            </w:r>
            <w:r>
              <w:rPr>
                <w:rFonts w:hint="eastAsia" w:ascii="仿宋" w:hAnsi="仿宋" w:eastAsia="仿宋" w:cs="仿宋"/>
                <w:color w:val="auto"/>
                <w:spacing w:val="9"/>
                <w:sz w:val="32"/>
                <w:szCs w:val="32"/>
                <w:lang w:eastAsia="zh-CN"/>
              </w:rPr>
              <w:fldChar w:fldCharType="separate"/>
            </w:r>
            <w:r>
              <w:rPr>
                <w:rFonts w:hint="eastAsia" w:ascii="仿宋" w:hAnsi="仿宋" w:eastAsia="仿宋" w:cs="仿宋"/>
                <w:color w:val="auto"/>
                <w:spacing w:val="9"/>
                <w:sz w:val="32"/>
                <w:szCs w:val="32"/>
                <w:lang w:eastAsia="zh-CN"/>
              </w:rPr>
              <w:t>www.zcygov.cn</w:t>
            </w:r>
            <w:r>
              <w:rPr>
                <w:rFonts w:hint="eastAsia" w:ascii="仿宋" w:hAnsi="仿宋" w:eastAsia="仿宋" w:cs="仿宋"/>
                <w:color w:val="auto"/>
                <w:spacing w:val="9"/>
                <w:sz w:val="32"/>
                <w:szCs w:val="32"/>
                <w:lang w:eastAsia="zh-CN"/>
              </w:rPr>
              <w:fldChar w:fldCharType="end"/>
            </w:r>
            <w:r>
              <w:rPr>
                <w:rFonts w:hint="eastAsia" w:ascii="仿宋" w:hAnsi="仿宋" w:eastAsia="仿宋" w:cs="仿宋"/>
                <w:color w:val="auto"/>
                <w:spacing w:val="9"/>
                <w:sz w:val="32"/>
                <w:szCs w:val="32"/>
                <w:lang w:eastAsia="zh-CN"/>
              </w:rPr>
              <w:t>） 在线申请获取采购文件（登录政府采购云平台 → 项目采购 → 获取采购文件→ 申请，</w:t>
            </w:r>
            <w:r>
              <w:rPr>
                <w:rFonts w:hint="eastAsia" w:ascii="仿宋" w:hAnsi="仿宋" w:eastAsia="仿宋" w:cs="仿宋"/>
                <w:color w:val="auto"/>
                <w:spacing w:val="9"/>
                <w:sz w:val="32"/>
                <w:szCs w:val="32"/>
                <w:lang w:val="en-US" w:eastAsia="zh-CN"/>
              </w:rPr>
              <w:t>申请</w:t>
            </w:r>
            <w:r>
              <w:rPr>
                <w:rFonts w:hint="eastAsia" w:ascii="仿宋" w:hAnsi="仿宋" w:eastAsia="仿宋" w:cs="仿宋"/>
                <w:color w:val="auto"/>
                <w:spacing w:val="9"/>
                <w:sz w:val="32"/>
                <w:szCs w:val="32"/>
                <w:lang w:eastAsia="zh-CN"/>
              </w:rPr>
              <w:t>通过后可下载采购文件，如有操作性问题，可与政采云在线客服进行咨询，咨询电话：95763）。获取采购文件，并于 202</w:t>
            </w:r>
            <w:r>
              <w:rPr>
                <w:rFonts w:hint="eastAsia" w:ascii="仿宋" w:hAnsi="仿宋" w:eastAsia="仿宋" w:cs="仿宋"/>
                <w:color w:val="auto"/>
                <w:spacing w:val="9"/>
                <w:sz w:val="32"/>
                <w:szCs w:val="32"/>
                <w:lang w:val="en-US" w:eastAsia="zh-CN"/>
              </w:rPr>
              <w:t>6</w:t>
            </w:r>
            <w:r>
              <w:rPr>
                <w:rFonts w:hint="eastAsia" w:ascii="仿宋" w:hAnsi="仿宋" w:eastAsia="仿宋" w:cs="仿宋"/>
                <w:color w:val="auto"/>
                <w:spacing w:val="9"/>
                <w:sz w:val="32"/>
                <w:szCs w:val="32"/>
                <w:lang w:eastAsia="zh-CN"/>
              </w:rPr>
              <w:t xml:space="preserve"> 年</w:t>
            </w:r>
            <w:r>
              <w:rPr>
                <w:rFonts w:hint="eastAsia" w:ascii="仿宋" w:hAnsi="仿宋" w:eastAsia="仿宋" w:cs="仿宋"/>
                <w:color w:val="auto"/>
                <w:spacing w:val="9"/>
                <w:sz w:val="32"/>
                <w:szCs w:val="32"/>
                <w:lang w:val="en-US" w:eastAsia="zh-CN"/>
              </w:rPr>
              <w:t xml:space="preserve">11 </w:t>
            </w:r>
            <w:r>
              <w:rPr>
                <w:rFonts w:hint="eastAsia" w:ascii="仿宋" w:hAnsi="仿宋" w:eastAsia="仿宋" w:cs="仿宋"/>
                <w:color w:val="auto"/>
                <w:spacing w:val="9"/>
                <w:sz w:val="32"/>
                <w:szCs w:val="32"/>
                <w:lang w:eastAsia="zh-CN"/>
              </w:rPr>
              <w:t>月</w:t>
            </w:r>
            <w:r>
              <w:rPr>
                <w:rFonts w:hint="eastAsia" w:ascii="仿宋" w:hAnsi="仿宋" w:eastAsia="仿宋" w:cs="仿宋"/>
                <w:color w:val="auto"/>
                <w:spacing w:val="9"/>
                <w:sz w:val="32"/>
                <w:szCs w:val="32"/>
                <w:lang w:val="en-US" w:eastAsia="zh-CN"/>
              </w:rPr>
              <w:t xml:space="preserve"> 11 </w:t>
            </w:r>
            <w:r>
              <w:rPr>
                <w:rFonts w:hint="eastAsia" w:ascii="仿宋" w:hAnsi="仿宋" w:eastAsia="仿宋" w:cs="仿宋"/>
                <w:color w:val="auto"/>
                <w:spacing w:val="9"/>
                <w:sz w:val="32"/>
                <w:szCs w:val="32"/>
                <w:lang w:eastAsia="zh-CN"/>
              </w:rPr>
              <w:t xml:space="preserve">日 </w:t>
            </w:r>
            <w:r>
              <w:rPr>
                <w:rFonts w:hint="eastAsia" w:ascii="仿宋" w:hAnsi="仿宋" w:eastAsia="仿宋" w:cs="仿宋"/>
                <w:color w:val="auto"/>
                <w:spacing w:val="9"/>
                <w:sz w:val="32"/>
                <w:szCs w:val="32"/>
                <w:lang w:val="en-US" w:eastAsia="zh-CN"/>
              </w:rPr>
              <w:t>10</w:t>
            </w:r>
            <w:r>
              <w:rPr>
                <w:rFonts w:hint="eastAsia" w:ascii="仿宋" w:hAnsi="仿宋" w:eastAsia="仿宋" w:cs="仿宋"/>
                <w:color w:val="auto"/>
                <w:spacing w:val="9"/>
                <w:sz w:val="32"/>
                <w:szCs w:val="32"/>
                <w:lang w:eastAsia="zh-CN"/>
              </w:rPr>
              <w:t>:</w:t>
            </w:r>
            <w:r>
              <w:rPr>
                <w:rFonts w:hint="eastAsia" w:ascii="仿宋" w:hAnsi="仿宋" w:eastAsia="仿宋" w:cs="仿宋"/>
                <w:color w:val="auto"/>
                <w:spacing w:val="9"/>
                <w:sz w:val="32"/>
                <w:szCs w:val="32"/>
                <w:lang w:val="en-US" w:eastAsia="zh-CN"/>
              </w:rPr>
              <w:t>3</w:t>
            </w:r>
            <w:r>
              <w:rPr>
                <w:rFonts w:hint="eastAsia" w:ascii="仿宋" w:hAnsi="仿宋" w:eastAsia="仿宋" w:cs="仿宋"/>
                <w:color w:val="auto"/>
                <w:spacing w:val="9"/>
                <w:sz w:val="32"/>
                <w:szCs w:val="32"/>
                <w:lang w:eastAsia="zh-CN"/>
              </w:rPr>
              <w:t>0（北京时间）前</w:t>
            </w:r>
            <w:r>
              <w:rPr>
                <w:rFonts w:hint="eastAsia" w:ascii="仿宋" w:hAnsi="仿宋" w:eastAsia="仿宋" w:cs="仿宋"/>
                <w:color w:val="auto"/>
                <w:spacing w:val="9"/>
                <w:sz w:val="32"/>
                <w:szCs w:val="32"/>
                <w:lang w:val="en-US" w:eastAsia="zh-CN"/>
              </w:rPr>
              <w:t>提</w:t>
            </w:r>
            <w:r>
              <w:rPr>
                <w:rFonts w:hint="eastAsia" w:ascii="仿宋" w:hAnsi="仿宋" w:eastAsia="仿宋" w:cs="仿宋"/>
                <w:color w:val="auto"/>
                <w:spacing w:val="9"/>
                <w:sz w:val="32"/>
                <w:szCs w:val="32"/>
                <w:lang w:eastAsia="zh-CN"/>
              </w:rPr>
              <w:t>交</w:t>
            </w:r>
            <w:r>
              <w:rPr>
                <w:rFonts w:hint="eastAsia" w:ascii="仿宋" w:hAnsi="仿宋" w:eastAsia="仿宋" w:cs="仿宋"/>
                <w:color w:val="auto"/>
                <w:spacing w:val="9"/>
                <w:sz w:val="32"/>
                <w:szCs w:val="32"/>
                <w:lang w:val="en-US" w:eastAsia="zh-CN"/>
              </w:rPr>
              <w:t>响应</w:t>
            </w:r>
            <w:r>
              <w:rPr>
                <w:rFonts w:hint="eastAsia" w:ascii="仿宋" w:hAnsi="仿宋" w:eastAsia="仿宋" w:cs="仿宋"/>
                <w:color w:val="auto"/>
                <w:spacing w:val="9"/>
                <w:sz w:val="32"/>
                <w:szCs w:val="32"/>
                <w:lang w:eastAsia="zh-CN"/>
              </w:rPr>
              <w:t>文件。</w:t>
            </w:r>
          </w:p>
        </w:tc>
      </w:tr>
    </w:tbl>
    <w:p w14:paraId="6CD44949">
      <w:pPr>
        <w:numPr>
          <w:ilvl w:val="0"/>
          <w:numId w:val="0"/>
        </w:numPr>
        <w:spacing w:line="420" w:lineRule="exact"/>
        <w:ind w:leftChars="0"/>
        <w:jc w:val="both"/>
        <w:outlineLvl w:val="0"/>
        <w:rPr>
          <w:rFonts w:hint="eastAsia" w:ascii="宋体"/>
          <w:b/>
          <w:bCs/>
          <w:color w:val="auto"/>
          <w:sz w:val="32"/>
          <w:szCs w:val="32"/>
          <w:highlight w:val="none"/>
        </w:rPr>
      </w:pPr>
    </w:p>
    <w:p w14:paraId="023D2A55">
      <w:pPr>
        <w:pStyle w:val="24"/>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right="0"/>
        <w:jc w:val="both"/>
        <w:textAlignment w:val="auto"/>
        <w:rPr>
          <w:rFonts w:hint="eastAsia" w:ascii="仿宋" w:hAnsi="仿宋" w:eastAsia="仿宋" w:cs="仿宋"/>
          <w:b/>
          <w:bCs/>
          <w:color w:val="auto"/>
          <w:sz w:val="32"/>
          <w:szCs w:val="32"/>
          <w:highlight w:val="none"/>
        </w:rPr>
      </w:pPr>
      <w:bookmarkStart w:id="2" w:name="_Toc3892"/>
      <w:r>
        <w:rPr>
          <w:rFonts w:hint="eastAsia" w:ascii="仿宋" w:hAnsi="仿宋" w:eastAsia="仿宋" w:cs="仿宋"/>
          <w:b/>
          <w:bCs/>
          <w:i w:val="0"/>
          <w:caps w:val="0"/>
          <w:color w:val="auto"/>
          <w:spacing w:val="0"/>
          <w:sz w:val="32"/>
          <w:szCs w:val="32"/>
          <w:highlight w:val="none"/>
        </w:rPr>
        <w:t>一、项目基本情况</w:t>
      </w:r>
    </w:p>
    <w:p w14:paraId="57E50589">
      <w:pPr>
        <w:keepNext w:val="0"/>
        <w:keepLines w:val="0"/>
        <w:pageBreakBefore w:val="0"/>
        <w:widowControl/>
        <w:numPr>
          <w:ilvl w:val="0"/>
          <w:numId w:val="0"/>
        </w:numPr>
        <w:suppressLineNumbers w:val="0"/>
        <w:kinsoku/>
        <w:wordWrap/>
        <w:overflowPunct/>
        <w:topLinePunct w:val="0"/>
        <w:autoSpaceDN/>
        <w:bidi w:val="0"/>
        <w:adjustRightInd/>
        <w:snapToGrid/>
        <w:spacing w:before="75" w:beforeAutospacing="0" w:after="75" w:afterAutospacing="0" w:line="400" w:lineRule="exact"/>
        <w:ind w:leftChars="0" w:right="0" w:rightChars="0" w:firstLine="48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项目</w:t>
      </w:r>
      <w:r>
        <w:rPr>
          <w:rFonts w:hint="eastAsia" w:ascii="仿宋" w:hAnsi="仿宋" w:eastAsia="仿宋" w:cs="仿宋"/>
          <w:i w:val="0"/>
          <w:caps w:val="0"/>
          <w:color w:val="auto"/>
          <w:spacing w:val="0"/>
          <w:kern w:val="0"/>
          <w:sz w:val="32"/>
          <w:szCs w:val="32"/>
          <w:highlight w:val="none"/>
          <w:lang w:val="en-US" w:eastAsia="zh-CN"/>
        </w:rPr>
        <w:t xml:space="preserve">编号：KZZB-2026137   </w:t>
      </w:r>
      <w:r>
        <w:rPr>
          <w:rFonts w:hint="eastAsia" w:ascii="仿宋" w:hAnsi="仿宋" w:eastAsia="仿宋" w:cs="仿宋"/>
          <w:color w:val="auto"/>
          <w:kern w:val="0"/>
          <w:sz w:val="32"/>
          <w:szCs w:val="32"/>
          <w:highlight w:val="none"/>
          <w:u w:val="none"/>
          <w:lang w:val="en-US" w:eastAsia="zh-CN" w:bidi="ar"/>
        </w:rPr>
        <w:t xml:space="preserve"> </w:t>
      </w:r>
    </w:p>
    <w:p w14:paraId="054AFCDE">
      <w:pPr>
        <w:keepNext w:val="0"/>
        <w:keepLines w:val="0"/>
        <w:pageBreakBefore w:val="0"/>
        <w:widowControl/>
        <w:numPr>
          <w:ilvl w:val="0"/>
          <w:numId w:val="0"/>
        </w:numPr>
        <w:suppressLineNumbers w:val="0"/>
        <w:kinsoku/>
        <w:wordWrap/>
        <w:overflowPunct/>
        <w:topLinePunct w:val="0"/>
        <w:autoSpaceDN/>
        <w:bidi w:val="0"/>
        <w:adjustRightInd/>
        <w:snapToGrid/>
        <w:spacing w:before="75" w:beforeAutospacing="0" w:after="75" w:afterAutospacing="0" w:line="400" w:lineRule="exact"/>
        <w:ind w:leftChars="0" w:right="0" w:rightChars="0" w:firstLine="48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项目名称：</w:t>
      </w:r>
      <w:r>
        <w:rPr>
          <w:rFonts w:hint="eastAsia" w:ascii="仿宋" w:hAnsi="仿宋" w:eastAsia="仿宋" w:cs="仿宋"/>
          <w:i w:val="0"/>
          <w:caps w:val="0"/>
          <w:color w:val="auto"/>
          <w:spacing w:val="0"/>
          <w:kern w:val="0"/>
          <w:sz w:val="32"/>
          <w:szCs w:val="32"/>
          <w:highlight w:val="none"/>
          <w:lang w:val="en-US" w:eastAsia="zh-CN"/>
        </w:rPr>
        <w:t>克州机关事务管理局梧桐苑小区劳务服务及其他劳务服务采购项目</w:t>
      </w:r>
    </w:p>
    <w:p w14:paraId="465EB57E">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采购方式：竞争性磋商</w:t>
      </w:r>
    </w:p>
    <w:p w14:paraId="0D9414D2">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i w:val="0"/>
          <w:caps w:val="0"/>
          <w:color w:val="auto"/>
          <w:spacing w:val="0"/>
          <w:kern w:val="0"/>
          <w:sz w:val="32"/>
          <w:szCs w:val="32"/>
          <w:highlight w:val="none"/>
        </w:rPr>
        <w:t>预算金额（元）</w:t>
      </w:r>
      <w:r>
        <w:rPr>
          <w:rFonts w:hint="eastAsia" w:ascii="仿宋" w:hAnsi="仿宋" w:eastAsia="仿宋" w:cs="仿宋"/>
          <w:color w:val="auto"/>
          <w:kern w:val="0"/>
          <w:sz w:val="32"/>
          <w:szCs w:val="32"/>
          <w:highlight w:val="none"/>
          <w:u w:val="none"/>
          <w:lang w:val="en-US" w:eastAsia="zh-CN" w:bidi="ar"/>
        </w:rPr>
        <w:t xml:space="preserve">：850080  </w:t>
      </w:r>
    </w:p>
    <w:p w14:paraId="2F79C7A0">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 xml:space="preserve">最高限价（元）：850080  </w:t>
      </w:r>
    </w:p>
    <w:p w14:paraId="314550B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rPr>
      </w:pPr>
      <w:r>
        <w:rPr>
          <w:rFonts w:hint="eastAsia" w:ascii="仿宋" w:hAnsi="仿宋" w:eastAsia="仿宋" w:cs="仿宋"/>
          <w:i w:val="0"/>
          <w:caps w:val="0"/>
          <w:color w:val="auto"/>
          <w:spacing w:val="0"/>
          <w:kern w:val="0"/>
          <w:sz w:val="32"/>
          <w:szCs w:val="32"/>
          <w:highlight w:val="none"/>
        </w:rPr>
        <w:t>采购需求：</w:t>
      </w:r>
    </w:p>
    <w:p w14:paraId="766F959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标项名称：克州机关事务管理局梧桐苑小区劳务服务及其他劳务服务采购项目</w:t>
      </w:r>
    </w:p>
    <w:p w14:paraId="3D6A437D">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数量: 1 </w:t>
      </w:r>
    </w:p>
    <w:p w14:paraId="66FA897E">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i w:val="0"/>
          <w:caps w:val="0"/>
          <w:color w:val="auto"/>
          <w:spacing w:val="0"/>
          <w:kern w:val="0"/>
          <w:sz w:val="32"/>
          <w:szCs w:val="32"/>
          <w:highlight w:val="none"/>
          <w:lang w:val="en-US" w:eastAsia="zh-CN"/>
        </w:rPr>
        <w:t>预算金额（元）:</w:t>
      </w:r>
      <w:r>
        <w:rPr>
          <w:rFonts w:hint="eastAsia" w:ascii="仿宋" w:hAnsi="仿宋" w:eastAsia="仿宋" w:cs="仿宋"/>
          <w:color w:val="auto"/>
          <w:kern w:val="0"/>
          <w:sz w:val="32"/>
          <w:szCs w:val="32"/>
          <w:highlight w:val="none"/>
          <w:u w:val="none"/>
          <w:lang w:val="en-US" w:eastAsia="zh-CN" w:bidi="ar"/>
        </w:rPr>
        <w:t xml:space="preserve">850080 </w:t>
      </w:r>
    </w:p>
    <w:p w14:paraId="6F3F9DCA">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简要规格描述或项目基本概况介绍、用途：梧桐苑小区劳务服务及其他劳务服务。（详见采购需求或磋商文件）</w:t>
      </w:r>
    </w:p>
    <w:p w14:paraId="4A5D8C2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备注：</w:t>
      </w:r>
    </w:p>
    <w:p w14:paraId="457F774D">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638" w:leftChars="304" w:right="0" w:firstLine="0" w:firstLineChars="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合同履行期限：一年。（具体以甲乙双方签订采购合同为准）</w:t>
      </w:r>
    </w:p>
    <w:p w14:paraId="744EC6A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638" w:leftChars="304" w:right="0" w:firstLine="0" w:firstLineChars="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本项目（是）接受联合体投标</w:t>
      </w:r>
    </w:p>
    <w:p w14:paraId="61132DB4">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b/>
          <w:bCs/>
          <w:i w:val="0"/>
          <w:caps w:val="0"/>
          <w:color w:val="auto"/>
          <w:spacing w:val="0"/>
          <w:kern w:val="0"/>
          <w:sz w:val="32"/>
          <w:szCs w:val="32"/>
          <w:highlight w:val="none"/>
          <w:lang w:val="en-US" w:eastAsia="zh-CN"/>
        </w:rPr>
        <w:t>二、申请人的资格要求：</w:t>
      </w:r>
    </w:p>
    <w:p w14:paraId="755C4102">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1.满足《中华人民共和国政府采购法》第二十二条规定；</w:t>
      </w:r>
    </w:p>
    <w:p w14:paraId="76235EF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2.落实政府采购政策需满足的资格要求：标项1：本项目为专门面向中小企业。</w:t>
      </w:r>
    </w:p>
    <w:p w14:paraId="5FF28EB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3.本项目的特定资格要求：</w:t>
      </w:r>
    </w:p>
    <w:p w14:paraId="6F81D61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【标项1】</w:t>
      </w:r>
    </w:p>
    <w:p w14:paraId="267690F1">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（1）具备合格的三证合一营业执照副本；</w:t>
      </w:r>
    </w:p>
    <w:p w14:paraId="6DF1FC24">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（2）法定代表人投标需提供法定代表人资格证明书，委托代理人投标需提供法定代表人授权委托书；</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4F5412B1">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（3）投标人须提供（被授权在职人员）近6个月内任意1个月社保证明；</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23894F91">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7269D7E5">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（5）投标人须具备行政主管部门颁发的有效的《保安服务许可证》；</w:t>
      </w:r>
    </w:p>
    <w:p w14:paraId="124F4492">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（6）联合体协议书（若有）。</w:t>
      </w:r>
    </w:p>
    <w:p w14:paraId="6FEFB8D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b/>
          <w:bCs/>
          <w:i w:val="0"/>
          <w:caps w:val="0"/>
          <w:color w:val="auto"/>
          <w:spacing w:val="0"/>
          <w:kern w:val="0"/>
          <w:sz w:val="32"/>
          <w:szCs w:val="32"/>
          <w:highlight w:val="none"/>
          <w:lang w:val="en-US" w:eastAsia="zh-CN"/>
        </w:rPr>
        <w:t>（联合体成员均需提供上述（1）、（4）审查资料）</w:t>
      </w:r>
    </w:p>
    <w:p w14:paraId="2F5450EA">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b/>
          <w:bCs/>
          <w:i w:val="0"/>
          <w:caps w:val="0"/>
          <w:color w:val="auto"/>
          <w:spacing w:val="0"/>
          <w:kern w:val="0"/>
          <w:sz w:val="32"/>
          <w:szCs w:val="32"/>
          <w:highlight w:val="none"/>
          <w:lang w:val="en-US" w:eastAsia="zh-CN"/>
        </w:rPr>
        <w:t>三、获取采购文件</w:t>
      </w:r>
    </w:p>
    <w:p w14:paraId="24BB2684">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时间：2026年 10 月 29 日至2026年 11 月 05 日，每天上午10:00至14:00，下午16:00至20：00（北京时间，法定节假日除外）</w:t>
      </w:r>
    </w:p>
    <w:p w14:paraId="33960D8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 xml:space="preserve">地点：供应商登录政采云平台 </w:t>
      </w:r>
      <w:r>
        <w:rPr>
          <w:rFonts w:hint="eastAsia" w:ascii="仿宋" w:hAnsi="仿宋" w:eastAsia="仿宋" w:cs="仿宋"/>
          <w:i w:val="0"/>
          <w:caps w:val="0"/>
          <w:color w:val="auto"/>
          <w:spacing w:val="0"/>
          <w:kern w:val="0"/>
          <w:sz w:val="32"/>
          <w:szCs w:val="32"/>
          <w:highlight w:val="none"/>
          <w:lang w:val="en-US" w:eastAsia="zh-CN"/>
        </w:rPr>
        <w:fldChar w:fldCharType="begin"/>
      </w:r>
      <w:r>
        <w:rPr>
          <w:rFonts w:hint="eastAsia" w:ascii="仿宋" w:hAnsi="仿宋" w:eastAsia="仿宋" w:cs="仿宋"/>
          <w:i w:val="0"/>
          <w:caps w:val="0"/>
          <w:color w:val="auto"/>
          <w:spacing w:val="0"/>
          <w:kern w:val="0"/>
          <w:sz w:val="32"/>
          <w:szCs w:val="32"/>
          <w:highlight w:val="none"/>
          <w:lang w:val="en-US" w:eastAsia="zh-CN"/>
        </w:rPr>
        <w:instrText xml:space="preserve"> HYPERLINK "http://www.zcygov.cn/" </w:instrText>
      </w:r>
      <w:r>
        <w:rPr>
          <w:rFonts w:hint="eastAsia" w:ascii="仿宋" w:hAnsi="仿宋" w:eastAsia="仿宋" w:cs="仿宋"/>
          <w:i w:val="0"/>
          <w:caps w:val="0"/>
          <w:color w:val="auto"/>
          <w:spacing w:val="0"/>
          <w:kern w:val="0"/>
          <w:sz w:val="32"/>
          <w:szCs w:val="32"/>
          <w:highlight w:val="none"/>
          <w:lang w:val="en-US" w:eastAsia="zh-CN"/>
        </w:rPr>
        <w:fldChar w:fldCharType="separate"/>
      </w:r>
      <w:r>
        <w:rPr>
          <w:rFonts w:hint="eastAsia" w:ascii="仿宋" w:hAnsi="仿宋" w:eastAsia="仿宋" w:cs="仿宋"/>
          <w:i w:val="0"/>
          <w:caps w:val="0"/>
          <w:color w:val="auto"/>
          <w:spacing w:val="0"/>
          <w:kern w:val="0"/>
          <w:sz w:val="32"/>
          <w:szCs w:val="32"/>
          <w:highlight w:val="none"/>
          <w:lang w:val="en-US" w:eastAsia="zh-CN"/>
        </w:rPr>
        <w:t>http://www.zcygov.cn/</w:t>
      </w:r>
      <w:r>
        <w:rPr>
          <w:rFonts w:hint="eastAsia" w:ascii="仿宋" w:hAnsi="仿宋" w:eastAsia="仿宋" w:cs="仿宋"/>
          <w:i w:val="0"/>
          <w:caps w:val="0"/>
          <w:color w:val="auto"/>
          <w:spacing w:val="0"/>
          <w:kern w:val="0"/>
          <w:sz w:val="32"/>
          <w:szCs w:val="32"/>
          <w:highlight w:val="none"/>
          <w:lang w:val="en-US" w:eastAsia="zh-CN"/>
        </w:rPr>
        <w:fldChar w:fldCharType="end"/>
      </w:r>
      <w:r>
        <w:rPr>
          <w:rFonts w:hint="eastAsia" w:ascii="仿宋" w:hAnsi="仿宋" w:eastAsia="仿宋" w:cs="仿宋"/>
          <w:i w:val="0"/>
          <w:caps w:val="0"/>
          <w:color w:val="auto"/>
          <w:spacing w:val="0"/>
          <w:kern w:val="0"/>
          <w:sz w:val="32"/>
          <w:szCs w:val="32"/>
          <w:highlight w:val="none"/>
          <w:lang w:val="en-US" w:eastAsia="zh-CN"/>
        </w:rPr>
        <w:t>，在线申请获取采购文件（登录政府采购云平台 → 项目采购 → 获取采购文件→ 申请，申请通过后可下载采购文件，如有操作性问题，可与政采云在线客服进行咨询，咨询电话：95763）</w:t>
      </w:r>
    </w:p>
    <w:p w14:paraId="5E4371F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方式：（1）线上获取（登录政府采购云平台 → 项目采购 → 获取采购文件→ 申请，申请通过后可下载采购文件）。本次采购不提供纸质版采购文件。</w:t>
      </w:r>
    </w:p>
    <w:p w14:paraId="0E2B2DA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（2）供应商获取采购文件前应注册成为政府采购云平台正式供应商。</w:t>
      </w:r>
    </w:p>
    <w:p w14:paraId="5A6AF9F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售价（元）：0</w:t>
      </w:r>
    </w:p>
    <w:p w14:paraId="5590C6A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color w:val="auto"/>
          <w:kern w:val="0"/>
          <w:sz w:val="32"/>
          <w:szCs w:val="32"/>
          <w:highlight w:val="none"/>
          <w:u w:val="none"/>
          <w:lang w:val="en-US" w:eastAsia="zh-CN" w:bidi="ar"/>
        </w:rPr>
      </w:pPr>
      <w:r>
        <w:rPr>
          <w:rFonts w:hint="eastAsia" w:ascii="仿宋" w:hAnsi="仿宋" w:eastAsia="仿宋" w:cs="仿宋"/>
          <w:b/>
          <w:bCs/>
          <w:color w:val="auto"/>
          <w:kern w:val="0"/>
          <w:sz w:val="32"/>
          <w:szCs w:val="32"/>
          <w:highlight w:val="none"/>
          <w:u w:val="none"/>
          <w:lang w:val="en-US" w:eastAsia="zh-CN" w:bidi="ar"/>
        </w:rPr>
        <w:t>四、响应文件提交</w:t>
      </w:r>
    </w:p>
    <w:p w14:paraId="49E541C8">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截止时间：2026年 11 月  11 日 10：30 （北京时间）</w:t>
      </w:r>
    </w:p>
    <w:p w14:paraId="2CA5B01C">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地点：</w:t>
      </w:r>
      <w:r>
        <w:rPr>
          <w:rFonts w:hint="eastAsia" w:ascii="仿宋" w:hAnsi="仿宋" w:eastAsia="仿宋" w:cs="仿宋"/>
          <w:color w:val="auto"/>
          <w:spacing w:val="9"/>
          <w:sz w:val="32"/>
          <w:szCs w:val="32"/>
          <w:lang w:eastAsia="zh-CN"/>
        </w:rPr>
        <w:t>政府采购云平台（</w:t>
      </w:r>
      <w:r>
        <w:rPr>
          <w:rFonts w:hint="eastAsia" w:ascii="仿宋" w:hAnsi="仿宋" w:eastAsia="仿宋" w:cs="仿宋"/>
          <w:color w:val="auto"/>
          <w:spacing w:val="9"/>
          <w:sz w:val="32"/>
          <w:szCs w:val="32"/>
          <w:lang w:eastAsia="zh-CN"/>
        </w:rPr>
        <w:fldChar w:fldCharType="begin"/>
      </w:r>
      <w:r>
        <w:rPr>
          <w:rFonts w:hint="eastAsia" w:ascii="仿宋" w:hAnsi="仿宋" w:eastAsia="仿宋" w:cs="仿宋"/>
          <w:color w:val="auto"/>
          <w:spacing w:val="9"/>
          <w:sz w:val="32"/>
          <w:szCs w:val="32"/>
          <w:lang w:eastAsia="zh-CN"/>
        </w:rPr>
        <w:instrText xml:space="preserve"> HYPERLINK "https://www.zcygov.cn" </w:instrText>
      </w:r>
      <w:r>
        <w:rPr>
          <w:rFonts w:hint="eastAsia" w:ascii="仿宋" w:hAnsi="仿宋" w:eastAsia="仿宋" w:cs="仿宋"/>
          <w:color w:val="auto"/>
          <w:spacing w:val="9"/>
          <w:sz w:val="32"/>
          <w:szCs w:val="32"/>
          <w:lang w:eastAsia="zh-CN"/>
        </w:rPr>
        <w:fldChar w:fldCharType="separate"/>
      </w:r>
      <w:r>
        <w:rPr>
          <w:rFonts w:hint="eastAsia" w:ascii="仿宋" w:hAnsi="仿宋" w:eastAsia="仿宋" w:cs="仿宋"/>
          <w:color w:val="auto"/>
          <w:spacing w:val="9"/>
          <w:sz w:val="32"/>
          <w:szCs w:val="32"/>
          <w:lang w:eastAsia="zh-CN"/>
        </w:rPr>
        <w:t>www.zcygov.cn</w:t>
      </w:r>
      <w:r>
        <w:rPr>
          <w:rFonts w:hint="eastAsia" w:ascii="仿宋" w:hAnsi="仿宋" w:eastAsia="仿宋" w:cs="仿宋"/>
          <w:color w:val="auto"/>
          <w:spacing w:val="9"/>
          <w:sz w:val="32"/>
          <w:szCs w:val="32"/>
          <w:lang w:eastAsia="zh-CN"/>
        </w:rPr>
        <w:fldChar w:fldCharType="end"/>
      </w:r>
      <w:r>
        <w:rPr>
          <w:rFonts w:hint="eastAsia" w:ascii="仿宋" w:hAnsi="仿宋" w:eastAsia="仿宋" w:cs="仿宋"/>
          <w:color w:val="auto"/>
          <w:spacing w:val="9"/>
          <w:sz w:val="32"/>
          <w:szCs w:val="32"/>
          <w:lang w:eastAsia="zh-CN"/>
        </w:rPr>
        <w:t>）</w:t>
      </w:r>
    </w:p>
    <w:p w14:paraId="232189B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color w:val="auto"/>
          <w:kern w:val="0"/>
          <w:sz w:val="32"/>
          <w:szCs w:val="32"/>
          <w:highlight w:val="none"/>
          <w:u w:val="none"/>
          <w:lang w:val="en-US" w:eastAsia="zh-CN" w:bidi="ar"/>
        </w:rPr>
      </w:pPr>
      <w:r>
        <w:rPr>
          <w:rFonts w:hint="eastAsia" w:ascii="仿宋" w:hAnsi="仿宋" w:eastAsia="仿宋" w:cs="仿宋"/>
          <w:b/>
          <w:bCs/>
          <w:color w:val="auto"/>
          <w:kern w:val="0"/>
          <w:sz w:val="32"/>
          <w:szCs w:val="32"/>
          <w:highlight w:val="none"/>
          <w:u w:val="none"/>
          <w:lang w:val="en-US" w:eastAsia="zh-CN" w:bidi="ar"/>
        </w:rPr>
        <w:t>五、响应文件开启</w:t>
      </w:r>
    </w:p>
    <w:p w14:paraId="59ABD200">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开启时间：2026年 11 月  11 日 10：30（北京时间）</w:t>
      </w:r>
    </w:p>
    <w:p w14:paraId="353F0BCD">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i w:val="0"/>
          <w:caps w:val="0"/>
          <w:color w:val="auto"/>
          <w:spacing w:val="0"/>
          <w:kern w:val="0"/>
          <w:sz w:val="32"/>
          <w:szCs w:val="32"/>
          <w:highlight w:val="none"/>
        </w:rPr>
      </w:pPr>
      <w:r>
        <w:rPr>
          <w:rFonts w:hint="eastAsia" w:ascii="仿宋" w:hAnsi="仿宋" w:eastAsia="仿宋" w:cs="仿宋"/>
          <w:i w:val="0"/>
          <w:caps w:val="0"/>
          <w:color w:val="auto"/>
          <w:spacing w:val="0"/>
          <w:kern w:val="0"/>
          <w:sz w:val="32"/>
          <w:szCs w:val="32"/>
          <w:highlight w:val="none"/>
        </w:rPr>
        <w:t>地点：投标人登录政采云平台https://www.zcygov.cn/，进入“项目采购-开标评标-右边选择对应项目点击“进入项目”进入开标大厅。</w:t>
      </w:r>
    </w:p>
    <w:p w14:paraId="31FE8C0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color w:val="auto"/>
          <w:kern w:val="0"/>
          <w:sz w:val="32"/>
          <w:szCs w:val="32"/>
          <w:highlight w:val="none"/>
          <w:u w:val="none"/>
          <w:lang w:val="en-US" w:eastAsia="zh-CN" w:bidi="ar"/>
        </w:rPr>
      </w:pPr>
      <w:r>
        <w:rPr>
          <w:rFonts w:hint="eastAsia" w:ascii="仿宋" w:hAnsi="仿宋" w:eastAsia="仿宋" w:cs="仿宋"/>
          <w:b/>
          <w:bCs/>
          <w:color w:val="auto"/>
          <w:kern w:val="0"/>
          <w:sz w:val="32"/>
          <w:szCs w:val="32"/>
          <w:highlight w:val="none"/>
          <w:u w:val="none"/>
          <w:lang w:val="en-US" w:eastAsia="zh-CN" w:bidi="ar"/>
        </w:rPr>
        <w:t>六、公告期限</w:t>
      </w:r>
    </w:p>
    <w:p w14:paraId="38446982">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自本公告发布之日起3个工作日</w:t>
      </w:r>
    </w:p>
    <w:p w14:paraId="521BC2AE">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color w:val="auto"/>
          <w:kern w:val="0"/>
          <w:sz w:val="32"/>
          <w:szCs w:val="32"/>
          <w:highlight w:val="none"/>
          <w:u w:val="none"/>
          <w:lang w:val="en-US" w:eastAsia="zh-CN" w:bidi="ar"/>
        </w:rPr>
      </w:pPr>
      <w:r>
        <w:rPr>
          <w:rFonts w:hint="eastAsia" w:ascii="仿宋" w:hAnsi="仿宋" w:eastAsia="仿宋" w:cs="仿宋"/>
          <w:b/>
          <w:bCs/>
          <w:color w:val="auto"/>
          <w:kern w:val="0"/>
          <w:sz w:val="32"/>
          <w:szCs w:val="32"/>
          <w:highlight w:val="none"/>
          <w:u w:val="none"/>
          <w:lang w:val="en-US" w:eastAsia="zh-CN" w:bidi="ar"/>
        </w:rPr>
        <w:t>七、其他补充事宜</w:t>
      </w:r>
    </w:p>
    <w:p w14:paraId="39422703">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400" w:lineRule="atLeast"/>
        <w:ind w:left="420" w:leftChars="200" w:right="0" w:firstLine="0" w:firstLineChars="0"/>
        <w:jc w:val="left"/>
        <w:textAlignment w:val="auto"/>
        <w:rPr>
          <w:rFonts w:hint="eastAsia" w:ascii="仿宋" w:hAnsi="仿宋" w:eastAsia="仿宋" w:cs="仿宋"/>
          <w:b w:val="0"/>
          <w:bCs w:val="0"/>
          <w:i w:val="0"/>
          <w:iCs w:val="0"/>
          <w:caps w:val="0"/>
          <w:color w:val="auto"/>
          <w:spacing w:val="0"/>
          <w:kern w:val="0"/>
          <w:sz w:val="32"/>
          <w:szCs w:val="32"/>
          <w:highlight w:val="none"/>
          <w:lang w:val="en-US" w:eastAsia="zh-CN" w:bidi="ar"/>
        </w:rPr>
      </w:pPr>
      <w:r>
        <w:rPr>
          <w:rFonts w:hint="eastAsia" w:ascii="仿宋" w:hAnsi="仿宋" w:eastAsia="仿宋" w:cs="仿宋"/>
          <w:b w:val="0"/>
          <w:bCs w:val="0"/>
          <w:i w:val="0"/>
          <w:iCs w:val="0"/>
          <w:caps w:val="0"/>
          <w:color w:val="auto"/>
          <w:spacing w:val="0"/>
          <w:kern w:val="0"/>
          <w:sz w:val="32"/>
          <w:szCs w:val="32"/>
          <w:highlight w:val="none"/>
          <w:lang w:val="en-US" w:eastAsia="zh-CN" w:bidi="ar"/>
        </w:rPr>
        <w:t> 1、本项目实行网上投标，采用电子投标文件。</w:t>
      </w:r>
    </w:p>
    <w:p w14:paraId="0B2D130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400" w:lineRule="atLeast"/>
        <w:ind w:left="420" w:leftChars="200" w:right="0" w:firstLine="0" w:firstLineChars="0"/>
        <w:jc w:val="left"/>
        <w:textAlignment w:val="auto"/>
        <w:rPr>
          <w:rFonts w:hint="eastAsia" w:ascii="仿宋" w:hAnsi="仿宋" w:eastAsia="仿宋" w:cs="仿宋"/>
          <w:b w:val="0"/>
          <w:bCs w:val="0"/>
          <w:i w:val="0"/>
          <w:iCs w:val="0"/>
          <w:caps w:val="0"/>
          <w:color w:val="auto"/>
          <w:spacing w:val="0"/>
          <w:kern w:val="0"/>
          <w:sz w:val="32"/>
          <w:szCs w:val="32"/>
          <w:highlight w:val="none"/>
          <w:lang w:val="en-US" w:eastAsia="zh-CN" w:bidi="ar"/>
        </w:rPr>
      </w:pPr>
      <w:r>
        <w:rPr>
          <w:rFonts w:hint="eastAsia" w:ascii="仿宋" w:hAnsi="仿宋" w:eastAsia="仿宋" w:cs="仿宋"/>
          <w:b w:val="0"/>
          <w:bCs w:val="0"/>
          <w:i w:val="0"/>
          <w:iCs w:val="0"/>
          <w:caps w:val="0"/>
          <w:color w:val="auto"/>
          <w:spacing w:val="0"/>
          <w:kern w:val="0"/>
          <w:sz w:val="32"/>
          <w:szCs w:val="32"/>
          <w:highlight w:val="none"/>
          <w:lang w:val="en-US" w:eastAsia="zh-CN" w:bidi="ar"/>
        </w:rPr>
        <w:t> 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7D99F85E">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400" w:lineRule="atLeast"/>
        <w:ind w:left="420" w:leftChars="200" w:right="0" w:firstLine="0" w:firstLineChars="0"/>
        <w:jc w:val="left"/>
        <w:textAlignment w:val="auto"/>
        <w:rPr>
          <w:rFonts w:hint="eastAsia" w:ascii="仿宋" w:hAnsi="仿宋" w:eastAsia="仿宋" w:cs="仿宋"/>
          <w:b w:val="0"/>
          <w:bCs w:val="0"/>
          <w:i w:val="0"/>
          <w:iCs w:val="0"/>
          <w:caps w:val="0"/>
          <w:color w:val="auto"/>
          <w:spacing w:val="0"/>
          <w:kern w:val="0"/>
          <w:sz w:val="32"/>
          <w:szCs w:val="32"/>
          <w:highlight w:val="none"/>
          <w:lang w:val="en-US" w:eastAsia="zh-CN" w:bidi="ar"/>
        </w:rPr>
      </w:pPr>
      <w:r>
        <w:rPr>
          <w:rFonts w:hint="eastAsia" w:ascii="仿宋" w:hAnsi="仿宋" w:eastAsia="仿宋" w:cs="仿宋"/>
          <w:b w:val="0"/>
          <w:bCs w:val="0"/>
          <w:i w:val="0"/>
          <w:iCs w:val="0"/>
          <w:caps w:val="0"/>
          <w:color w:val="auto"/>
          <w:spacing w:val="0"/>
          <w:kern w:val="0"/>
          <w:sz w:val="32"/>
          <w:szCs w:val="32"/>
          <w:highlight w:val="none"/>
          <w:lang w:val="en-US" w:eastAsia="zh-CN" w:bidi="ar"/>
        </w:rPr>
        <w:t>3、供应商将政采云电子交易客户端下载、安装完成后，可通过账号密码或CA登录客户端进行投标文件的制作。在使用政采云投标客户端时，建议使用WIN7及以上操作系统。</w:t>
      </w:r>
    </w:p>
    <w:p w14:paraId="3E0D39C6">
      <w:pPr>
        <w:pStyle w:val="2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400" w:lineRule="atLeast"/>
        <w:ind w:left="420" w:leftChars="200" w:right="0" w:firstLine="0" w:firstLineChars="0"/>
        <w:jc w:val="left"/>
        <w:textAlignment w:val="auto"/>
        <w:rPr>
          <w:rFonts w:hint="eastAsia" w:ascii="仿宋" w:hAnsi="仿宋" w:eastAsia="仿宋" w:cs="仿宋"/>
          <w:b w:val="0"/>
          <w:bCs w:val="0"/>
          <w:i w:val="0"/>
          <w:iCs w:val="0"/>
          <w:caps w:val="0"/>
          <w:color w:val="auto"/>
          <w:spacing w:val="0"/>
          <w:kern w:val="0"/>
          <w:sz w:val="32"/>
          <w:szCs w:val="32"/>
          <w:highlight w:val="none"/>
          <w:lang w:val="en-US" w:eastAsia="zh-CN" w:bidi="ar"/>
        </w:rPr>
      </w:pPr>
      <w:r>
        <w:rPr>
          <w:rFonts w:hint="eastAsia" w:ascii="仿宋" w:hAnsi="仿宋" w:eastAsia="仿宋" w:cs="仿宋"/>
          <w:b w:val="0"/>
          <w:bCs w:val="0"/>
          <w:i w:val="0"/>
          <w:iCs w:val="0"/>
          <w:caps w:val="0"/>
          <w:color w:val="auto"/>
          <w:spacing w:val="0"/>
          <w:kern w:val="0"/>
          <w:sz w:val="32"/>
          <w:szCs w:val="32"/>
          <w:highlight w:val="none"/>
          <w:lang w:val="en-US" w:eastAsia="zh-CN" w:bidi="ar"/>
        </w:rPr>
        <w:t>4、其他事项： 1.本项目采用全流程不见面电子开评标，投标供应商需要使用CA加密设备，供应商可通过新疆数字证书认证中心官网（https://www.xjca.com.cn/）或下载“新疆政务通”APP自行进行申领。</w:t>
      </w:r>
      <w:r>
        <w:rPr>
          <w:rFonts w:hint="eastAsia" w:ascii="仿宋" w:hAnsi="仿宋" w:eastAsia="仿宋" w:cs="仿宋"/>
          <w:b w:val="0"/>
          <w:bCs w:val="0"/>
          <w:i w:val="0"/>
          <w:iCs w:val="0"/>
          <w:caps w:val="0"/>
          <w:color w:val="auto"/>
          <w:spacing w:val="0"/>
          <w:kern w:val="0"/>
          <w:sz w:val="32"/>
          <w:szCs w:val="32"/>
          <w:highlight w:val="none"/>
          <w:lang w:val="en-US" w:eastAsia="zh-CN" w:bidi="ar"/>
        </w:rPr>
        <w:br w:type="textWrapping"/>
      </w:r>
      <w:r>
        <w:rPr>
          <w:rFonts w:hint="eastAsia" w:ascii="仿宋" w:hAnsi="仿宋" w:eastAsia="仿宋" w:cs="仿宋"/>
          <w:b w:val="0"/>
          <w:bCs w:val="0"/>
          <w:i w:val="0"/>
          <w:iCs w:val="0"/>
          <w:caps w:val="0"/>
          <w:color w:val="auto"/>
          <w:spacing w:val="0"/>
          <w:kern w:val="0"/>
          <w:sz w:val="32"/>
          <w:szCs w:val="32"/>
          <w:highlight w:val="none"/>
          <w:lang w:val="en-US" w:eastAsia="zh-CN" w:bidi="ar"/>
        </w:rPr>
        <w:t xml:space="preserve">   2.本项目实行网上投标，采用加密电子投标文件(供应商须使用CA加密设备通过政采云电子投标客户端制作投标文件)。若供应商参与投标，自行承担投标一切费用。</w:t>
      </w:r>
      <w:r>
        <w:rPr>
          <w:rFonts w:hint="eastAsia" w:ascii="仿宋" w:hAnsi="仿宋" w:eastAsia="仿宋" w:cs="仿宋"/>
          <w:b w:val="0"/>
          <w:bCs w:val="0"/>
          <w:i w:val="0"/>
          <w:iCs w:val="0"/>
          <w:caps w:val="0"/>
          <w:color w:val="auto"/>
          <w:spacing w:val="0"/>
          <w:kern w:val="0"/>
          <w:sz w:val="32"/>
          <w:szCs w:val="32"/>
          <w:highlight w:val="none"/>
          <w:lang w:val="en-US" w:eastAsia="zh-CN" w:bidi="ar"/>
        </w:rPr>
        <w:br w:type="textWrapping"/>
      </w:r>
      <w:r>
        <w:rPr>
          <w:rFonts w:hint="eastAsia" w:ascii="仿宋" w:hAnsi="仿宋" w:eastAsia="仿宋" w:cs="仿宋"/>
          <w:b w:val="0"/>
          <w:bCs w:val="0"/>
          <w:i w:val="0"/>
          <w:iCs w:val="0"/>
          <w:caps w:val="0"/>
          <w:color w:val="auto"/>
          <w:spacing w:val="0"/>
          <w:kern w:val="0"/>
          <w:sz w:val="32"/>
          <w:szCs w:val="32"/>
          <w:highlight w:val="none"/>
          <w:lang w:val="en-US" w:eastAsia="zh-CN" w:bidi="ar"/>
        </w:rPr>
        <w:t xml:space="preserve">   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r>
        <w:rPr>
          <w:rFonts w:hint="eastAsia" w:ascii="仿宋" w:hAnsi="仿宋" w:eastAsia="仿宋" w:cs="仿宋"/>
          <w:b w:val="0"/>
          <w:bCs w:val="0"/>
          <w:i w:val="0"/>
          <w:iCs w:val="0"/>
          <w:caps w:val="0"/>
          <w:color w:val="auto"/>
          <w:spacing w:val="0"/>
          <w:kern w:val="0"/>
          <w:sz w:val="32"/>
          <w:szCs w:val="32"/>
          <w:highlight w:val="none"/>
          <w:lang w:val="en-US" w:eastAsia="zh-CN" w:bidi="ar"/>
        </w:rPr>
        <w:br w:type="textWrapping"/>
      </w:r>
      <w:r>
        <w:rPr>
          <w:rFonts w:hint="eastAsia" w:ascii="仿宋" w:hAnsi="仿宋" w:eastAsia="仿宋" w:cs="仿宋"/>
          <w:b w:val="0"/>
          <w:bCs w:val="0"/>
          <w:i w:val="0"/>
          <w:iCs w:val="0"/>
          <w:caps w:val="0"/>
          <w:color w:val="auto"/>
          <w:spacing w:val="0"/>
          <w:kern w:val="0"/>
          <w:sz w:val="32"/>
          <w:szCs w:val="32"/>
          <w:highlight w:val="none"/>
          <w:lang w:val="en-US" w:eastAsia="zh-CN" w:bidi="ar"/>
        </w:rPr>
        <w:t xml:space="preserve">   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r>
        <w:rPr>
          <w:rFonts w:hint="eastAsia" w:ascii="仿宋" w:hAnsi="仿宋" w:eastAsia="仿宋" w:cs="仿宋"/>
          <w:b w:val="0"/>
          <w:bCs w:val="0"/>
          <w:i w:val="0"/>
          <w:iCs w:val="0"/>
          <w:caps w:val="0"/>
          <w:color w:val="auto"/>
          <w:spacing w:val="0"/>
          <w:kern w:val="0"/>
          <w:sz w:val="32"/>
          <w:szCs w:val="32"/>
          <w:highlight w:val="none"/>
          <w:lang w:val="en-US" w:eastAsia="zh-CN" w:bidi="ar"/>
        </w:rPr>
        <w:br w:type="textWrapping"/>
      </w:r>
      <w:r>
        <w:rPr>
          <w:rFonts w:hint="eastAsia" w:ascii="仿宋" w:hAnsi="仿宋" w:eastAsia="仿宋" w:cs="仿宋"/>
          <w:b w:val="0"/>
          <w:bCs w:val="0"/>
          <w:i w:val="0"/>
          <w:iCs w:val="0"/>
          <w:caps w:val="0"/>
          <w:color w:val="auto"/>
          <w:spacing w:val="0"/>
          <w:kern w:val="0"/>
          <w:sz w:val="32"/>
          <w:szCs w:val="32"/>
          <w:highlight w:val="none"/>
          <w:lang w:val="en-US" w:eastAsia="zh-CN" w:bidi="ar"/>
        </w:rPr>
        <w:t xml:space="preserve">   5.供应商在开标时须使用制作加密电子投标文件所使用的CA锁及电脑，电脑须提前配置好浏览器（建议使用谷歌浏览器），以便开标时解锁。</w:t>
      </w:r>
      <w:r>
        <w:rPr>
          <w:rFonts w:hint="eastAsia" w:ascii="仿宋" w:hAnsi="仿宋" w:eastAsia="仿宋" w:cs="仿宋"/>
          <w:b w:val="0"/>
          <w:bCs w:val="0"/>
          <w:i w:val="0"/>
          <w:iCs w:val="0"/>
          <w:caps w:val="0"/>
          <w:color w:val="auto"/>
          <w:spacing w:val="0"/>
          <w:kern w:val="0"/>
          <w:sz w:val="32"/>
          <w:szCs w:val="32"/>
          <w:highlight w:val="none"/>
          <w:lang w:val="en-US" w:eastAsia="zh-CN" w:bidi="ar"/>
        </w:rPr>
        <w:br w:type="textWrapping"/>
      </w:r>
      <w:r>
        <w:rPr>
          <w:rFonts w:hint="eastAsia" w:ascii="仿宋" w:hAnsi="仿宋" w:eastAsia="仿宋" w:cs="仿宋"/>
          <w:b w:val="0"/>
          <w:bCs w:val="0"/>
          <w:i w:val="0"/>
          <w:iCs w:val="0"/>
          <w:caps w:val="0"/>
          <w:color w:val="auto"/>
          <w:spacing w:val="0"/>
          <w:kern w:val="0"/>
          <w:sz w:val="32"/>
          <w:szCs w:val="32"/>
          <w:highlight w:val="none"/>
          <w:lang w:val="en-US" w:eastAsia="zh-CN" w:bidi="ar"/>
        </w:rPr>
        <w:t xml:space="preserve">   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r>
        <w:rPr>
          <w:rFonts w:hint="eastAsia" w:ascii="仿宋" w:hAnsi="仿宋" w:eastAsia="仿宋" w:cs="仿宋"/>
          <w:b w:val="0"/>
          <w:bCs w:val="0"/>
          <w:i w:val="0"/>
          <w:iCs w:val="0"/>
          <w:caps w:val="0"/>
          <w:color w:val="auto"/>
          <w:spacing w:val="0"/>
          <w:kern w:val="0"/>
          <w:sz w:val="32"/>
          <w:szCs w:val="32"/>
          <w:highlight w:val="none"/>
          <w:lang w:val="en-US" w:eastAsia="zh-CN" w:bidi="ar"/>
        </w:rPr>
        <w:br w:type="textWrapping"/>
      </w:r>
      <w:r>
        <w:rPr>
          <w:rFonts w:hint="eastAsia" w:ascii="仿宋" w:hAnsi="仿宋" w:eastAsia="仿宋" w:cs="仿宋"/>
          <w:b w:val="0"/>
          <w:bCs w:val="0"/>
          <w:i w:val="0"/>
          <w:iCs w:val="0"/>
          <w:caps w:val="0"/>
          <w:color w:val="auto"/>
          <w:spacing w:val="0"/>
          <w:kern w:val="0"/>
          <w:sz w:val="32"/>
          <w:szCs w:val="32"/>
          <w:highlight w:val="none"/>
          <w:lang w:val="en-US" w:eastAsia="zh-CN" w:bidi="ar"/>
        </w:rPr>
        <w:t xml:space="preserve">   7.为了保证开评标顺利进行，政采云线上开标功能完全实现，供应商开标所使用的电脑设备须具有视频及语音功能。</w:t>
      </w:r>
    </w:p>
    <w:p w14:paraId="560C6FDE">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b/>
          <w:bCs/>
          <w:color w:val="auto"/>
          <w:kern w:val="0"/>
          <w:sz w:val="32"/>
          <w:szCs w:val="32"/>
          <w:highlight w:val="none"/>
          <w:u w:val="none"/>
          <w:lang w:val="en-US" w:eastAsia="zh-CN" w:bidi="ar"/>
        </w:rPr>
        <w:t xml:space="preserve">八、凡对本次招标提出询问，请按以下方式联系 </w:t>
      </w:r>
      <w:r>
        <w:rPr>
          <w:rFonts w:hint="eastAsia" w:ascii="仿宋" w:hAnsi="仿宋" w:eastAsia="仿宋" w:cs="仿宋"/>
          <w:color w:val="auto"/>
          <w:kern w:val="0"/>
          <w:sz w:val="32"/>
          <w:szCs w:val="32"/>
          <w:highlight w:val="none"/>
          <w:u w:val="none"/>
          <w:lang w:val="en-US" w:eastAsia="zh-CN" w:bidi="ar"/>
        </w:rPr>
        <w:t xml:space="preserve">        </w:t>
      </w:r>
    </w:p>
    <w:p w14:paraId="3ECA5A7F">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1.采购人信息</w:t>
      </w:r>
    </w:p>
    <w:p w14:paraId="58BE812E">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 xml:space="preserve">名    称：克孜勒苏柯尔克孜自治州机关事务管理局         </w:t>
      </w:r>
    </w:p>
    <w:p w14:paraId="5895B164">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default"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地    址：</w:t>
      </w:r>
      <w:r>
        <w:rPr>
          <w:rFonts w:hint="eastAsia" w:ascii="仿宋" w:hAnsi="仿宋" w:eastAsia="仿宋" w:cs="仿宋"/>
          <w:i w:val="0"/>
          <w:iCs w:val="0"/>
          <w:caps w:val="0"/>
          <w:color w:val="000000"/>
          <w:spacing w:val="0"/>
          <w:sz w:val="32"/>
          <w:szCs w:val="32"/>
          <w:lang w:val="en-US" w:eastAsia="zh-CN"/>
        </w:rPr>
        <w:t>阿图什市</w:t>
      </w:r>
    </w:p>
    <w:p w14:paraId="7651BCEC">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 xml:space="preserve">联系方式：19999781002  </w:t>
      </w:r>
    </w:p>
    <w:p w14:paraId="242EDE2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2.采购代理机构信息</w:t>
      </w:r>
    </w:p>
    <w:p w14:paraId="1391D894">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 xml:space="preserve">名    称：新疆万邦建业工程项目管理有限公司    </w:t>
      </w:r>
    </w:p>
    <w:p w14:paraId="21719270">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 xml:space="preserve">地    址：阿图什市友谊北路26号移动公司对面        </w:t>
      </w:r>
    </w:p>
    <w:p w14:paraId="3D0DBF1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联系方式：</w:t>
      </w:r>
      <w:r>
        <w:rPr>
          <w:rFonts w:hint="eastAsia" w:ascii="仿宋" w:hAnsi="仿宋" w:eastAsia="仿宋" w:cs="仿宋"/>
          <w:color w:val="auto"/>
          <w:kern w:val="0"/>
          <w:sz w:val="32"/>
          <w:szCs w:val="32"/>
          <w:highlight w:val="none"/>
          <w:u w:val="none"/>
          <w:lang w:eastAsia="zh-CN" w:bidi="ar"/>
        </w:rPr>
        <w:t>18167696669</w:t>
      </w:r>
      <w:r>
        <w:rPr>
          <w:rFonts w:hint="eastAsia" w:ascii="仿宋" w:hAnsi="仿宋" w:eastAsia="仿宋" w:cs="仿宋"/>
          <w:color w:val="auto"/>
          <w:kern w:val="0"/>
          <w:sz w:val="32"/>
          <w:szCs w:val="32"/>
          <w:highlight w:val="none"/>
          <w:u w:val="none"/>
          <w:lang w:val="en-US" w:eastAsia="zh-CN" w:bidi="ar"/>
        </w:rPr>
        <w:t xml:space="preserve"> </w:t>
      </w:r>
    </w:p>
    <w:p w14:paraId="407C3DB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3.项目联系方式</w:t>
      </w:r>
    </w:p>
    <w:p w14:paraId="555B489D">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项目联系人：佟先生</w:t>
      </w:r>
    </w:p>
    <w:p w14:paraId="1A3AD632">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640" w:firstLineChars="200"/>
        <w:jc w:val="left"/>
        <w:textAlignment w:val="auto"/>
        <w:rPr>
          <w:rFonts w:hint="eastAsia" w:ascii="宋体"/>
          <w:b/>
          <w:color w:val="auto"/>
          <w:sz w:val="32"/>
          <w:szCs w:val="32"/>
          <w:highlight w:val="none"/>
        </w:rPr>
      </w:pPr>
      <w:r>
        <w:rPr>
          <w:rFonts w:hint="eastAsia" w:ascii="仿宋" w:hAnsi="仿宋" w:eastAsia="仿宋" w:cs="仿宋"/>
          <w:color w:val="auto"/>
          <w:kern w:val="0"/>
          <w:sz w:val="32"/>
          <w:szCs w:val="32"/>
          <w:highlight w:val="none"/>
          <w:u w:val="none"/>
          <w:lang w:val="en-US" w:eastAsia="zh-CN" w:bidi="ar"/>
        </w:rPr>
        <w:t>电 话：</w:t>
      </w:r>
      <w:r>
        <w:rPr>
          <w:rFonts w:hint="eastAsia" w:ascii="仿宋" w:hAnsi="仿宋" w:eastAsia="仿宋" w:cs="仿宋"/>
          <w:color w:val="auto"/>
          <w:kern w:val="0"/>
          <w:sz w:val="32"/>
          <w:szCs w:val="32"/>
          <w:highlight w:val="none"/>
          <w:u w:val="none"/>
          <w:lang w:eastAsia="zh-CN" w:bidi="ar"/>
        </w:rPr>
        <w:t>18167696669</w:t>
      </w:r>
    </w:p>
    <w:p w14:paraId="0E5EB737">
      <w:pPr>
        <w:spacing w:line="500" w:lineRule="exact"/>
        <w:jc w:val="both"/>
        <w:outlineLvl w:val="0"/>
        <w:rPr>
          <w:rFonts w:hint="eastAsia" w:ascii="仿宋" w:hAnsi="仿宋" w:eastAsia="仿宋" w:cs="仿宋"/>
          <w:b/>
          <w:color w:val="auto"/>
          <w:sz w:val="40"/>
          <w:szCs w:val="40"/>
          <w:highlight w:val="none"/>
        </w:rPr>
      </w:pPr>
      <w:bookmarkStart w:id="3" w:name="_Toc16423"/>
    </w:p>
    <w:p w14:paraId="2BDD9F4B">
      <w:pPr>
        <w:spacing w:line="500" w:lineRule="exact"/>
        <w:jc w:val="center"/>
        <w:outlineLvl w:val="0"/>
        <w:rPr>
          <w:rFonts w:hint="eastAsia" w:ascii="仿宋" w:hAnsi="仿宋" w:eastAsia="仿宋" w:cs="仿宋"/>
          <w:b/>
          <w:color w:val="auto"/>
          <w:sz w:val="40"/>
          <w:szCs w:val="40"/>
          <w:highlight w:val="none"/>
        </w:rPr>
      </w:pPr>
    </w:p>
    <w:p w14:paraId="7A3BB61A">
      <w:pPr>
        <w:spacing w:line="500" w:lineRule="exact"/>
        <w:jc w:val="center"/>
        <w:outlineLvl w:val="0"/>
        <w:rPr>
          <w:rFonts w:hint="eastAsia" w:ascii="宋体"/>
          <w:b/>
          <w:color w:val="auto"/>
          <w:sz w:val="32"/>
          <w:szCs w:val="32"/>
          <w:highlight w:val="none"/>
        </w:rPr>
      </w:pPr>
      <w:r>
        <w:rPr>
          <w:rFonts w:hint="eastAsia" w:ascii="仿宋" w:hAnsi="仿宋" w:eastAsia="仿宋" w:cs="仿宋"/>
          <w:b/>
          <w:color w:val="auto"/>
          <w:sz w:val="40"/>
          <w:szCs w:val="40"/>
          <w:highlight w:val="none"/>
        </w:rPr>
        <w:t>第二章 投标人须知</w:t>
      </w:r>
      <w:bookmarkEnd w:id="2"/>
      <w:bookmarkEnd w:id="3"/>
    </w:p>
    <w:p w14:paraId="3E4D6907">
      <w:pPr>
        <w:snapToGrid w:val="0"/>
        <w:spacing w:line="500" w:lineRule="exact"/>
        <w:jc w:val="center"/>
        <w:outlineLvl w:val="1"/>
        <w:rPr>
          <w:rFonts w:hint="eastAsia" w:ascii="仿宋" w:hAnsi="仿宋" w:eastAsia="仿宋" w:cs="仿宋"/>
          <w:b/>
          <w:color w:val="auto"/>
          <w:sz w:val="32"/>
          <w:szCs w:val="32"/>
          <w:highlight w:val="none"/>
        </w:rPr>
      </w:pPr>
      <w:bookmarkStart w:id="4" w:name="_Toc8321"/>
      <w:bookmarkStart w:id="5" w:name="_Toc21988"/>
      <w:bookmarkStart w:id="6" w:name="_Toc12375"/>
      <w:r>
        <w:rPr>
          <w:rFonts w:hint="eastAsia" w:ascii="仿宋" w:hAnsi="仿宋" w:eastAsia="仿宋" w:cs="仿宋"/>
          <w:b/>
          <w:color w:val="auto"/>
          <w:sz w:val="32"/>
          <w:szCs w:val="32"/>
          <w:highlight w:val="none"/>
        </w:rPr>
        <w:t>一、投标人须知前附表</w:t>
      </w:r>
      <w:bookmarkEnd w:id="4"/>
      <w:bookmarkEnd w:id="5"/>
      <w:bookmarkEnd w:id="6"/>
    </w:p>
    <w:tbl>
      <w:tblPr>
        <w:tblStyle w:val="28"/>
        <w:tblW w:w="9854" w:type="dxa"/>
        <w:tblInd w:w="2"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625"/>
        <w:gridCol w:w="1636"/>
        <w:gridCol w:w="7593"/>
      </w:tblGrid>
      <w:tr w14:paraId="22C8D9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blHeader/>
        </w:trPr>
        <w:tc>
          <w:tcPr>
            <w:tcW w:w="0" w:type="auto"/>
            <w:noWrap w:val="0"/>
            <w:vAlign w:val="center"/>
          </w:tcPr>
          <w:p w14:paraId="51C31333">
            <w:pPr>
              <w:pStyle w:val="12"/>
              <w:snapToGrid w:val="0"/>
              <w:spacing w:line="240" w:lineRule="auto"/>
              <w:ind w:left="0" w:leftChars="0" w:right="0" w:rightChars="0" w:firstLine="0" w:firstLineChars="0"/>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条款号</w:t>
            </w:r>
          </w:p>
        </w:tc>
        <w:tc>
          <w:tcPr>
            <w:tcW w:w="0" w:type="auto"/>
            <w:noWrap w:val="0"/>
            <w:vAlign w:val="center"/>
          </w:tcPr>
          <w:p w14:paraId="4560DA71">
            <w:pPr>
              <w:pStyle w:val="12"/>
              <w:snapToGrid w:val="0"/>
              <w:spacing w:line="240" w:lineRule="auto"/>
              <w:ind w:left="0" w:leftChars="0" w:right="0" w:rightChars="0" w:firstLine="0" w:firstLineChars="0"/>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内容</w:t>
            </w:r>
          </w:p>
        </w:tc>
        <w:tc>
          <w:tcPr>
            <w:tcW w:w="7593" w:type="dxa"/>
            <w:noWrap w:val="0"/>
            <w:vAlign w:val="center"/>
          </w:tcPr>
          <w:p w14:paraId="566CC7C7">
            <w:pPr>
              <w:pStyle w:val="12"/>
              <w:snapToGrid w:val="0"/>
              <w:spacing w:line="240" w:lineRule="auto"/>
              <w:ind w:left="0" w:leftChars="0" w:right="0" w:rightChars="0" w:firstLine="0" w:firstLineChars="0"/>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说明与要求</w:t>
            </w:r>
          </w:p>
        </w:tc>
      </w:tr>
      <w:tr w14:paraId="5825AD2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60AB8C74">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0" w:type="auto"/>
            <w:noWrap w:val="0"/>
            <w:vAlign w:val="center"/>
          </w:tcPr>
          <w:p w14:paraId="26B622A6">
            <w:pPr>
              <w:widowControl/>
              <w:snapToGrid w:val="0"/>
              <w:spacing w:line="240" w:lineRule="auto"/>
              <w:ind w:left="0" w:leftChars="0" w:right="0" w:rightChars="0" w:firstLine="0" w:firstLineChars="0"/>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项目名称</w:t>
            </w:r>
          </w:p>
          <w:p w14:paraId="1C8A0C83">
            <w:pPr>
              <w:widowControl/>
              <w:snapToGrid w:val="0"/>
              <w:spacing w:line="240" w:lineRule="auto"/>
              <w:ind w:left="0" w:leftChars="0" w:right="0" w:rightChars="0" w:firstLine="0" w:firstLineChars="0"/>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项目编号</w:t>
            </w:r>
          </w:p>
          <w:p w14:paraId="1DE39666">
            <w:pPr>
              <w:widowControl/>
              <w:snapToGrid w:val="0"/>
              <w:spacing w:line="240" w:lineRule="auto"/>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kern w:val="2"/>
                <w:sz w:val="32"/>
                <w:szCs w:val="32"/>
                <w:highlight w:val="none"/>
                <w:u w:val="none" w:color="000000"/>
                <w:lang w:val="en-US" w:eastAsia="zh-CN" w:bidi="ar-SA"/>
              </w:rPr>
              <w:t>内容</w:t>
            </w:r>
          </w:p>
        </w:tc>
        <w:tc>
          <w:tcPr>
            <w:tcW w:w="7593" w:type="dxa"/>
            <w:noWrap w:val="0"/>
            <w:vAlign w:val="center"/>
          </w:tcPr>
          <w:p w14:paraId="76951F8D">
            <w:pPr>
              <w:widowControl/>
              <w:snapToGrid w:val="0"/>
              <w:spacing w:line="240" w:lineRule="auto"/>
              <w:ind w:left="0" w:leftChars="0" w:right="0" w:rightChars="0" w:firstLine="0" w:firstLineChars="0"/>
              <w:jc w:val="left"/>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项目名称：克州机关事务管理局梧桐苑小区劳务服务及其他劳务服务采购项目</w:t>
            </w:r>
          </w:p>
          <w:p w14:paraId="05E9A902">
            <w:pPr>
              <w:widowControl/>
              <w:snapToGrid w:val="0"/>
              <w:spacing w:line="240" w:lineRule="auto"/>
              <w:ind w:left="0" w:leftChars="0" w:right="0" w:rightChars="0" w:firstLine="0" w:firstLineChars="0"/>
              <w:jc w:val="left"/>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 xml:space="preserve">项目编号：KZZB-2026137 </w:t>
            </w:r>
          </w:p>
          <w:p w14:paraId="08EE5FDA">
            <w:pPr>
              <w:widowControl/>
              <w:snapToGrid w:val="0"/>
              <w:spacing w:line="240" w:lineRule="auto"/>
              <w:ind w:left="0" w:leftChars="0" w:right="0" w:rightChars="0" w:firstLine="0" w:firstLineChars="0"/>
              <w:jc w:val="left"/>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采购内容：梧桐苑小区劳务服务及其他劳务服务。（详见采购需求或磋商文件）</w:t>
            </w:r>
          </w:p>
        </w:tc>
      </w:tr>
      <w:tr w14:paraId="4F8611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15E8A85D">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p>
        </w:tc>
        <w:tc>
          <w:tcPr>
            <w:tcW w:w="0" w:type="auto"/>
            <w:noWrap w:val="0"/>
            <w:vAlign w:val="center"/>
          </w:tcPr>
          <w:p w14:paraId="3B0D12F0">
            <w:pPr>
              <w:widowControl/>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采购人信息</w:t>
            </w:r>
          </w:p>
        </w:tc>
        <w:tc>
          <w:tcPr>
            <w:tcW w:w="7593" w:type="dxa"/>
            <w:noWrap w:val="0"/>
            <w:vAlign w:val="center"/>
          </w:tcPr>
          <w:p w14:paraId="3B7FFC60">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采购单位：克孜勒苏柯尔克孜自治州机关事务管理局</w:t>
            </w:r>
          </w:p>
          <w:p w14:paraId="1B454C08">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 系 人：依先生    联系电话：19999781002</w:t>
            </w:r>
          </w:p>
        </w:tc>
      </w:tr>
      <w:tr w14:paraId="11862BC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095E8143">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p>
        </w:tc>
        <w:tc>
          <w:tcPr>
            <w:tcW w:w="0" w:type="auto"/>
            <w:noWrap w:val="0"/>
            <w:vAlign w:val="center"/>
          </w:tcPr>
          <w:p w14:paraId="7E4B44A4">
            <w:pPr>
              <w:widowControl/>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采购代理机构</w:t>
            </w:r>
          </w:p>
        </w:tc>
        <w:tc>
          <w:tcPr>
            <w:tcW w:w="7593" w:type="dxa"/>
            <w:noWrap w:val="0"/>
            <w:vAlign w:val="center"/>
          </w:tcPr>
          <w:p w14:paraId="4274C538">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名  称：新疆万邦建业工程项目管理有限公司</w:t>
            </w:r>
          </w:p>
          <w:p w14:paraId="1CB0E3EB">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地  址：</w:t>
            </w:r>
            <w:r>
              <w:rPr>
                <w:rFonts w:hint="eastAsia" w:ascii="仿宋" w:hAnsi="仿宋" w:eastAsia="仿宋" w:cs="仿宋"/>
                <w:color w:val="auto"/>
                <w:kern w:val="0"/>
                <w:sz w:val="32"/>
                <w:szCs w:val="32"/>
                <w:highlight w:val="none"/>
                <w:u w:val="none"/>
                <w:lang w:val="en-US" w:eastAsia="zh-CN" w:bidi="ar"/>
              </w:rPr>
              <w:t xml:space="preserve">阿图什市友谊北路26号移动公司对面 </w:t>
            </w:r>
            <w:r>
              <w:rPr>
                <w:rFonts w:hint="eastAsia" w:ascii="仿宋" w:hAnsi="仿宋" w:eastAsia="仿宋" w:cs="仿宋"/>
                <w:color w:val="auto"/>
                <w:sz w:val="32"/>
                <w:szCs w:val="32"/>
                <w:highlight w:val="none"/>
                <w:lang w:val="en-US" w:eastAsia="zh-CN"/>
              </w:rPr>
              <w:t xml:space="preserve"> </w:t>
            </w:r>
          </w:p>
          <w:p w14:paraId="3F2A42F0">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联系人：佟先生  联系电话：</w:t>
            </w:r>
            <w:r>
              <w:rPr>
                <w:rFonts w:hint="eastAsia" w:ascii="仿宋" w:hAnsi="仿宋" w:eastAsia="仿宋" w:cs="仿宋"/>
                <w:color w:val="auto"/>
                <w:sz w:val="32"/>
                <w:szCs w:val="32"/>
                <w:highlight w:val="none"/>
                <w:lang w:eastAsia="zh-CN"/>
              </w:rPr>
              <w:t>18167696669</w:t>
            </w:r>
          </w:p>
        </w:tc>
      </w:tr>
      <w:tr w14:paraId="2DDEBD4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0376F9DF">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p>
        </w:tc>
        <w:tc>
          <w:tcPr>
            <w:tcW w:w="0" w:type="auto"/>
            <w:noWrap w:val="0"/>
            <w:vAlign w:val="center"/>
          </w:tcPr>
          <w:p w14:paraId="48EDF4A6">
            <w:pPr>
              <w:widowControl/>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最终服务地点</w:t>
            </w:r>
          </w:p>
        </w:tc>
        <w:tc>
          <w:tcPr>
            <w:tcW w:w="7593" w:type="dxa"/>
            <w:noWrap w:val="0"/>
            <w:vAlign w:val="center"/>
          </w:tcPr>
          <w:p w14:paraId="2F4F2A1F">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甲方指定地点</w:t>
            </w:r>
          </w:p>
        </w:tc>
      </w:tr>
      <w:tr w14:paraId="1CA1722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57ED1E1A">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w:t>
            </w:r>
          </w:p>
        </w:tc>
        <w:tc>
          <w:tcPr>
            <w:tcW w:w="0" w:type="auto"/>
            <w:noWrap w:val="0"/>
            <w:vAlign w:val="center"/>
          </w:tcPr>
          <w:p w14:paraId="4C232005">
            <w:pPr>
              <w:widowControl/>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付款方式</w:t>
            </w:r>
          </w:p>
        </w:tc>
        <w:tc>
          <w:tcPr>
            <w:tcW w:w="7593" w:type="dxa"/>
            <w:noWrap w:val="0"/>
            <w:vAlign w:val="center"/>
          </w:tcPr>
          <w:p w14:paraId="6A482167">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按季度支付，具体以甲乙双方签订采购合同为准。</w:t>
            </w:r>
          </w:p>
        </w:tc>
      </w:tr>
      <w:tr w14:paraId="7AD0BF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723E4094">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w:t>
            </w:r>
          </w:p>
        </w:tc>
        <w:tc>
          <w:tcPr>
            <w:tcW w:w="0" w:type="auto"/>
            <w:noWrap w:val="0"/>
            <w:vAlign w:val="center"/>
          </w:tcPr>
          <w:p w14:paraId="4F77F8B8">
            <w:pPr>
              <w:widowControl/>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服务期限</w:t>
            </w:r>
          </w:p>
        </w:tc>
        <w:tc>
          <w:tcPr>
            <w:tcW w:w="7593" w:type="dxa"/>
            <w:noWrap w:val="0"/>
            <w:vAlign w:val="center"/>
          </w:tcPr>
          <w:p w14:paraId="3C7478F2">
            <w:pPr>
              <w:widowControl/>
              <w:snapToGrid w:val="0"/>
              <w:spacing w:line="240" w:lineRule="auto"/>
              <w:ind w:left="0" w:leftChars="0" w:right="0" w:rightChars="0" w:firstLine="0" w:firstLineChars="0"/>
              <w:jc w:val="left"/>
              <w:rPr>
                <w:rFonts w:hint="default" w:ascii="仿宋" w:hAnsi="仿宋" w:eastAsia="仿宋" w:cs="仿宋"/>
                <w:color w:val="auto"/>
                <w:sz w:val="32"/>
                <w:szCs w:val="32"/>
                <w:highlight w:val="none"/>
                <w:lang w:val="en-US" w:eastAsia="zh-CN"/>
              </w:rPr>
            </w:pPr>
            <w:r>
              <w:rPr>
                <w:rFonts w:hint="eastAsia" w:ascii="仿宋" w:hAnsi="仿宋" w:eastAsia="仿宋" w:cs="仿宋"/>
                <w:color w:val="auto"/>
                <w:kern w:val="2"/>
                <w:sz w:val="32"/>
                <w:szCs w:val="32"/>
                <w:highlight w:val="none"/>
                <w:u w:val="none" w:color="000000"/>
                <w:lang w:val="en-US" w:eastAsia="zh-CN" w:bidi="ar-SA"/>
              </w:rPr>
              <w:t>一年。（具体以甲乙双方签订采购合同为准）</w:t>
            </w:r>
          </w:p>
        </w:tc>
      </w:tr>
      <w:tr w14:paraId="3AB42F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799E259B">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w:t>
            </w:r>
          </w:p>
        </w:tc>
        <w:tc>
          <w:tcPr>
            <w:tcW w:w="0" w:type="auto"/>
            <w:noWrap w:val="0"/>
            <w:vAlign w:val="center"/>
          </w:tcPr>
          <w:p w14:paraId="008C1BDF">
            <w:pPr>
              <w:widowControl/>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资金来源</w:t>
            </w:r>
          </w:p>
        </w:tc>
        <w:tc>
          <w:tcPr>
            <w:tcW w:w="7593" w:type="dxa"/>
            <w:noWrap w:val="0"/>
            <w:vAlign w:val="center"/>
          </w:tcPr>
          <w:p w14:paraId="38E955D7">
            <w:pPr>
              <w:widowControl/>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财政资金</w:t>
            </w:r>
          </w:p>
        </w:tc>
      </w:tr>
      <w:tr w14:paraId="78D323E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59EE090E">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8</w:t>
            </w:r>
          </w:p>
        </w:tc>
        <w:tc>
          <w:tcPr>
            <w:tcW w:w="0" w:type="auto"/>
            <w:noWrap w:val="0"/>
            <w:vAlign w:val="center"/>
          </w:tcPr>
          <w:p w14:paraId="1CEDEF02">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招标方式</w:t>
            </w:r>
          </w:p>
        </w:tc>
        <w:tc>
          <w:tcPr>
            <w:tcW w:w="7593" w:type="dxa"/>
            <w:noWrap w:val="0"/>
            <w:vAlign w:val="center"/>
          </w:tcPr>
          <w:p w14:paraId="7D782975">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竞争性磋商</w:t>
            </w:r>
            <w:r>
              <w:rPr>
                <w:rFonts w:hint="eastAsia" w:ascii="仿宋" w:hAnsi="仿宋" w:eastAsia="仿宋" w:cs="仿宋"/>
                <w:b/>
                <w:color w:val="auto"/>
                <w:sz w:val="32"/>
                <w:szCs w:val="32"/>
                <w:highlight w:val="none"/>
                <w:lang w:val="en-US" w:eastAsia="zh-CN"/>
              </w:rPr>
              <w:t>(本项目采用网上电子招投标)</w:t>
            </w:r>
            <w:r>
              <w:rPr>
                <w:rFonts w:hint="eastAsia" w:ascii="仿宋" w:hAnsi="仿宋" w:eastAsia="仿宋" w:cs="仿宋"/>
                <w:color w:val="auto"/>
                <w:sz w:val="32"/>
                <w:szCs w:val="32"/>
                <w:highlight w:val="none"/>
                <w:lang w:val="en-US" w:eastAsia="zh-CN"/>
              </w:rPr>
              <w:t xml:space="preserve">             </w:t>
            </w:r>
          </w:p>
        </w:tc>
      </w:tr>
      <w:tr w14:paraId="5B8F6D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3662E4B5">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w:t>
            </w:r>
          </w:p>
        </w:tc>
        <w:tc>
          <w:tcPr>
            <w:tcW w:w="0" w:type="auto"/>
            <w:noWrap w:val="0"/>
            <w:vAlign w:val="center"/>
          </w:tcPr>
          <w:p w14:paraId="79C4C06C">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6B844148">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2907D153">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2BFFEE4D">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735BF1FC">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5DA31952">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1B6E6822">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42FEFC11">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41790E11">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50DCE619">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p>
          <w:p w14:paraId="278171F1">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资格要求</w:t>
            </w:r>
          </w:p>
        </w:tc>
        <w:tc>
          <w:tcPr>
            <w:tcW w:w="7593" w:type="dxa"/>
            <w:noWrap w:val="0"/>
            <w:vAlign w:val="center"/>
          </w:tcPr>
          <w:p w14:paraId="1EA6EE96">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1.满足《中华人民共和国政府采购法》第二十二条规定；</w:t>
            </w:r>
          </w:p>
          <w:p w14:paraId="770F746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2.落实政府采购政策需满足的资格要求：标项1：本项目为专门面向中小企业。  </w:t>
            </w:r>
          </w:p>
          <w:p w14:paraId="5CA51C80">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3.本项目的特定资格要求：</w:t>
            </w:r>
          </w:p>
          <w:p w14:paraId="62B3648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（1）具备合格的三证合一营业执照副本；</w:t>
            </w:r>
          </w:p>
          <w:p w14:paraId="0666B6F5">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（2）法定代表人投标需提供法定代表人资格证明书，委托代理人投标需提供法定代表人授权委托书；</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2C3FA1D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（3）投标人须提供（被授权在职人员）近6个月内任意1个月社保证明；</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066C2178">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0F7E8371">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（5）投标人须具备行政主管部门颁发的有效的《保安服务许可证》；</w:t>
            </w:r>
          </w:p>
          <w:p w14:paraId="0EAB91A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（6）联合体协议书（若有）。</w:t>
            </w:r>
          </w:p>
          <w:p w14:paraId="5B65B87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（7）投标保证金汇款凭证或投标担保函；</w:t>
            </w:r>
          </w:p>
          <w:p w14:paraId="4098171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320" w:right="0" w:hanging="320" w:hangingChars="1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（8）供应商须提供《中小企业声明函》；           </w:t>
            </w:r>
            <w:r>
              <w:rPr>
                <w:rFonts w:hint="eastAsia" w:ascii="仿宋" w:hAnsi="仿宋" w:eastAsia="仿宋" w:cs="仿宋"/>
                <w:b/>
                <w:bCs/>
                <w:i w:val="0"/>
                <w:caps w:val="0"/>
                <w:color w:val="auto"/>
                <w:spacing w:val="0"/>
                <w:kern w:val="0"/>
                <w:sz w:val="32"/>
                <w:szCs w:val="32"/>
                <w:highlight w:val="none"/>
                <w:lang w:val="en-US" w:eastAsia="zh-CN"/>
              </w:rPr>
              <w:t>（联合体成员均需提供上述（1）、（4）、（8）审查资料）</w:t>
            </w:r>
          </w:p>
        </w:tc>
      </w:tr>
      <w:tr w14:paraId="60EFAC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036B76DA">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10</w:t>
            </w:r>
          </w:p>
        </w:tc>
        <w:tc>
          <w:tcPr>
            <w:tcW w:w="0" w:type="auto"/>
            <w:noWrap w:val="0"/>
            <w:vAlign w:val="center"/>
          </w:tcPr>
          <w:p w14:paraId="3183BACE">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采购范围</w:t>
            </w:r>
          </w:p>
        </w:tc>
        <w:tc>
          <w:tcPr>
            <w:tcW w:w="7593" w:type="dxa"/>
            <w:noWrap w:val="0"/>
            <w:vAlign w:val="center"/>
          </w:tcPr>
          <w:p w14:paraId="131D884B">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满足竞争性磋商文件要求。</w:t>
            </w:r>
          </w:p>
        </w:tc>
      </w:tr>
      <w:tr w14:paraId="6EF1A74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23DFAF5F">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11</w:t>
            </w:r>
          </w:p>
        </w:tc>
        <w:tc>
          <w:tcPr>
            <w:tcW w:w="0" w:type="auto"/>
            <w:noWrap w:val="0"/>
            <w:vAlign w:val="center"/>
          </w:tcPr>
          <w:p w14:paraId="04AAE4F1">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供应商信用查询</w:t>
            </w:r>
          </w:p>
        </w:tc>
        <w:tc>
          <w:tcPr>
            <w:tcW w:w="7593" w:type="dxa"/>
            <w:noWrap w:val="0"/>
            <w:vAlign w:val="center"/>
          </w:tcPr>
          <w:p w14:paraId="7DD62B65">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1、查询渠道：信用中国（网址：http://www.creditchina.gov.cn）、中国政府采购网(网址：http://www.ccgp.gov.cn）。</w:t>
            </w:r>
          </w:p>
          <w:p w14:paraId="6619C740">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2、截止时点：开标后评标前。</w:t>
            </w:r>
          </w:p>
          <w:p w14:paraId="115DEB99">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3、信用信息查询记录和证据留存的具体方式：由采购组织机构在规定查询时间内打印信用信息查询记录并归入项目档案。</w:t>
            </w:r>
          </w:p>
          <w:p w14:paraId="2953773D">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792046B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304AC21B">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12</w:t>
            </w:r>
          </w:p>
        </w:tc>
        <w:tc>
          <w:tcPr>
            <w:tcW w:w="0" w:type="auto"/>
            <w:noWrap w:val="0"/>
            <w:vAlign w:val="center"/>
          </w:tcPr>
          <w:p w14:paraId="6CE656C1">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踏勘现场</w:t>
            </w:r>
          </w:p>
        </w:tc>
        <w:tc>
          <w:tcPr>
            <w:tcW w:w="7593" w:type="dxa"/>
            <w:noWrap w:val="0"/>
            <w:vAlign w:val="center"/>
          </w:tcPr>
          <w:p w14:paraId="32884140">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不组织,投标人自行组织踏勘现场。</w:t>
            </w:r>
          </w:p>
        </w:tc>
      </w:tr>
      <w:tr w14:paraId="58E53B3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4C70EBAA">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13</w:t>
            </w:r>
          </w:p>
        </w:tc>
        <w:tc>
          <w:tcPr>
            <w:tcW w:w="0" w:type="auto"/>
            <w:noWrap w:val="0"/>
            <w:vAlign w:val="center"/>
          </w:tcPr>
          <w:p w14:paraId="239D87D7">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投标预备会</w:t>
            </w:r>
          </w:p>
        </w:tc>
        <w:tc>
          <w:tcPr>
            <w:tcW w:w="7593" w:type="dxa"/>
            <w:noWrap w:val="0"/>
            <w:vAlign w:val="center"/>
          </w:tcPr>
          <w:p w14:paraId="19CB8E18">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不召开</w:t>
            </w:r>
          </w:p>
        </w:tc>
      </w:tr>
      <w:tr w14:paraId="095B74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17123289">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w:t>
            </w:r>
          </w:p>
        </w:tc>
        <w:tc>
          <w:tcPr>
            <w:tcW w:w="0" w:type="auto"/>
            <w:noWrap w:val="0"/>
            <w:vAlign w:val="center"/>
          </w:tcPr>
          <w:p w14:paraId="448F6CF1">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联合体投标</w:t>
            </w:r>
          </w:p>
        </w:tc>
        <w:tc>
          <w:tcPr>
            <w:tcW w:w="7593" w:type="dxa"/>
            <w:noWrap w:val="0"/>
            <w:vAlign w:val="center"/>
          </w:tcPr>
          <w:p w14:paraId="48CC6733">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不接受</w:t>
            </w:r>
          </w:p>
          <w:p w14:paraId="1E480FD7">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☑接受，联合体投标的须在投标文件中提供联合体协议书，两个及以上供应商可以组成一个联合体，联合体的任何一方均不得再与其他投标单位联合。</w:t>
            </w:r>
          </w:p>
        </w:tc>
      </w:tr>
      <w:tr w14:paraId="038ADC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2D25D381">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w:t>
            </w:r>
          </w:p>
        </w:tc>
        <w:tc>
          <w:tcPr>
            <w:tcW w:w="0" w:type="auto"/>
            <w:noWrap w:val="0"/>
            <w:vAlign w:val="center"/>
          </w:tcPr>
          <w:p w14:paraId="6EE2EBC6">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招标代理费</w:t>
            </w:r>
          </w:p>
        </w:tc>
        <w:tc>
          <w:tcPr>
            <w:tcW w:w="7593" w:type="dxa"/>
            <w:noWrap w:val="0"/>
            <w:vAlign w:val="center"/>
          </w:tcPr>
          <w:p w14:paraId="4B0AEAE0">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中标单位在领取本项目中标通知书时，根据《中华人民共和国招标投标法》《中华人民共和国招标投标法实施条例》《国家发展改革委关于进一步放开建设项目专业服务价格的通知》（发改价格[2015]299号）文件等规定，由中标单位向招标代理机构支付本项目代理费。本项目招标代理服务费为：12751元</w:t>
            </w:r>
          </w:p>
        </w:tc>
      </w:tr>
      <w:tr w14:paraId="437820C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2E689C19">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16</w:t>
            </w:r>
          </w:p>
        </w:tc>
        <w:tc>
          <w:tcPr>
            <w:tcW w:w="0" w:type="auto"/>
            <w:noWrap w:val="0"/>
            <w:vAlign w:val="center"/>
          </w:tcPr>
          <w:p w14:paraId="5CB749C5">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最高投标限价</w:t>
            </w:r>
          </w:p>
        </w:tc>
        <w:tc>
          <w:tcPr>
            <w:tcW w:w="7593" w:type="dxa"/>
            <w:noWrap w:val="0"/>
            <w:vAlign w:val="center"/>
          </w:tcPr>
          <w:p w14:paraId="3CC26C00">
            <w:pPr>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预算价：850080元</w:t>
            </w:r>
          </w:p>
          <w:p w14:paraId="515B9866">
            <w:pPr>
              <w:pStyle w:val="19"/>
              <w:snapToGrid w:val="0"/>
              <w:ind w:left="0" w:leftChars="0" w:right="0" w:rightChars="0" w:firstLine="0" w:firstLineChars="0"/>
              <w:jc w:val="left"/>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最高限价：850080元</w:t>
            </w:r>
          </w:p>
          <w:p w14:paraId="04F6F20F">
            <w:pPr>
              <w:pStyle w:val="19"/>
              <w:snapToGrid w:val="0"/>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b/>
                <w:bCs/>
                <w:color w:val="auto"/>
                <w:kern w:val="2"/>
                <w:sz w:val="32"/>
                <w:szCs w:val="32"/>
                <w:highlight w:val="none"/>
                <w:lang w:val="en-US" w:eastAsia="zh-CN" w:bidi="ar-SA"/>
              </w:rPr>
              <w:t>该项目采用总价招标，招标人设置投标报价最高限价：850080元，高于最高限价的，其投标文件按无效投标处理。</w:t>
            </w:r>
          </w:p>
        </w:tc>
      </w:tr>
      <w:tr w14:paraId="24774C4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2CED6A80">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17</w:t>
            </w:r>
          </w:p>
        </w:tc>
        <w:tc>
          <w:tcPr>
            <w:tcW w:w="0" w:type="auto"/>
            <w:noWrap w:val="0"/>
            <w:vAlign w:val="center"/>
          </w:tcPr>
          <w:p w14:paraId="7D9CDD2F">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投标有效期</w:t>
            </w:r>
          </w:p>
        </w:tc>
        <w:tc>
          <w:tcPr>
            <w:tcW w:w="7593" w:type="dxa"/>
            <w:noWrap w:val="0"/>
            <w:vAlign w:val="center"/>
          </w:tcPr>
          <w:p w14:paraId="40F4F28A">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投标有效期为</w:t>
            </w:r>
            <w:r>
              <w:rPr>
                <w:rFonts w:hint="eastAsia" w:ascii="仿宋" w:hAnsi="仿宋" w:eastAsia="仿宋" w:cs="仿宋"/>
                <w:color w:val="auto"/>
                <w:sz w:val="32"/>
                <w:szCs w:val="32"/>
                <w:highlight w:val="none"/>
                <w:u w:val="single"/>
                <w:lang w:val="en-US" w:eastAsia="zh-CN"/>
              </w:rPr>
              <w:t xml:space="preserve"> 60 日历</w:t>
            </w:r>
            <w:r>
              <w:rPr>
                <w:rFonts w:hint="eastAsia" w:ascii="仿宋" w:hAnsi="仿宋" w:eastAsia="仿宋" w:cs="仿宋"/>
                <w:color w:val="auto"/>
                <w:sz w:val="32"/>
                <w:szCs w:val="32"/>
                <w:highlight w:val="none"/>
                <w:lang w:val="en-US" w:eastAsia="zh-CN"/>
              </w:rPr>
              <w:t>天（从投标截止之日算起）。在此期限内，凡符合本竞争性磋商文件要求的投标文件均保持有效。</w:t>
            </w:r>
          </w:p>
        </w:tc>
      </w:tr>
      <w:tr w14:paraId="3817726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892" w:hRule="atLeast"/>
        </w:trPr>
        <w:tc>
          <w:tcPr>
            <w:tcW w:w="0" w:type="auto"/>
            <w:vMerge w:val="restart"/>
            <w:noWrap w:val="0"/>
            <w:vAlign w:val="center"/>
          </w:tcPr>
          <w:p w14:paraId="79A1A4A0">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18</w:t>
            </w:r>
          </w:p>
        </w:tc>
        <w:tc>
          <w:tcPr>
            <w:tcW w:w="0" w:type="auto"/>
            <w:vMerge w:val="restart"/>
            <w:noWrap w:val="0"/>
            <w:vAlign w:val="center"/>
          </w:tcPr>
          <w:p w14:paraId="355732D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4B28075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5136A24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0104081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0D9F8B1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678D8FB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41117669">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3EF4203B">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p>
          <w:p w14:paraId="5A17C0A6">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投标保证金</w:t>
            </w:r>
          </w:p>
        </w:tc>
        <w:tc>
          <w:tcPr>
            <w:tcW w:w="7593" w:type="dxa"/>
            <w:tcBorders>
              <w:bottom w:val="single" w:color="auto" w:sz="4" w:space="0"/>
            </w:tcBorders>
            <w:noWrap w:val="0"/>
            <w:vAlign w:val="center"/>
          </w:tcPr>
          <w:p w14:paraId="5D876B9B">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投标保证金交纳方式：投标保证金应当以支票、汇票、本票、网上银行支付或者金融机构、担保机构出具的保函等非现金形式缴纳。</w:t>
            </w:r>
          </w:p>
          <w:p w14:paraId="078EAB5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投标保证金的金额：15000元（壹万伍仟元整）</w:t>
            </w:r>
          </w:p>
        </w:tc>
      </w:tr>
      <w:tr w14:paraId="07DC63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485" w:hRule="atLeast"/>
        </w:trPr>
        <w:tc>
          <w:tcPr>
            <w:tcW w:w="0" w:type="auto"/>
            <w:vMerge w:val="continue"/>
            <w:noWrap w:val="0"/>
            <w:vAlign w:val="center"/>
          </w:tcPr>
          <w:p w14:paraId="55199FE7">
            <w:pPr>
              <w:snapToGrid w:val="0"/>
              <w:spacing w:line="240" w:lineRule="auto"/>
              <w:ind w:left="0" w:leftChars="0" w:right="0" w:rightChars="0" w:firstLine="0" w:firstLineChars="0"/>
              <w:jc w:val="left"/>
            </w:pPr>
          </w:p>
        </w:tc>
        <w:tc>
          <w:tcPr>
            <w:tcW w:w="0" w:type="auto"/>
            <w:vMerge w:val="continue"/>
            <w:tcBorders>
              <w:bottom w:val="single" w:color="auto" w:sz="4" w:space="0"/>
            </w:tcBorders>
            <w:noWrap w:val="0"/>
            <w:vAlign w:val="center"/>
          </w:tcPr>
          <w:p w14:paraId="661D5B05">
            <w:pPr>
              <w:snapToGrid w:val="0"/>
              <w:spacing w:line="240" w:lineRule="auto"/>
              <w:ind w:left="0" w:leftChars="0" w:right="0" w:rightChars="0" w:firstLine="0" w:firstLineChars="0"/>
              <w:jc w:val="left"/>
            </w:pPr>
          </w:p>
        </w:tc>
        <w:tc>
          <w:tcPr>
            <w:tcW w:w="7593" w:type="dxa"/>
            <w:tcBorders>
              <w:bottom w:val="single" w:color="auto" w:sz="4" w:space="0"/>
            </w:tcBorders>
            <w:noWrap w:val="0"/>
            <w:vAlign w:val="center"/>
          </w:tcPr>
          <w:p w14:paraId="5540158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一、投标保证金缴纳要求：</w:t>
            </w:r>
          </w:p>
          <w:p w14:paraId="1736E6B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1、投标保证金以电汇、网银形式提交的，应在投标截止前以总公司的基本账户一次性汇入指定账户（以到账时间为准），不接受现金及任何个人汇款。汇款凭证作为该项目投标保证金的缴纳依据。</w:t>
            </w:r>
          </w:p>
          <w:p w14:paraId="3591BAC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2、其他特殊情况处理：有效投标保证金成功交纳后，截止开标时间，供应商无正当理由不参加该项目投标且不递交弃标函，投标保证金不予退还。</w:t>
            </w:r>
          </w:p>
          <w:p w14:paraId="297DB09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户名：克孜勒苏柯尔克孜自治州公共资源交易中心</w:t>
            </w:r>
          </w:p>
          <w:p w14:paraId="43B650AB">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账号：30456301040005069</w:t>
            </w:r>
          </w:p>
          <w:p w14:paraId="5E61CF2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行名：中国农业银行阿图什市天山分理处</w:t>
            </w:r>
          </w:p>
          <w:p w14:paraId="0E9CA59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行号：103893045636</w:t>
            </w:r>
          </w:p>
          <w:p w14:paraId="24A7CF1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联系人：孙先生</w:t>
            </w:r>
          </w:p>
          <w:p w14:paraId="3CAE6B8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电话：0908-4220265 </w:t>
            </w:r>
          </w:p>
          <w:p w14:paraId="6696683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（备注：必须写清楚xx公司xx项目保证金）</w:t>
            </w:r>
          </w:p>
          <w:p w14:paraId="3494374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二、申请退还投标保证金资料（招投标结束中标结果公示后）：</w:t>
            </w:r>
          </w:p>
          <w:p w14:paraId="0CE21AC3">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1、投标人：待开标完成后，未中标企业3个工作日内政资中心将收取的项目投标保证金按投标人基本户退回。</w:t>
            </w:r>
          </w:p>
          <w:p w14:paraId="18F1DD1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2、中标人：需提供已签订合同复印件一份，复印件每页需加盖单位鲜章（并携带合同原件，由中心工作人员核对后退还）。</w:t>
            </w:r>
          </w:p>
          <w:p w14:paraId="17365BD7">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三、其他特殊情况处理：</w:t>
            </w:r>
          </w:p>
          <w:p w14:paraId="5A802C64">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按照招标文件要求规定：投标人无正当理由不参加该项目投标且在规定开标时间前不递交弃标函，投标保证金不予退还。</w:t>
            </w:r>
          </w:p>
        </w:tc>
      </w:tr>
      <w:tr w14:paraId="0872A1D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20" w:hRule="atLeast"/>
        </w:trPr>
        <w:tc>
          <w:tcPr>
            <w:tcW w:w="0" w:type="auto"/>
            <w:noWrap w:val="0"/>
            <w:vAlign w:val="center"/>
          </w:tcPr>
          <w:p w14:paraId="43217BA9">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19</w:t>
            </w:r>
          </w:p>
        </w:tc>
        <w:tc>
          <w:tcPr>
            <w:tcW w:w="0" w:type="auto"/>
            <w:noWrap w:val="0"/>
            <w:vAlign w:val="center"/>
          </w:tcPr>
          <w:p w14:paraId="6E419572">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投标文件形式</w:t>
            </w:r>
          </w:p>
        </w:tc>
        <w:tc>
          <w:tcPr>
            <w:tcW w:w="7593" w:type="dxa"/>
            <w:noWrap w:val="0"/>
            <w:vAlign w:val="center"/>
          </w:tcPr>
          <w:p w14:paraId="2B7083DF">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电子投标文件包括“电子加密投标文件”和“备份投标文件”，在投标文件编制完成后同时生成。</w:t>
            </w:r>
          </w:p>
          <w:p w14:paraId="6706071B">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1、“电子加密投标文件”是指通过“政采云电子交易客户端”完成投标文件编制后生成并加密的数据电文形式的投标文件。</w:t>
            </w:r>
          </w:p>
          <w:p w14:paraId="1195C6FC">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1A8D09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0" w:type="auto"/>
            <w:noWrap w:val="0"/>
            <w:vAlign w:val="center"/>
          </w:tcPr>
          <w:p w14:paraId="1FA1954F">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w:t>
            </w:r>
          </w:p>
        </w:tc>
        <w:tc>
          <w:tcPr>
            <w:tcW w:w="0" w:type="auto"/>
            <w:noWrap w:val="0"/>
            <w:vAlign w:val="center"/>
          </w:tcPr>
          <w:p w14:paraId="769A051C">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投标文件份数及要求</w:t>
            </w:r>
          </w:p>
        </w:tc>
        <w:tc>
          <w:tcPr>
            <w:tcW w:w="7593" w:type="dxa"/>
            <w:noWrap w:val="0"/>
            <w:vAlign w:val="center"/>
          </w:tcPr>
          <w:p w14:paraId="3EE0FF00">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1、一份电子加密标书（“.jmbs”格式），一份备份标书文件（“.bfbs”格式）。</w:t>
            </w:r>
          </w:p>
          <w:p w14:paraId="155B541E">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2、每份电子投标文件应包括</w:t>
            </w:r>
            <w:r>
              <w:rPr>
                <w:rFonts w:hint="eastAsia" w:ascii="仿宋" w:hAnsi="仿宋" w:eastAsia="仿宋" w:cs="仿宋"/>
                <w:b/>
                <w:bCs/>
                <w:color w:val="auto"/>
                <w:sz w:val="32"/>
                <w:szCs w:val="32"/>
                <w:highlight w:val="none"/>
              </w:rPr>
              <w:t>资格证明文件和商务及技术文件两部分</w:t>
            </w:r>
            <w:r>
              <w:rPr>
                <w:rFonts w:hint="eastAsia" w:ascii="仿宋" w:hAnsi="仿宋" w:eastAsia="仿宋" w:cs="仿宋"/>
                <w:b/>
                <w:bCs/>
                <w:color w:val="auto"/>
                <w:sz w:val="32"/>
                <w:szCs w:val="32"/>
                <w:highlight w:val="none"/>
                <w:lang w:eastAsia="zh-CN"/>
              </w:rPr>
              <w:t>。</w:t>
            </w:r>
          </w:p>
        </w:tc>
      </w:tr>
      <w:tr w14:paraId="7DD3F08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5957776A">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21</w:t>
            </w:r>
          </w:p>
        </w:tc>
        <w:tc>
          <w:tcPr>
            <w:tcW w:w="0" w:type="auto"/>
            <w:noWrap w:val="0"/>
            <w:vAlign w:val="center"/>
          </w:tcPr>
          <w:p w14:paraId="313D9E0C">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7677646C">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75224AB3">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20DF3F89">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5E751047">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279B55B4">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14B682CD">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4DEA44C5">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73E96891">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1A86B918">
            <w:pPr>
              <w:pStyle w:val="12"/>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lang w:val="en-US" w:eastAsia="zh-CN" w:bidi="zh-CN"/>
              </w:rPr>
            </w:pPr>
          </w:p>
          <w:p w14:paraId="345EC69A">
            <w:pPr>
              <w:pStyle w:val="12"/>
              <w:snapToGrid w:val="0"/>
              <w:spacing w:line="240" w:lineRule="auto"/>
              <w:ind w:left="0" w:leftChars="0" w:right="0" w:rightChars="0" w:firstLine="0" w:firstLineChars="0"/>
              <w:jc w:val="center"/>
              <w:rPr>
                <w:rFonts w:hint="eastAsia" w:ascii="仿宋" w:hAnsi="仿宋" w:eastAsia="仿宋" w:cs="仿宋"/>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bidi="zh-CN"/>
              </w:rPr>
              <w:t>投标文件的上传和递交</w:t>
            </w:r>
          </w:p>
        </w:tc>
        <w:tc>
          <w:tcPr>
            <w:tcW w:w="7593" w:type="dxa"/>
            <w:noWrap w:val="0"/>
            <w:vAlign w:val="center"/>
          </w:tcPr>
          <w:p w14:paraId="6EF56DE6">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4EDB18D4">
            <w:pPr>
              <w:pStyle w:val="12"/>
              <w:keepNext w:val="0"/>
              <w:keepLines w:val="0"/>
              <w:pageBreakBefore w:val="0"/>
              <w:numPr>
                <w:ilvl w:val="0"/>
                <w:numId w:val="3"/>
              </w:numPr>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供应商未能在投标截止时间前成功上传电子加密投标文件的投标无效。</w:t>
            </w:r>
          </w:p>
          <w:p w14:paraId="7D98578A">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kern w:val="2"/>
                <w:sz w:val="32"/>
                <w:szCs w:val="32"/>
                <w:highlight w:val="none"/>
                <w:u w:val="none"/>
                <w:lang w:val="en-US" w:eastAsia="zh-CN" w:bidi="ar-SA"/>
              </w:rPr>
            </w:pPr>
            <w:r>
              <w:rPr>
                <w:rFonts w:hint="eastAsia" w:ascii="仿宋" w:hAnsi="仿宋" w:eastAsia="仿宋" w:cs="仿宋"/>
                <w:color w:val="auto"/>
                <w:sz w:val="32"/>
                <w:szCs w:val="32"/>
                <w:highlight w:val="none"/>
                <w:lang w:val="en-US" w:eastAsia="zh-CN"/>
              </w:rPr>
              <w:t>2.备份投标文件：供应商在投标截止时间前将加密的投标文件上传至政府采购云平台，还可以在投标截止时间前以电子邮件方式提供备份投标文件1份（接收人邮箱：443186251@qq.com，接收人：佟先生，电话：</w:t>
            </w:r>
            <w:r>
              <w:rPr>
                <w:rFonts w:hint="eastAsia" w:ascii="仿宋" w:hAnsi="仿宋" w:eastAsia="仿宋" w:cs="仿宋"/>
                <w:color w:val="auto"/>
                <w:kern w:val="0"/>
                <w:sz w:val="32"/>
                <w:szCs w:val="32"/>
                <w:highlight w:val="none"/>
                <w:u w:val="none"/>
                <w:lang w:eastAsia="zh-CN" w:bidi="ar"/>
              </w:rPr>
              <w:t>18167696669</w:t>
            </w:r>
            <w:r>
              <w:rPr>
                <w:rFonts w:hint="eastAsia" w:ascii="仿宋" w:hAnsi="仿宋" w:eastAsia="仿宋" w:cs="仿宋"/>
                <w:color w:val="auto"/>
                <w:sz w:val="32"/>
                <w:szCs w:val="32"/>
                <w:highlight w:val="none"/>
                <w:lang w:val="en-US" w:eastAsia="zh-CN"/>
              </w:rPr>
              <w:t>），“备份投标文件”由供应</w:t>
            </w:r>
            <w:r>
              <w:rPr>
                <w:rFonts w:hint="eastAsia" w:ascii="仿宋" w:hAnsi="仿宋" w:eastAsia="仿宋" w:cs="仿宋"/>
                <w:color w:val="auto"/>
                <w:kern w:val="2"/>
                <w:sz w:val="32"/>
                <w:szCs w:val="32"/>
                <w:highlight w:val="none"/>
                <w:u w:val="none"/>
                <w:lang w:val="en-US" w:eastAsia="zh-CN" w:bidi="ar-SA"/>
              </w:rPr>
              <w:t>商自愿提供，竞争性磋商文件不作强制性要求；如不提供或未按要求提供的，当电子投标文件无法解密时，将导致无备份投标文件而失去投标资格。</w:t>
            </w:r>
          </w:p>
          <w:p w14:paraId="01BB4C1C">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kern w:val="2"/>
                <w:sz w:val="32"/>
                <w:szCs w:val="32"/>
                <w:highlight w:val="none"/>
                <w:u w:val="none"/>
                <w:lang w:val="en-US" w:eastAsia="zh-CN" w:bidi="ar-SA"/>
              </w:rPr>
            </w:pPr>
            <w:r>
              <w:rPr>
                <w:rFonts w:hint="eastAsia" w:ascii="仿宋" w:hAnsi="仿宋" w:eastAsia="仿宋" w:cs="仿宋"/>
                <w:color w:val="auto"/>
                <w:kern w:val="2"/>
                <w:sz w:val="32"/>
                <w:szCs w:val="32"/>
                <w:highlight w:val="none"/>
                <w:u w:val="none"/>
                <w:lang w:val="en-US" w:eastAsia="zh-CN" w:bidi="ar-SA"/>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2D149A9B">
            <w:pPr>
              <w:pStyle w:val="21"/>
              <w:numPr>
                <w:ilvl w:val="0"/>
                <w:numId w:val="0"/>
              </w:numPr>
              <w:snapToGrid w:val="0"/>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b.通过“政府采购云平台”成功上传递交的“电子加</w:t>
            </w:r>
            <w:r>
              <w:rPr>
                <w:rFonts w:hint="eastAsia" w:ascii="仿宋" w:hAnsi="仿宋" w:eastAsia="仿宋" w:cs="仿宋"/>
                <w:color w:val="auto"/>
                <w:kern w:val="2"/>
                <w:sz w:val="32"/>
                <w:szCs w:val="32"/>
                <w:highlight w:val="none"/>
                <w:u w:val="none" w:color="000000"/>
                <w:lang w:val="en-US" w:eastAsia="zh-CN" w:bidi="ar-SA"/>
              </w:rPr>
              <w:t>密投标文件”已按时解密的，“备份投标文件”自动失效。投标截止时间前，投标供应商仅提供了“备份投标文件”而未将“电子加密投标文件”成功上传至“政府采购云平台”的，投标无效。</w:t>
            </w:r>
          </w:p>
        </w:tc>
      </w:tr>
      <w:tr w14:paraId="5E7891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98" w:hRule="atLeast"/>
        </w:trPr>
        <w:tc>
          <w:tcPr>
            <w:tcW w:w="0" w:type="auto"/>
            <w:noWrap w:val="0"/>
            <w:vAlign w:val="center"/>
          </w:tcPr>
          <w:p w14:paraId="6FFBF554">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w:t>
            </w:r>
          </w:p>
        </w:tc>
        <w:tc>
          <w:tcPr>
            <w:tcW w:w="0" w:type="auto"/>
            <w:noWrap w:val="0"/>
            <w:vAlign w:val="center"/>
          </w:tcPr>
          <w:p w14:paraId="760E1B3C">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投标截止时间及地点</w:t>
            </w:r>
          </w:p>
        </w:tc>
        <w:tc>
          <w:tcPr>
            <w:tcW w:w="7593" w:type="dxa"/>
            <w:noWrap w:val="0"/>
            <w:vAlign w:val="center"/>
          </w:tcPr>
          <w:p w14:paraId="56EE8049">
            <w:pPr>
              <w:snapToGrid w:val="0"/>
              <w:spacing w:line="240" w:lineRule="auto"/>
              <w:ind w:left="0" w:leftChars="0" w:right="0" w:rightChars="0" w:firstLine="0" w:firstLineChars="0"/>
              <w:jc w:val="left"/>
              <w:rPr>
                <w:rFonts w:hint="eastAsia" w:ascii="仿宋" w:hAnsi="仿宋" w:eastAsia="仿宋" w:cs="仿宋"/>
                <w:b/>
                <w:bCs/>
                <w:color w:val="FF0000"/>
                <w:sz w:val="32"/>
                <w:szCs w:val="32"/>
                <w:highlight w:val="none"/>
              </w:rPr>
            </w:pPr>
            <w:r>
              <w:rPr>
                <w:rFonts w:hint="eastAsia" w:ascii="仿宋" w:hAnsi="仿宋" w:eastAsia="仿宋" w:cs="仿宋"/>
                <w:b/>
                <w:bCs/>
                <w:color w:val="auto"/>
                <w:sz w:val="32"/>
                <w:szCs w:val="32"/>
                <w:highlight w:val="none"/>
              </w:rPr>
              <w:t>投标截止时</w:t>
            </w:r>
            <w:r>
              <w:rPr>
                <w:rFonts w:hint="eastAsia" w:ascii="仿宋" w:hAnsi="仿宋" w:eastAsia="仿宋" w:cs="仿宋"/>
                <w:b/>
                <w:bCs/>
                <w:color w:val="auto"/>
                <w:sz w:val="32"/>
                <w:szCs w:val="32"/>
                <w:highlight w:val="none"/>
                <w:lang w:eastAsia="zh-CN"/>
              </w:rPr>
              <w:t>间：</w:t>
            </w:r>
            <w:r>
              <w:rPr>
                <w:rFonts w:hint="eastAsia" w:ascii="仿宋" w:hAnsi="仿宋" w:eastAsia="仿宋" w:cs="仿宋"/>
                <w:b/>
                <w:bCs/>
                <w:color w:val="auto"/>
                <w:sz w:val="32"/>
                <w:szCs w:val="32"/>
                <w:highlight w:val="none"/>
                <w:lang w:val="en-US" w:eastAsia="zh-CN"/>
              </w:rPr>
              <w:t>2026</w:t>
            </w:r>
            <w:r>
              <w:rPr>
                <w:rFonts w:hint="eastAsia" w:ascii="仿宋" w:hAnsi="仿宋" w:eastAsia="仿宋" w:cs="仿宋"/>
                <w:b/>
                <w:bCs/>
                <w:color w:val="auto"/>
                <w:sz w:val="32"/>
                <w:szCs w:val="32"/>
                <w:highlight w:val="none"/>
                <w:lang w:eastAsia="zh-CN"/>
              </w:rPr>
              <w:t>年</w:t>
            </w:r>
            <w:r>
              <w:rPr>
                <w:rFonts w:hint="eastAsia" w:ascii="仿宋" w:hAnsi="仿宋" w:eastAsia="仿宋" w:cs="仿宋"/>
                <w:b/>
                <w:bCs/>
                <w:color w:val="auto"/>
                <w:sz w:val="32"/>
                <w:szCs w:val="32"/>
                <w:highlight w:val="none"/>
                <w:lang w:val="en-US" w:eastAsia="zh-CN"/>
              </w:rPr>
              <w:t>11</w:t>
            </w:r>
            <w:r>
              <w:rPr>
                <w:rFonts w:hint="eastAsia" w:ascii="仿宋" w:hAnsi="仿宋" w:eastAsia="仿宋" w:cs="仿宋"/>
                <w:b/>
                <w:bCs/>
                <w:color w:val="auto"/>
                <w:sz w:val="32"/>
                <w:szCs w:val="32"/>
                <w:highlight w:val="none"/>
                <w:lang w:eastAsia="zh-CN"/>
              </w:rPr>
              <w:t>月</w:t>
            </w:r>
            <w:r>
              <w:rPr>
                <w:rFonts w:hint="eastAsia" w:ascii="仿宋" w:hAnsi="仿宋" w:eastAsia="仿宋" w:cs="仿宋"/>
                <w:b/>
                <w:bCs/>
                <w:color w:val="auto"/>
                <w:sz w:val="32"/>
                <w:szCs w:val="32"/>
                <w:highlight w:val="none"/>
                <w:lang w:val="en-US" w:eastAsia="zh-CN"/>
              </w:rPr>
              <w:t>11</w:t>
            </w:r>
            <w:r>
              <w:rPr>
                <w:rFonts w:hint="eastAsia" w:ascii="仿宋" w:hAnsi="仿宋" w:eastAsia="仿宋" w:cs="仿宋"/>
                <w:b/>
                <w:bCs/>
                <w:color w:val="auto"/>
                <w:sz w:val="32"/>
                <w:szCs w:val="32"/>
                <w:highlight w:val="none"/>
                <w:lang w:eastAsia="zh-CN"/>
              </w:rPr>
              <w:t>日</w:t>
            </w:r>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lang w:eastAsia="zh-CN"/>
              </w:rPr>
              <w:t>时</w:t>
            </w:r>
            <w:r>
              <w:rPr>
                <w:rFonts w:hint="eastAsia" w:ascii="仿宋" w:hAnsi="仿宋" w:eastAsia="仿宋" w:cs="仿宋"/>
                <w:b/>
                <w:bCs/>
                <w:color w:val="auto"/>
                <w:sz w:val="32"/>
                <w:szCs w:val="32"/>
                <w:highlight w:val="none"/>
                <w:lang w:val="en-US" w:eastAsia="zh-CN"/>
              </w:rPr>
              <w:t>30</w:t>
            </w:r>
            <w:r>
              <w:rPr>
                <w:rFonts w:hint="eastAsia" w:ascii="仿宋" w:hAnsi="仿宋" w:eastAsia="仿宋" w:cs="仿宋"/>
                <w:b/>
                <w:bCs/>
                <w:color w:val="auto"/>
                <w:sz w:val="32"/>
                <w:szCs w:val="32"/>
                <w:highlight w:val="none"/>
                <w:lang w:eastAsia="zh-CN"/>
              </w:rPr>
              <w:t>分（北京时间）</w:t>
            </w:r>
          </w:p>
          <w:p w14:paraId="7A4B43A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投标地点：</w:t>
            </w:r>
            <w:r>
              <w:rPr>
                <w:rFonts w:hint="eastAsia" w:ascii="仿宋" w:hAnsi="仿宋" w:eastAsia="仿宋" w:cs="仿宋"/>
                <w:b/>
                <w:bCs/>
                <w:color w:val="auto"/>
                <w:sz w:val="32"/>
                <w:szCs w:val="32"/>
                <w:highlight w:val="none"/>
                <w:lang w:eastAsia="zh-CN"/>
              </w:rPr>
              <w:t>政府采购云平台（</w:t>
            </w:r>
            <w:r>
              <w:rPr>
                <w:rFonts w:hint="eastAsia" w:ascii="仿宋" w:hAnsi="仿宋" w:eastAsia="仿宋" w:cs="仿宋"/>
                <w:b/>
                <w:bCs/>
                <w:color w:val="auto"/>
                <w:sz w:val="32"/>
                <w:szCs w:val="32"/>
                <w:highlight w:val="none"/>
                <w:lang w:eastAsia="zh-CN"/>
              </w:rPr>
              <w:fldChar w:fldCharType="begin"/>
            </w:r>
            <w:r>
              <w:rPr>
                <w:rFonts w:hint="eastAsia" w:ascii="仿宋" w:hAnsi="仿宋" w:eastAsia="仿宋" w:cs="仿宋"/>
                <w:b/>
                <w:bCs/>
                <w:color w:val="auto"/>
                <w:sz w:val="32"/>
                <w:szCs w:val="32"/>
                <w:highlight w:val="none"/>
                <w:lang w:eastAsia="zh-CN"/>
              </w:rPr>
              <w:instrText xml:space="preserve"> HYPERLINK "https://www.zcygov.cn" </w:instrText>
            </w:r>
            <w:r>
              <w:rPr>
                <w:rFonts w:hint="eastAsia" w:ascii="仿宋" w:hAnsi="仿宋" w:eastAsia="仿宋" w:cs="仿宋"/>
                <w:b/>
                <w:bCs/>
                <w:color w:val="auto"/>
                <w:sz w:val="32"/>
                <w:szCs w:val="32"/>
                <w:highlight w:val="none"/>
                <w:lang w:eastAsia="zh-CN"/>
              </w:rPr>
              <w:fldChar w:fldCharType="separate"/>
            </w:r>
            <w:r>
              <w:rPr>
                <w:rFonts w:hint="eastAsia" w:ascii="仿宋" w:hAnsi="仿宋" w:eastAsia="仿宋" w:cs="仿宋"/>
                <w:b/>
                <w:bCs/>
                <w:color w:val="auto"/>
                <w:sz w:val="32"/>
                <w:szCs w:val="32"/>
                <w:highlight w:val="none"/>
                <w:lang w:eastAsia="zh-CN"/>
              </w:rPr>
              <w:t>www.zcygov.cn</w:t>
            </w:r>
            <w:r>
              <w:rPr>
                <w:rFonts w:hint="eastAsia" w:ascii="仿宋" w:hAnsi="仿宋" w:eastAsia="仿宋" w:cs="仿宋"/>
                <w:b/>
                <w:bCs/>
                <w:color w:val="auto"/>
                <w:sz w:val="32"/>
                <w:szCs w:val="32"/>
                <w:highlight w:val="none"/>
                <w:lang w:eastAsia="zh-CN"/>
              </w:rPr>
              <w:fldChar w:fldCharType="end"/>
            </w:r>
            <w:r>
              <w:rPr>
                <w:rFonts w:hint="eastAsia" w:ascii="仿宋" w:hAnsi="仿宋" w:eastAsia="仿宋" w:cs="仿宋"/>
                <w:b/>
                <w:bCs/>
                <w:color w:val="auto"/>
                <w:sz w:val="32"/>
                <w:szCs w:val="32"/>
                <w:highlight w:val="none"/>
                <w:lang w:eastAsia="zh-CN"/>
              </w:rPr>
              <w:t>）</w:t>
            </w:r>
          </w:p>
        </w:tc>
      </w:tr>
      <w:tr w14:paraId="5C29B2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487" w:hRule="atLeast"/>
        </w:trPr>
        <w:tc>
          <w:tcPr>
            <w:tcW w:w="0" w:type="auto"/>
            <w:noWrap w:val="0"/>
            <w:vAlign w:val="center"/>
          </w:tcPr>
          <w:p w14:paraId="5EA5ACD3">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23</w:t>
            </w:r>
          </w:p>
        </w:tc>
        <w:tc>
          <w:tcPr>
            <w:tcW w:w="0" w:type="auto"/>
            <w:noWrap w:val="0"/>
            <w:vAlign w:val="center"/>
          </w:tcPr>
          <w:p w14:paraId="78FA7619">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开标时间及地点</w:t>
            </w:r>
          </w:p>
        </w:tc>
        <w:tc>
          <w:tcPr>
            <w:tcW w:w="7593" w:type="dxa"/>
            <w:noWrap w:val="0"/>
            <w:vAlign w:val="center"/>
          </w:tcPr>
          <w:p w14:paraId="3DFF7BEB">
            <w:pPr>
              <w:snapToGrid w:val="0"/>
              <w:spacing w:line="240" w:lineRule="auto"/>
              <w:ind w:left="0" w:leftChars="0" w:right="0" w:rightChars="0" w:firstLine="0" w:firstLineChars="0"/>
              <w:jc w:val="left"/>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开标时间：同投标截止时间</w:t>
            </w:r>
          </w:p>
          <w:p w14:paraId="7E9F6CF7">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rPr>
              <w:t>开标地点：投标人登录政采云平台https://www.zcygov.cn/，进入“项目采购-开标评标-右边选择对应项目点击“进入项目”进入开标大厅。</w:t>
            </w:r>
          </w:p>
        </w:tc>
      </w:tr>
      <w:tr w14:paraId="3A78A7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283D1568">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24</w:t>
            </w:r>
          </w:p>
        </w:tc>
        <w:tc>
          <w:tcPr>
            <w:tcW w:w="0" w:type="auto"/>
            <w:noWrap w:val="0"/>
            <w:vAlign w:val="center"/>
          </w:tcPr>
          <w:p w14:paraId="4F8DAA7C">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评标委员会的组建</w:t>
            </w:r>
          </w:p>
        </w:tc>
        <w:tc>
          <w:tcPr>
            <w:tcW w:w="7593" w:type="dxa"/>
            <w:noWrap w:val="0"/>
            <w:vAlign w:val="center"/>
          </w:tcPr>
          <w:p w14:paraId="4999B950">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评标委员会由招标人依法组建；采购人代表1人，评审专家2人，共3人。</w:t>
            </w:r>
          </w:p>
          <w:p w14:paraId="4C4E9EAA">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评标专家确定方式：专家评委在开标前从政采云专家库中随机抽取。</w:t>
            </w:r>
          </w:p>
        </w:tc>
      </w:tr>
      <w:tr w14:paraId="07A422A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063DDA6B">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25</w:t>
            </w:r>
          </w:p>
        </w:tc>
        <w:tc>
          <w:tcPr>
            <w:tcW w:w="0" w:type="auto"/>
            <w:noWrap w:val="0"/>
            <w:vAlign w:val="center"/>
          </w:tcPr>
          <w:p w14:paraId="58FBA04F">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是否授权评标委员会确定中标（成交）候选人</w:t>
            </w:r>
          </w:p>
        </w:tc>
        <w:tc>
          <w:tcPr>
            <w:tcW w:w="7593" w:type="dxa"/>
            <w:noWrap w:val="0"/>
            <w:vAlign w:val="center"/>
          </w:tcPr>
          <w:p w14:paraId="1EBCAF29">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w:t>
            </w:r>
          </w:p>
        </w:tc>
      </w:tr>
      <w:tr w14:paraId="3F66EE6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32565590">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26</w:t>
            </w:r>
          </w:p>
        </w:tc>
        <w:tc>
          <w:tcPr>
            <w:tcW w:w="0" w:type="auto"/>
            <w:noWrap w:val="0"/>
            <w:vAlign w:val="center"/>
          </w:tcPr>
          <w:p w14:paraId="30D39D8E">
            <w:pPr>
              <w:pStyle w:val="12"/>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中标（成交）候选人公示媒介</w:t>
            </w:r>
          </w:p>
        </w:tc>
        <w:tc>
          <w:tcPr>
            <w:tcW w:w="7593" w:type="dxa"/>
            <w:noWrap w:val="0"/>
            <w:vAlign w:val="center"/>
          </w:tcPr>
          <w:p w14:paraId="51259077">
            <w:pPr>
              <w:pStyle w:val="12"/>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新疆政府采购网、克州公共资源交易网，公示期为一个工作日。</w:t>
            </w:r>
          </w:p>
        </w:tc>
      </w:tr>
      <w:tr w14:paraId="637E927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7D29B5E2">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27</w:t>
            </w:r>
          </w:p>
        </w:tc>
        <w:tc>
          <w:tcPr>
            <w:tcW w:w="0" w:type="auto"/>
            <w:noWrap w:val="0"/>
            <w:vAlign w:val="center"/>
          </w:tcPr>
          <w:p w14:paraId="063ADD5B">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履约担保</w:t>
            </w:r>
          </w:p>
        </w:tc>
        <w:tc>
          <w:tcPr>
            <w:tcW w:w="7593" w:type="dxa"/>
            <w:noWrap w:val="0"/>
            <w:vAlign w:val="center"/>
          </w:tcPr>
          <w:p w14:paraId="685965F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本项目</w:t>
            </w:r>
            <w:r>
              <w:rPr>
                <w:rFonts w:hint="eastAsia" w:ascii="仿宋" w:hAnsi="仿宋" w:eastAsia="仿宋" w:cs="仿宋"/>
                <w:color w:val="auto"/>
                <w:sz w:val="32"/>
                <w:szCs w:val="32"/>
                <w:highlight w:val="none"/>
              </w:rPr>
              <w:t>不需要交纳履约保证金。</w:t>
            </w:r>
          </w:p>
        </w:tc>
      </w:tr>
      <w:tr w14:paraId="360E157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noWrap w:val="0"/>
            <w:vAlign w:val="center"/>
          </w:tcPr>
          <w:p w14:paraId="4EAECD02">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28</w:t>
            </w:r>
          </w:p>
        </w:tc>
        <w:tc>
          <w:tcPr>
            <w:tcW w:w="0" w:type="auto"/>
            <w:noWrap w:val="0"/>
            <w:vAlign w:val="center"/>
          </w:tcPr>
          <w:p w14:paraId="5029492C">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竞争性磋商</w:t>
            </w:r>
            <w:r>
              <w:rPr>
                <w:rFonts w:hint="eastAsia" w:ascii="仿宋" w:hAnsi="仿宋" w:eastAsia="仿宋" w:cs="仿宋"/>
                <w:color w:val="auto"/>
                <w:sz w:val="32"/>
                <w:szCs w:val="32"/>
                <w:highlight w:val="none"/>
              </w:rPr>
              <w:t>文件领取</w:t>
            </w:r>
          </w:p>
        </w:tc>
        <w:tc>
          <w:tcPr>
            <w:tcW w:w="7593" w:type="dxa"/>
            <w:noWrap w:val="0"/>
            <w:vAlign w:val="center"/>
          </w:tcPr>
          <w:p w14:paraId="7AE36B8D">
            <w:pPr>
              <w:keepNext/>
              <w:snapToGrid w:val="0"/>
              <w:spacing w:before="42" w:line="240" w:lineRule="auto"/>
              <w:ind w:left="0" w:leftChars="0" w:right="0" w:rightChars="0" w:firstLine="0" w:firstLineChars="0"/>
              <w:jc w:val="left"/>
              <w:rPr>
                <w:rFonts w:hint="eastAsia" w:ascii="仿宋" w:hAnsi="仿宋" w:eastAsia="仿宋" w:cs="仿宋"/>
                <w:color w:val="auto"/>
                <w:spacing w:val="14"/>
                <w:sz w:val="32"/>
                <w:szCs w:val="32"/>
                <w:lang w:val="en-US" w:eastAsia="zh-CN"/>
              </w:rPr>
            </w:pPr>
            <w:r>
              <w:rPr>
                <w:rFonts w:hint="eastAsia" w:ascii="仿宋" w:hAnsi="仿宋" w:eastAsia="仿宋" w:cs="仿宋"/>
                <w:color w:val="auto"/>
                <w:sz w:val="32"/>
                <w:szCs w:val="32"/>
                <w:highlight w:val="none"/>
                <w:lang w:val="en-US" w:eastAsia="zh-CN"/>
              </w:rPr>
              <w:t>时间:</w:t>
            </w:r>
            <w:r>
              <w:rPr>
                <w:rFonts w:hint="eastAsia" w:ascii="仿宋" w:hAnsi="仿宋" w:eastAsia="仿宋" w:cs="仿宋"/>
                <w:color w:val="auto"/>
                <w:spacing w:val="14"/>
                <w:sz w:val="32"/>
                <w:szCs w:val="32"/>
                <w:lang w:val="en-US" w:eastAsia="zh-CN"/>
              </w:rPr>
              <w:t>2026年 10 月 29 日至2026年 11 月 05 日，每天上午10:00至14:00，下午16:00至20：00（北京时间，法定节假日除外）</w:t>
            </w:r>
          </w:p>
          <w:p w14:paraId="11A715AC">
            <w:pPr>
              <w:keepNext/>
              <w:snapToGrid w:val="0"/>
              <w:spacing w:before="42" w:line="240" w:lineRule="auto"/>
              <w:ind w:left="0" w:leftChars="0" w:right="0" w:rightChars="0" w:firstLine="0" w:firstLineChars="0"/>
              <w:jc w:val="left"/>
              <w:rPr>
                <w:rFonts w:hint="eastAsia" w:ascii="仿宋" w:hAnsi="仿宋" w:eastAsia="仿宋" w:cs="仿宋"/>
                <w:color w:val="auto"/>
                <w:sz w:val="32"/>
                <w:szCs w:val="32"/>
              </w:rPr>
            </w:pPr>
            <w:r>
              <w:rPr>
                <w:rFonts w:hint="eastAsia" w:ascii="仿宋" w:hAnsi="仿宋" w:eastAsia="仿宋" w:cs="仿宋"/>
                <w:color w:val="auto"/>
                <w:spacing w:val="14"/>
                <w:sz w:val="32"/>
                <w:szCs w:val="32"/>
              </w:rPr>
              <w:t xml:space="preserve">地点：供应商登录政采云平台 </w:t>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"http://www.zcygov.cn/"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http</w:t>
            </w:r>
            <w:r>
              <w:rPr>
                <w:rFonts w:hint="eastAsia" w:ascii="仿宋" w:hAnsi="仿宋" w:eastAsia="仿宋" w:cs="仿宋"/>
                <w:color w:val="auto"/>
                <w:spacing w:val="14"/>
                <w:sz w:val="32"/>
                <w:szCs w:val="32"/>
              </w:rPr>
              <w:t>://</w:t>
            </w:r>
            <w:r>
              <w:rPr>
                <w:rFonts w:hint="eastAsia" w:ascii="仿宋" w:hAnsi="仿宋" w:eastAsia="仿宋" w:cs="仿宋"/>
                <w:color w:val="auto"/>
                <w:sz w:val="32"/>
                <w:szCs w:val="32"/>
              </w:rPr>
              <w:t>www</w:t>
            </w:r>
            <w:r>
              <w:rPr>
                <w:rFonts w:hint="eastAsia" w:ascii="仿宋" w:hAnsi="仿宋" w:eastAsia="仿宋" w:cs="仿宋"/>
                <w:color w:val="auto"/>
                <w:spacing w:val="14"/>
                <w:sz w:val="32"/>
                <w:szCs w:val="32"/>
              </w:rPr>
              <w:t>.</w:t>
            </w:r>
            <w:r>
              <w:rPr>
                <w:rFonts w:hint="eastAsia" w:ascii="仿宋" w:hAnsi="仿宋" w:eastAsia="仿宋" w:cs="仿宋"/>
                <w:color w:val="auto"/>
                <w:sz w:val="32"/>
                <w:szCs w:val="32"/>
              </w:rPr>
              <w:t>zcygov</w:t>
            </w:r>
            <w:r>
              <w:rPr>
                <w:rFonts w:hint="eastAsia" w:ascii="仿宋" w:hAnsi="仿宋" w:eastAsia="仿宋" w:cs="仿宋"/>
                <w:color w:val="auto"/>
                <w:spacing w:val="14"/>
                <w:sz w:val="32"/>
                <w:szCs w:val="32"/>
              </w:rPr>
              <w:t>.</w:t>
            </w:r>
            <w:r>
              <w:rPr>
                <w:rFonts w:hint="eastAsia" w:ascii="仿宋" w:hAnsi="仿宋" w:eastAsia="仿宋" w:cs="仿宋"/>
                <w:color w:val="auto"/>
                <w:sz w:val="32"/>
                <w:szCs w:val="32"/>
              </w:rPr>
              <w:t>cn</w:t>
            </w:r>
            <w:r>
              <w:rPr>
                <w:rFonts w:hint="eastAsia" w:ascii="仿宋" w:hAnsi="仿宋" w:eastAsia="仿宋" w:cs="仿宋"/>
                <w:color w:val="auto"/>
                <w:spacing w:val="14"/>
                <w:sz w:val="32"/>
                <w:szCs w:val="32"/>
              </w:rPr>
              <w:t>/</w:t>
            </w:r>
            <w:r>
              <w:rPr>
                <w:rFonts w:hint="eastAsia" w:ascii="仿宋" w:hAnsi="仿宋" w:eastAsia="仿宋" w:cs="仿宋"/>
                <w:color w:val="auto"/>
                <w:spacing w:val="14"/>
                <w:sz w:val="32"/>
                <w:szCs w:val="32"/>
              </w:rPr>
              <w:fldChar w:fldCharType="end"/>
            </w:r>
            <w:r>
              <w:rPr>
                <w:rFonts w:hint="eastAsia" w:ascii="仿宋" w:hAnsi="仿宋" w:eastAsia="仿宋" w:cs="仿宋"/>
                <w:color w:val="auto"/>
                <w:spacing w:val="14"/>
                <w:sz w:val="32"/>
                <w:szCs w:val="32"/>
              </w:rPr>
              <w:t>，在线申请</w:t>
            </w:r>
            <w:r>
              <w:rPr>
                <w:rFonts w:hint="eastAsia" w:ascii="仿宋" w:hAnsi="仿宋" w:eastAsia="仿宋" w:cs="仿宋"/>
                <w:color w:val="auto"/>
                <w:spacing w:val="13"/>
                <w:sz w:val="32"/>
                <w:szCs w:val="32"/>
              </w:rPr>
              <w:t>获取磋商文</w:t>
            </w:r>
            <w:r>
              <w:rPr>
                <w:rFonts w:hint="eastAsia" w:ascii="仿宋" w:hAnsi="仿宋" w:eastAsia="仿宋" w:cs="仿宋"/>
                <w:color w:val="auto"/>
                <w:sz w:val="32"/>
                <w:szCs w:val="32"/>
              </w:rPr>
              <w:t xml:space="preserve"> </w:t>
            </w:r>
            <w:r>
              <w:rPr>
                <w:rFonts w:hint="eastAsia" w:ascii="仿宋" w:hAnsi="仿宋" w:eastAsia="仿宋" w:cs="仿宋"/>
                <w:color w:val="auto"/>
                <w:spacing w:val="6"/>
                <w:sz w:val="32"/>
                <w:szCs w:val="32"/>
              </w:rPr>
              <w:t>件（登录政府采购云平台  → 项目采购 →</w:t>
            </w:r>
            <w:r>
              <w:rPr>
                <w:rFonts w:hint="eastAsia" w:ascii="仿宋" w:hAnsi="仿宋" w:eastAsia="仿宋" w:cs="仿宋"/>
                <w:color w:val="auto"/>
                <w:spacing w:val="17"/>
                <w:sz w:val="32"/>
                <w:szCs w:val="32"/>
              </w:rPr>
              <w:t xml:space="preserve"> </w:t>
            </w:r>
            <w:r>
              <w:rPr>
                <w:rFonts w:hint="eastAsia" w:ascii="仿宋" w:hAnsi="仿宋" w:eastAsia="仿宋" w:cs="仿宋"/>
                <w:color w:val="auto"/>
                <w:spacing w:val="6"/>
                <w:sz w:val="32"/>
                <w:szCs w:val="32"/>
              </w:rPr>
              <w:t>获取磋商文件→</w:t>
            </w:r>
            <w:r>
              <w:rPr>
                <w:rFonts w:hint="eastAsia" w:ascii="仿宋" w:hAnsi="仿宋" w:eastAsia="仿宋" w:cs="仿宋"/>
                <w:color w:val="auto"/>
                <w:spacing w:val="-63"/>
                <w:sz w:val="32"/>
                <w:szCs w:val="32"/>
              </w:rPr>
              <w:t xml:space="preserve"> </w:t>
            </w:r>
            <w:r>
              <w:rPr>
                <w:rFonts w:hint="eastAsia" w:ascii="仿宋" w:hAnsi="仿宋" w:eastAsia="仿宋" w:cs="仿宋"/>
                <w:color w:val="auto"/>
                <w:spacing w:val="6"/>
                <w:sz w:val="32"/>
                <w:szCs w:val="32"/>
              </w:rPr>
              <w:t>申请，审核</w:t>
            </w:r>
            <w:r>
              <w:rPr>
                <w:rFonts w:hint="eastAsia" w:ascii="仿宋" w:hAnsi="仿宋" w:eastAsia="仿宋" w:cs="仿宋"/>
                <w:color w:val="auto"/>
                <w:spacing w:val="5"/>
                <w:sz w:val="32"/>
                <w:szCs w:val="32"/>
              </w:rPr>
              <w:t>通过后</w:t>
            </w:r>
            <w:r>
              <w:rPr>
                <w:rFonts w:hint="eastAsia" w:ascii="仿宋" w:hAnsi="仿宋" w:eastAsia="仿宋" w:cs="仿宋"/>
                <w:color w:val="auto"/>
                <w:sz w:val="32"/>
                <w:szCs w:val="32"/>
              </w:rPr>
              <w:t xml:space="preserve"> </w:t>
            </w:r>
            <w:r>
              <w:rPr>
                <w:rFonts w:hint="eastAsia" w:ascii="仿宋" w:hAnsi="仿宋" w:eastAsia="仿宋" w:cs="仿宋"/>
                <w:color w:val="auto"/>
                <w:spacing w:val="6"/>
                <w:sz w:val="32"/>
                <w:szCs w:val="32"/>
              </w:rPr>
              <w:t>可下载磋商文件，如有操作性问题，可与政采云在线客服进行咨询，咨询电话：</w:t>
            </w:r>
            <w:r>
              <w:rPr>
                <w:rFonts w:hint="eastAsia" w:ascii="仿宋" w:hAnsi="仿宋" w:eastAsia="仿宋" w:cs="仿宋"/>
                <w:color w:val="auto"/>
                <w:spacing w:val="10"/>
                <w:sz w:val="32"/>
                <w:szCs w:val="32"/>
              </w:rPr>
              <w:t xml:space="preserve"> </w:t>
            </w:r>
            <w:r>
              <w:rPr>
                <w:rFonts w:hint="eastAsia" w:ascii="仿宋" w:hAnsi="仿宋" w:eastAsia="仿宋" w:cs="仿宋"/>
                <w:color w:val="auto"/>
                <w:spacing w:val="3"/>
                <w:sz w:val="32"/>
                <w:szCs w:val="32"/>
                <w:lang w:val="en-US" w:eastAsia="zh-CN"/>
              </w:rPr>
              <w:t>95763</w:t>
            </w:r>
            <w:r>
              <w:rPr>
                <w:rFonts w:hint="eastAsia" w:ascii="仿宋" w:hAnsi="仿宋" w:eastAsia="仿宋" w:cs="仿宋"/>
                <w:color w:val="auto"/>
                <w:spacing w:val="3"/>
                <w:sz w:val="32"/>
                <w:szCs w:val="32"/>
              </w:rPr>
              <w:t>）。</w:t>
            </w:r>
          </w:p>
          <w:p w14:paraId="3E015142">
            <w:pPr>
              <w:keepNext/>
              <w:snapToGrid w:val="0"/>
              <w:spacing w:line="240" w:lineRule="auto"/>
              <w:ind w:left="0" w:leftChars="0" w:right="0" w:rightChars="0" w:firstLine="0" w:firstLineChars="0"/>
              <w:jc w:val="left"/>
              <w:rPr>
                <w:rFonts w:hint="eastAsia" w:ascii="仿宋" w:hAnsi="仿宋" w:eastAsia="仿宋" w:cs="仿宋"/>
                <w:color w:val="auto"/>
                <w:sz w:val="32"/>
                <w:szCs w:val="32"/>
              </w:rPr>
            </w:pPr>
            <w:r>
              <w:rPr>
                <w:rFonts w:hint="eastAsia" w:ascii="仿宋" w:hAnsi="仿宋" w:eastAsia="仿宋" w:cs="仿宋"/>
                <w:color w:val="auto"/>
                <w:spacing w:val="9"/>
                <w:sz w:val="32"/>
                <w:szCs w:val="32"/>
              </w:rPr>
              <w:t>方式</w:t>
            </w:r>
            <w:r>
              <w:rPr>
                <w:rFonts w:hint="eastAsia" w:ascii="仿宋" w:hAnsi="仿宋" w:eastAsia="仿宋" w:cs="仿宋"/>
                <w:color w:val="auto"/>
                <w:spacing w:val="-22"/>
                <w:sz w:val="32"/>
                <w:szCs w:val="32"/>
              </w:rPr>
              <w:t>：（</w:t>
            </w:r>
            <w:r>
              <w:rPr>
                <w:rFonts w:hint="eastAsia" w:ascii="仿宋" w:hAnsi="仿宋" w:eastAsia="仿宋" w:cs="仿宋"/>
                <w:color w:val="auto"/>
                <w:spacing w:val="9"/>
                <w:sz w:val="32"/>
                <w:szCs w:val="32"/>
              </w:rPr>
              <w:t xml:space="preserve">1）线上获取（登录政府采购云平台 → </w:t>
            </w:r>
            <w:r>
              <w:rPr>
                <w:rFonts w:hint="eastAsia" w:ascii="仿宋" w:hAnsi="仿宋" w:eastAsia="仿宋" w:cs="仿宋"/>
                <w:color w:val="auto"/>
                <w:spacing w:val="8"/>
                <w:sz w:val="32"/>
                <w:szCs w:val="32"/>
              </w:rPr>
              <w:t>项目采购 →</w:t>
            </w:r>
            <w:r>
              <w:rPr>
                <w:rFonts w:hint="eastAsia" w:ascii="仿宋" w:hAnsi="仿宋" w:eastAsia="仿宋" w:cs="仿宋"/>
                <w:color w:val="auto"/>
                <w:spacing w:val="17"/>
                <w:sz w:val="32"/>
                <w:szCs w:val="32"/>
              </w:rPr>
              <w:t xml:space="preserve"> </w:t>
            </w:r>
            <w:r>
              <w:rPr>
                <w:rFonts w:hint="eastAsia" w:ascii="仿宋" w:hAnsi="仿宋" w:eastAsia="仿宋" w:cs="仿宋"/>
                <w:color w:val="auto"/>
                <w:spacing w:val="8"/>
                <w:sz w:val="32"/>
                <w:szCs w:val="32"/>
              </w:rPr>
              <w:t>获取磋商文件→</w:t>
            </w:r>
            <w:r>
              <w:rPr>
                <w:rFonts w:hint="eastAsia" w:ascii="仿宋" w:hAnsi="仿宋" w:eastAsia="仿宋" w:cs="仿宋"/>
                <w:color w:val="auto"/>
                <w:sz w:val="32"/>
                <w:szCs w:val="32"/>
              </w:rPr>
              <w:t xml:space="preserve"> </w:t>
            </w:r>
            <w:r>
              <w:rPr>
                <w:rFonts w:hint="eastAsia" w:ascii="仿宋" w:hAnsi="仿宋" w:eastAsia="仿宋" w:cs="仿宋"/>
                <w:color w:val="auto"/>
                <w:spacing w:val="8"/>
                <w:sz w:val="32"/>
                <w:szCs w:val="32"/>
              </w:rPr>
              <w:t>申请，审核通过后可下载磋商文件）。本次招标不提供纸质版磋商文件。</w:t>
            </w:r>
          </w:p>
          <w:p w14:paraId="253A1E69">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pacing w:val="9"/>
                <w:sz w:val="32"/>
                <w:szCs w:val="32"/>
              </w:rPr>
              <w:t>（2）供应商获取</w:t>
            </w:r>
            <w:r>
              <w:rPr>
                <w:rFonts w:hint="eastAsia" w:ascii="仿宋" w:hAnsi="仿宋" w:eastAsia="仿宋" w:cs="仿宋"/>
                <w:color w:val="auto"/>
                <w:spacing w:val="9"/>
                <w:sz w:val="32"/>
                <w:szCs w:val="32"/>
                <w:lang w:val="en-US" w:eastAsia="zh-CN"/>
              </w:rPr>
              <w:t>采购</w:t>
            </w:r>
            <w:r>
              <w:rPr>
                <w:rFonts w:hint="eastAsia" w:ascii="仿宋" w:hAnsi="仿宋" w:eastAsia="仿宋" w:cs="仿宋"/>
                <w:color w:val="auto"/>
                <w:spacing w:val="9"/>
                <w:sz w:val="32"/>
                <w:szCs w:val="32"/>
              </w:rPr>
              <w:t>文件前应注册成为政府采购云平</w:t>
            </w:r>
            <w:r>
              <w:rPr>
                <w:rFonts w:hint="eastAsia" w:ascii="仿宋" w:hAnsi="仿宋" w:eastAsia="仿宋" w:cs="仿宋"/>
                <w:color w:val="auto"/>
                <w:spacing w:val="8"/>
                <w:sz w:val="32"/>
                <w:szCs w:val="32"/>
              </w:rPr>
              <w:t>台正式供应商。</w:t>
            </w:r>
          </w:p>
        </w:tc>
      </w:tr>
      <w:tr w14:paraId="236698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tcBorders>
              <w:right w:val="single" w:color="auto" w:sz="4" w:space="0"/>
            </w:tcBorders>
            <w:noWrap w:val="0"/>
            <w:vAlign w:val="center"/>
          </w:tcPr>
          <w:p w14:paraId="5CD323FC">
            <w:pPr>
              <w:snapToGrid w:val="0"/>
              <w:spacing w:line="240" w:lineRule="auto"/>
              <w:ind w:left="0" w:leftChars="0" w:right="0" w:rightChars="0" w:firstLine="0" w:firstLineChars="0"/>
              <w:jc w:val="center"/>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29</w:t>
            </w:r>
          </w:p>
        </w:tc>
        <w:tc>
          <w:tcPr>
            <w:tcW w:w="0" w:type="auto"/>
            <w:tcBorders>
              <w:left w:val="single" w:color="auto" w:sz="4" w:space="0"/>
            </w:tcBorders>
            <w:noWrap w:val="0"/>
            <w:vAlign w:val="center"/>
          </w:tcPr>
          <w:p w14:paraId="6712E5AD">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中小微企业政策文件</w:t>
            </w:r>
          </w:p>
        </w:tc>
        <w:tc>
          <w:tcPr>
            <w:tcW w:w="7593" w:type="dxa"/>
            <w:noWrap w:val="0"/>
            <w:vAlign w:val="center"/>
          </w:tcPr>
          <w:p w14:paraId="4756A4CA">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lang w:eastAsia="zh-CN"/>
              </w:rPr>
              <w:t>）根据财政部、工业和信息化部关于印发《政府采购促进中小企业发展管理办法》的通知（财库[2020]46号）和</w:t>
            </w:r>
            <w:r>
              <w:rPr>
                <w:rFonts w:hint="eastAsia" w:ascii="仿宋" w:hAnsi="仿宋" w:eastAsia="仿宋" w:cs="仿宋"/>
                <w:b w:val="0"/>
                <w:bCs/>
                <w:color w:val="auto"/>
                <w:sz w:val="32"/>
                <w:szCs w:val="32"/>
                <w:highlight w:val="none"/>
                <w:lang w:val="en-US" w:eastAsia="zh-CN"/>
              </w:rPr>
              <w:t>关于进一步加大政府采购支持中小企业力度的通知-</w:t>
            </w:r>
            <w:r>
              <w:rPr>
                <w:rFonts w:hint="eastAsia" w:ascii="仿宋" w:hAnsi="仿宋" w:eastAsia="仿宋" w:cs="仿宋"/>
                <w:b w:val="0"/>
                <w:bCs/>
                <w:color w:val="auto"/>
                <w:sz w:val="32"/>
                <w:szCs w:val="32"/>
                <w:highlight w:val="none"/>
                <w:lang w:eastAsia="zh-CN"/>
              </w:rPr>
              <w:t>财库[2022]19号，供应商提供的服务属于《工业和信息化部、国家统</w:t>
            </w:r>
            <w:r>
              <w:rPr>
                <w:rFonts w:hint="eastAsia" w:ascii="仿宋" w:hAnsi="仿宋" w:eastAsia="仿宋" w:cs="仿宋"/>
                <w:color w:val="auto"/>
                <w:sz w:val="32"/>
                <w:szCs w:val="32"/>
                <w:highlight w:val="none"/>
                <w:lang w:eastAsia="zh-CN"/>
              </w:rPr>
              <w:t>计局、国家发展和改革委员会、财政部关于印发中小企业划型标准规定的通知》（工信部联企业[2011]300号）中规定的小型、微型企业标准的，按招标文件格式提供《中小企业声明函》。</w:t>
            </w:r>
          </w:p>
          <w:p w14:paraId="43407E1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414BFDE8">
            <w:pPr>
              <w:snapToGrid w:val="0"/>
              <w:spacing w:line="240" w:lineRule="auto"/>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sz w:val="32"/>
                <w:szCs w:val="32"/>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9B883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vMerge w:val="restart"/>
            <w:tcBorders>
              <w:right w:val="single" w:color="auto" w:sz="4" w:space="0"/>
            </w:tcBorders>
            <w:noWrap w:val="0"/>
            <w:vAlign w:val="center"/>
          </w:tcPr>
          <w:p w14:paraId="7A290BC7">
            <w:pPr>
              <w:snapToGrid w:val="0"/>
              <w:spacing w:line="240" w:lineRule="auto"/>
              <w:ind w:left="0" w:leftChars="0" w:right="0" w:rightChars="0" w:firstLine="0" w:firstLineChars="0"/>
              <w:jc w:val="center"/>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30</w:t>
            </w:r>
          </w:p>
        </w:tc>
        <w:tc>
          <w:tcPr>
            <w:tcW w:w="0" w:type="auto"/>
            <w:vMerge w:val="restart"/>
            <w:tcBorders>
              <w:left w:val="single" w:color="auto" w:sz="4" w:space="0"/>
            </w:tcBorders>
            <w:noWrap w:val="0"/>
            <w:vAlign w:val="center"/>
          </w:tcPr>
          <w:p w14:paraId="4BDAAEE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ED9D4B9">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177E9B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2A1557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31B0590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9FF242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E87A50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4F5B29A">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CE98B5A">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60EC1F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3B7995F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3EC0038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2F37B84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2A22124">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8CBE25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408F200">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EE94857">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0EACF83">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254F619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C11A1D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EE0030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808DAB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9B5087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A60A38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F4B7BD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8801D77">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AF62C8A">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9850F9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DC86F89">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28FDA5B">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27D501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B9F6DC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26160B5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A0335D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59FDAC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3B285D3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31B07DF6">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26CF55C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C48BAF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9E55954">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FD4558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F43D124">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16D5AE2">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499F24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E16ECB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3CF12C03">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0739C2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0CC2ED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8063B2A">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0879C44">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BE82058">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65768B9">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DDC28AE">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75256D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862997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FDA0D65">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EA7706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E3426F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447FC8D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6B1C5DB">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56F3E27A">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CFEC7E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6C2362FD">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1F599D81">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09E41F44">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p w14:paraId="7D2547D4">
            <w:pPr>
              <w:snapToGrid w:val="0"/>
              <w:spacing w:line="240" w:lineRule="auto"/>
              <w:ind w:left="0" w:leftChars="0" w:right="0" w:rightChars="0" w:firstLine="0" w:firstLineChars="0"/>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中小微企业政策文件说明</w:t>
            </w:r>
          </w:p>
        </w:tc>
        <w:tc>
          <w:tcPr>
            <w:tcW w:w="7593" w:type="dxa"/>
            <w:noWrap w:val="0"/>
            <w:vAlign w:val="center"/>
          </w:tcPr>
          <w:p w14:paraId="2144EB6B">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eastAsia" w:ascii="仿宋" w:hAnsi="仿宋" w:eastAsia="仿宋" w:cs="仿宋"/>
                <w:b/>
                <w:bCs/>
                <w:color w:val="auto"/>
                <w:sz w:val="32"/>
                <w:szCs w:val="32"/>
                <w:highlight w:val="none"/>
                <w:lang w:val="en-US" w:eastAsia="zh-CN"/>
              </w:rPr>
              <w:t>本项目为专门面向中小企业项目，资金为全部预留。</w:t>
            </w:r>
          </w:p>
          <w:p w14:paraId="05CA3CD3">
            <w:pPr>
              <w:snapToGrid w:val="0"/>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2.本采购项目中小企业划分标准所属行业为：物业管理。</w:t>
            </w:r>
          </w:p>
        </w:tc>
      </w:tr>
      <w:tr w14:paraId="68E14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vMerge w:val="continue"/>
            <w:tcBorders>
              <w:right w:val="single" w:color="auto" w:sz="4" w:space="0"/>
            </w:tcBorders>
            <w:noWrap w:val="0"/>
            <w:vAlign w:val="center"/>
          </w:tcPr>
          <w:p w14:paraId="6E48FEDB">
            <w:pPr>
              <w:snapToGrid w:val="0"/>
              <w:spacing w:line="240" w:lineRule="auto"/>
              <w:ind w:left="0" w:leftChars="0" w:right="0" w:rightChars="0" w:firstLine="0" w:firstLineChars="0"/>
              <w:jc w:val="center"/>
              <w:rPr>
                <w:rFonts w:hint="eastAsia" w:ascii="仿宋" w:hAnsi="仿宋" w:eastAsia="仿宋" w:cs="仿宋"/>
                <w:color w:val="auto"/>
                <w:kern w:val="2"/>
                <w:sz w:val="32"/>
                <w:szCs w:val="32"/>
                <w:highlight w:val="none"/>
                <w:lang w:val="en-US" w:eastAsia="zh-CN" w:bidi="ar-SA"/>
              </w:rPr>
            </w:pPr>
          </w:p>
        </w:tc>
        <w:tc>
          <w:tcPr>
            <w:tcW w:w="0" w:type="auto"/>
            <w:vMerge w:val="continue"/>
            <w:tcBorders>
              <w:left w:val="single" w:color="auto" w:sz="4" w:space="0"/>
            </w:tcBorders>
            <w:noWrap w:val="0"/>
            <w:vAlign w:val="center"/>
          </w:tcPr>
          <w:p w14:paraId="435AD3EC">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eastAsia="zh-CN"/>
              </w:rPr>
            </w:pPr>
          </w:p>
        </w:tc>
        <w:tc>
          <w:tcPr>
            <w:tcW w:w="7593" w:type="dxa"/>
            <w:noWrap w:val="0"/>
            <w:vAlign w:val="center"/>
          </w:tcPr>
          <w:p w14:paraId="634376E5">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一、根据《中华人民共和国中小企业促进法》和《国务院关于进一步促进中小企业发展的若干意见》(国发[2009]36号)，制定本规定。</w:t>
            </w:r>
          </w:p>
          <w:p w14:paraId="55C5FC2C">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二、中小企业划分为中型、小型、微型三种类型，具体标准根据企业从业人员、营业收入、资产总额等指标，结合行业特点制定。</w:t>
            </w:r>
          </w:p>
          <w:p w14:paraId="1C366B5A">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三、本规定适用的行业包括：</w:t>
            </w:r>
            <w:r>
              <w:rPr>
                <w:rFonts w:hint="eastAsia" w:ascii="仿宋" w:hAnsi="仿宋" w:eastAsia="仿宋" w:cs="仿宋"/>
                <w:b w:val="0"/>
                <w:bCs w:val="0"/>
                <w:color w:val="auto"/>
                <w:kern w:val="2"/>
                <w:sz w:val="32"/>
                <w:szCs w:val="32"/>
                <w:highlight w:val="none"/>
                <w:lang w:val="en-US" w:eastAsia="zh-CN" w:bidi="ar-SA"/>
              </w:rPr>
              <w:t>农、林、牧、渔业，工业（包括采矿业，制造业，电力、热力、燃气及水生产和供应业），建筑业，批</w:t>
            </w:r>
            <w:r>
              <w:rPr>
                <w:rFonts w:hint="eastAsia" w:ascii="仿宋" w:hAnsi="仿宋" w:eastAsia="仿宋" w:cs="仿宋"/>
                <w:color w:val="auto"/>
                <w:kern w:val="2"/>
                <w:sz w:val="32"/>
                <w:szCs w:val="32"/>
                <w:highlight w:val="none"/>
                <w:lang w:val="en-US" w:eastAsia="zh-CN" w:bidi="ar-SA"/>
              </w:rPr>
              <w:t>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16F17C20">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四、各行业划型标准为：</w:t>
            </w:r>
          </w:p>
          <w:p w14:paraId="028447AA">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0CF32056">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42A55915">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C994303">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585604A">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743F433">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74D8E21">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7496A9A">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DAACE02">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2BD85469">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A57A31A">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1BC94563">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80AC917">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27BDB5E">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（十四）</w:t>
            </w:r>
            <w:r>
              <w:rPr>
                <w:rFonts w:hint="eastAsia" w:ascii="仿宋" w:hAnsi="仿宋" w:eastAsia="仿宋" w:cs="仿宋"/>
                <w:b/>
                <w:bCs/>
                <w:color w:val="auto"/>
                <w:kern w:val="2"/>
                <w:sz w:val="32"/>
                <w:szCs w:val="32"/>
                <w:highlight w:val="none"/>
                <w:lang w:val="en-US" w:eastAsia="zh-CN" w:bidi="ar-SA"/>
              </w:rPr>
              <w:t>物业管理。</w:t>
            </w:r>
            <w:r>
              <w:rPr>
                <w:rFonts w:hint="eastAsia" w:ascii="仿宋" w:hAnsi="仿宋" w:eastAsia="仿宋" w:cs="仿宋"/>
                <w:color w:val="auto"/>
                <w:kern w:val="2"/>
                <w:sz w:val="32"/>
                <w:szCs w:val="32"/>
                <w:highlight w:val="none"/>
                <w:lang w:val="en-US" w:eastAsia="zh-CN" w:bidi="ar-SA"/>
              </w:rPr>
              <w:t>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4F55166">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030AD55E">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（十六）其他未列明行业。从业人员300人以下的为中小微型企业。其中，从业人员100人及以上的为中型企业；从业人员10人及以上的为小型企业；从业人员10人以下的为微型企业。</w:t>
            </w:r>
          </w:p>
          <w:p w14:paraId="3CF0E353">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五、企业类型的划分以统计部门的统计数据为依据。</w:t>
            </w:r>
          </w:p>
          <w:p w14:paraId="703A6111">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六、本规定适用于在中华人民共和国境内依法设立的各类所有制和各种组织形式的企业。个体工商户和本规定以外的行业，参照本规定进行划型。</w:t>
            </w:r>
          </w:p>
          <w:p w14:paraId="72BA6ABA">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5EBFDF5E">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八、本规定由工业和信息化部、国家统计局会同有关部门根据《国民经济行业分类》修订情况和企业发展变化情况适时修订。</w:t>
            </w:r>
          </w:p>
          <w:p w14:paraId="2A6723E3">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九、本规定由工业和信息化部、国家统计局会同有关部门负责解释。</w:t>
            </w:r>
          </w:p>
          <w:p w14:paraId="1F13B9C0">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kern w:val="2"/>
                <w:sz w:val="32"/>
                <w:szCs w:val="32"/>
                <w:highlight w:val="none"/>
                <w:lang w:val="en-US" w:eastAsia="zh-CN" w:bidi="ar-SA"/>
              </w:rPr>
              <w:t>十、本规定自发布之日起执行，原国家经贸委、原国家计委、财政部和国家统计局2003年颁布的《中小企业标准暂行规定》同时废止。</w:t>
            </w:r>
          </w:p>
        </w:tc>
      </w:tr>
      <w:tr w14:paraId="1C65351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0" w:type="auto"/>
            <w:tcBorders>
              <w:right w:val="single" w:color="auto" w:sz="4" w:space="0"/>
            </w:tcBorders>
            <w:noWrap w:val="0"/>
            <w:vAlign w:val="center"/>
          </w:tcPr>
          <w:p w14:paraId="605F193A">
            <w:pPr>
              <w:snapToGrid w:val="0"/>
              <w:spacing w:line="240" w:lineRule="auto"/>
              <w:ind w:left="0" w:leftChars="0" w:right="0" w:rightChars="0" w:firstLine="0" w:firstLineChars="0"/>
              <w:jc w:val="center"/>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31</w:t>
            </w:r>
          </w:p>
        </w:tc>
        <w:tc>
          <w:tcPr>
            <w:tcW w:w="0" w:type="auto"/>
            <w:tcBorders>
              <w:left w:val="single" w:color="auto" w:sz="4" w:space="0"/>
            </w:tcBorders>
            <w:noWrap w:val="0"/>
            <w:vAlign w:val="center"/>
          </w:tcPr>
          <w:p w14:paraId="5DC2AF23">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760E546E">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14424F5B">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382E1886">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13662172">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314E914E">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70547792">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5DBC0075">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7013263A">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67D36587">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310B1C95">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43B1D0E5">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2AD6C1AB">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034180E3">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37995CB6">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03E9E1FE">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u w:val="none" w:color="000000"/>
                <w:lang w:val="en-US" w:eastAsia="zh-CN" w:bidi="en-US"/>
              </w:rPr>
            </w:pPr>
          </w:p>
          <w:p w14:paraId="3116DC54">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u w:val="none" w:color="000000"/>
                <w:lang w:val="en-US" w:eastAsia="zh-CN" w:bidi="en-US"/>
              </w:rPr>
              <w:t>低于成本价不正当竞争预防措施</w:t>
            </w:r>
          </w:p>
        </w:tc>
        <w:tc>
          <w:tcPr>
            <w:tcW w:w="7593" w:type="dxa"/>
            <w:noWrap w:val="0"/>
            <w:vAlign w:val="center"/>
          </w:tcPr>
          <w:p w14:paraId="7475A564">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根据财库〔2026〕2号《关于推动解决政府采购异常低价问题的通知》</w:t>
            </w:r>
          </w:p>
          <w:p w14:paraId="4C34E094">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为强化政府采购异常低价审查，在此次政府采购评审中出现下列情形之一的，评审委员会应当启动异常低价投标（响应）审查程序：</w:t>
            </w:r>
          </w:p>
          <w:p w14:paraId="69A8E7A7">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1.投标（响应）报价低于全部通过符合性审查供应商投标（响应）报价平均值50%的，即投标（响应）报价&lt;全部通过符合性审查供应商投标（响应）报价平均值×50%；</w:t>
            </w:r>
          </w:p>
          <w:p w14:paraId="5CCB2881">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2.投标（响应）报价低于通过符合性审查的次低报价供应商投标（响应）报价50%的，即投标（响应）报价&lt;通过符合性审查的次低报价供应商投标（响应）报价×50%；</w:t>
            </w:r>
          </w:p>
          <w:p w14:paraId="69A20E43">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3.投标（响应）报价低于采购项目最高限价45%的，即投标（响应）报价&lt;采购项目最高限价×45%；</w:t>
            </w:r>
          </w:p>
          <w:p w14:paraId="00C1A696">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4.评审委员会基于专业判断，认为供应商报价过低，有可能影响产品质量或者不能诚信履约的其他情形。</w:t>
            </w:r>
          </w:p>
          <w:p w14:paraId="54CA3BCE">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在评审过程中，评审小组应当要求其在开标现场合理的时间内提供书面说明，并提交相关证明材料，投标人不能证明其报价合理性的，评审小组应当将其作为无效处理。</w:t>
            </w:r>
          </w:p>
          <w:p w14:paraId="60884CC9">
            <w:pPr>
              <w:pStyle w:val="41"/>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440B30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0" w:hRule="atLeast"/>
        </w:trPr>
        <w:tc>
          <w:tcPr>
            <w:tcW w:w="2261" w:type="dxa"/>
            <w:gridSpan w:val="2"/>
            <w:noWrap w:val="0"/>
            <w:vAlign w:val="center"/>
          </w:tcPr>
          <w:p w14:paraId="3F96C60C">
            <w:pPr>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eastAsia" w:ascii="仿宋" w:hAnsi="仿宋" w:eastAsia="仿宋" w:cs="仿宋"/>
                <w:b/>
                <w:color w:val="auto"/>
                <w:kern w:val="2"/>
                <w:sz w:val="32"/>
                <w:szCs w:val="32"/>
                <w:highlight w:val="none"/>
                <w:lang w:val="en-US" w:eastAsia="zh-CN" w:bidi="ar-SA"/>
              </w:rPr>
            </w:pPr>
            <w:r>
              <w:rPr>
                <w:rFonts w:hint="eastAsia" w:ascii="仿宋" w:hAnsi="仿宋" w:eastAsia="仿宋" w:cs="仿宋"/>
                <w:b/>
                <w:bCs w:val="0"/>
                <w:color w:val="auto"/>
                <w:sz w:val="32"/>
                <w:szCs w:val="32"/>
                <w:highlight w:val="none"/>
              </w:rPr>
              <w:t>备注</w:t>
            </w:r>
          </w:p>
        </w:tc>
        <w:tc>
          <w:tcPr>
            <w:tcW w:w="7593" w:type="dxa"/>
            <w:noWrap w:val="0"/>
            <w:vAlign w:val="center"/>
          </w:tcPr>
          <w:p w14:paraId="215A84EF">
            <w:pPr>
              <w:numPr>
                <w:ilvl w:val="0"/>
                <w:numId w:val="0"/>
              </w:num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投标人使用相同IP地址的，一经发现，相关部门将进一步核实，查实后按串通投标处理。</w:t>
            </w:r>
          </w:p>
          <w:p w14:paraId="01ED4601">
            <w:pPr>
              <w:pStyle w:val="19"/>
              <w:numPr>
                <w:ilvl w:val="0"/>
                <w:numId w:val="0"/>
              </w:numPr>
              <w:snapToGrid w:val="0"/>
              <w:ind w:left="0" w:leftChars="0" w:right="0" w:rightChars="0" w:firstLine="0" w:firstLineChars="0"/>
              <w:jc w:val="left"/>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kern w:val="2"/>
                <w:sz w:val="32"/>
                <w:szCs w:val="32"/>
                <w:highlight w:val="none"/>
                <w:lang w:val="en-US" w:eastAsia="zh-CN" w:bidi="ar-SA"/>
              </w:rPr>
              <w:t>投标人响应文件中的报价为一次报价，各投标人进行二次报价(磋商)，均不得高于最高限价，投标报价以最终磋商报价作为评审价。</w:t>
            </w:r>
          </w:p>
          <w:p w14:paraId="6DD7C6EC">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招标文件中如出现前后不一致情况，均以前附表内容为准。</w:t>
            </w:r>
          </w:p>
          <w:p w14:paraId="766CA193">
            <w:pPr>
              <w:pStyle w:val="12"/>
              <w:keepNext w:val="0"/>
              <w:keepLines w:val="0"/>
              <w:pageBreakBefore w:val="0"/>
              <w:shd w:val="clear" w:color="auto" w:fill="auto"/>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kern w:val="2"/>
                <w:sz w:val="32"/>
                <w:szCs w:val="32"/>
                <w:highlight w:val="none"/>
                <w:u w:val="none"/>
                <w:lang w:val="en-US" w:eastAsia="zh-CN" w:bidi="ar-SA"/>
              </w:rPr>
              <w:t>本项目采购内容中涉及消防维保检测服务及电梯维保检测服务，供应商无相应资质的，在项目实施过程中应委托有相关资质的单位进行维护检测，其费用由供应商承担，采购人不再另行支付。</w:t>
            </w:r>
          </w:p>
        </w:tc>
      </w:tr>
    </w:tbl>
    <w:p w14:paraId="25E3C7AE">
      <w:pPr>
        <w:pageBreakBefore/>
        <w:spacing w:before="312" w:beforeLines="100" w:after="312" w:afterLines="100" w:line="440" w:lineRule="exact"/>
        <w:jc w:val="center"/>
        <w:outlineLvl w:val="1"/>
        <w:rPr>
          <w:rFonts w:hint="eastAsia" w:ascii="仿宋" w:hAnsi="仿宋" w:eastAsia="仿宋" w:cs="仿宋"/>
          <w:b/>
          <w:color w:val="auto"/>
          <w:sz w:val="36"/>
          <w:szCs w:val="36"/>
          <w:highlight w:val="none"/>
        </w:rPr>
      </w:pPr>
      <w:bookmarkStart w:id="7" w:name="_Toc20727"/>
      <w:bookmarkStart w:id="8" w:name="_Toc1375"/>
      <w:bookmarkStart w:id="9" w:name="_Toc31178"/>
      <w:r>
        <w:rPr>
          <w:rFonts w:hint="eastAsia" w:ascii="仿宋" w:hAnsi="仿宋" w:eastAsia="仿宋" w:cs="仿宋"/>
          <w:b/>
          <w:color w:val="auto"/>
          <w:sz w:val="36"/>
          <w:szCs w:val="36"/>
          <w:highlight w:val="none"/>
        </w:rPr>
        <w:t>二、投标人须知</w:t>
      </w:r>
      <w:bookmarkEnd w:id="7"/>
      <w:bookmarkEnd w:id="8"/>
      <w:bookmarkEnd w:id="9"/>
    </w:p>
    <w:p w14:paraId="3D462382">
      <w:pPr>
        <w:shd w:val="clear" w:color="auto" w:fill="auto"/>
        <w:spacing w:line="440" w:lineRule="exact"/>
        <w:jc w:val="center"/>
        <w:outlineLvl w:val="2"/>
        <w:rPr>
          <w:rFonts w:hint="eastAsia" w:ascii="仿宋" w:hAnsi="仿宋" w:eastAsia="仿宋" w:cs="仿宋"/>
          <w:color w:val="auto"/>
          <w:sz w:val="32"/>
          <w:szCs w:val="32"/>
          <w:highlight w:val="none"/>
        </w:rPr>
      </w:pPr>
      <w:bookmarkStart w:id="10" w:name="_Toc469495724"/>
      <w:bookmarkStart w:id="11" w:name="_Toc10575"/>
      <w:bookmarkStart w:id="12" w:name="_Toc5649"/>
      <w:bookmarkStart w:id="13" w:name="_Toc17490"/>
      <w:bookmarkStart w:id="14" w:name="_Toc22704"/>
      <w:bookmarkStart w:id="15" w:name="_Toc10678"/>
      <w:r>
        <w:rPr>
          <w:rFonts w:hint="eastAsia" w:ascii="仿宋" w:hAnsi="仿宋" w:eastAsia="仿宋" w:cs="仿宋"/>
          <w:b/>
          <w:color w:val="auto"/>
          <w:sz w:val="32"/>
          <w:szCs w:val="32"/>
          <w:highlight w:val="none"/>
        </w:rPr>
        <w:t>（一）总  则</w:t>
      </w:r>
      <w:bookmarkEnd w:id="10"/>
      <w:bookmarkEnd w:id="11"/>
      <w:bookmarkEnd w:id="12"/>
      <w:bookmarkEnd w:id="13"/>
      <w:bookmarkEnd w:id="14"/>
      <w:bookmarkEnd w:id="15"/>
    </w:p>
    <w:p w14:paraId="1A20E137">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项目概况</w:t>
      </w:r>
    </w:p>
    <w:p w14:paraId="3907085A">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1.1本次招标采购项目名称：见投标人须知前附表。</w:t>
      </w:r>
    </w:p>
    <w:p w14:paraId="7FC0E087">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项目编号：见投标人须知前附表。</w:t>
      </w:r>
    </w:p>
    <w:p w14:paraId="707941D1">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rPr>
        <w:t>人：见投标人须知前附表。</w:t>
      </w:r>
    </w:p>
    <w:p w14:paraId="53CA0A37">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供货期（服务期</w:t>
      </w:r>
      <w:r>
        <w:rPr>
          <w:rFonts w:hint="eastAsia" w:ascii="仿宋" w:hAnsi="仿宋" w:eastAsia="仿宋" w:cs="仿宋"/>
          <w:color w:val="auto"/>
          <w:sz w:val="32"/>
          <w:szCs w:val="32"/>
          <w:highlight w:val="none"/>
          <w:lang w:val="en-US" w:eastAsia="zh-CN"/>
        </w:rPr>
        <w:t>限</w:t>
      </w:r>
      <w:r>
        <w:rPr>
          <w:rFonts w:hint="eastAsia" w:ascii="仿宋" w:hAnsi="仿宋" w:eastAsia="仿宋" w:cs="仿宋"/>
          <w:color w:val="auto"/>
          <w:sz w:val="32"/>
          <w:szCs w:val="32"/>
          <w:highlight w:val="none"/>
        </w:rPr>
        <w:t>）：见投标人须知前附表。</w:t>
      </w:r>
    </w:p>
    <w:p w14:paraId="3CD96B60">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eastAsia="zh-CN"/>
        </w:rPr>
        <w:t>服务</w:t>
      </w:r>
      <w:r>
        <w:rPr>
          <w:rFonts w:hint="eastAsia" w:ascii="仿宋" w:hAnsi="仿宋" w:eastAsia="仿宋" w:cs="仿宋"/>
          <w:color w:val="auto"/>
          <w:sz w:val="32"/>
          <w:szCs w:val="32"/>
          <w:highlight w:val="none"/>
        </w:rPr>
        <w:t>地点：见投标人须知前附表。</w:t>
      </w:r>
    </w:p>
    <w:p w14:paraId="4ED7EEAC">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1.2招标人及联系人: 见投标人须知前附表。</w:t>
      </w:r>
    </w:p>
    <w:p w14:paraId="103EDBDA">
      <w:pPr>
        <w:shd w:val="clear" w:color="auto" w:fill="auto"/>
        <w:snapToGrid w:val="0"/>
        <w:spacing w:line="440" w:lineRule="exact"/>
        <w:ind w:firstLine="800" w:firstLineChars="25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代理机构及联系人: 见投标人须知前附表。</w:t>
      </w:r>
    </w:p>
    <w:p w14:paraId="5EF4C330">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1.3资金来源：见投标人须知前附表。</w:t>
      </w:r>
    </w:p>
    <w:p w14:paraId="4928F782">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1.4本项目预算：见投标人须知前附表。</w:t>
      </w:r>
    </w:p>
    <w:p w14:paraId="3998CB62">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1.5本项目控制价：见投标人须知前附表。</w:t>
      </w:r>
    </w:p>
    <w:p w14:paraId="245AC474">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招标范围：</w:t>
      </w:r>
    </w:p>
    <w:p w14:paraId="43717DB8">
      <w:pPr>
        <w:shd w:val="clear" w:color="auto" w:fill="auto"/>
        <w:snapToGrid w:val="0"/>
        <w:spacing w:line="440" w:lineRule="exact"/>
        <w:ind w:firstLine="640" w:firstLineChars="20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2.1 采购内容：见投标人须知前附表。</w:t>
      </w:r>
    </w:p>
    <w:p w14:paraId="30F61BE0">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 技术要求：详见</w:t>
      </w:r>
      <w:r>
        <w:rPr>
          <w:rFonts w:hint="eastAsia" w:ascii="仿宋" w:hAnsi="仿宋" w:eastAsia="仿宋" w:cs="仿宋"/>
          <w:color w:val="auto"/>
          <w:sz w:val="32"/>
          <w:szCs w:val="32"/>
          <w:highlight w:val="none"/>
          <w:lang w:eastAsia="zh-CN"/>
        </w:rPr>
        <w:t>磋商文件</w:t>
      </w:r>
      <w:r>
        <w:rPr>
          <w:rFonts w:hint="eastAsia" w:ascii="仿宋" w:hAnsi="仿宋" w:eastAsia="仿宋" w:cs="仿宋"/>
          <w:color w:val="auto"/>
          <w:sz w:val="32"/>
          <w:szCs w:val="32"/>
          <w:highlight w:val="none"/>
        </w:rPr>
        <w:t>第四章采购内容及技术要求。</w:t>
      </w:r>
    </w:p>
    <w:p w14:paraId="4113473E">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3</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标包划分：</w:t>
      </w:r>
    </w:p>
    <w:p w14:paraId="604974B3">
      <w:pPr>
        <w:shd w:val="clear" w:color="auto" w:fill="auto"/>
        <w:snapToGrid w:val="0"/>
        <w:spacing w:line="44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3.1本项目划分：</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1</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 xml:space="preserve"> 个标包</w:t>
      </w:r>
      <w:r>
        <w:rPr>
          <w:rFonts w:hint="eastAsia" w:ascii="仿宋" w:hAnsi="仿宋" w:eastAsia="仿宋" w:cs="仿宋"/>
          <w:color w:val="auto"/>
          <w:kern w:val="0"/>
          <w:sz w:val="32"/>
          <w:szCs w:val="32"/>
          <w:highlight w:val="none"/>
        </w:rPr>
        <w:t>。</w:t>
      </w:r>
    </w:p>
    <w:p w14:paraId="31E8D863">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4</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招标方式：</w:t>
      </w:r>
    </w:p>
    <w:p w14:paraId="1DF887DE">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4.1本项目招标方式：见投标人须知前附表。</w:t>
      </w:r>
    </w:p>
    <w:p w14:paraId="3AB31777">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5</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计价方式：</w:t>
      </w:r>
    </w:p>
    <w:p w14:paraId="3AA6A0F4">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5.1本次招标项目合同采用</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固定总价</w:t>
      </w:r>
      <w:r>
        <w:rPr>
          <w:rFonts w:hint="eastAsia" w:ascii="仿宋" w:hAnsi="仿宋" w:eastAsia="仿宋" w:cs="仿宋"/>
          <w:color w:val="auto"/>
          <w:sz w:val="32"/>
          <w:szCs w:val="32"/>
          <w:highlight w:val="none"/>
          <w:u w:val="single"/>
        </w:rPr>
        <w:t xml:space="preserve"> 。</w:t>
      </w:r>
    </w:p>
    <w:p w14:paraId="72EC1477">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6</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评标办法：</w:t>
      </w:r>
    </w:p>
    <w:p w14:paraId="278170D8">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6.1本次招标评标采用</w:t>
      </w:r>
      <w:r>
        <w:rPr>
          <w:rFonts w:hint="eastAsia" w:ascii="仿宋" w:hAnsi="仿宋" w:eastAsia="仿宋" w:cs="仿宋"/>
          <w:color w:val="auto"/>
          <w:sz w:val="32"/>
          <w:szCs w:val="32"/>
          <w:highlight w:val="none"/>
          <w:u w:val="single"/>
        </w:rPr>
        <w:t xml:space="preserve">  符合</w:t>
      </w:r>
      <w:r>
        <w:rPr>
          <w:rFonts w:hint="eastAsia" w:ascii="仿宋" w:hAnsi="仿宋" w:eastAsia="仿宋" w:cs="仿宋"/>
          <w:color w:val="auto"/>
          <w:sz w:val="32"/>
          <w:szCs w:val="32"/>
          <w:highlight w:val="none"/>
          <w:u w:val="single"/>
          <w:lang w:eastAsia="zh-CN"/>
        </w:rPr>
        <w:t>竞争性磋商文件</w:t>
      </w:r>
      <w:r>
        <w:rPr>
          <w:rFonts w:hint="eastAsia" w:ascii="仿宋" w:hAnsi="仿宋" w:eastAsia="仿宋" w:cs="仿宋"/>
          <w:color w:val="auto"/>
          <w:sz w:val="32"/>
          <w:szCs w:val="32"/>
          <w:highlight w:val="none"/>
          <w:u w:val="single"/>
        </w:rPr>
        <w:t>的综合评分法</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（详见第三章评标办法）</w:t>
      </w:r>
    </w:p>
    <w:p w14:paraId="1DB9D1C9">
      <w:pPr>
        <w:shd w:val="clear" w:color="auto" w:fill="auto"/>
        <w:snapToGrid w:val="0"/>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7</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投标人资格：</w:t>
      </w:r>
    </w:p>
    <w:p w14:paraId="03CF9F3B">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7.1参与采购活动的投标人必须是满足《中华人民共和国政府采购法》规定条件的法人、其他组织或者自然人：</w:t>
      </w:r>
    </w:p>
    <w:p w14:paraId="452D6A6B">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7.2由于政府采购项目的差异性，投标人在参与具体政府采购项目活动时，应仔细阅读该项目的资质要求,具体见投标人须知前附表。</w:t>
      </w:r>
    </w:p>
    <w:p w14:paraId="593F2521">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3C1F167B">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7.4投标人必须确保自己在信息库中注册的信息真实、准确，并保证投标文件中的有关信息与库中的信息相一致。否则，投标人因此蒙受损失，招标人概不负责。</w:t>
      </w:r>
    </w:p>
    <w:p w14:paraId="7D174EA3">
      <w:pPr>
        <w:shd w:val="clear" w:color="auto" w:fill="auto"/>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8</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投标费用</w:t>
      </w:r>
    </w:p>
    <w:p w14:paraId="0F444124">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8.1投标人准备和参加投标活动发生的费用自理。</w:t>
      </w:r>
    </w:p>
    <w:p w14:paraId="62713E59">
      <w:pPr>
        <w:shd w:val="clear" w:color="auto" w:fill="auto"/>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9</w:t>
      </w:r>
      <w:bookmarkStart w:id="16" w:name="_Toc152045539"/>
      <w:bookmarkStart w:id="17" w:name="_Toc247592876"/>
      <w:bookmarkStart w:id="18" w:name="_Toc152042315"/>
      <w:bookmarkStart w:id="19" w:name="_Toc247513962"/>
      <w:bookmarkStart w:id="20" w:name="_Toc296602429"/>
      <w:bookmarkStart w:id="21" w:name="_Toc247527563"/>
      <w:bookmarkStart w:id="22" w:name="_Toc144974507"/>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踏勘现场</w:t>
      </w:r>
      <w:bookmarkEnd w:id="16"/>
      <w:bookmarkEnd w:id="17"/>
      <w:bookmarkEnd w:id="18"/>
      <w:bookmarkEnd w:id="19"/>
      <w:bookmarkEnd w:id="20"/>
      <w:bookmarkEnd w:id="21"/>
      <w:bookmarkEnd w:id="22"/>
    </w:p>
    <w:p w14:paraId="125E82D6">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9.1 投标人须知前附表规定组织踏勘现场的，招标人按投标人须知前附表规定的时间、地点组织投标人踏勘项目现场。</w:t>
      </w:r>
      <w:r>
        <w:rPr>
          <w:rFonts w:hint="eastAsia" w:ascii="仿宋" w:hAnsi="仿宋" w:eastAsia="仿宋" w:cs="仿宋"/>
          <w:color w:val="auto"/>
          <w:sz w:val="32"/>
          <w:szCs w:val="32"/>
          <w:highlight w:val="none"/>
          <w:lang w:eastAsia="zh-CN"/>
        </w:rPr>
        <w:t>如需踏勘现场，投标人自行踏勘现场的，可咨询本项目采购人或采购代理机构联系人。</w:t>
      </w:r>
      <w:r>
        <w:rPr>
          <w:rFonts w:hint="eastAsia" w:ascii="仿宋" w:hAnsi="仿宋" w:eastAsia="仿宋" w:cs="仿宋"/>
          <w:b/>
          <w:bCs/>
          <w:color w:val="auto"/>
          <w:sz w:val="32"/>
          <w:szCs w:val="32"/>
          <w:highlight w:val="none"/>
          <w:lang w:eastAsia="zh-CN"/>
        </w:rPr>
        <w:t>投标人自行踏勘现场的，可咨询本项目采购人或采购代理机构联系人。</w:t>
      </w:r>
      <w:r>
        <w:rPr>
          <w:rFonts w:hint="eastAsia" w:ascii="仿宋" w:hAnsi="仿宋" w:eastAsia="仿宋" w:cs="仿宋"/>
          <w:b/>
          <w:bCs/>
          <w:color w:val="auto"/>
          <w:sz w:val="32"/>
          <w:szCs w:val="32"/>
          <w:highlight w:val="none"/>
        </w:rPr>
        <w:t xml:space="preserve"> </w:t>
      </w:r>
    </w:p>
    <w:p w14:paraId="20653DEF">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9.2投标人踏勘现场发生的费用自理。</w:t>
      </w:r>
    </w:p>
    <w:p w14:paraId="6A12B1B7">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9.3除招标人的原因外，投标人自行负责在踏勘现场中所发生的人员伤亡和财产损失。</w:t>
      </w:r>
    </w:p>
    <w:p w14:paraId="6B20D4E2">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9.4招标人在踏勘现场中介绍的场地和相关的周边环境情况，供投标人在编制投标文件时参考，招标人不对投标人据此作出的判断和决策负责。</w:t>
      </w:r>
      <w:bookmarkStart w:id="23" w:name="_Toc247527564"/>
      <w:bookmarkStart w:id="24" w:name="_Toc247592877"/>
      <w:bookmarkStart w:id="25" w:name="_Toc152045540"/>
      <w:bookmarkStart w:id="26" w:name="_Toc247513963"/>
      <w:bookmarkStart w:id="27" w:name="_Toc296602430"/>
      <w:bookmarkStart w:id="28" w:name="_Toc144974508"/>
      <w:bookmarkStart w:id="29" w:name="_Toc152042316"/>
    </w:p>
    <w:p w14:paraId="30F84A2E">
      <w:pPr>
        <w:shd w:val="clear" w:color="auto" w:fill="auto"/>
        <w:spacing w:line="440" w:lineRule="exact"/>
        <w:ind w:firstLine="640" w:firstLineChars="2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10</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投标预备会</w:t>
      </w:r>
      <w:bookmarkEnd w:id="23"/>
      <w:bookmarkEnd w:id="24"/>
      <w:bookmarkEnd w:id="25"/>
      <w:bookmarkEnd w:id="26"/>
      <w:bookmarkEnd w:id="27"/>
      <w:bookmarkEnd w:id="28"/>
      <w:bookmarkEnd w:id="29"/>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本项目不召开</w:t>
      </w:r>
      <w:r>
        <w:rPr>
          <w:rFonts w:hint="eastAsia" w:ascii="仿宋" w:hAnsi="仿宋" w:eastAsia="仿宋" w:cs="仿宋"/>
          <w:b/>
          <w:color w:val="auto"/>
          <w:sz w:val="32"/>
          <w:szCs w:val="32"/>
          <w:highlight w:val="none"/>
          <w:lang w:eastAsia="zh-CN"/>
        </w:rPr>
        <w:t>）</w:t>
      </w:r>
    </w:p>
    <w:p w14:paraId="77CE0D18">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10.1投标人须知前附表规定召开投标预备会的，招标人按投标人须知前附表规定的时间和地点召开投标预备会，澄清投标人提出的问题。</w:t>
      </w:r>
    </w:p>
    <w:p w14:paraId="5E90A4C9">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10.2投标人应在投标人须知前附表规定的时间前，将提出的问题送达招标人，以便招标人澄清。</w:t>
      </w:r>
    </w:p>
    <w:p w14:paraId="6A044FAE">
      <w:pPr>
        <w:shd w:val="clear" w:color="auto" w:fill="auto"/>
        <w:spacing w:line="440" w:lineRule="exact"/>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10.3招标人在投标人须知前附表规定的时间，将对投标人所提的问题进行澄清。该澄清内容为</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的组成部分。</w:t>
      </w:r>
    </w:p>
    <w:p w14:paraId="02C7FD49">
      <w:pPr>
        <w:shd w:val="clear" w:color="auto" w:fill="auto"/>
        <w:spacing w:line="440" w:lineRule="exact"/>
        <w:ind w:firstLine="640" w:firstLineChars="2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11</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联合投标</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本项目允许</w:t>
      </w:r>
      <w:r>
        <w:rPr>
          <w:rFonts w:hint="eastAsia" w:ascii="仿宋" w:hAnsi="仿宋" w:eastAsia="仿宋" w:cs="仿宋"/>
          <w:b/>
          <w:color w:val="auto"/>
          <w:sz w:val="32"/>
          <w:szCs w:val="32"/>
          <w:highlight w:val="none"/>
          <w:lang w:eastAsia="zh-CN"/>
        </w:rPr>
        <w:t>）</w:t>
      </w:r>
    </w:p>
    <w:p w14:paraId="7F88B9AE">
      <w:pPr>
        <w:shd w:val="clear" w:color="auto" w:fill="auto"/>
        <w:spacing w:line="360" w:lineRule="auto"/>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11.1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26B32CC1">
      <w:pPr>
        <w:shd w:val="clear" w:color="auto" w:fill="auto"/>
        <w:spacing w:line="360" w:lineRule="auto"/>
        <w:ind w:firstLine="624" w:firstLineChars="19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5E65B241">
      <w:pPr>
        <w:shd w:val="clear" w:color="auto" w:fill="auto"/>
        <w:spacing w:line="400" w:lineRule="exact"/>
        <w:ind w:firstLine="627" w:firstLineChars="196"/>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11.3联合体应当确定其中一个单位为投标的全权代表，负责参加投标的一切事务，并承担投标及履约中应承担的全部责任与义务。</w:t>
      </w:r>
    </w:p>
    <w:p w14:paraId="2E7EA1DE">
      <w:pPr>
        <w:shd w:val="clear" w:color="auto" w:fill="auto"/>
        <w:spacing w:line="400" w:lineRule="exact"/>
        <w:ind w:firstLine="627" w:firstLineChars="196"/>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11.4联合体各方应当共同与招标人签订采购合同，就采购合同约定的事项对招标人承担连带责任。</w:t>
      </w:r>
    </w:p>
    <w:p w14:paraId="549CAA84">
      <w:pPr>
        <w:shd w:val="clear" w:color="auto" w:fill="auto"/>
        <w:spacing w:line="440" w:lineRule="exact"/>
        <w:ind w:firstLine="627" w:firstLineChars="196"/>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12</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招标代理费</w:t>
      </w:r>
    </w:p>
    <w:p w14:paraId="34B3FA7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中标单位在领取本项目中标通知书时，根据《中华人民共和国招标投标法》《中华人民共和国招标投标法实施条例》《国家发展改革委关于进一步放开建设项目专业服务价格的通知》（发改价格[2015]299号）文件等规定，由中标单位向招标代理机构支付本项目代理费。本项目招标代理服务费为</w:t>
      </w:r>
      <w:r>
        <w:rPr>
          <w:rFonts w:hint="eastAsia" w:ascii="仿宋" w:hAnsi="仿宋" w:eastAsia="仿宋" w:cs="仿宋"/>
          <w:color w:val="0B06B9"/>
          <w:sz w:val="32"/>
          <w:szCs w:val="32"/>
          <w:highlight w:val="none"/>
          <w:lang w:val="en-US" w:eastAsia="zh-CN"/>
        </w:rPr>
        <w:t>：12751元</w:t>
      </w:r>
    </w:p>
    <w:p w14:paraId="0F00217C">
      <w:pPr>
        <w:shd w:val="clear" w:color="auto" w:fill="auto"/>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13</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投标人应注意的事项</w:t>
      </w:r>
    </w:p>
    <w:p w14:paraId="602490C5">
      <w:pPr>
        <w:shd w:val="clear" w:color="auto" w:fill="auto"/>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color w:val="auto"/>
          <w:sz w:val="32"/>
          <w:szCs w:val="32"/>
          <w:highlight w:val="none"/>
        </w:rPr>
        <w:t>13.1投标人一旦按规定缴纳了投标保证金并参加投标，即被认为接受了本</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中的所有条件和规定。投标人必须严格按</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的要求编制投标文件，投标文件宜编制页码和目录，以便评委审核。否则，由此产生的一切后果由投标人承担。</w:t>
      </w:r>
    </w:p>
    <w:p w14:paraId="6660737C">
      <w:pPr>
        <w:shd w:val="clear" w:color="auto" w:fill="auto"/>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2</w:t>
      </w:r>
      <w:r>
        <w:rPr>
          <w:rFonts w:hint="eastAsia" w:ascii="仿宋" w:hAnsi="仿宋" w:eastAsia="仿宋" w:cs="仿宋"/>
          <w:bCs/>
          <w:color w:val="auto"/>
          <w:sz w:val="32"/>
          <w:szCs w:val="32"/>
          <w:highlight w:val="none"/>
        </w:rPr>
        <w:t>投标人对采购内容中规定的技术参数、规格等要求必须完全响应或优于</w:t>
      </w:r>
      <w:r>
        <w:rPr>
          <w:rFonts w:hint="eastAsia" w:ascii="仿宋" w:hAnsi="仿宋" w:eastAsia="仿宋" w:cs="仿宋"/>
          <w:bCs/>
          <w:color w:val="auto"/>
          <w:sz w:val="32"/>
          <w:szCs w:val="32"/>
          <w:highlight w:val="none"/>
          <w:lang w:eastAsia="zh-CN"/>
        </w:rPr>
        <w:t>竞争性磋商文件</w:t>
      </w:r>
      <w:r>
        <w:rPr>
          <w:rFonts w:hint="eastAsia" w:ascii="仿宋" w:hAnsi="仿宋" w:eastAsia="仿宋" w:cs="仿宋"/>
          <w:bCs/>
          <w:color w:val="auto"/>
          <w:sz w:val="32"/>
          <w:szCs w:val="32"/>
          <w:highlight w:val="none"/>
        </w:rPr>
        <w:t>中的要求。</w:t>
      </w:r>
    </w:p>
    <w:p w14:paraId="0CA41DE0">
      <w:pPr>
        <w:shd w:val="clear" w:color="auto" w:fill="auto"/>
        <w:spacing w:line="440" w:lineRule="exact"/>
        <w:ind w:firstLine="627" w:firstLineChars="196"/>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3</w:t>
      </w:r>
      <w:r>
        <w:rPr>
          <w:rFonts w:hint="eastAsia" w:ascii="仿宋" w:hAnsi="仿宋" w:eastAsia="仿宋" w:cs="仿宋"/>
          <w:bCs/>
          <w:color w:val="auto"/>
          <w:sz w:val="32"/>
          <w:szCs w:val="32"/>
          <w:highlight w:val="none"/>
        </w:rPr>
        <w:t>所有投标人的投标保证金都应在</w:t>
      </w:r>
      <w:r>
        <w:rPr>
          <w:rFonts w:hint="eastAsia" w:ascii="仿宋" w:hAnsi="仿宋" w:eastAsia="仿宋" w:cs="仿宋"/>
          <w:bCs/>
          <w:color w:val="auto"/>
          <w:sz w:val="32"/>
          <w:szCs w:val="32"/>
          <w:highlight w:val="none"/>
          <w:lang w:eastAsia="zh-CN"/>
        </w:rPr>
        <w:t>竞争性磋商文件</w:t>
      </w:r>
      <w:r>
        <w:rPr>
          <w:rFonts w:hint="eastAsia" w:ascii="仿宋" w:hAnsi="仿宋" w:eastAsia="仿宋" w:cs="仿宋"/>
          <w:bCs/>
          <w:color w:val="auto"/>
          <w:sz w:val="32"/>
          <w:szCs w:val="32"/>
          <w:highlight w:val="none"/>
        </w:rPr>
        <w:t>规定的投标保证金缴纳截止日期前缴纳。</w:t>
      </w:r>
    </w:p>
    <w:p w14:paraId="25F86349">
      <w:pPr>
        <w:shd w:val="clear" w:color="auto" w:fill="auto"/>
        <w:spacing w:line="440" w:lineRule="exact"/>
        <w:ind w:firstLine="627" w:firstLineChars="196"/>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4</w:t>
      </w:r>
      <w:r>
        <w:rPr>
          <w:rFonts w:hint="eastAsia" w:ascii="仿宋" w:hAnsi="仿宋" w:eastAsia="仿宋" w:cs="仿宋"/>
          <w:bCs/>
          <w:color w:val="auto"/>
          <w:sz w:val="32"/>
          <w:szCs w:val="32"/>
          <w:highlight w:val="none"/>
        </w:rPr>
        <w:t>单位负责人为同一人或者存在直接控股、管理关系的不同供应商，不得参加同一合同项下的政府采购活动。</w:t>
      </w:r>
      <w:r>
        <w:rPr>
          <w:rFonts w:hint="eastAsia" w:ascii="仿宋" w:hAnsi="仿宋" w:eastAsia="仿宋" w:cs="仿宋"/>
          <w:color w:val="auto"/>
          <w:sz w:val="32"/>
          <w:szCs w:val="32"/>
          <w:highlight w:val="none"/>
        </w:rPr>
        <w:t>为采购项目提供整体设计、规范编制或者项目管理、监理、检测等服务的供应商，不得再参加该采购项目的其他采购活动。</w:t>
      </w:r>
    </w:p>
    <w:p w14:paraId="2652CFC7">
      <w:pPr>
        <w:shd w:val="clear" w:color="auto" w:fill="auto"/>
        <w:snapToGrid w:val="0"/>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5</w:t>
      </w:r>
      <w:r>
        <w:rPr>
          <w:rFonts w:hint="eastAsia" w:ascii="仿宋" w:hAnsi="仿宋" w:eastAsia="仿宋" w:cs="仿宋"/>
          <w:bCs/>
          <w:color w:val="auto"/>
          <w:sz w:val="32"/>
          <w:szCs w:val="32"/>
          <w:highlight w:val="none"/>
        </w:rPr>
        <w:t>本项目只接受</w:t>
      </w:r>
      <w:r>
        <w:rPr>
          <w:rFonts w:hint="eastAsia" w:ascii="仿宋" w:hAnsi="仿宋" w:eastAsia="仿宋" w:cs="仿宋"/>
          <w:color w:val="auto"/>
          <w:sz w:val="32"/>
          <w:szCs w:val="32"/>
          <w:highlight w:val="none"/>
        </w:rPr>
        <w:t>成为新疆维吾尔自治区政府采购网正式注册入库并完成CA数字证书申领供应商</w:t>
      </w:r>
      <w:r>
        <w:rPr>
          <w:rFonts w:hint="eastAsia" w:ascii="仿宋" w:hAnsi="仿宋" w:eastAsia="仿宋" w:cs="仿宋"/>
          <w:color w:val="auto"/>
          <w:sz w:val="32"/>
          <w:szCs w:val="32"/>
          <w:highlight w:val="none"/>
          <w:lang w:eastAsia="zh-CN"/>
        </w:rPr>
        <w:t>参与投标</w:t>
      </w:r>
      <w:r>
        <w:rPr>
          <w:rFonts w:hint="eastAsia" w:ascii="仿宋" w:hAnsi="仿宋" w:eastAsia="仿宋" w:cs="仿宋"/>
          <w:color w:val="auto"/>
          <w:sz w:val="32"/>
          <w:szCs w:val="32"/>
          <w:highlight w:val="none"/>
        </w:rPr>
        <w:t>。因未注册入库、未办理CA数字证书等原因造成无法投标或投标失败等后果由供应商自行承担。</w:t>
      </w:r>
    </w:p>
    <w:p w14:paraId="697DEF3C">
      <w:pPr>
        <w:shd w:val="clear" w:color="auto" w:fill="auto"/>
        <w:wordWrap w:val="0"/>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13.</w:t>
      </w:r>
      <w:r>
        <w:rPr>
          <w:rFonts w:hint="eastAsia" w:ascii="仿宋" w:hAnsi="仿宋" w:eastAsia="仿宋" w:cs="仿宋"/>
          <w:bCs/>
          <w:color w:val="auto"/>
          <w:sz w:val="32"/>
          <w:szCs w:val="32"/>
          <w:highlight w:val="none"/>
          <w:lang w:val="en-US" w:eastAsia="zh-CN"/>
        </w:rPr>
        <w:t>6</w:t>
      </w:r>
      <w:r>
        <w:rPr>
          <w:rFonts w:hint="eastAsia" w:ascii="仿宋" w:hAnsi="仿宋" w:eastAsia="仿宋" w:cs="仿宋"/>
          <w:bCs/>
          <w:color w:val="auto"/>
          <w:sz w:val="32"/>
          <w:szCs w:val="32"/>
          <w:highlight w:val="none"/>
        </w:rPr>
        <w:t>投标人被视为充分熟悉本招标项目所在地的与履行合同有关的各种情况，包括但不限于：</w:t>
      </w:r>
    </w:p>
    <w:p w14:paraId="5F16D086">
      <w:pPr>
        <w:shd w:val="clear" w:color="auto" w:fill="auto"/>
        <w:spacing w:line="400" w:lineRule="exact"/>
        <w:ind w:firstLine="480" w:firstLineChars="15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（1）国家对本次投标货物和服务的生产、安装调试、验收、维修等有关法律、法规及行业管理标准；</w:t>
      </w:r>
    </w:p>
    <w:p w14:paraId="7EC3C930">
      <w:pPr>
        <w:shd w:val="clear" w:color="auto" w:fill="auto"/>
        <w:spacing w:line="400" w:lineRule="exact"/>
        <w:ind w:firstLine="480" w:firstLineChars="15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w:t>
      </w:r>
      <w:r>
        <w:rPr>
          <w:rFonts w:hint="eastAsia" w:ascii="仿宋" w:hAnsi="仿宋" w:eastAsia="仿宋" w:cs="仿宋"/>
          <w:bCs/>
          <w:color w:val="auto"/>
          <w:sz w:val="32"/>
          <w:szCs w:val="32"/>
          <w:highlight w:val="none"/>
          <w:lang w:eastAsia="zh-CN"/>
        </w:rPr>
        <w:t>本地区</w:t>
      </w:r>
      <w:r>
        <w:rPr>
          <w:rFonts w:hint="eastAsia" w:ascii="仿宋" w:hAnsi="仿宋" w:eastAsia="仿宋" w:cs="仿宋"/>
          <w:bCs/>
          <w:color w:val="auto"/>
          <w:sz w:val="32"/>
          <w:szCs w:val="32"/>
          <w:highlight w:val="none"/>
        </w:rPr>
        <w:t>有关管理部门的相关规定；</w:t>
      </w:r>
    </w:p>
    <w:p w14:paraId="650A876E">
      <w:pPr>
        <w:shd w:val="clear" w:color="auto" w:fill="auto"/>
        <w:spacing w:line="400" w:lineRule="exact"/>
        <w:ind w:firstLine="480" w:firstLineChars="15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（3）招标人的相关场地情况、基础建设、电力供应情况及相关设计标准。</w:t>
      </w:r>
    </w:p>
    <w:p w14:paraId="4E19BC9E">
      <w:pPr>
        <w:shd w:val="clear" w:color="auto" w:fill="auto"/>
        <w:spacing w:line="400" w:lineRule="exact"/>
        <w:ind w:firstLine="480" w:firstLineChars="150"/>
        <w:rPr>
          <w:rFonts w:hint="eastAsia" w:ascii="仿宋" w:hAnsi="仿宋" w:eastAsia="仿宋" w:cs="仿宋"/>
          <w:b/>
          <w:color w:val="auto"/>
          <w:sz w:val="32"/>
          <w:szCs w:val="32"/>
          <w:highlight w:val="none"/>
        </w:rPr>
      </w:pPr>
      <w:r>
        <w:rPr>
          <w:rFonts w:hint="eastAsia" w:ascii="仿宋" w:hAnsi="仿宋" w:eastAsia="仿宋" w:cs="仿宋"/>
          <w:bCs/>
          <w:color w:val="auto"/>
          <w:sz w:val="32"/>
          <w:szCs w:val="32"/>
          <w:highlight w:val="none"/>
        </w:rPr>
        <w:t>本</w:t>
      </w:r>
      <w:r>
        <w:rPr>
          <w:rFonts w:hint="eastAsia" w:ascii="仿宋" w:hAnsi="仿宋" w:eastAsia="仿宋" w:cs="仿宋"/>
          <w:bCs/>
          <w:color w:val="auto"/>
          <w:sz w:val="32"/>
          <w:szCs w:val="32"/>
          <w:highlight w:val="none"/>
          <w:lang w:eastAsia="zh-CN"/>
        </w:rPr>
        <w:t>竞争性磋商文件</w:t>
      </w:r>
      <w:r>
        <w:rPr>
          <w:rFonts w:hint="eastAsia" w:ascii="仿宋" w:hAnsi="仿宋" w:eastAsia="仿宋" w:cs="仿宋"/>
          <w:bCs/>
          <w:color w:val="auto"/>
          <w:sz w:val="32"/>
          <w:szCs w:val="32"/>
          <w:highlight w:val="none"/>
        </w:rPr>
        <w:t>不再对上述情况进行描述。</w:t>
      </w:r>
      <w:bookmarkStart w:id="30" w:name="_Toc469495725"/>
    </w:p>
    <w:p w14:paraId="4636CEB5">
      <w:pPr>
        <w:shd w:val="clear" w:color="auto" w:fill="auto"/>
        <w:spacing w:before="312" w:beforeLines="100" w:after="312" w:afterLines="100" w:line="440" w:lineRule="exact"/>
        <w:jc w:val="center"/>
        <w:outlineLvl w:val="2"/>
        <w:rPr>
          <w:rFonts w:hint="eastAsia" w:ascii="仿宋" w:hAnsi="仿宋" w:eastAsia="仿宋" w:cs="仿宋"/>
          <w:b/>
          <w:color w:val="auto"/>
          <w:sz w:val="32"/>
          <w:szCs w:val="32"/>
          <w:highlight w:val="none"/>
          <w:lang w:eastAsia="zh-CN"/>
        </w:rPr>
      </w:pPr>
      <w:bookmarkStart w:id="31" w:name="_Toc7689"/>
      <w:bookmarkStart w:id="32" w:name="_Toc6605"/>
      <w:bookmarkStart w:id="33" w:name="_Toc24044"/>
      <w:bookmarkStart w:id="34" w:name="_Toc21954"/>
      <w:bookmarkStart w:id="35" w:name="_Toc673"/>
      <w:r>
        <w:rPr>
          <w:rFonts w:hint="eastAsia" w:ascii="仿宋" w:hAnsi="仿宋" w:eastAsia="仿宋" w:cs="仿宋"/>
          <w:b/>
          <w:color w:val="auto"/>
          <w:sz w:val="32"/>
          <w:szCs w:val="32"/>
          <w:highlight w:val="none"/>
        </w:rPr>
        <w:t>（二）</w:t>
      </w:r>
      <w:bookmarkEnd w:id="30"/>
      <w:r>
        <w:rPr>
          <w:rFonts w:hint="eastAsia" w:ascii="仿宋" w:hAnsi="仿宋" w:eastAsia="仿宋" w:cs="仿宋"/>
          <w:b/>
          <w:color w:val="auto"/>
          <w:sz w:val="32"/>
          <w:szCs w:val="32"/>
          <w:highlight w:val="none"/>
          <w:lang w:eastAsia="zh-CN"/>
        </w:rPr>
        <w:t>竞争性磋商文件</w:t>
      </w:r>
      <w:bookmarkEnd w:id="31"/>
      <w:bookmarkEnd w:id="32"/>
      <w:bookmarkEnd w:id="33"/>
      <w:bookmarkEnd w:id="34"/>
      <w:bookmarkEnd w:id="35"/>
    </w:p>
    <w:p w14:paraId="32DB1500">
      <w:pPr>
        <w:shd w:val="clear" w:color="auto" w:fill="auto"/>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w:t>
      </w:r>
      <w:r>
        <w:rPr>
          <w:rFonts w:hint="eastAsia" w:ascii="仿宋" w:hAnsi="仿宋" w:eastAsia="仿宋" w:cs="仿宋"/>
          <w:b/>
          <w:color w:val="auto"/>
          <w:sz w:val="32"/>
          <w:szCs w:val="32"/>
          <w:highlight w:val="none"/>
          <w:lang w:val="en-US" w:eastAsia="zh-CN"/>
        </w:rPr>
        <w:t>4</w:t>
      </w:r>
      <w:r>
        <w:rPr>
          <w:rFonts w:hint="eastAsia" w:ascii="仿宋" w:hAnsi="仿宋" w:eastAsia="仿宋" w:cs="仿宋"/>
          <w:b/>
          <w:color w:val="auto"/>
          <w:sz w:val="32"/>
          <w:szCs w:val="32"/>
          <w:highlight w:val="none"/>
          <w:lang w:eastAsia="zh-CN"/>
        </w:rPr>
        <w:t>、竞争性磋商文件</w:t>
      </w:r>
      <w:r>
        <w:rPr>
          <w:rFonts w:hint="eastAsia" w:ascii="仿宋" w:hAnsi="仿宋" w:eastAsia="仿宋" w:cs="仿宋"/>
          <w:b/>
          <w:color w:val="auto"/>
          <w:sz w:val="32"/>
          <w:szCs w:val="32"/>
          <w:highlight w:val="none"/>
        </w:rPr>
        <w:t>的编制依据</w:t>
      </w:r>
    </w:p>
    <w:p w14:paraId="782610D7">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根据《中华人民共和国政府采购法》、《政府采购货物和服务招标投标管理办法》和《中华人民共和国</w:t>
      </w:r>
      <w:r>
        <w:rPr>
          <w:rFonts w:hint="eastAsia" w:ascii="仿宋" w:hAnsi="仿宋" w:eastAsia="仿宋" w:cs="仿宋"/>
          <w:color w:val="auto"/>
          <w:sz w:val="32"/>
          <w:szCs w:val="32"/>
          <w:highlight w:val="none"/>
          <w:lang w:eastAsia="zh-CN"/>
        </w:rPr>
        <w:t>民法典</w:t>
      </w:r>
      <w:r>
        <w:rPr>
          <w:rFonts w:hint="eastAsia" w:ascii="仿宋" w:hAnsi="仿宋" w:eastAsia="仿宋" w:cs="仿宋"/>
          <w:color w:val="auto"/>
          <w:sz w:val="32"/>
          <w:szCs w:val="32"/>
          <w:highlight w:val="none"/>
        </w:rPr>
        <w:t>》</w:t>
      </w:r>
      <w:r>
        <w:rPr>
          <w:rFonts w:hint="eastAsia" w:ascii="仿宋" w:hAnsi="仿宋" w:eastAsia="仿宋" w:cs="仿宋"/>
          <w:color w:val="auto"/>
          <w:spacing w:val="-2"/>
          <w:sz w:val="32"/>
          <w:szCs w:val="32"/>
          <w:highlight w:val="none"/>
        </w:rPr>
        <w:t>等相关法律法规和规章及部、省、市级规范性文件的规定，编制本</w:t>
      </w:r>
      <w:r>
        <w:rPr>
          <w:rFonts w:hint="eastAsia" w:ascii="仿宋" w:hAnsi="仿宋" w:eastAsia="仿宋" w:cs="仿宋"/>
          <w:color w:val="auto"/>
          <w:spacing w:val="-2"/>
          <w:sz w:val="32"/>
          <w:szCs w:val="32"/>
          <w:highlight w:val="none"/>
          <w:lang w:eastAsia="zh-CN"/>
        </w:rPr>
        <w:t>竞争性磋商文件</w:t>
      </w:r>
      <w:r>
        <w:rPr>
          <w:rFonts w:hint="eastAsia" w:ascii="仿宋" w:hAnsi="仿宋" w:eastAsia="仿宋" w:cs="仿宋"/>
          <w:color w:val="auto"/>
          <w:spacing w:val="-2"/>
          <w:sz w:val="32"/>
          <w:szCs w:val="32"/>
          <w:highlight w:val="none"/>
        </w:rPr>
        <w:t>。</w:t>
      </w:r>
    </w:p>
    <w:p w14:paraId="65E64041">
      <w:pPr>
        <w:shd w:val="clear" w:color="auto" w:fill="auto"/>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1</w:t>
      </w:r>
      <w:r>
        <w:rPr>
          <w:rFonts w:hint="eastAsia" w:ascii="仿宋" w:hAnsi="仿宋" w:eastAsia="仿宋" w:cs="仿宋"/>
          <w:b/>
          <w:color w:val="auto"/>
          <w:sz w:val="32"/>
          <w:szCs w:val="32"/>
          <w:highlight w:val="none"/>
          <w:lang w:val="en-US" w:eastAsia="zh-CN"/>
        </w:rPr>
        <w:t>5</w:t>
      </w:r>
      <w:r>
        <w:rPr>
          <w:rFonts w:hint="eastAsia" w:ascii="仿宋" w:hAnsi="仿宋" w:eastAsia="仿宋" w:cs="仿宋"/>
          <w:b/>
          <w:color w:val="auto"/>
          <w:sz w:val="32"/>
          <w:szCs w:val="32"/>
          <w:highlight w:val="none"/>
        </w:rPr>
        <w:t>.</w:t>
      </w:r>
      <w:r>
        <w:rPr>
          <w:rFonts w:hint="eastAsia" w:ascii="仿宋" w:hAnsi="仿宋" w:eastAsia="仿宋" w:cs="仿宋"/>
          <w:b/>
          <w:color w:val="auto"/>
          <w:sz w:val="32"/>
          <w:szCs w:val="32"/>
          <w:highlight w:val="none"/>
          <w:lang w:eastAsia="zh-CN"/>
        </w:rPr>
        <w:t>竞争性磋商文件</w:t>
      </w:r>
      <w:r>
        <w:rPr>
          <w:rFonts w:hint="eastAsia" w:ascii="仿宋" w:hAnsi="仿宋" w:eastAsia="仿宋" w:cs="仿宋"/>
          <w:b/>
          <w:color w:val="auto"/>
          <w:sz w:val="32"/>
          <w:szCs w:val="32"/>
          <w:highlight w:val="none"/>
        </w:rPr>
        <w:t>的组成</w:t>
      </w:r>
    </w:p>
    <w:p w14:paraId="149DEA0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 xml:space="preserve">.1 </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包括内容：</w:t>
      </w:r>
    </w:p>
    <w:p w14:paraId="600A843C">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第一章  </w:t>
      </w:r>
      <w:r>
        <w:rPr>
          <w:rFonts w:hint="eastAsia" w:ascii="仿宋" w:hAnsi="仿宋" w:eastAsia="仿宋" w:cs="仿宋"/>
          <w:color w:val="auto"/>
          <w:sz w:val="32"/>
          <w:szCs w:val="32"/>
          <w:highlight w:val="none"/>
          <w:lang w:eastAsia="zh-CN"/>
        </w:rPr>
        <w:t>竞争性磋商</w:t>
      </w:r>
      <w:r>
        <w:rPr>
          <w:rFonts w:hint="eastAsia" w:ascii="仿宋" w:hAnsi="仿宋" w:eastAsia="仿宋" w:cs="仿宋"/>
          <w:color w:val="auto"/>
          <w:sz w:val="32"/>
          <w:szCs w:val="32"/>
          <w:highlight w:val="none"/>
        </w:rPr>
        <w:t>公告</w:t>
      </w:r>
    </w:p>
    <w:p w14:paraId="21D93F2E">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第二章  投标须知</w:t>
      </w:r>
    </w:p>
    <w:p w14:paraId="097A2042">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第三章  评标办法</w:t>
      </w:r>
    </w:p>
    <w:p w14:paraId="313536F4">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第四章  采购内容及技术要求</w:t>
      </w:r>
    </w:p>
    <w:p w14:paraId="0422EE06">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第五章  合同条款及格式</w:t>
      </w:r>
    </w:p>
    <w:p w14:paraId="7DA3E640">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第六章  投标文件格式文本</w:t>
      </w:r>
    </w:p>
    <w:p w14:paraId="3DADA42D">
      <w:pPr>
        <w:shd w:val="clear" w:color="auto" w:fill="auto"/>
        <w:spacing w:line="440" w:lineRule="exact"/>
        <w:ind w:firstLine="1280" w:firstLineChars="4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第七章  招标单位、招标代理机构对本文件的确认</w:t>
      </w:r>
    </w:p>
    <w:p w14:paraId="2C31AC86">
      <w:pPr>
        <w:shd w:val="clear" w:color="auto" w:fill="auto"/>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.2除1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.1内容外，招标答疑亦为</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的组成部分，对招标人和投标人起约束作用。</w:t>
      </w:r>
    </w:p>
    <w:p w14:paraId="16BF8A7D">
      <w:pPr>
        <w:pStyle w:val="12"/>
        <w:shd w:val="clear" w:color="auto" w:fill="auto"/>
        <w:wordWrap w:val="0"/>
        <w:spacing w:line="400" w:lineRule="exact"/>
        <w:rPr>
          <w:rFonts w:hint="eastAsia" w:ascii="仿宋" w:hAnsi="仿宋" w:eastAsia="仿宋" w:cs="仿宋"/>
          <w:color w:val="auto"/>
          <w:sz w:val="32"/>
          <w:szCs w:val="32"/>
          <w:highlight w:val="none"/>
          <w:lang w:val="en-US"/>
        </w:rPr>
      </w:pPr>
      <w:r>
        <w:rPr>
          <w:rFonts w:hint="eastAsia" w:ascii="仿宋" w:hAnsi="仿宋" w:eastAsia="仿宋" w:cs="仿宋"/>
          <w:color w:val="auto"/>
          <w:sz w:val="32"/>
          <w:szCs w:val="32"/>
          <w:highlight w:val="none"/>
        </w:rPr>
        <w:t xml:space="preserve">   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.3</w:t>
      </w:r>
      <w:r>
        <w:rPr>
          <w:rFonts w:hint="eastAsia" w:ascii="仿宋" w:hAnsi="仿宋" w:eastAsia="仿宋" w:cs="仿宋"/>
          <w:color w:val="auto"/>
          <w:sz w:val="32"/>
          <w:szCs w:val="32"/>
          <w:highlight w:val="none"/>
          <w:u w:val="none" w:color="auto"/>
        </w:rPr>
        <w:t>投标人应仔细阅读和检查</w:t>
      </w:r>
      <w:r>
        <w:rPr>
          <w:rFonts w:hint="eastAsia" w:ascii="仿宋" w:hAnsi="仿宋" w:eastAsia="仿宋" w:cs="仿宋"/>
          <w:color w:val="auto"/>
          <w:sz w:val="32"/>
          <w:szCs w:val="32"/>
          <w:highlight w:val="none"/>
          <w:u w:val="none" w:color="auto"/>
          <w:lang w:eastAsia="zh-CN"/>
        </w:rPr>
        <w:t>竞争性磋商文件</w:t>
      </w:r>
      <w:r>
        <w:rPr>
          <w:rFonts w:hint="eastAsia" w:ascii="仿宋" w:hAnsi="仿宋" w:eastAsia="仿宋" w:cs="仿宋"/>
          <w:color w:val="auto"/>
          <w:sz w:val="32"/>
          <w:szCs w:val="32"/>
          <w:highlight w:val="none"/>
          <w:u w:val="none" w:color="auto"/>
        </w:rPr>
        <w:t>的全部内容。如发现缺页或附件不全，应及时向招标人提出，以便补齐。如有疑问，投标人应在</w:t>
      </w:r>
      <w:r>
        <w:rPr>
          <w:rFonts w:hint="eastAsia" w:ascii="仿宋" w:hAnsi="仿宋" w:eastAsia="仿宋" w:cs="仿宋"/>
          <w:color w:val="auto"/>
          <w:sz w:val="32"/>
          <w:szCs w:val="32"/>
          <w:highlight w:val="none"/>
        </w:rPr>
        <w:t>以书面形式一次性向采购人和采购代理机构提出同一环节的质疑</w:t>
      </w:r>
      <w:r>
        <w:rPr>
          <w:rFonts w:hint="eastAsia" w:ascii="仿宋" w:hAnsi="仿宋" w:eastAsia="仿宋" w:cs="仿宋"/>
          <w:color w:val="auto"/>
          <w:sz w:val="32"/>
          <w:szCs w:val="32"/>
          <w:highlight w:val="none"/>
          <w:u w:val="none" w:color="auto"/>
        </w:rPr>
        <w:t>。</w:t>
      </w:r>
    </w:p>
    <w:p w14:paraId="23DCA4F2">
      <w:pPr>
        <w:shd w:val="clear" w:color="auto" w:fill="auto"/>
        <w:wordWrap w:val="0"/>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1</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.4供应商认为</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使自己的权益受到损害的，可以自收到</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之日（</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公告期限届满之前收到</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的，以完成获取</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申请后下载</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的时间为准）或者</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仿宋" w:hAnsi="仿宋" w:eastAsia="仿宋" w:cs="仿宋"/>
          <w:color w:val="auto"/>
          <w:sz w:val="32"/>
          <w:szCs w:val="32"/>
          <w:highlight w:val="none"/>
          <w:lang w:val="en-US" w:eastAsia="zh-CN"/>
        </w:rPr>
        <w:t>新疆</w:t>
      </w:r>
      <w:r>
        <w:rPr>
          <w:rFonts w:hint="eastAsia" w:ascii="仿宋" w:hAnsi="仿宋" w:eastAsia="仿宋" w:cs="仿宋"/>
          <w:color w:val="auto"/>
          <w:sz w:val="32"/>
          <w:szCs w:val="32"/>
          <w:highlight w:val="none"/>
        </w:rPr>
        <w:t>政府采购网下载专区下载。</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的澄清将在</w:t>
      </w:r>
      <w:r>
        <w:rPr>
          <w:rFonts w:hint="eastAsia" w:ascii="仿宋" w:hAnsi="仿宋" w:eastAsia="仿宋" w:cs="仿宋"/>
          <w:color w:val="auto"/>
          <w:sz w:val="32"/>
          <w:szCs w:val="32"/>
          <w:highlight w:val="none"/>
          <w:lang w:eastAsia="zh-CN"/>
        </w:rPr>
        <w:t>政采云平台“更正公告”栏目予以公告</w:t>
      </w:r>
      <w:r>
        <w:rPr>
          <w:rFonts w:hint="eastAsia" w:ascii="仿宋" w:hAnsi="仿宋" w:eastAsia="仿宋" w:cs="仿宋"/>
          <w:color w:val="auto"/>
          <w:sz w:val="32"/>
          <w:szCs w:val="32"/>
          <w:highlight w:val="none"/>
        </w:rPr>
        <w:t>，但不指明澄清问题的来源。如果澄清内容影响投标文件编制的，将相应延长投标截止时间。</w:t>
      </w:r>
    </w:p>
    <w:p w14:paraId="35897248">
      <w:pPr>
        <w:shd w:val="clear" w:color="auto" w:fill="auto"/>
        <w:spacing w:line="440" w:lineRule="exact"/>
        <w:ind w:firstLine="640"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w:t>
      </w:r>
      <w:r>
        <w:rPr>
          <w:rFonts w:hint="eastAsia" w:ascii="仿宋" w:hAnsi="仿宋" w:eastAsia="仿宋" w:cs="仿宋"/>
          <w:b/>
          <w:bCs/>
          <w:color w:val="auto"/>
          <w:sz w:val="32"/>
          <w:szCs w:val="32"/>
          <w:highlight w:val="none"/>
          <w:lang w:val="en-US" w:eastAsia="zh-CN"/>
        </w:rPr>
        <w:t>6</w:t>
      </w:r>
      <w:r>
        <w:rPr>
          <w:rFonts w:hint="eastAsia" w:ascii="仿宋" w:hAnsi="仿宋" w:eastAsia="仿宋" w:cs="仿宋"/>
          <w:b/>
          <w:bCs/>
          <w:color w:val="auto"/>
          <w:sz w:val="32"/>
          <w:szCs w:val="32"/>
          <w:highlight w:val="none"/>
          <w:lang w:eastAsia="zh-CN"/>
        </w:rPr>
        <w:t>、竞争性磋商文件</w:t>
      </w:r>
      <w:r>
        <w:rPr>
          <w:rFonts w:hint="eastAsia" w:ascii="仿宋" w:hAnsi="仿宋" w:eastAsia="仿宋" w:cs="仿宋"/>
          <w:b/>
          <w:bCs/>
          <w:color w:val="auto"/>
          <w:sz w:val="32"/>
          <w:szCs w:val="32"/>
          <w:highlight w:val="none"/>
        </w:rPr>
        <w:t>的修改、补充、解释</w:t>
      </w:r>
    </w:p>
    <w:p w14:paraId="576EA0AE">
      <w:pPr>
        <w:shd w:val="clear" w:color="auto" w:fill="auto"/>
        <w:wordWrap w:val="0"/>
        <w:spacing w:line="40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发出后，招标人在规定的投标截止时间前可对</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进行必要的修改和补充，并以</w:t>
      </w:r>
      <w:r>
        <w:rPr>
          <w:rFonts w:hint="eastAsia" w:ascii="仿宋" w:hAnsi="仿宋" w:eastAsia="仿宋" w:cs="仿宋"/>
          <w:color w:val="auto"/>
          <w:sz w:val="32"/>
          <w:szCs w:val="32"/>
          <w:highlight w:val="none"/>
          <w:lang w:eastAsia="zh-CN"/>
        </w:rPr>
        <w:t>更正</w:t>
      </w:r>
      <w:r>
        <w:rPr>
          <w:rFonts w:hint="eastAsia" w:ascii="仿宋" w:hAnsi="仿宋" w:eastAsia="仿宋" w:cs="仿宋"/>
          <w:color w:val="auto"/>
          <w:sz w:val="32"/>
          <w:szCs w:val="32"/>
          <w:highlight w:val="none"/>
        </w:rPr>
        <w:t>公告形式在</w:t>
      </w:r>
      <w:r>
        <w:rPr>
          <w:rFonts w:hint="eastAsia" w:ascii="仿宋" w:hAnsi="仿宋" w:eastAsia="仿宋" w:cs="仿宋"/>
          <w:color w:val="auto"/>
          <w:sz w:val="32"/>
          <w:szCs w:val="32"/>
          <w:highlight w:val="none"/>
          <w:lang w:eastAsia="zh-CN"/>
        </w:rPr>
        <w:t>政采云平台</w:t>
      </w: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eastAsia="zh-CN"/>
        </w:rPr>
        <w:t>更正公告</w:t>
      </w:r>
      <w:r>
        <w:rPr>
          <w:rFonts w:hint="eastAsia" w:ascii="仿宋" w:hAnsi="仿宋" w:eastAsia="仿宋" w:cs="仿宋"/>
          <w:color w:val="auto"/>
          <w:sz w:val="32"/>
          <w:szCs w:val="32"/>
          <w:highlight w:val="none"/>
        </w:rPr>
        <w:t>”栏目予以公告，请各位投标人注意查看有关澄清内容，如不及时查看造成后果由投标人自负。</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的修改、补充等内容作为</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的组成部分，具有约束作用。</w:t>
      </w:r>
    </w:p>
    <w:p w14:paraId="21F1AEAE">
      <w:pPr>
        <w:shd w:val="clear" w:color="auto" w:fill="auto"/>
        <w:wordWrap w:val="0"/>
        <w:spacing w:line="40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.2 采购代理机构可视采购具体情况对已发出的</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进行必要的澄清、修改或者补充。澄清、修改或者补充的内容可能影响投标文件编制的，应当在投标截止时间至少</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日前，在原公告发布媒体上发布澄清公告，澄清或者修改的内容为</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的组成部分；不足</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日的，应当顺延提交投标文件的截止时间。</w:t>
      </w:r>
    </w:p>
    <w:p w14:paraId="616E67D2">
      <w:pPr>
        <w:shd w:val="clear" w:color="auto" w:fill="auto"/>
        <w:wordWrap w:val="0"/>
        <w:spacing w:line="40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bCs/>
          <w:color w:val="auto"/>
          <w:sz w:val="32"/>
          <w:szCs w:val="32"/>
          <w:highlight w:val="none"/>
        </w:rPr>
        <w:t>1</w:t>
      </w:r>
      <w:r>
        <w:rPr>
          <w:rFonts w:hint="eastAsia" w:ascii="仿宋" w:hAnsi="仿宋" w:eastAsia="仿宋" w:cs="仿宋"/>
          <w:bCs/>
          <w:color w:val="auto"/>
          <w:sz w:val="32"/>
          <w:szCs w:val="32"/>
          <w:highlight w:val="none"/>
          <w:lang w:val="en-US" w:eastAsia="zh-CN"/>
        </w:rPr>
        <w:t>6</w:t>
      </w:r>
      <w:r>
        <w:rPr>
          <w:rFonts w:hint="eastAsia" w:ascii="仿宋" w:hAnsi="仿宋" w:eastAsia="仿宋" w:cs="仿宋"/>
          <w:bCs/>
          <w:color w:val="auto"/>
          <w:sz w:val="32"/>
          <w:szCs w:val="32"/>
          <w:highlight w:val="none"/>
        </w:rPr>
        <w:t>.</w:t>
      </w:r>
      <w:r>
        <w:rPr>
          <w:rFonts w:hint="eastAsia" w:ascii="仿宋" w:hAnsi="仿宋" w:eastAsia="仿宋" w:cs="仿宋"/>
          <w:bCs/>
          <w:color w:val="auto"/>
          <w:sz w:val="32"/>
          <w:szCs w:val="32"/>
          <w:highlight w:val="none"/>
          <w:lang w:val="en-US" w:eastAsia="zh-CN"/>
        </w:rPr>
        <w:t>3</w:t>
      </w:r>
      <w:r>
        <w:rPr>
          <w:rFonts w:hint="eastAsia" w:ascii="仿宋" w:hAnsi="仿宋" w:eastAsia="仿宋" w:cs="仿宋"/>
          <w:color w:val="auto"/>
          <w:sz w:val="32"/>
          <w:szCs w:val="32"/>
          <w:highlight w:val="none"/>
        </w:rPr>
        <w:t>供应商在规定的时间内未对</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提出疑问、质疑或要求澄清的，将视其为无异议。</w:t>
      </w:r>
    </w:p>
    <w:p w14:paraId="5FA6716D">
      <w:pPr>
        <w:shd w:val="clear" w:color="auto" w:fill="auto"/>
        <w:spacing w:line="400" w:lineRule="exact"/>
        <w:ind w:firstLine="640" w:firstLineChars="200"/>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rPr>
        <w:t>1</w:t>
      </w:r>
      <w:r>
        <w:rPr>
          <w:rFonts w:hint="eastAsia" w:ascii="仿宋" w:hAnsi="仿宋" w:eastAsia="仿宋" w:cs="仿宋"/>
          <w:bCs/>
          <w:color w:val="auto"/>
          <w:sz w:val="32"/>
          <w:szCs w:val="32"/>
          <w:highlight w:val="none"/>
          <w:lang w:val="en-US" w:eastAsia="zh-CN"/>
        </w:rPr>
        <w:t>6</w:t>
      </w:r>
      <w:r>
        <w:rPr>
          <w:rFonts w:hint="eastAsia" w:ascii="仿宋" w:hAnsi="仿宋" w:eastAsia="仿宋" w:cs="仿宋"/>
          <w:bCs/>
          <w:color w:val="auto"/>
          <w:sz w:val="32"/>
          <w:szCs w:val="32"/>
          <w:highlight w:val="none"/>
        </w:rPr>
        <w:t>.</w:t>
      </w:r>
      <w:r>
        <w:rPr>
          <w:rFonts w:hint="eastAsia" w:ascii="仿宋" w:hAnsi="仿宋" w:eastAsia="仿宋" w:cs="仿宋"/>
          <w:bCs/>
          <w:color w:val="auto"/>
          <w:sz w:val="32"/>
          <w:szCs w:val="32"/>
          <w:highlight w:val="none"/>
          <w:lang w:val="en-US" w:eastAsia="zh-CN"/>
        </w:rPr>
        <w:t>4</w:t>
      </w:r>
      <w:r>
        <w:rPr>
          <w:rFonts w:hint="eastAsia" w:ascii="仿宋" w:hAnsi="仿宋" w:eastAsia="仿宋" w:cs="仿宋"/>
          <w:bCs/>
          <w:color w:val="auto"/>
          <w:sz w:val="32"/>
          <w:szCs w:val="32"/>
          <w:highlight w:val="none"/>
          <w:lang w:eastAsia="zh-CN"/>
        </w:rPr>
        <w:t>竞争性磋商文件</w:t>
      </w:r>
      <w:r>
        <w:rPr>
          <w:rFonts w:hint="eastAsia" w:ascii="仿宋" w:hAnsi="仿宋" w:eastAsia="仿宋" w:cs="仿宋"/>
          <w:bCs/>
          <w:color w:val="auto"/>
          <w:sz w:val="32"/>
          <w:szCs w:val="32"/>
          <w:highlight w:val="none"/>
        </w:rPr>
        <w:t>的解释</w:t>
      </w:r>
      <w:r>
        <w:rPr>
          <w:rFonts w:hint="eastAsia" w:ascii="仿宋" w:hAnsi="仿宋" w:eastAsia="仿宋" w:cs="仿宋"/>
          <w:bCs/>
          <w:color w:val="auto"/>
          <w:sz w:val="32"/>
          <w:szCs w:val="32"/>
          <w:highlight w:val="none"/>
          <w:lang w:val="en-US" w:eastAsia="zh-CN"/>
        </w:rPr>
        <w:t xml:space="preserve"> </w:t>
      </w:r>
    </w:p>
    <w:p w14:paraId="05D93EC6">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由招标人（或其委托的招标代理机构）负责解释。</w:t>
      </w:r>
    </w:p>
    <w:p w14:paraId="114BE362">
      <w:pPr>
        <w:shd w:val="clear" w:color="auto" w:fill="auto"/>
        <w:spacing w:line="40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   1</w:t>
      </w:r>
      <w:r>
        <w:rPr>
          <w:rFonts w:hint="eastAsia" w:ascii="仿宋" w:hAnsi="仿宋" w:eastAsia="仿宋" w:cs="仿宋"/>
          <w:b/>
          <w:color w:val="auto"/>
          <w:sz w:val="32"/>
          <w:szCs w:val="32"/>
          <w:highlight w:val="none"/>
          <w:lang w:val="en-US" w:eastAsia="zh-CN"/>
        </w:rPr>
        <w:t>7</w:t>
      </w:r>
      <w:r>
        <w:rPr>
          <w:rFonts w:hint="eastAsia" w:ascii="仿宋" w:hAnsi="仿宋" w:eastAsia="仿宋" w:cs="仿宋"/>
          <w:b/>
          <w:color w:val="auto"/>
          <w:sz w:val="32"/>
          <w:szCs w:val="32"/>
          <w:highlight w:val="none"/>
          <w:lang w:eastAsia="zh-CN"/>
        </w:rPr>
        <w:t>、竞争性磋商文件</w:t>
      </w:r>
      <w:r>
        <w:rPr>
          <w:rFonts w:hint="eastAsia" w:ascii="仿宋" w:hAnsi="仿宋" w:eastAsia="仿宋" w:cs="仿宋"/>
          <w:b/>
          <w:color w:val="auto"/>
          <w:sz w:val="32"/>
          <w:szCs w:val="32"/>
          <w:highlight w:val="none"/>
        </w:rPr>
        <w:t>的发出</w:t>
      </w:r>
    </w:p>
    <w:p w14:paraId="5CC9AD11">
      <w:pPr>
        <w:shd w:val="clear" w:color="auto" w:fill="auto"/>
        <w:spacing w:line="40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的澄清、修改、补充及招标答疑等均应报</w:t>
      </w:r>
      <w:r>
        <w:rPr>
          <w:rFonts w:hint="eastAsia" w:ascii="仿宋" w:hAnsi="仿宋" w:eastAsia="仿宋" w:cs="仿宋"/>
          <w:color w:val="auto"/>
          <w:sz w:val="32"/>
          <w:szCs w:val="32"/>
          <w:highlight w:val="none"/>
          <w:lang w:eastAsia="zh-CN"/>
        </w:rPr>
        <w:t>相关部门</w:t>
      </w:r>
      <w:r>
        <w:rPr>
          <w:rFonts w:hint="eastAsia" w:ascii="仿宋" w:hAnsi="仿宋" w:eastAsia="仿宋" w:cs="仿宋"/>
          <w:color w:val="auto"/>
          <w:sz w:val="32"/>
          <w:szCs w:val="32"/>
          <w:highlight w:val="none"/>
        </w:rPr>
        <w:t>备案后，方可发出。</w:t>
      </w:r>
    </w:p>
    <w:p w14:paraId="1096EA1D">
      <w:pPr>
        <w:shd w:val="clear" w:color="auto" w:fill="auto"/>
        <w:spacing w:line="440" w:lineRule="exact"/>
        <w:ind w:firstLine="425" w:firstLineChars="133"/>
        <w:rPr>
          <w:rFonts w:hint="eastAsia" w:ascii="仿宋" w:hAnsi="仿宋" w:eastAsia="仿宋" w:cs="仿宋"/>
          <w:color w:val="auto"/>
          <w:sz w:val="32"/>
          <w:szCs w:val="32"/>
          <w:highlight w:val="none"/>
        </w:rPr>
      </w:pPr>
      <w:bookmarkStart w:id="36" w:name="_Toc469495726"/>
      <w:r>
        <w:rPr>
          <w:rFonts w:hint="eastAsia" w:ascii="仿宋" w:hAnsi="仿宋" w:eastAsia="仿宋" w:cs="仿宋"/>
          <w:b/>
          <w:color w:val="auto"/>
          <w:sz w:val="32"/>
          <w:szCs w:val="32"/>
          <w:highlight w:val="none"/>
        </w:rPr>
        <w:t>1</w:t>
      </w:r>
      <w:r>
        <w:rPr>
          <w:rFonts w:hint="eastAsia" w:ascii="仿宋" w:hAnsi="仿宋" w:eastAsia="仿宋" w:cs="仿宋"/>
          <w:b/>
          <w:color w:val="auto"/>
          <w:sz w:val="32"/>
          <w:szCs w:val="32"/>
          <w:highlight w:val="none"/>
          <w:lang w:val="en-US" w:eastAsia="zh-CN"/>
        </w:rPr>
        <w:t>8</w:t>
      </w:r>
      <w:r>
        <w:rPr>
          <w:rFonts w:hint="eastAsia" w:ascii="仿宋" w:hAnsi="仿宋" w:eastAsia="仿宋" w:cs="仿宋"/>
          <w:b/>
          <w:color w:val="auto"/>
          <w:sz w:val="32"/>
          <w:szCs w:val="32"/>
          <w:highlight w:val="none"/>
          <w:lang w:eastAsia="zh-CN"/>
        </w:rPr>
        <w:t>、</w:t>
      </w:r>
      <w:r>
        <w:rPr>
          <w:rFonts w:hint="eastAsia" w:ascii="仿宋" w:hAnsi="仿宋" w:eastAsia="仿宋" w:cs="仿宋"/>
          <w:color w:val="auto"/>
          <w:sz w:val="32"/>
          <w:szCs w:val="32"/>
          <w:highlight w:val="none"/>
        </w:rPr>
        <w:t>凡需要设置样品情形时，必须明确是否需要随样品提交检测报告，并明确检测机构的要求、检测内容、</w:t>
      </w:r>
      <w:r>
        <w:rPr>
          <w:rFonts w:hint="eastAsia" w:ascii="仿宋" w:hAnsi="仿宋" w:eastAsia="仿宋" w:cs="仿宋"/>
          <w:b w:val="0"/>
          <w:bCs w:val="0"/>
          <w:color w:val="auto"/>
          <w:sz w:val="32"/>
          <w:szCs w:val="32"/>
          <w:highlight w:val="none"/>
        </w:rPr>
        <w:t>中标</w:t>
      </w:r>
      <w:r>
        <w:rPr>
          <w:rFonts w:hint="eastAsia" w:ascii="仿宋" w:hAnsi="仿宋" w:eastAsia="仿宋" w:cs="仿宋"/>
          <w:b w:val="0"/>
          <w:bCs w:val="0"/>
          <w:color w:val="auto"/>
          <w:sz w:val="32"/>
          <w:szCs w:val="32"/>
          <w:highlight w:val="none"/>
          <w:lang w:eastAsia="zh-CN"/>
        </w:rPr>
        <w:t>（成交）</w:t>
      </w:r>
      <w:r>
        <w:rPr>
          <w:rFonts w:hint="eastAsia" w:ascii="仿宋" w:hAnsi="仿宋" w:eastAsia="仿宋" w:cs="仿宋"/>
          <w:b w:val="0"/>
          <w:bCs w:val="0"/>
          <w:color w:val="auto"/>
          <w:sz w:val="32"/>
          <w:szCs w:val="32"/>
          <w:highlight w:val="none"/>
        </w:rPr>
        <w:t>样品封存</w:t>
      </w:r>
      <w:r>
        <w:rPr>
          <w:rFonts w:hint="eastAsia" w:ascii="仿宋" w:hAnsi="仿宋" w:eastAsia="仿宋" w:cs="仿宋"/>
          <w:color w:val="auto"/>
          <w:sz w:val="32"/>
          <w:szCs w:val="32"/>
          <w:highlight w:val="none"/>
        </w:rPr>
        <w:t>等事项。（评标委员会无法判断样品是否合格且样品需要提供给第三方权威检测机构检测的,在投标人提供招标人认可的第三方权威检测机构检测报告后，评标委员会推荐的中标</w:t>
      </w:r>
      <w:r>
        <w:rPr>
          <w:rFonts w:hint="eastAsia" w:ascii="仿宋" w:hAnsi="仿宋" w:eastAsia="仿宋" w:cs="仿宋"/>
          <w:b w:val="0"/>
          <w:bCs w:val="0"/>
          <w:color w:val="auto"/>
          <w:sz w:val="32"/>
          <w:szCs w:val="32"/>
          <w:highlight w:val="none"/>
          <w:lang w:eastAsia="zh-CN"/>
        </w:rPr>
        <w:t>（成交）</w:t>
      </w:r>
      <w:r>
        <w:rPr>
          <w:rFonts w:hint="eastAsia" w:ascii="仿宋" w:hAnsi="仿宋" w:eastAsia="仿宋" w:cs="仿宋"/>
          <w:color w:val="auto"/>
          <w:sz w:val="32"/>
          <w:szCs w:val="32"/>
          <w:highlight w:val="none"/>
        </w:rPr>
        <w:t>候选人方可生效，采购人或代理机构发布中标（成交）结果公告。</w:t>
      </w:r>
    </w:p>
    <w:p w14:paraId="3FF85796">
      <w:pPr>
        <w:shd w:val="clear" w:color="auto" w:fill="auto"/>
        <w:spacing w:line="400" w:lineRule="exact"/>
        <w:ind w:firstLine="42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中应明确样品送检方式、检测费用支付方法、投标人在规定时间内无法提供第三方权威检测机构检测报告的处理方式。（</w:t>
      </w:r>
      <w:r>
        <w:rPr>
          <w:rFonts w:hint="eastAsia" w:ascii="仿宋" w:hAnsi="仿宋" w:eastAsia="仿宋" w:cs="仿宋"/>
          <w:color w:val="auto"/>
          <w:sz w:val="32"/>
          <w:szCs w:val="32"/>
          <w:highlight w:val="none"/>
          <w:lang w:eastAsia="zh-CN"/>
        </w:rPr>
        <w:t>采购人</w:t>
      </w:r>
      <w:r>
        <w:rPr>
          <w:rFonts w:hint="eastAsia" w:ascii="仿宋" w:hAnsi="仿宋" w:eastAsia="仿宋" w:cs="仿宋"/>
          <w:color w:val="auto"/>
          <w:sz w:val="32"/>
          <w:szCs w:val="32"/>
          <w:highlight w:val="none"/>
        </w:rPr>
        <w:t>根据项目需求按上述要求自行描述）</w:t>
      </w:r>
      <w:r>
        <w:rPr>
          <w:rFonts w:hint="eastAsia" w:ascii="仿宋" w:hAnsi="仿宋" w:eastAsia="仿宋" w:cs="仿宋"/>
          <w:color w:val="auto"/>
          <w:sz w:val="32"/>
          <w:szCs w:val="32"/>
          <w:highlight w:val="none"/>
          <w:lang w:val="en-US" w:eastAsia="zh-CN"/>
        </w:rPr>
        <w:t>注：本项目不适用本条款。</w:t>
      </w:r>
    </w:p>
    <w:p w14:paraId="715963BC">
      <w:pPr>
        <w:shd w:val="clear" w:color="auto" w:fill="auto"/>
        <w:spacing w:before="312" w:beforeLines="100" w:after="312" w:afterLines="100" w:line="440" w:lineRule="exact"/>
        <w:jc w:val="center"/>
        <w:outlineLvl w:val="2"/>
        <w:rPr>
          <w:rFonts w:hint="eastAsia" w:ascii="仿宋" w:hAnsi="仿宋" w:eastAsia="仿宋" w:cs="仿宋"/>
          <w:b/>
          <w:color w:val="auto"/>
          <w:sz w:val="32"/>
          <w:szCs w:val="32"/>
          <w:highlight w:val="none"/>
        </w:rPr>
      </w:pPr>
      <w:bookmarkStart w:id="37" w:name="_Toc21011"/>
      <w:bookmarkStart w:id="38" w:name="_Toc12849"/>
      <w:bookmarkStart w:id="39" w:name="_Toc9610"/>
      <w:bookmarkStart w:id="40" w:name="_Toc28634"/>
      <w:bookmarkStart w:id="41" w:name="_Toc11611"/>
      <w:r>
        <w:rPr>
          <w:rFonts w:hint="eastAsia" w:ascii="仿宋" w:hAnsi="仿宋" w:eastAsia="仿宋" w:cs="仿宋"/>
          <w:b/>
          <w:color w:val="auto"/>
          <w:sz w:val="32"/>
          <w:szCs w:val="32"/>
          <w:highlight w:val="none"/>
        </w:rPr>
        <w:t>（三）响应文件的编制</w:t>
      </w:r>
      <w:bookmarkEnd w:id="36"/>
      <w:bookmarkEnd w:id="37"/>
      <w:bookmarkEnd w:id="38"/>
      <w:bookmarkEnd w:id="39"/>
      <w:bookmarkEnd w:id="40"/>
      <w:bookmarkEnd w:id="41"/>
    </w:p>
    <w:p w14:paraId="25341E49">
      <w:pPr>
        <w:shd w:val="clear" w:color="auto" w:fill="auto"/>
        <w:spacing w:line="440" w:lineRule="exact"/>
        <w:ind w:firstLine="464" w:firstLineChars="145"/>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19</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投标的语言及度量衡单位</w:t>
      </w:r>
    </w:p>
    <w:p w14:paraId="1453B256">
      <w:pPr>
        <w:shd w:val="clear" w:color="auto" w:fill="auto"/>
        <w:spacing w:line="440" w:lineRule="exact"/>
        <w:ind w:firstLine="432" w:firstLineChars="13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19</w:t>
      </w:r>
      <w:r>
        <w:rPr>
          <w:rFonts w:hint="eastAsia" w:ascii="仿宋" w:hAnsi="仿宋" w:eastAsia="仿宋" w:cs="仿宋"/>
          <w:color w:val="auto"/>
          <w:sz w:val="32"/>
          <w:szCs w:val="32"/>
          <w:highlight w:val="none"/>
        </w:rPr>
        <w:t>.1投标人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4C64CCF8">
      <w:pPr>
        <w:shd w:val="clear" w:color="auto" w:fill="auto"/>
        <w:spacing w:line="440" w:lineRule="exact"/>
        <w:ind w:firstLine="432" w:firstLineChars="13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19</w:t>
      </w:r>
      <w:r>
        <w:rPr>
          <w:rFonts w:hint="eastAsia" w:ascii="仿宋" w:hAnsi="仿宋" w:eastAsia="仿宋" w:cs="仿宋"/>
          <w:color w:val="auto"/>
          <w:sz w:val="32"/>
          <w:szCs w:val="32"/>
          <w:highlight w:val="none"/>
        </w:rPr>
        <w:t>.2除</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中另有规定外，投标书所使用的度量衡均须采用法定计量单位。</w:t>
      </w:r>
    </w:p>
    <w:p w14:paraId="06A89EFF">
      <w:pPr>
        <w:shd w:val="clear" w:color="auto" w:fill="auto"/>
        <w:spacing w:line="400" w:lineRule="exact"/>
        <w:ind w:firstLine="633" w:firstLineChars="198"/>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20</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响应文件的组成</w:t>
      </w:r>
    </w:p>
    <w:p w14:paraId="0E742D84">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资格证明文件和商务及技术文件两部分。</w:t>
      </w:r>
    </w:p>
    <w:p w14:paraId="533AF2D3">
      <w:pPr>
        <w:shd w:val="clear" w:color="auto" w:fill="auto"/>
        <w:spacing w:line="440" w:lineRule="exact"/>
        <w:ind w:firstLine="470" w:firstLineChars="147"/>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val="en-US" w:eastAsia="zh-CN"/>
        </w:rPr>
        <w:t>0</w:t>
      </w:r>
      <w:r>
        <w:rPr>
          <w:rFonts w:hint="eastAsia" w:ascii="仿宋" w:hAnsi="仿宋" w:eastAsia="仿宋" w:cs="仿宋"/>
          <w:b/>
          <w:color w:val="auto"/>
          <w:sz w:val="32"/>
          <w:szCs w:val="32"/>
          <w:highlight w:val="none"/>
        </w:rPr>
        <w:t>.1资格证明文件</w:t>
      </w:r>
      <w:r>
        <w:rPr>
          <w:rFonts w:hint="eastAsia" w:ascii="仿宋" w:hAnsi="仿宋" w:eastAsia="仿宋" w:cs="仿宋"/>
          <w:b/>
          <w:color w:val="auto"/>
          <w:sz w:val="32"/>
          <w:szCs w:val="32"/>
          <w:highlight w:val="none"/>
          <w:lang w:eastAsia="zh-CN"/>
        </w:rPr>
        <w:t>（包括但不限于）</w:t>
      </w:r>
    </w:p>
    <w:p w14:paraId="79EE9B83">
      <w:pPr>
        <w:shd w:val="clear" w:color="auto" w:fill="auto"/>
        <w:spacing w:line="440" w:lineRule="exact"/>
        <w:ind w:firstLine="470" w:firstLineChars="147"/>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资格证明</w:t>
      </w:r>
      <w:r>
        <w:rPr>
          <w:rFonts w:hint="eastAsia" w:ascii="仿宋" w:hAnsi="仿宋" w:eastAsia="仿宋" w:cs="仿宋"/>
          <w:color w:val="auto"/>
          <w:sz w:val="32"/>
          <w:szCs w:val="32"/>
          <w:highlight w:val="none"/>
          <w:lang w:eastAsia="zh-CN"/>
        </w:rPr>
        <w:t>文件</w:t>
      </w:r>
      <w:r>
        <w:rPr>
          <w:rFonts w:hint="eastAsia" w:ascii="仿宋" w:hAnsi="仿宋" w:eastAsia="仿宋" w:cs="仿宋"/>
          <w:color w:val="auto"/>
          <w:sz w:val="32"/>
          <w:szCs w:val="32"/>
          <w:highlight w:val="none"/>
        </w:rPr>
        <w:t>是证明投标人有资格参加投标和中标后有能力履行合同的文件，这些文件应能满足招标的要求，否则作无效投标处理。</w:t>
      </w:r>
    </w:p>
    <w:p w14:paraId="2AE77BB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（1）具备合格的三证合一营业执照副本；</w:t>
      </w:r>
    </w:p>
    <w:p w14:paraId="5BE9B1C5">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（2）法定代表人投标需提供法定代表人资格证明书，委托代理人投标需提供法定代表人授权委托书；</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6BBDFF38">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（3）投标人须提供（被授权在职人员）近6个月内任意1个月社保证明；</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25DCA66D">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6DE0E62E">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（5）投标人须具备行政主管部门颁发的有效的《保安服务许可证》；</w:t>
      </w:r>
    </w:p>
    <w:p w14:paraId="30947AB0">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640" w:firstLineChars="20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（6）联合体协议书（若有）。</w:t>
      </w:r>
    </w:p>
    <w:p w14:paraId="1117F5B4">
      <w:pPr>
        <w:snapToGrid w:val="0"/>
        <w:spacing w:line="240" w:lineRule="auto"/>
        <w:ind w:left="0" w:leftChars="0" w:right="0" w:righ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（7）投标保证金汇款凭证或投标担保函；</w:t>
      </w:r>
    </w:p>
    <w:p w14:paraId="64246AAC">
      <w:pPr>
        <w:snapToGrid w:val="0"/>
        <w:spacing w:line="240" w:lineRule="auto"/>
        <w:ind w:left="0" w:leftChars="0" w:right="0" w:rightChars="0" w:firstLine="640" w:firstLineChars="200"/>
        <w:jc w:val="left"/>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color w:val="auto"/>
          <w:sz w:val="32"/>
          <w:szCs w:val="32"/>
          <w:highlight w:val="none"/>
          <w:lang w:val="en-US" w:eastAsia="zh-CN"/>
        </w:rPr>
        <w:t xml:space="preserve">（8）供应商须提供《中小企业声明函》；                     </w:t>
      </w:r>
    </w:p>
    <w:p w14:paraId="1406EF8C">
      <w:pPr>
        <w:snapToGrid w:val="0"/>
        <w:spacing w:line="240" w:lineRule="auto"/>
        <w:ind w:left="0" w:leftChars="0" w:right="0" w:righ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（9）投标人须知资料表要求的其他资格证明文件。</w:t>
      </w:r>
    </w:p>
    <w:p w14:paraId="48DFB6FE">
      <w:pPr>
        <w:snapToGrid w:val="0"/>
        <w:spacing w:line="240" w:lineRule="auto"/>
        <w:ind w:left="0" w:leftChars="0" w:right="0" w:righ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b/>
          <w:bCs/>
          <w:i w:val="0"/>
          <w:caps w:val="0"/>
          <w:color w:val="auto"/>
          <w:spacing w:val="0"/>
          <w:kern w:val="0"/>
          <w:sz w:val="32"/>
          <w:szCs w:val="32"/>
          <w:highlight w:val="none"/>
          <w:lang w:val="en-US" w:eastAsia="zh-CN"/>
        </w:rPr>
        <w:t>（联合体成员均需提供上述（1）、（4）、（8）审查资料）</w:t>
      </w:r>
    </w:p>
    <w:p w14:paraId="4308F750">
      <w:pPr>
        <w:shd w:val="clear" w:color="auto" w:fill="auto"/>
        <w:spacing w:line="440" w:lineRule="exact"/>
        <w:ind w:firstLine="470" w:firstLineChars="147"/>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val="en-US" w:eastAsia="zh-CN"/>
        </w:rPr>
        <w:t>0</w:t>
      </w: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val="en-US" w:eastAsia="zh-CN"/>
        </w:rPr>
        <w:t xml:space="preserve"> 商务及技术文件</w:t>
      </w:r>
      <w:r>
        <w:rPr>
          <w:rFonts w:hint="eastAsia" w:ascii="仿宋" w:hAnsi="仿宋" w:eastAsia="仿宋" w:cs="仿宋"/>
          <w:b/>
          <w:color w:val="auto"/>
          <w:sz w:val="32"/>
          <w:szCs w:val="32"/>
          <w:highlight w:val="none"/>
          <w:lang w:eastAsia="zh-CN"/>
        </w:rPr>
        <w:t>（包括但不限于）</w:t>
      </w:r>
    </w:p>
    <w:p w14:paraId="5EA126D9">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投标书（投标文件格式五）</w:t>
      </w:r>
    </w:p>
    <w:p w14:paraId="3A088A6B">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开标一览表</w:t>
      </w:r>
    </w:p>
    <w:p w14:paraId="0D9647CD">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投标分项报价表（投标文件格式六）</w:t>
      </w:r>
    </w:p>
    <w:p w14:paraId="5102986E">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服务</w:t>
      </w:r>
      <w:r>
        <w:rPr>
          <w:rFonts w:hint="eastAsia" w:ascii="仿宋" w:hAnsi="仿宋" w:eastAsia="仿宋" w:cs="仿宋"/>
          <w:color w:val="auto"/>
          <w:sz w:val="32"/>
          <w:szCs w:val="32"/>
          <w:highlight w:val="none"/>
        </w:rPr>
        <w:t>说明一览表（投标文件格式七）</w:t>
      </w:r>
    </w:p>
    <w:p w14:paraId="6DCF55BB">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技术规格偏离表（投标文件格式八）</w:t>
      </w:r>
    </w:p>
    <w:p w14:paraId="65F7D28A">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商务条款偏离表（投标文件格式九）</w:t>
      </w:r>
    </w:p>
    <w:p w14:paraId="5A753F72">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投标人关联单位的说明（格式自拟）</w:t>
      </w:r>
    </w:p>
    <w:p w14:paraId="7837AE4E">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评分标准和细则中技术部分证明材料（格式自拟）</w:t>
      </w:r>
    </w:p>
    <w:p w14:paraId="20B3665C">
      <w:pPr>
        <w:spacing w:line="400" w:lineRule="exact"/>
        <w:ind w:firstLine="646" w:firstLineChars="20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评分标准和细则中商务部分证明材料（格式自拟）</w:t>
      </w:r>
    </w:p>
    <w:p w14:paraId="7D02C8CD">
      <w:pPr>
        <w:shd w:val="clear" w:color="auto" w:fill="auto"/>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投标人认为有必要提供的其他证明材料（格式自拟）</w:t>
      </w:r>
    </w:p>
    <w:p w14:paraId="4F6A19B8">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b/>
          <w:color w:val="auto"/>
          <w:kern w:val="0"/>
          <w:sz w:val="32"/>
          <w:szCs w:val="32"/>
          <w:highlight w:val="none"/>
          <w:u w:val="single"/>
        </w:rPr>
        <w:t>注：以上材料须</w:t>
      </w:r>
      <w:r>
        <w:rPr>
          <w:rFonts w:hint="eastAsia" w:ascii="仿宋" w:hAnsi="仿宋" w:eastAsia="仿宋" w:cs="仿宋"/>
          <w:b/>
          <w:color w:val="auto"/>
          <w:kern w:val="0"/>
          <w:sz w:val="32"/>
          <w:szCs w:val="32"/>
          <w:highlight w:val="none"/>
          <w:u w:val="single"/>
          <w:lang w:eastAsia="zh-CN"/>
        </w:rPr>
        <w:t>逐页</w:t>
      </w:r>
      <w:r>
        <w:rPr>
          <w:rFonts w:hint="eastAsia" w:ascii="仿宋" w:hAnsi="仿宋" w:eastAsia="仿宋" w:cs="仿宋"/>
          <w:b/>
          <w:color w:val="auto"/>
          <w:kern w:val="0"/>
          <w:sz w:val="32"/>
          <w:szCs w:val="32"/>
          <w:highlight w:val="none"/>
          <w:u w:val="single"/>
        </w:rPr>
        <w:t>加盖单位公章</w:t>
      </w:r>
      <w:r>
        <w:rPr>
          <w:rFonts w:hint="eastAsia" w:ascii="仿宋" w:hAnsi="仿宋" w:eastAsia="仿宋" w:cs="仿宋"/>
          <w:b/>
          <w:color w:val="auto"/>
          <w:kern w:val="0"/>
          <w:sz w:val="32"/>
          <w:szCs w:val="32"/>
          <w:highlight w:val="none"/>
          <w:u w:val="single"/>
          <w:lang w:eastAsia="zh-CN"/>
        </w:rPr>
        <w:t>。</w:t>
      </w:r>
    </w:p>
    <w:p w14:paraId="3DF8EC55">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投标文件的要求</w:t>
      </w:r>
    </w:p>
    <w:p w14:paraId="5A410D61">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供应商应仔细阅读竞争性磋商文件的所有内容，按照竞争性磋商文件的要求详细编制投标文件，所提交的全部资料必须真实有效，并且要保证字迹清晰易于辨认。投标文件应对竞争性磋商文件实质性内容作出响应，否则按无效标处理。</w:t>
      </w:r>
    </w:p>
    <w:p w14:paraId="6A33A206">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）投标文件格式应按本竞争性磋商文件第六章格式要求编制，不得对竞争性磋商文件格式进行增删更改，否则按无效标处理。</w:t>
      </w:r>
    </w:p>
    <w:p w14:paraId="21994261">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 xml:space="preserve">）对竞争性磋商文件格式可更改的例外情况：竞争性磋商文件第六章附件格式要求中明确规定表格中行数不够用时可按相同格式增加行数，其他一切内容和格式不得更改。 </w:t>
      </w:r>
    </w:p>
    <w:p w14:paraId="75E018A4">
      <w:pPr>
        <w:shd w:val="clear" w:color="auto" w:fill="auto"/>
        <w:spacing w:line="400" w:lineRule="exact"/>
        <w:ind w:firstLine="636" w:firstLineChars="19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）投标文件为电子投标文件，电子投标文件按“政采云供应商项目采购-电子招投标操作指南”及本竞争性磋商文件要求制作、加密传输。</w:t>
      </w:r>
    </w:p>
    <w:p w14:paraId="26017276">
      <w:pPr>
        <w:shd w:val="clear" w:color="auto" w:fill="auto"/>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）投标文件未在投标截止时间前完成传输的，视为投标文件撤回；投标文件未按时解密也未提供备份投标文件的，亦视为投标文件撤回。</w:t>
      </w:r>
    </w:p>
    <w:p w14:paraId="47256E9C">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val="en-US" w:eastAsia="zh-CN"/>
        </w:rPr>
        <w:t>1</w:t>
      </w:r>
      <w:r>
        <w:rPr>
          <w:rFonts w:hint="eastAsia" w:ascii="仿宋" w:hAnsi="仿宋" w:eastAsia="仿宋" w:cs="仿宋"/>
          <w:color w:val="auto"/>
          <w:sz w:val="32"/>
          <w:szCs w:val="32"/>
          <w:highlight w:val="none"/>
          <w:lang w:eastAsia="zh-CN"/>
        </w:rPr>
        <w:t>、</w:t>
      </w:r>
      <w:r>
        <w:rPr>
          <w:rFonts w:hint="eastAsia" w:ascii="仿宋" w:hAnsi="仿宋" w:eastAsia="仿宋" w:cs="仿宋"/>
          <w:b/>
          <w:color w:val="auto"/>
          <w:sz w:val="32"/>
          <w:szCs w:val="32"/>
          <w:highlight w:val="none"/>
          <w:lang w:eastAsia="zh-CN"/>
        </w:rPr>
        <w:t>竞争性磋商</w:t>
      </w:r>
      <w:r>
        <w:rPr>
          <w:rFonts w:hint="eastAsia" w:ascii="仿宋" w:hAnsi="仿宋" w:eastAsia="仿宋" w:cs="仿宋"/>
          <w:b/>
          <w:color w:val="auto"/>
          <w:sz w:val="32"/>
          <w:szCs w:val="32"/>
          <w:highlight w:val="none"/>
        </w:rPr>
        <w:t>报价</w:t>
      </w:r>
    </w:p>
    <w:p w14:paraId="1322B01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.1投标报价文件中的单价全部采用人民币表示。</w:t>
      </w:r>
    </w:p>
    <w:p w14:paraId="08BFAE61">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.2投标报价表上</w:t>
      </w:r>
      <w:r>
        <w:rPr>
          <w:rFonts w:hint="eastAsia" w:ascii="仿宋" w:hAnsi="仿宋" w:eastAsia="仿宋" w:cs="仿宋"/>
          <w:color w:val="auto"/>
          <w:sz w:val="32"/>
          <w:szCs w:val="32"/>
          <w:highlight w:val="none"/>
          <w:lang w:val="en-US" w:eastAsia="zh-CN"/>
        </w:rPr>
        <w:t>应是为</w:t>
      </w:r>
      <w:r>
        <w:rPr>
          <w:rFonts w:hint="eastAsia" w:ascii="仿宋" w:hAnsi="仿宋" w:eastAsia="仿宋" w:cs="仿宋"/>
          <w:color w:val="auto"/>
          <w:sz w:val="32"/>
          <w:szCs w:val="32"/>
          <w:highlight w:val="none"/>
        </w:rPr>
        <w:t>采购人提供全部服务，技术规范及标准、项目采购需求、本磋商文件约定的所有费用的总和。</w:t>
      </w:r>
    </w:p>
    <w:p w14:paraId="11B811E2">
      <w:pPr>
        <w:shd w:val="clear" w:color="auto" w:fill="auto"/>
        <w:spacing w:line="44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.3本项目报价为分次报价，供应商响应文件中的报价作为第一次报价；以最终</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磋商报价作为评审价</w:t>
      </w:r>
      <w:r>
        <w:rPr>
          <w:rFonts w:hint="eastAsia" w:ascii="仿宋" w:hAnsi="仿宋" w:eastAsia="仿宋" w:cs="仿宋"/>
          <w:color w:val="auto"/>
          <w:sz w:val="32"/>
          <w:szCs w:val="32"/>
          <w:highlight w:val="none"/>
          <w:lang w:eastAsia="zh-CN"/>
        </w:rPr>
        <w:t>。</w:t>
      </w:r>
    </w:p>
    <w:p w14:paraId="1BEFD3E3">
      <w:pPr>
        <w:shd w:val="clear" w:color="auto" w:fill="auto"/>
        <w:spacing w:line="44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.4</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磋商报价应包括：采购人提供全部服务，技术规范及标准、项目采购需求、本磋商文件约定的所有费用的总和。</w:t>
      </w:r>
    </w:p>
    <w:p w14:paraId="1981FAC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.5投标报价的价格是货物</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服务</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交货地</w:t>
      </w:r>
      <w:r>
        <w:rPr>
          <w:rFonts w:hint="eastAsia" w:ascii="仿宋" w:hAnsi="仿宋" w:eastAsia="仿宋" w:cs="仿宋"/>
          <w:color w:val="auto"/>
          <w:sz w:val="32"/>
          <w:szCs w:val="32"/>
          <w:highlight w:val="none"/>
          <w:lang w:val="en-US" w:eastAsia="zh-CN"/>
        </w:rPr>
        <w:t>或是服务地点</w:t>
      </w:r>
      <w:r>
        <w:rPr>
          <w:rFonts w:hint="eastAsia" w:ascii="仿宋" w:hAnsi="仿宋" w:eastAsia="仿宋" w:cs="仿宋"/>
          <w:color w:val="auto"/>
          <w:sz w:val="32"/>
          <w:szCs w:val="32"/>
          <w:highlight w:val="none"/>
        </w:rPr>
        <w:t>验收价格，其</w:t>
      </w:r>
      <w:r>
        <w:rPr>
          <w:rFonts w:hint="eastAsia" w:ascii="仿宋" w:hAnsi="仿宋" w:eastAsia="仿宋" w:cs="仿宋"/>
          <w:color w:val="auto"/>
          <w:sz w:val="32"/>
          <w:szCs w:val="32"/>
          <w:highlight w:val="none"/>
          <w:lang w:val="en-US" w:eastAsia="zh-CN"/>
        </w:rPr>
        <w:t>价格</w:t>
      </w:r>
      <w:r>
        <w:rPr>
          <w:rFonts w:hint="eastAsia" w:ascii="仿宋" w:hAnsi="仿宋" w:eastAsia="仿宋" w:cs="仿宋"/>
          <w:color w:val="auto"/>
          <w:sz w:val="32"/>
          <w:szCs w:val="32"/>
          <w:highlight w:val="none"/>
        </w:rPr>
        <w:t>即为履行合同的固定</w:t>
      </w:r>
      <w:r>
        <w:rPr>
          <w:rFonts w:hint="eastAsia" w:ascii="仿宋" w:hAnsi="仿宋" w:eastAsia="仿宋" w:cs="仿宋"/>
          <w:color w:val="auto"/>
          <w:sz w:val="32"/>
          <w:szCs w:val="32"/>
          <w:highlight w:val="none"/>
          <w:lang w:val="en-US" w:eastAsia="zh-CN"/>
        </w:rPr>
        <w:t>单价</w:t>
      </w:r>
      <w:r>
        <w:rPr>
          <w:rFonts w:hint="eastAsia" w:ascii="仿宋" w:hAnsi="仿宋" w:eastAsia="仿宋" w:cs="仿宋"/>
          <w:color w:val="auto"/>
          <w:sz w:val="32"/>
          <w:szCs w:val="32"/>
          <w:highlight w:val="none"/>
        </w:rPr>
        <w:t>。</w:t>
      </w:r>
    </w:p>
    <w:p w14:paraId="73712A2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.6技术要求中规定的培训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审核等</w:t>
      </w:r>
      <w:r>
        <w:rPr>
          <w:rFonts w:hint="eastAsia" w:ascii="仿宋" w:hAnsi="仿宋" w:eastAsia="仿宋" w:cs="仿宋"/>
          <w:color w:val="auto"/>
          <w:sz w:val="32"/>
          <w:szCs w:val="32"/>
          <w:highlight w:val="none"/>
        </w:rPr>
        <w:t>费用应包括在投标价格中。投标文件报价为含税价，招标人不再为此次招标支付任何费用。</w:t>
      </w:r>
    </w:p>
    <w:p w14:paraId="0DBFD372">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.7投标报价应由法定代表人或被授权人签署。</w:t>
      </w:r>
    </w:p>
    <w:p w14:paraId="3E94C63F">
      <w:pPr>
        <w:shd w:val="clear" w:color="auto" w:fill="auto"/>
        <w:spacing w:line="440" w:lineRule="exact"/>
        <w:ind w:firstLine="640" w:firstLineChars="200"/>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2</w:t>
      </w:r>
      <w:r>
        <w:rPr>
          <w:rFonts w:hint="eastAsia" w:ascii="仿宋" w:hAnsi="仿宋" w:eastAsia="仿宋" w:cs="仿宋"/>
          <w:bCs/>
          <w:color w:val="auto"/>
          <w:sz w:val="32"/>
          <w:szCs w:val="32"/>
          <w:highlight w:val="none"/>
          <w:lang w:val="en-US" w:eastAsia="zh-CN"/>
        </w:rPr>
        <w:t>1</w:t>
      </w:r>
      <w:r>
        <w:rPr>
          <w:rFonts w:hint="eastAsia" w:ascii="仿宋" w:hAnsi="仿宋" w:eastAsia="仿宋" w:cs="仿宋"/>
          <w:bCs/>
          <w:color w:val="auto"/>
          <w:sz w:val="32"/>
          <w:szCs w:val="32"/>
          <w:highlight w:val="none"/>
        </w:rPr>
        <w:t>.8</w:t>
      </w:r>
      <w:r>
        <w:rPr>
          <w:rFonts w:hint="eastAsia" w:ascii="仿宋" w:hAnsi="仿宋" w:eastAsia="仿宋" w:cs="仿宋"/>
          <w:b/>
          <w:color w:val="auto"/>
          <w:sz w:val="32"/>
          <w:szCs w:val="32"/>
          <w:highlight w:val="none"/>
        </w:rPr>
        <w:t>投标人报价，不得高于本次招标设置的最高限价，</w:t>
      </w:r>
      <w:r>
        <w:rPr>
          <w:rFonts w:hint="eastAsia" w:ascii="仿宋" w:hAnsi="仿宋" w:eastAsia="仿宋" w:cs="仿宋"/>
          <w:b/>
          <w:bCs/>
          <w:color w:val="auto"/>
          <w:sz w:val="32"/>
          <w:szCs w:val="32"/>
          <w:highlight w:val="none"/>
        </w:rPr>
        <w:t>否则将作为无效投标处理。</w:t>
      </w:r>
    </w:p>
    <w:p w14:paraId="4EDCD29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.9如投标文件中未列明全面实现投标</w:t>
      </w:r>
      <w:r>
        <w:rPr>
          <w:rFonts w:hint="eastAsia" w:ascii="仿宋" w:hAnsi="仿宋" w:eastAsia="仿宋" w:cs="仿宋"/>
          <w:color w:val="auto"/>
          <w:sz w:val="32"/>
          <w:szCs w:val="32"/>
          <w:highlight w:val="none"/>
          <w:lang w:val="en-US" w:eastAsia="zh-CN"/>
        </w:rPr>
        <w:t>服务采购内容及技术要求等</w:t>
      </w:r>
      <w:r>
        <w:rPr>
          <w:rFonts w:hint="eastAsia" w:ascii="仿宋" w:hAnsi="仿宋" w:eastAsia="仿宋" w:cs="仿宋"/>
          <w:color w:val="auto"/>
          <w:sz w:val="32"/>
          <w:szCs w:val="32"/>
          <w:highlight w:val="none"/>
        </w:rPr>
        <w:t>功能而必须配置的配套或辅助设施及相应技术措施的费用，这些费用将被视为已包含在投标价中。</w:t>
      </w:r>
    </w:p>
    <w:p w14:paraId="456330A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.10投标价中不得包含</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要求以外的内容，否则，在评标时不予核减，但在授予合同时，招标人有权将这部分价格从其中标价格中扣除。</w:t>
      </w:r>
    </w:p>
    <w:p w14:paraId="2F11FA62">
      <w:pPr>
        <w:shd w:val="clear" w:color="auto" w:fill="auto"/>
        <w:spacing w:line="440" w:lineRule="exact"/>
        <w:ind w:firstLine="614" w:firstLineChars="192"/>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.11投标价中不得缺漏</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所要求的内容，否则，评标时将有效投标中该项内容的最高价计入其评标</w:t>
      </w:r>
      <w:r>
        <w:rPr>
          <w:rFonts w:hint="eastAsia" w:ascii="仿宋" w:hAnsi="仿宋" w:eastAsia="仿宋" w:cs="仿宋"/>
          <w:color w:val="auto"/>
          <w:sz w:val="32"/>
          <w:szCs w:val="32"/>
          <w:highlight w:val="none"/>
          <w:lang w:val="en-US" w:eastAsia="zh-CN"/>
        </w:rPr>
        <w:t>价格</w:t>
      </w:r>
      <w:r>
        <w:rPr>
          <w:rFonts w:hint="eastAsia" w:ascii="仿宋" w:hAnsi="仿宋" w:eastAsia="仿宋" w:cs="仿宋"/>
          <w:color w:val="auto"/>
          <w:sz w:val="32"/>
          <w:szCs w:val="32"/>
          <w:highlight w:val="none"/>
        </w:rPr>
        <w:t>，但在授予合同时，缺漏项目的报价视作已含在其他项目的报价中，这些项目将作为免费赠送而包含在合同内。</w:t>
      </w:r>
      <w:r>
        <w:rPr>
          <w:rFonts w:hint="eastAsia" w:ascii="仿宋" w:hAnsi="仿宋" w:eastAsia="仿宋" w:cs="仿宋"/>
          <w:color w:val="auto"/>
          <w:sz w:val="32"/>
          <w:szCs w:val="32"/>
          <w:highlight w:val="none"/>
          <w:lang w:val="en-US" w:eastAsia="zh-CN"/>
        </w:rPr>
        <w:t xml:space="preserve">    </w:t>
      </w:r>
    </w:p>
    <w:p w14:paraId="4DDFA35A">
      <w:pPr>
        <w:shd w:val="clear" w:color="auto" w:fill="auto"/>
        <w:spacing w:line="440" w:lineRule="exact"/>
        <w:ind w:firstLine="614" w:firstLineChars="19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.12投标人不得对从第三方采购货物的随机备品、备件另行收费，否则在计算评标价时这部分费用将不予扣除，在授予合同时将从中标价格中扣除该部分费用。</w:t>
      </w:r>
    </w:p>
    <w:p w14:paraId="680A23C7">
      <w:pPr>
        <w:shd w:val="clear" w:color="auto" w:fill="auto"/>
        <w:spacing w:line="440" w:lineRule="exact"/>
        <w:ind w:firstLine="614" w:firstLineChars="19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.13投标人应根据货物</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服务</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4957A470">
      <w:pPr>
        <w:shd w:val="clear" w:color="auto" w:fill="auto"/>
        <w:spacing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val="en-US" w:eastAsia="zh-CN"/>
        </w:rPr>
        <w:t>2、</w:t>
      </w:r>
      <w:r>
        <w:rPr>
          <w:rFonts w:hint="eastAsia" w:ascii="仿宋" w:hAnsi="仿宋" w:eastAsia="仿宋" w:cs="仿宋"/>
          <w:b/>
          <w:color w:val="auto"/>
          <w:sz w:val="32"/>
          <w:szCs w:val="32"/>
          <w:highlight w:val="none"/>
        </w:rPr>
        <w:t xml:space="preserve"> 投标有效期</w:t>
      </w:r>
    </w:p>
    <w:p w14:paraId="6823557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 xml:space="preserve">.1 </w:t>
      </w:r>
      <w:r>
        <w:rPr>
          <w:rFonts w:hint="eastAsia" w:ascii="仿宋" w:hAnsi="仿宋" w:eastAsia="仿宋" w:cs="仿宋"/>
          <w:b/>
          <w:bCs/>
          <w:color w:val="auto"/>
          <w:sz w:val="32"/>
          <w:szCs w:val="32"/>
          <w:highlight w:val="none"/>
        </w:rPr>
        <w:t>除投标人须知前附表另有规定外，投标有效期为</w:t>
      </w:r>
      <w:r>
        <w:rPr>
          <w:rFonts w:hint="eastAsia" w:ascii="仿宋" w:hAnsi="仿宋" w:eastAsia="仿宋" w:cs="仿宋"/>
          <w:b/>
          <w:bCs/>
          <w:color w:val="auto"/>
          <w:sz w:val="32"/>
          <w:szCs w:val="32"/>
          <w:highlight w:val="none"/>
          <w:lang w:val="en-US" w:eastAsia="zh-CN"/>
        </w:rPr>
        <w:t>60日历天（从投标截止之日算起）</w:t>
      </w:r>
      <w:r>
        <w:rPr>
          <w:rFonts w:hint="eastAsia" w:ascii="仿宋" w:hAnsi="仿宋" w:eastAsia="仿宋" w:cs="仿宋"/>
          <w:b/>
          <w:bCs/>
          <w:color w:val="auto"/>
          <w:sz w:val="32"/>
          <w:szCs w:val="32"/>
          <w:highlight w:val="none"/>
        </w:rPr>
        <w:t>。</w:t>
      </w:r>
    </w:p>
    <w:p w14:paraId="28633604">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.2在投标有效期内，投标人撤销或修改其投标文件的，应承担</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和法律规定的责任。</w:t>
      </w:r>
    </w:p>
    <w:p w14:paraId="3EF89F1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53D8294">
      <w:pPr>
        <w:shd w:val="clear" w:color="auto" w:fill="auto"/>
        <w:spacing w:line="440" w:lineRule="exact"/>
        <w:ind w:firstLine="614" w:firstLineChars="19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2</w:t>
      </w:r>
      <w:r>
        <w:rPr>
          <w:rFonts w:hint="eastAsia" w:ascii="仿宋" w:hAnsi="仿宋" w:eastAsia="仿宋" w:cs="仿宋"/>
          <w:b/>
          <w:color w:val="auto"/>
          <w:sz w:val="32"/>
          <w:szCs w:val="32"/>
          <w:highlight w:val="none"/>
          <w:lang w:val="en-US" w:eastAsia="zh-CN"/>
        </w:rPr>
        <w:t>3</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投标保证金</w:t>
      </w:r>
    </w:p>
    <w:p w14:paraId="58F80363">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联合体参加的，可以由联合体中的一方或者共同提交保证金。以一方名义提交保证金的，对联合体各方均具有约束力。</w:t>
      </w:r>
    </w:p>
    <w:p w14:paraId="21A7996A">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.2自</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color w:val="auto"/>
          <w:sz w:val="32"/>
          <w:szCs w:val="32"/>
          <w:highlight w:val="none"/>
        </w:rPr>
        <w:t>通知书发出之日起5个工作日内退还未</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color w:val="auto"/>
          <w:sz w:val="32"/>
          <w:szCs w:val="32"/>
          <w:highlight w:val="none"/>
        </w:rPr>
        <w:t>投标人的投标保证金，自政府采购合同签订之日起5个工作日内退还</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color w:val="auto"/>
          <w:sz w:val="32"/>
          <w:szCs w:val="32"/>
          <w:highlight w:val="none"/>
        </w:rPr>
        <w:t>人的投标保证金。</w:t>
      </w:r>
    </w:p>
    <w:p w14:paraId="0A05FA14">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 xml:space="preserve">.3有下列情形之一的，投标保证金将不予退还： </w:t>
      </w:r>
    </w:p>
    <w:p w14:paraId="730812D7">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（1）投标人在规定的投标有效期内撤回或修改其投标文件；</w:t>
      </w:r>
    </w:p>
    <w:p w14:paraId="6EB23674">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color w:val="auto"/>
          <w:sz w:val="32"/>
          <w:szCs w:val="32"/>
          <w:highlight w:val="none"/>
        </w:rPr>
        <w:t>通知书发出后三十天内，</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color w:val="auto"/>
          <w:sz w:val="32"/>
          <w:szCs w:val="32"/>
          <w:highlight w:val="none"/>
        </w:rPr>
        <w:t>人无正当理由拒签合同协议书或未按</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规定提交履约担保。</w:t>
      </w:r>
    </w:p>
    <w:p w14:paraId="4A4DDD86">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（3）提供虚假材料谋取中标的；</w:t>
      </w:r>
    </w:p>
    <w:p w14:paraId="067DEE76">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（4）经查实属于陪标、串通投标的等。</w:t>
      </w:r>
    </w:p>
    <w:p w14:paraId="27808137">
      <w:pPr>
        <w:shd w:val="clear" w:color="auto" w:fill="auto"/>
        <w:spacing w:line="400" w:lineRule="exact"/>
        <w:ind w:firstLine="640" w:firstLineChars="200"/>
        <w:rPr>
          <w:rFonts w:hint="eastAsia" w:ascii="仿宋" w:hAnsi="仿宋" w:eastAsia="仿宋" w:cs="仿宋"/>
          <w:color w:val="auto"/>
          <w:sz w:val="32"/>
          <w:szCs w:val="32"/>
          <w:highlight w:val="none"/>
        </w:rPr>
      </w:pPr>
      <w:bookmarkStart w:id="42" w:name="_Toc469495727"/>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.4投标保证金按</w:t>
      </w:r>
      <w:r>
        <w:rPr>
          <w:rFonts w:hint="eastAsia" w:ascii="仿宋" w:hAnsi="仿宋" w:eastAsia="仿宋" w:cs="仿宋"/>
          <w:color w:val="auto"/>
          <w:sz w:val="32"/>
          <w:szCs w:val="32"/>
          <w:highlight w:val="none"/>
          <w:lang w:eastAsia="zh-CN"/>
        </w:rPr>
        <w:t>投标人须知前附表第</w:t>
      </w:r>
      <w:r>
        <w:rPr>
          <w:rFonts w:hint="eastAsia" w:ascii="仿宋" w:hAnsi="仿宋" w:eastAsia="仿宋" w:cs="仿宋"/>
          <w:color w:val="auto"/>
          <w:sz w:val="32"/>
          <w:szCs w:val="32"/>
          <w:highlight w:val="none"/>
          <w:lang w:val="en-US" w:eastAsia="zh-CN"/>
        </w:rPr>
        <w:t>18条</w:t>
      </w:r>
      <w:r>
        <w:rPr>
          <w:rFonts w:hint="eastAsia" w:ascii="仿宋" w:hAnsi="仿宋" w:eastAsia="仿宋" w:cs="仿宋"/>
          <w:color w:val="auto"/>
          <w:sz w:val="32"/>
          <w:szCs w:val="32"/>
          <w:highlight w:val="none"/>
        </w:rPr>
        <w:t>规定执行。</w:t>
      </w:r>
    </w:p>
    <w:p w14:paraId="69B13BB9">
      <w:pPr>
        <w:pStyle w:val="2"/>
        <w:shd w:val="clear" w:color="auto" w:fill="auto"/>
        <w:bidi w:val="0"/>
        <w:jc w:val="center"/>
        <w:rPr>
          <w:rFonts w:hint="eastAsia" w:ascii="仿宋" w:hAnsi="仿宋" w:eastAsia="仿宋" w:cs="仿宋"/>
          <w:color w:val="auto"/>
          <w:sz w:val="32"/>
          <w:szCs w:val="32"/>
          <w:highlight w:val="none"/>
        </w:rPr>
      </w:pPr>
      <w:bookmarkStart w:id="43" w:name="_Toc21843"/>
      <w:bookmarkStart w:id="44" w:name="_Toc12512"/>
      <w:bookmarkStart w:id="45" w:name="_Toc19352"/>
      <w:bookmarkStart w:id="46" w:name="_Toc10943"/>
      <w:bookmarkStart w:id="47" w:name="_Toc14144"/>
      <w:r>
        <w:rPr>
          <w:rFonts w:hint="eastAsia" w:ascii="仿宋" w:hAnsi="仿宋" w:eastAsia="仿宋" w:cs="仿宋"/>
          <w:color w:val="auto"/>
          <w:sz w:val="32"/>
          <w:szCs w:val="32"/>
          <w:highlight w:val="none"/>
        </w:rPr>
        <w:t>（四）</w:t>
      </w:r>
      <w:bookmarkEnd w:id="42"/>
      <w:r>
        <w:rPr>
          <w:rFonts w:hint="eastAsia" w:ascii="仿宋" w:hAnsi="仿宋" w:eastAsia="仿宋" w:cs="仿宋"/>
          <w:color w:val="auto"/>
          <w:sz w:val="32"/>
          <w:szCs w:val="32"/>
          <w:highlight w:val="none"/>
        </w:rPr>
        <w:t>投标文件的制作、上传及递交要求</w:t>
      </w:r>
      <w:bookmarkEnd w:id="43"/>
      <w:bookmarkEnd w:id="44"/>
      <w:bookmarkEnd w:id="45"/>
      <w:bookmarkEnd w:id="46"/>
      <w:bookmarkEnd w:id="47"/>
    </w:p>
    <w:p w14:paraId="003392F0">
      <w:pPr>
        <w:shd w:val="clear" w:color="auto" w:fill="auto"/>
        <w:snapToGrid w:val="0"/>
        <w:spacing w:line="360" w:lineRule="auto"/>
        <w:ind w:firstLine="640" w:firstLineChars="200"/>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lang w:val="en-US" w:eastAsia="zh-CN"/>
        </w:rPr>
        <w:t>24、</w:t>
      </w:r>
      <w:r>
        <w:rPr>
          <w:rFonts w:hint="eastAsia" w:ascii="仿宋" w:hAnsi="仿宋" w:eastAsia="仿宋" w:cs="仿宋"/>
          <w:b/>
          <w:bCs/>
          <w:color w:val="auto"/>
          <w:sz w:val="32"/>
          <w:szCs w:val="32"/>
          <w:highlight w:val="none"/>
        </w:rPr>
        <w:t>投标文件的制作要求</w:t>
      </w:r>
    </w:p>
    <w:p w14:paraId="1C1FFBF2">
      <w:pPr>
        <w:pStyle w:val="6"/>
        <w:shd w:val="clear" w:color="auto" w:fill="auto"/>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b w:val="0"/>
          <w:bCs/>
          <w:color w:val="auto"/>
          <w:sz w:val="32"/>
          <w:szCs w:val="32"/>
          <w:highlight w:val="none"/>
        </w:rPr>
        <w:t>（1）供应商应按照投标文件组成内容及项目招标需求和</w:t>
      </w:r>
      <w:r>
        <w:rPr>
          <w:rFonts w:hint="eastAsia" w:ascii="仿宋" w:hAnsi="仿宋" w:eastAsia="仿宋" w:cs="仿宋"/>
          <w:b w:val="0"/>
          <w:bCs/>
          <w:color w:val="auto"/>
          <w:sz w:val="32"/>
          <w:szCs w:val="32"/>
          <w:highlight w:val="none"/>
          <w:lang w:eastAsia="zh-CN"/>
        </w:rPr>
        <w:t>新疆</w:t>
      </w:r>
      <w:r>
        <w:rPr>
          <w:rFonts w:hint="eastAsia" w:ascii="仿宋" w:hAnsi="仿宋" w:eastAsia="仿宋" w:cs="仿宋"/>
          <w:b w:val="0"/>
          <w:bCs/>
          <w:color w:val="auto"/>
          <w:sz w:val="32"/>
          <w:szCs w:val="32"/>
          <w:highlight w:val="none"/>
        </w:rPr>
        <w:t>政府采购云平台要求制作投标文件，不按</w:t>
      </w:r>
      <w:r>
        <w:rPr>
          <w:rFonts w:hint="eastAsia" w:ascii="仿宋" w:hAnsi="仿宋" w:eastAsia="仿宋" w:cs="仿宋"/>
          <w:b w:val="0"/>
          <w:bCs/>
          <w:color w:val="auto"/>
          <w:sz w:val="32"/>
          <w:szCs w:val="32"/>
          <w:highlight w:val="none"/>
          <w:lang w:eastAsia="zh-CN"/>
        </w:rPr>
        <w:t>竞争性磋商文件</w:t>
      </w:r>
      <w:r>
        <w:rPr>
          <w:rFonts w:hint="eastAsia" w:ascii="仿宋" w:hAnsi="仿宋" w:eastAsia="仿宋" w:cs="仿宋"/>
          <w:b w:val="0"/>
          <w:bCs/>
          <w:color w:val="auto"/>
          <w:sz w:val="32"/>
          <w:szCs w:val="32"/>
          <w:highlight w:val="none"/>
        </w:rPr>
        <w:t>和</w:t>
      </w:r>
      <w:r>
        <w:rPr>
          <w:rFonts w:hint="eastAsia" w:ascii="仿宋" w:hAnsi="仿宋" w:eastAsia="仿宋" w:cs="仿宋"/>
          <w:b w:val="0"/>
          <w:bCs/>
          <w:color w:val="auto"/>
          <w:sz w:val="32"/>
          <w:szCs w:val="32"/>
          <w:highlight w:val="none"/>
          <w:lang w:eastAsia="zh-CN"/>
        </w:rPr>
        <w:t>新疆</w:t>
      </w:r>
      <w:r>
        <w:rPr>
          <w:rFonts w:hint="eastAsia" w:ascii="仿宋" w:hAnsi="仿宋" w:eastAsia="仿宋" w:cs="仿宋"/>
          <w:b w:val="0"/>
          <w:bCs/>
          <w:color w:val="auto"/>
          <w:sz w:val="32"/>
          <w:szCs w:val="32"/>
          <w:highlight w:val="none"/>
        </w:rPr>
        <w:t>政府采购云平台要求制作投标文件的将视情况处理（拒收等），由此产生的责任由供应商自行承担。</w:t>
      </w:r>
    </w:p>
    <w:p w14:paraId="35A92D75">
      <w:pPr>
        <w:pStyle w:val="6"/>
        <w:shd w:val="clear" w:color="auto" w:fill="auto"/>
        <w:snapToGrid w:val="0"/>
        <w:spacing w:line="360" w:lineRule="auto"/>
        <w:ind w:firstLine="640" w:firstLineChars="200"/>
        <w:rPr>
          <w:rFonts w:hint="eastAsia" w:ascii="仿宋" w:hAnsi="仿宋" w:eastAsia="仿宋" w:cs="仿宋"/>
          <w:b w:val="0"/>
          <w:color w:val="auto"/>
          <w:sz w:val="32"/>
          <w:szCs w:val="32"/>
          <w:highlight w:val="none"/>
        </w:rPr>
      </w:pPr>
      <w:r>
        <w:rPr>
          <w:rFonts w:hint="eastAsia" w:ascii="仿宋" w:hAnsi="仿宋" w:eastAsia="仿宋" w:cs="仿宋"/>
          <w:bCs/>
          <w:color w:val="auto"/>
          <w:sz w:val="32"/>
          <w:szCs w:val="32"/>
          <w:highlight w:val="none"/>
        </w:rPr>
        <w:t>电子投标文件部分：供应商应根据“政采云供应商项目采购-电子招投标操作指南”及本</w:t>
      </w:r>
      <w:r>
        <w:rPr>
          <w:rFonts w:hint="eastAsia" w:ascii="仿宋" w:hAnsi="仿宋" w:eastAsia="仿宋" w:cs="仿宋"/>
          <w:bCs/>
          <w:color w:val="auto"/>
          <w:sz w:val="32"/>
          <w:szCs w:val="32"/>
          <w:highlight w:val="none"/>
          <w:lang w:eastAsia="zh-CN"/>
        </w:rPr>
        <w:t>竞争性磋商文件</w:t>
      </w:r>
      <w:r>
        <w:rPr>
          <w:rFonts w:hint="eastAsia" w:ascii="仿宋" w:hAnsi="仿宋" w:eastAsia="仿宋" w:cs="仿宋"/>
          <w:bCs/>
          <w:color w:val="auto"/>
          <w:sz w:val="32"/>
          <w:szCs w:val="32"/>
          <w:highlight w:val="none"/>
        </w:rPr>
        <w:t>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4137FA2C">
      <w:pPr>
        <w:pStyle w:val="6"/>
        <w:shd w:val="clear" w:color="auto" w:fill="auto"/>
        <w:snapToGrid w:val="0"/>
        <w:spacing w:line="360" w:lineRule="auto"/>
        <w:ind w:firstLine="640" w:firstLineChars="2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备份电子投标文件：通过“政采云”平台电子投标工具制作投标文件所产生的备份文件。</w:t>
      </w:r>
    </w:p>
    <w:p w14:paraId="42E764B5">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（2）供应商应对所提供的全部资料的真实性、有效性承担法律责任，电子投标文件中所须加盖公章部分均采用CA签章。</w:t>
      </w:r>
    </w:p>
    <w:p w14:paraId="67077C39">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（3）投标文件以及供应商与采购组织机构就有关投标事宜的所有来往函电，均应以中文汉语书写。除签字、盖章、专用名称等特殊情形外，以中文汉语以外的文字表述的投标文件视同未提供。</w:t>
      </w:r>
    </w:p>
    <w:p w14:paraId="476E3C1A">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（4）投标计量单位，</w:t>
      </w:r>
      <w:r>
        <w:rPr>
          <w:rFonts w:hint="eastAsia" w:ascii="仿宋" w:hAnsi="仿宋" w:eastAsia="仿宋" w:cs="仿宋"/>
          <w:b w:val="0"/>
          <w:bCs/>
          <w:color w:val="auto"/>
          <w:sz w:val="32"/>
          <w:szCs w:val="32"/>
          <w:highlight w:val="none"/>
          <w:lang w:eastAsia="zh-CN"/>
        </w:rPr>
        <w:t>竞争性磋商文件</w:t>
      </w:r>
      <w:r>
        <w:rPr>
          <w:rFonts w:hint="eastAsia" w:ascii="仿宋" w:hAnsi="仿宋" w:eastAsia="仿宋" w:cs="仿宋"/>
          <w:b w:val="0"/>
          <w:bCs/>
          <w:color w:val="auto"/>
          <w:sz w:val="32"/>
          <w:szCs w:val="32"/>
          <w:highlight w:val="none"/>
        </w:rPr>
        <w:t>已有明确规定的，使用</w:t>
      </w:r>
      <w:r>
        <w:rPr>
          <w:rFonts w:hint="eastAsia" w:ascii="仿宋" w:hAnsi="仿宋" w:eastAsia="仿宋" w:cs="仿宋"/>
          <w:b w:val="0"/>
          <w:bCs/>
          <w:color w:val="auto"/>
          <w:sz w:val="32"/>
          <w:szCs w:val="32"/>
          <w:highlight w:val="none"/>
          <w:lang w:eastAsia="zh-CN"/>
        </w:rPr>
        <w:t>竞争性磋商文件</w:t>
      </w:r>
      <w:r>
        <w:rPr>
          <w:rFonts w:hint="eastAsia" w:ascii="仿宋" w:hAnsi="仿宋" w:eastAsia="仿宋" w:cs="仿宋"/>
          <w:b w:val="0"/>
          <w:bCs/>
          <w:color w:val="auto"/>
          <w:sz w:val="32"/>
          <w:szCs w:val="32"/>
          <w:highlight w:val="none"/>
        </w:rPr>
        <w:t>规定的计量单位；</w:t>
      </w:r>
      <w:r>
        <w:rPr>
          <w:rFonts w:hint="eastAsia" w:ascii="仿宋" w:hAnsi="仿宋" w:eastAsia="仿宋" w:cs="仿宋"/>
          <w:b w:val="0"/>
          <w:bCs/>
          <w:color w:val="auto"/>
          <w:sz w:val="32"/>
          <w:szCs w:val="32"/>
          <w:highlight w:val="none"/>
          <w:lang w:eastAsia="zh-CN"/>
        </w:rPr>
        <w:t>竞争性磋商文件</w:t>
      </w:r>
      <w:r>
        <w:rPr>
          <w:rFonts w:hint="eastAsia" w:ascii="仿宋" w:hAnsi="仿宋" w:eastAsia="仿宋" w:cs="仿宋"/>
          <w:b w:val="0"/>
          <w:bCs/>
          <w:color w:val="auto"/>
          <w:sz w:val="32"/>
          <w:szCs w:val="32"/>
          <w:highlight w:val="none"/>
        </w:rPr>
        <w:t>没有规定的，应采用中华人民共和国法定计量单位（货币单位：人民币元）。</w:t>
      </w:r>
    </w:p>
    <w:p w14:paraId="1FB7A083">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（5）若供应商不按</w:t>
      </w:r>
      <w:r>
        <w:rPr>
          <w:rFonts w:hint="eastAsia" w:ascii="仿宋" w:hAnsi="仿宋" w:eastAsia="仿宋" w:cs="仿宋"/>
          <w:b w:val="0"/>
          <w:bCs/>
          <w:color w:val="auto"/>
          <w:sz w:val="32"/>
          <w:szCs w:val="32"/>
          <w:highlight w:val="none"/>
          <w:lang w:eastAsia="zh-CN"/>
        </w:rPr>
        <w:t>竞争性磋商文件</w:t>
      </w:r>
      <w:r>
        <w:rPr>
          <w:rFonts w:hint="eastAsia" w:ascii="仿宋" w:hAnsi="仿宋" w:eastAsia="仿宋" w:cs="仿宋"/>
          <w:b w:val="0"/>
          <w:bCs/>
          <w:color w:val="auto"/>
          <w:sz w:val="32"/>
          <w:szCs w:val="32"/>
          <w:highlight w:val="none"/>
        </w:rPr>
        <w:t>的要求提供资格审查材料，其风险由供应商自行承担。</w:t>
      </w:r>
    </w:p>
    <w:p w14:paraId="1876EAB8">
      <w:pPr>
        <w:pStyle w:val="6"/>
        <w:shd w:val="clear" w:color="auto" w:fill="auto"/>
        <w:snapToGrid w:val="0"/>
        <w:spacing w:line="360" w:lineRule="auto"/>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（6）与本次投标无关的内容请不要制作在内，确保投标文件有针对性、简洁明了。</w:t>
      </w:r>
    </w:p>
    <w:p w14:paraId="77DC43B2">
      <w:pPr>
        <w:shd w:val="clear" w:color="auto" w:fill="auto"/>
        <w:snapToGrid w:val="0"/>
        <w:spacing w:line="360" w:lineRule="auto"/>
        <w:ind w:firstLine="640" w:firstLineChars="200"/>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lang w:val="en-US" w:eastAsia="zh-CN"/>
        </w:rPr>
        <w:t>25、</w:t>
      </w:r>
      <w:r>
        <w:rPr>
          <w:rFonts w:hint="eastAsia" w:ascii="仿宋" w:hAnsi="仿宋" w:eastAsia="仿宋" w:cs="仿宋"/>
          <w:b/>
          <w:bCs/>
          <w:color w:val="auto"/>
          <w:sz w:val="32"/>
          <w:szCs w:val="32"/>
          <w:highlight w:val="none"/>
        </w:rPr>
        <w:t>投标文件的上传</w:t>
      </w:r>
    </w:p>
    <w:p w14:paraId="3B86D2F2">
      <w:pPr>
        <w:pStyle w:val="6"/>
        <w:shd w:val="clear" w:color="auto" w:fill="auto"/>
        <w:snapToGrid w:val="0"/>
        <w:spacing w:line="360"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（1）</w:t>
      </w:r>
      <w:r>
        <w:rPr>
          <w:rFonts w:hint="eastAsia" w:ascii="仿宋" w:hAnsi="仿宋" w:eastAsia="仿宋" w:cs="仿宋"/>
          <w:b/>
          <w:bCs/>
          <w:color w:val="auto"/>
          <w:sz w:val="32"/>
          <w:szCs w:val="32"/>
          <w:highlight w:val="none"/>
          <w:lang w:bidi="zh-CN"/>
        </w:rPr>
        <w:t>电子加密投标文件（“.jmbs”格式）</w:t>
      </w:r>
      <w:r>
        <w:rPr>
          <w:rFonts w:hint="eastAsia" w:ascii="仿宋" w:hAnsi="仿宋" w:eastAsia="仿宋" w:cs="仿宋"/>
          <w:b/>
          <w:bCs/>
          <w:color w:val="auto"/>
          <w:sz w:val="32"/>
          <w:szCs w:val="32"/>
          <w:highlight w:val="none"/>
        </w:rPr>
        <w:t>：</w:t>
      </w:r>
    </w:p>
    <w:p w14:paraId="6CC832D0">
      <w:pPr>
        <w:pStyle w:val="6"/>
        <w:shd w:val="clear" w:color="auto" w:fill="auto"/>
        <w:snapToGrid w:val="0"/>
        <w:spacing w:line="360" w:lineRule="auto"/>
        <w:ind w:firstLine="800" w:firstLineChars="250"/>
        <w:rPr>
          <w:rFonts w:hint="eastAsia" w:ascii="仿宋" w:hAnsi="仿宋" w:eastAsia="仿宋" w:cs="仿宋"/>
          <w:b w:val="0"/>
          <w:bCs/>
          <w:color w:val="auto"/>
          <w:sz w:val="32"/>
          <w:szCs w:val="32"/>
          <w:highlight w:val="none"/>
          <w:lang w:bidi="zh-CN"/>
        </w:rPr>
      </w:pPr>
      <w:r>
        <w:rPr>
          <w:rFonts w:hint="eastAsia" w:ascii="仿宋" w:hAnsi="仿宋" w:eastAsia="仿宋" w:cs="仿宋"/>
          <w:b w:val="0"/>
          <w:bCs/>
          <w:color w:val="auto"/>
          <w:sz w:val="32"/>
          <w:szCs w:val="32"/>
          <w:highlight w:val="none"/>
          <w:lang w:bidi="zh-CN"/>
        </w:rPr>
        <w:t>a.</w:t>
      </w:r>
      <w:r>
        <w:rPr>
          <w:rFonts w:hint="eastAsia" w:ascii="仿宋" w:hAnsi="仿宋" w:eastAsia="仿宋" w:cs="仿宋"/>
          <w:b w:val="0"/>
          <w:bCs/>
          <w:color w:val="auto"/>
          <w:kern w:val="0"/>
          <w:sz w:val="32"/>
          <w:szCs w:val="32"/>
          <w:highlight w:val="none"/>
        </w:rPr>
        <w:t xml:space="preserve"> </w:t>
      </w:r>
      <w:r>
        <w:rPr>
          <w:rFonts w:hint="eastAsia" w:ascii="仿宋" w:hAnsi="仿宋" w:eastAsia="仿宋" w:cs="仿宋"/>
          <w:b w:val="0"/>
          <w:bCs/>
          <w:color w:val="auto"/>
          <w:sz w:val="32"/>
          <w:szCs w:val="32"/>
          <w:highlight w:val="none"/>
          <w:lang w:bidi="zh-CN"/>
        </w:rPr>
        <w:t>供应商应在投标截止时间前将电子加密投标文件成功上传递交至新疆政府采购云平台，否则投标无效；</w:t>
      </w:r>
    </w:p>
    <w:p w14:paraId="2DDC6696">
      <w:pPr>
        <w:pStyle w:val="6"/>
        <w:shd w:val="clear" w:color="auto" w:fill="auto"/>
        <w:snapToGrid w:val="0"/>
        <w:spacing w:line="360" w:lineRule="auto"/>
        <w:ind w:firstLine="800" w:firstLineChars="25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lang w:bidi="zh-CN"/>
        </w:rPr>
        <w:t>b.供应商成功上传电子加密投标文件后，可自行打印投标文件接收回执。</w:t>
      </w:r>
    </w:p>
    <w:p w14:paraId="7CA5C862">
      <w:pPr>
        <w:pStyle w:val="6"/>
        <w:shd w:val="clear" w:color="auto" w:fill="auto"/>
        <w:snapToGrid w:val="0"/>
        <w:spacing w:line="360" w:lineRule="auto"/>
        <w:rPr>
          <w:rFonts w:hint="eastAsia" w:ascii="仿宋" w:hAnsi="仿宋" w:eastAsia="仿宋" w:cs="仿宋"/>
          <w:b/>
          <w:bCs/>
          <w:color w:val="auto"/>
          <w:sz w:val="32"/>
          <w:szCs w:val="32"/>
          <w:highlight w:val="none"/>
          <w:lang w:bidi="zh-CN"/>
        </w:rPr>
      </w:pPr>
      <w:r>
        <w:rPr>
          <w:rFonts w:hint="eastAsia" w:ascii="仿宋" w:hAnsi="仿宋" w:eastAsia="仿宋" w:cs="仿宋"/>
          <w:b/>
          <w:bCs/>
          <w:color w:val="auto"/>
          <w:sz w:val="32"/>
          <w:szCs w:val="32"/>
          <w:highlight w:val="none"/>
        </w:rPr>
        <w:t>（2）</w:t>
      </w:r>
      <w:r>
        <w:rPr>
          <w:rFonts w:hint="eastAsia" w:ascii="仿宋" w:hAnsi="仿宋" w:eastAsia="仿宋" w:cs="仿宋"/>
          <w:b/>
          <w:bCs/>
          <w:color w:val="auto"/>
          <w:sz w:val="32"/>
          <w:szCs w:val="32"/>
          <w:highlight w:val="none"/>
          <w:lang w:bidi="zh-CN"/>
        </w:rPr>
        <w:t>备份投标文件（“.bfbs”格式）：</w:t>
      </w:r>
    </w:p>
    <w:p w14:paraId="515E4599">
      <w:pPr>
        <w:pStyle w:val="6"/>
        <w:shd w:val="clear" w:color="auto" w:fill="auto"/>
        <w:snapToGrid w:val="0"/>
        <w:spacing w:line="360" w:lineRule="auto"/>
        <w:ind w:firstLine="800" w:firstLineChars="250"/>
        <w:rPr>
          <w:rFonts w:hint="eastAsia" w:ascii="仿宋" w:hAnsi="仿宋" w:eastAsia="仿宋" w:cs="仿宋"/>
          <w:color w:val="auto"/>
          <w:sz w:val="32"/>
          <w:szCs w:val="32"/>
          <w:highlight w:val="none"/>
          <w:lang w:bidi="zh-CN"/>
        </w:rPr>
      </w:pPr>
      <w:r>
        <w:rPr>
          <w:rFonts w:hint="eastAsia" w:ascii="仿宋" w:hAnsi="仿宋" w:eastAsia="仿宋" w:cs="仿宋"/>
          <w:b w:val="0"/>
          <w:bCs/>
          <w:color w:val="auto"/>
          <w:sz w:val="32"/>
          <w:szCs w:val="32"/>
          <w:highlight w:val="none"/>
          <w:lang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 w:val="32"/>
          <w:szCs w:val="32"/>
          <w:highlight w:val="none"/>
          <w:lang w:bidi="zh-CN"/>
        </w:rPr>
        <w:t>“备份投标文件”以投标截止时间前指定接收邮箱最终收到的文件为准，逾期或未按要求提供的视为未提供，建议供应商提前1日办理邮件提供事宜（接收人邮箱：</w:t>
      </w:r>
      <w:r>
        <w:rPr>
          <w:rFonts w:hint="eastAsia" w:ascii="仿宋" w:hAnsi="仿宋" w:eastAsia="仿宋" w:cs="仿宋"/>
          <w:color w:val="auto"/>
          <w:sz w:val="32"/>
          <w:szCs w:val="32"/>
          <w:highlight w:val="none"/>
          <w:lang w:val="en-US" w:bidi="zh-CN"/>
        </w:rPr>
        <w:t>443186251@qq.com</w:t>
      </w:r>
      <w:r>
        <w:rPr>
          <w:rFonts w:hint="eastAsia" w:ascii="仿宋" w:hAnsi="仿宋" w:eastAsia="仿宋" w:cs="仿宋"/>
          <w:color w:val="auto"/>
          <w:sz w:val="32"/>
          <w:szCs w:val="32"/>
          <w:highlight w:val="none"/>
          <w:lang w:bidi="zh-CN"/>
        </w:rPr>
        <w:t>，接收人：</w:t>
      </w:r>
      <w:r>
        <w:rPr>
          <w:rFonts w:hint="eastAsia" w:ascii="仿宋" w:hAnsi="仿宋" w:eastAsia="仿宋" w:cs="仿宋"/>
          <w:color w:val="auto"/>
          <w:sz w:val="32"/>
          <w:szCs w:val="32"/>
          <w:highlight w:val="none"/>
          <w:lang w:val="en-US" w:bidi="zh-CN"/>
        </w:rPr>
        <w:t>佟先生</w:t>
      </w:r>
      <w:r>
        <w:rPr>
          <w:rFonts w:hint="eastAsia" w:ascii="仿宋" w:hAnsi="仿宋" w:eastAsia="仿宋" w:cs="仿宋"/>
          <w:color w:val="auto"/>
          <w:sz w:val="32"/>
          <w:szCs w:val="32"/>
          <w:highlight w:val="none"/>
          <w:lang w:bidi="zh-CN"/>
        </w:rPr>
        <w:t>，电话：</w:t>
      </w:r>
      <w:r>
        <w:rPr>
          <w:rFonts w:hint="eastAsia" w:ascii="仿宋" w:hAnsi="仿宋" w:eastAsia="仿宋" w:cs="仿宋"/>
          <w:color w:val="auto"/>
          <w:sz w:val="32"/>
          <w:szCs w:val="32"/>
          <w:highlight w:val="none"/>
          <w:lang w:eastAsia="zh-CN" w:bidi="zh-CN"/>
        </w:rPr>
        <w:t>18167696669</w:t>
      </w:r>
      <w:r>
        <w:rPr>
          <w:rFonts w:hint="eastAsia" w:ascii="仿宋" w:hAnsi="仿宋" w:eastAsia="仿宋" w:cs="仿宋"/>
          <w:color w:val="auto"/>
          <w:sz w:val="32"/>
          <w:szCs w:val="32"/>
          <w:highlight w:val="none"/>
          <w:lang w:bidi="zh-CN"/>
        </w:rPr>
        <w:t xml:space="preserve"> ）；</w:t>
      </w:r>
    </w:p>
    <w:p w14:paraId="7B462E0F">
      <w:pPr>
        <w:pStyle w:val="6"/>
        <w:shd w:val="clear" w:color="auto" w:fill="auto"/>
        <w:snapToGrid w:val="0"/>
        <w:spacing w:line="360" w:lineRule="auto"/>
        <w:ind w:firstLine="800" w:firstLineChars="250"/>
        <w:rPr>
          <w:rFonts w:hint="eastAsia" w:ascii="仿宋" w:hAnsi="仿宋" w:eastAsia="仿宋" w:cs="仿宋"/>
          <w:b w:val="0"/>
          <w:bCs/>
          <w:color w:val="auto"/>
          <w:sz w:val="32"/>
          <w:szCs w:val="32"/>
          <w:highlight w:val="none"/>
          <w:lang w:bidi="zh-CN"/>
        </w:rPr>
      </w:pPr>
      <w:r>
        <w:rPr>
          <w:rFonts w:hint="eastAsia" w:ascii="仿宋" w:hAnsi="仿宋" w:eastAsia="仿宋" w:cs="仿宋"/>
          <w:b w:val="0"/>
          <w:bCs/>
          <w:color w:val="auto"/>
          <w:sz w:val="32"/>
          <w:szCs w:val="32"/>
          <w:highlight w:val="none"/>
          <w:lang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1558964B">
      <w:pPr>
        <w:shd w:val="clear" w:color="auto" w:fill="auto"/>
        <w:snapToGrid w:val="0"/>
        <w:spacing w:line="360" w:lineRule="auto"/>
        <w:ind w:firstLine="640" w:firstLineChars="200"/>
        <w:rPr>
          <w:rFonts w:hint="eastAsia" w:ascii="仿宋" w:hAnsi="仿宋" w:eastAsia="仿宋" w:cs="仿宋"/>
          <w:b/>
          <w:color w:val="auto"/>
          <w:sz w:val="32"/>
          <w:szCs w:val="32"/>
          <w:highlight w:val="none"/>
        </w:rPr>
      </w:pPr>
      <w:r>
        <w:rPr>
          <w:rFonts w:hint="eastAsia" w:ascii="仿宋" w:hAnsi="仿宋" w:eastAsia="仿宋" w:cs="仿宋"/>
          <w:b/>
          <w:bCs/>
          <w:color w:val="auto"/>
          <w:sz w:val="32"/>
          <w:szCs w:val="32"/>
          <w:highlight w:val="none"/>
          <w:lang w:val="en-US" w:eastAsia="zh-CN"/>
        </w:rPr>
        <w:t>26、</w:t>
      </w:r>
      <w:r>
        <w:rPr>
          <w:rFonts w:hint="eastAsia" w:ascii="仿宋" w:hAnsi="仿宋" w:eastAsia="仿宋" w:cs="仿宋"/>
          <w:b/>
          <w:color w:val="auto"/>
          <w:sz w:val="32"/>
          <w:szCs w:val="32"/>
          <w:highlight w:val="none"/>
        </w:rPr>
        <w:t>投标文件的递交要求</w:t>
      </w:r>
    </w:p>
    <w:p w14:paraId="54C62D12">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（1）供应商须按照</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和政采云平台的要求编制并加密投标文件。在投标文件递交截止时间以前完成投标文件的传输递交，截止时间后递交的投标文件，将被拒收。</w:t>
      </w:r>
    </w:p>
    <w:p w14:paraId="156FA036">
      <w:pPr>
        <w:shd w:val="clear" w:color="auto" w:fill="auto"/>
        <w:tabs>
          <w:tab w:val="left" w:pos="1418"/>
        </w:tabs>
        <w:autoSpaceDE w:val="0"/>
        <w:autoSpaceDN w:val="0"/>
        <w:adjustRightInd w:val="0"/>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（2）备份电子投标文件必须在投标截止时间前送达指定的投标地点。备份电子投标文件在截止时间后提交，采购组织机构将拒绝接收。</w:t>
      </w:r>
    </w:p>
    <w:p w14:paraId="22CC3FD7">
      <w:pPr>
        <w:shd w:val="clear" w:color="auto" w:fill="auto"/>
        <w:tabs>
          <w:tab w:val="left" w:pos="1418"/>
        </w:tabs>
        <w:autoSpaceDE w:val="0"/>
        <w:autoSpaceDN w:val="0"/>
        <w:adjustRightInd w:val="0"/>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（3）如有特殊情况，采购组织机构延长截止时间和开标时间，采购组织机构和供应商的权利和义务将受到新的截止时间和开标时间的约束。</w:t>
      </w:r>
    </w:p>
    <w:p w14:paraId="2A89372D">
      <w:pPr>
        <w:shd w:val="clear" w:color="auto" w:fill="auto"/>
        <w:snapToGrid w:val="0"/>
        <w:spacing w:line="360" w:lineRule="auto"/>
        <w:ind w:firstLine="640"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27、投标文件的补充、修改与撤回</w:t>
      </w:r>
    </w:p>
    <w:p w14:paraId="6027D7A8">
      <w:pPr>
        <w:shd w:val="clear" w:color="auto" w:fill="auto"/>
        <w:tabs>
          <w:tab w:val="left" w:pos="960"/>
          <w:tab w:val="left" w:pos="1418"/>
        </w:tabs>
        <w:autoSpaceDE w:val="0"/>
        <w:autoSpaceDN w:val="0"/>
        <w:adjustRightInd w:val="0"/>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p>
    <w:p w14:paraId="62EEDB43">
      <w:pPr>
        <w:keepNext w:val="0"/>
        <w:keepLines w:val="0"/>
        <w:pageBreakBefore w:val="0"/>
        <w:widowControl w:val="0"/>
        <w:shd w:val="clear" w:color="auto" w:fill="auto"/>
        <w:kinsoku/>
        <w:wordWrap/>
        <w:overflowPunct/>
        <w:topLinePunct w:val="0"/>
        <w:autoSpaceDE/>
        <w:autoSpaceDN/>
        <w:bidi w:val="0"/>
        <w:adjustRightInd/>
        <w:snapToGrid/>
        <w:spacing w:before="313" w:beforeLines="100" w:after="313" w:afterLines="100" w:line="440" w:lineRule="exact"/>
        <w:jc w:val="center"/>
        <w:textAlignment w:val="auto"/>
        <w:outlineLvl w:val="2"/>
        <w:rPr>
          <w:rFonts w:hint="eastAsia" w:ascii="仿宋" w:hAnsi="仿宋" w:eastAsia="仿宋" w:cs="仿宋"/>
          <w:color w:val="auto"/>
          <w:sz w:val="32"/>
          <w:szCs w:val="32"/>
          <w:highlight w:val="none"/>
        </w:rPr>
      </w:pPr>
      <w:bookmarkStart w:id="48" w:name="_Toc6096"/>
      <w:bookmarkStart w:id="49" w:name="_Toc3440"/>
      <w:bookmarkStart w:id="50" w:name="_Toc24317"/>
      <w:bookmarkStart w:id="51" w:name="_Toc4969"/>
      <w:bookmarkStart w:id="52" w:name="_Toc5231"/>
      <w:bookmarkStart w:id="53" w:name="_Toc469495728"/>
      <w:r>
        <w:rPr>
          <w:rFonts w:hint="eastAsia" w:ascii="仿宋" w:hAnsi="仿宋" w:eastAsia="仿宋" w:cs="仿宋"/>
          <w:color w:val="auto"/>
          <w:sz w:val="32"/>
          <w:szCs w:val="32"/>
          <w:highlight w:val="none"/>
        </w:rPr>
        <w:t>（五）开标、评标和定标</w:t>
      </w:r>
      <w:bookmarkEnd w:id="48"/>
      <w:bookmarkEnd w:id="49"/>
      <w:bookmarkEnd w:id="50"/>
      <w:bookmarkEnd w:id="51"/>
      <w:bookmarkEnd w:id="52"/>
      <w:bookmarkEnd w:id="53"/>
    </w:p>
    <w:p w14:paraId="591D690D">
      <w:pPr>
        <w:shd w:val="clear" w:color="auto" w:fill="auto"/>
        <w:snapToGrid w:val="0"/>
        <w:spacing w:line="360" w:lineRule="auto"/>
        <w:ind w:firstLine="640"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28、 开标</w:t>
      </w:r>
    </w:p>
    <w:p w14:paraId="7072ACC9">
      <w:pPr>
        <w:shd w:val="clear" w:color="auto" w:fill="auto"/>
        <w:snapToGrid w:val="0"/>
        <w:spacing w:line="360" w:lineRule="auto"/>
        <w:ind w:firstLine="640" w:firstLineChars="200"/>
        <w:rPr>
          <w:rFonts w:hint="eastAsia" w:ascii="仿宋" w:hAnsi="仿宋" w:eastAsia="仿宋" w:cs="仿宋"/>
          <w:b/>
          <w:bCs/>
          <w:color w:val="auto"/>
          <w:sz w:val="32"/>
          <w:szCs w:val="32"/>
          <w:highlight w:val="none"/>
          <w:lang w:val="en-US" w:eastAsia="zh-CN"/>
        </w:rPr>
      </w:pPr>
      <w:bookmarkStart w:id="54" w:name="_Toc73975822"/>
      <w:r>
        <w:rPr>
          <w:rFonts w:hint="eastAsia" w:ascii="仿宋" w:hAnsi="仿宋" w:eastAsia="仿宋" w:cs="仿宋"/>
          <w:b/>
          <w:bCs/>
          <w:color w:val="auto"/>
          <w:sz w:val="32"/>
          <w:szCs w:val="32"/>
          <w:highlight w:val="none"/>
          <w:lang w:val="en-US" w:eastAsia="zh-CN"/>
        </w:rPr>
        <w:t>28.1开标邀请</w:t>
      </w:r>
      <w:bookmarkEnd w:id="54"/>
    </w:p>
    <w:p w14:paraId="2569EFE9">
      <w:pPr>
        <w:pStyle w:val="12"/>
        <w:shd w:val="clear" w:color="auto" w:fill="auto"/>
        <w:snapToGrid w:val="0"/>
        <w:spacing w:line="360" w:lineRule="auto"/>
        <w:ind w:firstLine="640" w:firstLineChars="2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rPr>
        <w:t>开标准备：本项目开标的准备工作由采购组织机构负责落实，开标过程由采购组织机构负责记录；</w:t>
      </w:r>
    </w:p>
    <w:p w14:paraId="5427E05D">
      <w:pPr>
        <w:pStyle w:val="12"/>
        <w:shd w:val="clear" w:color="auto" w:fill="auto"/>
        <w:snapToGrid w:val="0"/>
        <w:spacing w:line="360" w:lineRule="auto"/>
        <w:ind w:firstLine="640" w:firstLineChars="200"/>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lang w:val="en-US" w:eastAsia="zh-CN"/>
        </w:rPr>
        <w:t>2）</w:t>
      </w:r>
      <w:r>
        <w:rPr>
          <w:rFonts w:hint="eastAsia" w:ascii="仿宋" w:hAnsi="仿宋" w:eastAsia="仿宋" w:cs="仿宋"/>
          <w:b w:val="0"/>
          <w:bCs/>
          <w:color w:val="auto"/>
          <w:sz w:val="32"/>
          <w:szCs w:val="32"/>
          <w:highlight w:val="none"/>
        </w:rPr>
        <w:t>开标主持：本项目开标由采购人或者采购代理机构主持；</w:t>
      </w:r>
    </w:p>
    <w:p w14:paraId="14B1DEC0">
      <w:pPr>
        <w:pStyle w:val="12"/>
        <w:shd w:val="clear" w:color="auto" w:fill="auto"/>
        <w:snapToGrid w:val="0"/>
        <w:spacing w:line="360" w:lineRule="auto"/>
        <w:ind w:firstLine="640" w:firstLineChars="200"/>
        <w:rPr>
          <w:rFonts w:hint="eastAsia" w:ascii="仿宋" w:hAnsi="仿宋" w:eastAsia="仿宋" w:cs="仿宋"/>
          <w:b w:val="0"/>
          <w:color w:val="auto"/>
          <w:sz w:val="32"/>
          <w:szCs w:val="32"/>
          <w:highlight w:val="none"/>
        </w:rPr>
      </w:pP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lang w:val="en-US" w:eastAsia="zh-CN"/>
        </w:rPr>
        <w:t>3</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开标邀请：本项目采用电子交易，采购组织机构将按照</w:t>
      </w:r>
      <w:r>
        <w:rPr>
          <w:rFonts w:hint="eastAsia" w:ascii="仿宋" w:hAnsi="仿宋" w:eastAsia="仿宋" w:cs="仿宋"/>
          <w:b w:val="0"/>
          <w:color w:val="auto"/>
          <w:sz w:val="32"/>
          <w:szCs w:val="32"/>
          <w:highlight w:val="none"/>
          <w:lang w:eastAsia="zh-CN"/>
        </w:rPr>
        <w:t>竞争性磋商文件</w:t>
      </w:r>
      <w:r>
        <w:rPr>
          <w:rFonts w:hint="eastAsia" w:ascii="仿宋" w:hAnsi="仿宋" w:eastAsia="仿宋" w:cs="仿宋"/>
          <w:b w:val="0"/>
          <w:color w:val="auto"/>
          <w:sz w:val="32"/>
          <w:szCs w:val="32"/>
          <w:highlight w:val="none"/>
        </w:rPr>
        <w:t>规定的时间通过“</w:t>
      </w:r>
      <w:r>
        <w:rPr>
          <w:rFonts w:hint="eastAsia" w:ascii="仿宋" w:hAnsi="仿宋" w:eastAsia="仿宋" w:cs="仿宋"/>
          <w:b w:val="0"/>
          <w:color w:val="auto"/>
          <w:sz w:val="32"/>
          <w:szCs w:val="32"/>
          <w:highlight w:val="none"/>
          <w:lang w:eastAsia="zh-CN"/>
        </w:rPr>
        <w:t>新疆</w:t>
      </w:r>
      <w:r>
        <w:rPr>
          <w:rFonts w:hint="eastAsia" w:ascii="仿宋" w:hAnsi="仿宋" w:eastAsia="仿宋" w:cs="仿宋"/>
          <w:b w:val="0"/>
          <w:color w:val="auto"/>
          <w:sz w:val="32"/>
          <w:szCs w:val="32"/>
          <w:highlight w:val="none"/>
        </w:rPr>
        <w:t>政府采购云平台，网址：</w:t>
      </w:r>
      <w:r>
        <w:rPr>
          <w:rFonts w:hint="eastAsia" w:ascii="仿宋" w:hAnsi="仿宋" w:eastAsia="仿宋" w:cs="仿宋"/>
          <w:b w:val="0"/>
          <w:color w:val="auto"/>
          <w:sz w:val="32"/>
          <w:szCs w:val="32"/>
          <w:highlight w:val="none"/>
        </w:rPr>
        <w:fldChar w:fldCharType="begin"/>
      </w:r>
      <w:r>
        <w:rPr>
          <w:rFonts w:hint="eastAsia" w:ascii="仿宋" w:hAnsi="仿宋" w:eastAsia="仿宋" w:cs="仿宋"/>
          <w:b w:val="0"/>
          <w:color w:val="auto"/>
          <w:sz w:val="32"/>
          <w:szCs w:val="32"/>
          <w:highlight w:val="none"/>
        </w:rPr>
        <w:instrText xml:space="preserve">HYPERLINK "http://www.zcygov.cn"</w:instrText>
      </w:r>
      <w:r>
        <w:rPr>
          <w:rFonts w:hint="eastAsia" w:ascii="仿宋" w:hAnsi="仿宋" w:eastAsia="仿宋" w:cs="仿宋"/>
          <w:b w:val="0"/>
          <w:color w:val="auto"/>
          <w:sz w:val="32"/>
          <w:szCs w:val="32"/>
          <w:highlight w:val="none"/>
        </w:rPr>
        <w:fldChar w:fldCharType="separate"/>
      </w:r>
      <w:r>
        <w:rPr>
          <w:rStyle w:val="31"/>
          <w:rFonts w:hint="eastAsia" w:ascii="仿宋" w:hAnsi="仿宋" w:eastAsia="仿宋" w:cs="仿宋"/>
          <w:b w:val="0"/>
          <w:color w:val="auto"/>
          <w:sz w:val="32"/>
          <w:szCs w:val="32"/>
          <w:highlight w:val="none"/>
          <w:u w:val="none"/>
        </w:rPr>
        <w:t>www.zcygov.cn</w:t>
      </w:r>
      <w:r>
        <w:rPr>
          <w:rFonts w:hint="eastAsia" w:ascii="仿宋" w:hAnsi="仿宋" w:eastAsia="仿宋" w:cs="仿宋"/>
          <w:color w:val="auto"/>
          <w:sz w:val="32"/>
          <w:szCs w:val="32"/>
          <w:highlight w:val="none"/>
        </w:rPr>
        <w:fldChar w:fldCharType="end"/>
      </w:r>
      <w:r>
        <w:rPr>
          <w:rFonts w:hint="eastAsia" w:ascii="仿宋" w:hAnsi="仿宋" w:eastAsia="仿宋" w:cs="仿宋"/>
          <w:b w:val="0"/>
          <w:color w:val="auto"/>
          <w:sz w:val="32"/>
          <w:szCs w:val="32"/>
          <w:highlight w:val="none"/>
        </w:rPr>
        <w:t>”组织开标、开启投标响应文件，所有供应商均应当准时在线参加。</w:t>
      </w:r>
    </w:p>
    <w:p w14:paraId="49A49B3A">
      <w:pPr>
        <w:pStyle w:val="12"/>
        <w:shd w:val="clear" w:color="auto" w:fill="auto"/>
        <w:snapToGrid w:val="0"/>
        <w:spacing w:line="360" w:lineRule="auto"/>
        <w:ind w:firstLine="640" w:firstLineChars="200"/>
        <w:rPr>
          <w:rFonts w:hint="eastAsia" w:ascii="仿宋" w:hAnsi="仿宋" w:eastAsia="仿宋" w:cs="仿宋"/>
          <w:b w:val="0"/>
          <w:color w:val="auto"/>
          <w:sz w:val="32"/>
          <w:szCs w:val="32"/>
          <w:highlight w:val="none"/>
        </w:rPr>
      </w:pP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lang w:val="en-US" w:eastAsia="zh-CN"/>
        </w:rPr>
        <w:t>4</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078CE772">
      <w:pPr>
        <w:shd w:val="clear" w:color="auto" w:fill="auto"/>
        <w:snapToGrid w:val="0"/>
        <w:spacing w:line="360" w:lineRule="auto"/>
        <w:ind w:firstLine="640" w:firstLineChars="200"/>
        <w:outlineLvl w:val="2"/>
        <w:rPr>
          <w:rFonts w:hint="eastAsia" w:ascii="仿宋" w:hAnsi="仿宋" w:eastAsia="仿宋" w:cs="仿宋"/>
          <w:b/>
          <w:color w:val="auto"/>
          <w:sz w:val="32"/>
          <w:szCs w:val="32"/>
          <w:highlight w:val="none"/>
        </w:rPr>
      </w:pPr>
      <w:bookmarkStart w:id="55" w:name="_Toc27562"/>
      <w:bookmarkStart w:id="56" w:name="_Toc19065"/>
      <w:bookmarkStart w:id="57" w:name="_Toc32017"/>
      <w:bookmarkStart w:id="58" w:name="_Toc21384"/>
      <w:bookmarkStart w:id="59" w:name="_Toc27602"/>
      <w:bookmarkStart w:id="60" w:name="_Toc7475"/>
      <w:bookmarkStart w:id="61" w:name="_Toc22653"/>
      <w:bookmarkStart w:id="62" w:name="_Toc73975823"/>
      <w:bookmarkStart w:id="63" w:name="_Toc29358"/>
      <w:bookmarkStart w:id="64" w:name="_Toc15428"/>
      <w:r>
        <w:rPr>
          <w:rFonts w:hint="eastAsia" w:ascii="仿宋" w:hAnsi="仿宋" w:eastAsia="仿宋" w:cs="仿宋"/>
          <w:b/>
          <w:color w:val="auto"/>
          <w:sz w:val="32"/>
          <w:szCs w:val="32"/>
          <w:highlight w:val="none"/>
          <w:lang w:val="en-US" w:eastAsia="zh-CN"/>
        </w:rPr>
        <w:t>28.2</w:t>
      </w:r>
      <w:r>
        <w:rPr>
          <w:rFonts w:hint="eastAsia" w:ascii="仿宋" w:hAnsi="仿宋" w:eastAsia="仿宋" w:cs="仿宋"/>
          <w:b/>
          <w:bCs/>
          <w:color w:val="auto"/>
          <w:sz w:val="32"/>
          <w:szCs w:val="32"/>
          <w:highlight w:val="none"/>
        </w:rPr>
        <w:t>开标程序（先资格、商务技术后报价）</w:t>
      </w:r>
      <w:bookmarkEnd w:id="55"/>
      <w:bookmarkEnd w:id="56"/>
      <w:bookmarkEnd w:id="57"/>
      <w:bookmarkEnd w:id="58"/>
      <w:bookmarkEnd w:id="59"/>
      <w:bookmarkEnd w:id="60"/>
      <w:bookmarkEnd w:id="61"/>
      <w:bookmarkEnd w:id="62"/>
      <w:bookmarkEnd w:id="63"/>
      <w:bookmarkEnd w:id="64"/>
    </w:p>
    <w:p w14:paraId="79FBC7F9">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开标时间到后，主持人宣布开标会议开始。</w:t>
      </w:r>
    </w:p>
    <w:p w14:paraId="4A10976F">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投标文件解密（</w:t>
      </w:r>
      <w:r>
        <w:rPr>
          <w:rFonts w:hint="eastAsia" w:ascii="仿宋" w:hAnsi="仿宋" w:eastAsia="仿宋" w:cs="仿宋"/>
          <w:b/>
          <w:color w:val="auto"/>
          <w:kern w:val="0"/>
          <w:sz w:val="32"/>
          <w:szCs w:val="32"/>
          <w:highlight w:val="none"/>
        </w:rPr>
        <w:t>解密规定见《供应商须知前附表》</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w:t>
      </w:r>
    </w:p>
    <w:p w14:paraId="73D962D2">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投标文件解密异常情况处理（</w:t>
      </w:r>
      <w:r>
        <w:rPr>
          <w:rFonts w:hint="eastAsia" w:ascii="仿宋" w:hAnsi="仿宋" w:eastAsia="仿宋" w:cs="仿宋"/>
          <w:b/>
          <w:color w:val="auto"/>
          <w:kern w:val="0"/>
          <w:sz w:val="32"/>
          <w:szCs w:val="32"/>
          <w:highlight w:val="none"/>
        </w:rPr>
        <w:t>处理办法见《供应商须知前附表》</w:t>
      </w:r>
      <w:r>
        <w:rPr>
          <w:rFonts w:hint="eastAsia" w:ascii="仿宋" w:hAnsi="仿宋" w:eastAsia="仿宋" w:cs="仿宋"/>
          <w:color w:val="auto"/>
          <w:kern w:val="0"/>
          <w:sz w:val="32"/>
          <w:szCs w:val="32"/>
          <w:highlight w:val="none"/>
        </w:rPr>
        <w:t>）</w:t>
      </w:r>
      <w:r>
        <w:rPr>
          <w:rFonts w:hint="eastAsia" w:ascii="仿宋" w:hAnsi="仿宋" w:eastAsia="仿宋" w:cs="仿宋"/>
          <w:color w:val="auto"/>
          <w:sz w:val="32"/>
          <w:szCs w:val="32"/>
          <w:highlight w:val="none"/>
        </w:rPr>
        <w:t>。</w:t>
      </w:r>
    </w:p>
    <w:p w14:paraId="65E465E8">
      <w:pPr>
        <w:shd w:val="clear" w:color="auto" w:fill="auto"/>
        <w:snapToGrid w:val="0"/>
        <w:spacing w:line="360" w:lineRule="auto"/>
        <w:ind w:firstLine="640" w:firstLineChars="200"/>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4</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公布投标文件解密情况（投标文件成功解密的供应商名单等信息）</w:t>
      </w:r>
      <w:r>
        <w:rPr>
          <w:rFonts w:hint="eastAsia" w:ascii="仿宋" w:hAnsi="仿宋" w:eastAsia="仿宋" w:cs="仿宋"/>
          <w:color w:val="auto"/>
          <w:kern w:val="0"/>
          <w:sz w:val="32"/>
          <w:szCs w:val="32"/>
          <w:highlight w:val="none"/>
          <w:lang w:eastAsia="zh-CN"/>
        </w:rPr>
        <w:t>。</w:t>
      </w:r>
    </w:p>
    <w:p w14:paraId="10E246DA">
      <w:pPr>
        <w:shd w:val="clear" w:color="auto" w:fill="auto"/>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5</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开启标书信息（资格</w:t>
      </w:r>
      <w:r>
        <w:rPr>
          <w:rFonts w:hint="eastAsia" w:ascii="仿宋" w:hAnsi="仿宋" w:eastAsia="仿宋" w:cs="仿宋"/>
          <w:color w:val="auto"/>
          <w:kern w:val="0"/>
          <w:sz w:val="32"/>
          <w:szCs w:val="32"/>
          <w:highlight w:val="none"/>
          <w:lang w:eastAsia="zh-CN"/>
        </w:rPr>
        <w:t>证明</w:t>
      </w:r>
      <w:r>
        <w:rPr>
          <w:rFonts w:hint="eastAsia" w:ascii="仿宋" w:hAnsi="仿宋" w:eastAsia="仿宋" w:cs="仿宋"/>
          <w:color w:val="auto"/>
          <w:kern w:val="0"/>
          <w:sz w:val="32"/>
          <w:szCs w:val="32"/>
          <w:highlight w:val="none"/>
        </w:rPr>
        <w:t>文件、商务技术文件）。标书信息开启后，首先由采购人或采购代理机构</w:t>
      </w:r>
      <w:r>
        <w:rPr>
          <w:rFonts w:hint="eastAsia" w:ascii="仿宋" w:hAnsi="仿宋" w:eastAsia="仿宋" w:cs="仿宋"/>
          <w:color w:val="auto"/>
          <w:kern w:val="0"/>
          <w:sz w:val="32"/>
          <w:szCs w:val="32"/>
          <w:highlight w:val="none"/>
          <w:lang w:eastAsia="zh-CN"/>
        </w:rPr>
        <w:t>或评审小组</w:t>
      </w:r>
      <w:r>
        <w:rPr>
          <w:rFonts w:hint="eastAsia" w:ascii="仿宋" w:hAnsi="仿宋" w:eastAsia="仿宋" w:cs="仿宋"/>
          <w:color w:val="auto"/>
          <w:kern w:val="0"/>
          <w:sz w:val="32"/>
          <w:szCs w:val="32"/>
          <w:highlight w:val="none"/>
        </w:rPr>
        <w:t>依法对投标供应商的资格</w:t>
      </w:r>
      <w:r>
        <w:rPr>
          <w:rFonts w:hint="eastAsia" w:ascii="仿宋" w:hAnsi="仿宋" w:eastAsia="仿宋" w:cs="仿宋"/>
          <w:color w:val="auto"/>
          <w:kern w:val="0"/>
          <w:sz w:val="32"/>
          <w:szCs w:val="32"/>
          <w:highlight w:val="none"/>
          <w:lang w:eastAsia="zh-CN"/>
        </w:rPr>
        <w:t>证明</w:t>
      </w:r>
      <w:r>
        <w:rPr>
          <w:rFonts w:hint="eastAsia" w:ascii="仿宋" w:hAnsi="仿宋" w:eastAsia="仿宋" w:cs="仿宋"/>
          <w:color w:val="auto"/>
          <w:kern w:val="0"/>
          <w:sz w:val="32"/>
          <w:szCs w:val="32"/>
          <w:highlight w:val="none"/>
        </w:rPr>
        <w:t>文件进行审查， 审查结束公布投标供应商的资格符合情况。资格审查未获通过的供应商，其商务技术文件及报价文件不再进入评审。</w:t>
      </w:r>
    </w:p>
    <w:p w14:paraId="4E82E270">
      <w:pPr>
        <w:shd w:val="clear" w:color="auto" w:fill="auto"/>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商务技术评审结束后，主持人公布商务技术评审无效投标供应商名单和商务技术评审有效投标供应商名单及其商务技术得分情况</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rPr>
        <w:t>商务技术评审无效的供应商，其报价不再进入评审。</w:t>
      </w:r>
    </w:p>
    <w:p w14:paraId="5E0E56B9">
      <w:pPr>
        <w:shd w:val="clear" w:color="auto" w:fill="auto"/>
        <w:snapToGrid w:val="0"/>
        <w:spacing w:line="360" w:lineRule="auto"/>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lang w:val="en-US" w:eastAsia="zh-CN"/>
        </w:rPr>
        <w:t>7</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开启有效投标供应商的报价，公布开标一览表有关内容，</w:t>
      </w:r>
      <w:r>
        <w:rPr>
          <w:rFonts w:hint="eastAsia" w:ascii="仿宋" w:hAnsi="仿宋" w:eastAsia="仿宋" w:cs="仿宋"/>
          <w:color w:val="auto"/>
          <w:sz w:val="32"/>
          <w:szCs w:val="32"/>
          <w:highlight w:val="none"/>
          <w:lang w:bidi="zh-CN"/>
        </w:rPr>
        <w:t>并【开启签字时段】，供应商对开标纪录进行在线签字确认（不予确认的应说明理由，否则视为无异议）</w:t>
      </w:r>
      <w:r>
        <w:rPr>
          <w:rFonts w:hint="eastAsia" w:ascii="仿宋" w:hAnsi="仿宋" w:eastAsia="仿宋" w:cs="仿宋"/>
          <w:color w:val="auto"/>
          <w:kern w:val="0"/>
          <w:sz w:val="32"/>
          <w:szCs w:val="32"/>
          <w:highlight w:val="none"/>
        </w:rPr>
        <w:t>。开标结束后，由评标委员会对报价的合理性、准确性等进行审查核实</w:t>
      </w:r>
      <w:r>
        <w:rPr>
          <w:rFonts w:hint="eastAsia" w:ascii="仿宋" w:hAnsi="仿宋" w:eastAsia="仿宋" w:cs="仿宋"/>
          <w:color w:val="auto"/>
          <w:sz w:val="32"/>
          <w:szCs w:val="32"/>
          <w:highlight w:val="none"/>
        </w:rPr>
        <w:t>。</w:t>
      </w:r>
    </w:p>
    <w:p w14:paraId="43770F48">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highlight w:val="none"/>
        </w:rPr>
        <w:t>评审结束后，采购代理机构在系统上公布评审结果。</w:t>
      </w:r>
    </w:p>
    <w:p w14:paraId="197C31BB">
      <w:pPr>
        <w:shd w:val="clear" w:color="auto" w:fill="auto"/>
        <w:snapToGrid w:val="0"/>
        <w:spacing w:line="360" w:lineRule="auto"/>
        <w:ind w:left="48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特别情况说明：</w:t>
      </w:r>
    </w:p>
    <w:p w14:paraId="4464811C">
      <w:pPr>
        <w:shd w:val="clear" w:color="auto" w:fill="auto"/>
        <w:snapToGrid w:val="0"/>
        <w:spacing w:line="360" w:lineRule="auto"/>
        <w:ind w:firstLine="566" w:firstLineChars="177"/>
        <w:jc w:val="left"/>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（1）本项目采用电子交易，如遇“</w:t>
      </w:r>
      <w:r>
        <w:rPr>
          <w:rFonts w:hint="eastAsia" w:ascii="仿宋" w:hAnsi="仿宋" w:eastAsia="仿宋" w:cs="仿宋"/>
          <w:b/>
          <w:color w:val="auto"/>
          <w:kern w:val="0"/>
          <w:sz w:val="32"/>
          <w:szCs w:val="32"/>
          <w:highlight w:val="none"/>
          <w:lang w:eastAsia="zh-CN"/>
        </w:rPr>
        <w:t>新疆</w:t>
      </w:r>
      <w:r>
        <w:rPr>
          <w:rFonts w:hint="eastAsia" w:ascii="仿宋" w:hAnsi="仿宋" w:eastAsia="仿宋" w:cs="仿宋"/>
          <w:b/>
          <w:color w:val="auto"/>
          <w:kern w:val="0"/>
          <w:sz w:val="32"/>
          <w:szCs w:val="32"/>
          <w:highlight w:val="none"/>
        </w:rPr>
        <w:t>政府采购云平台”电子化开标或评审程序调整的，按调整后程序执行。</w:t>
      </w:r>
    </w:p>
    <w:p w14:paraId="5224C24C">
      <w:pPr>
        <w:shd w:val="clear" w:color="auto" w:fill="auto"/>
        <w:snapToGrid w:val="0"/>
        <w:spacing w:line="360" w:lineRule="auto"/>
        <w:ind w:firstLine="566" w:firstLineChars="177"/>
        <w:jc w:val="left"/>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仿宋" w:hAnsi="仿宋" w:eastAsia="仿宋" w:cs="仿宋"/>
          <w:b/>
          <w:color w:val="auto"/>
          <w:kern w:val="0"/>
          <w:sz w:val="32"/>
          <w:szCs w:val="32"/>
          <w:highlight w:val="none"/>
          <w:u w:val="single"/>
        </w:rPr>
        <w:t>请供应商保证办理投标事宜人员电话畅通、网络在线，签字或盖章确认的时间为</w:t>
      </w:r>
      <w:r>
        <w:rPr>
          <w:rFonts w:hint="eastAsia" w:ascii="仿宋" w:hAnsi="仿宋" w:eastAsia="仿宋" w:cs="仿宋"/>
          <w:b/>
          <w:color w:val="auto"/>
          <w:kern w:val="0"/>
          <w:sz w:val="32"/>
          <w:szCs w:val="32"/>
          <w:highlight w:val="none"/>
          <w:u w:val="single"/>
          <w:lang w:eastAsia="zh-CN"/>
        </w:rPr>
        <w:t>30分钟</w:t>
      </w:r>
      <w:r>
        <w:rPr>
          <w:rFonts w:hint="eastAsia" w:ascii="仿宋" w:hAnsi="仿宋" w:eastAsia="仿宋" w:cs="仿宋"/>
          <w:b/>
          <w:color w:val="auto"/>
          <w:kern w:val="0"/>
          <w:sz w:val="32"/>
          <w:szCs w:val="32"/>
          <w:highlight w:val="none"/>
          <w:u w:val="single"/>
        </w:rPr>
        <w:t>。如未及时签字或盖章确认的，视为无异议</w:t>
      </w:r>
      <w:r>
        <w:rPr>
          <w:rFonts w:hint="eastAsia" w:ascii="仿宋" w:hAnsi="仿宋" w:eastAsia="仿宋" w:cs="仿宋"/>
          <w:b/>
          <w:color w:val="auto"/>
          <w:kern w:val="0"/>
          <w:sz w:val="32"/>
          <w:szCs w:val="32"/>
          <w:highlight w:val="none"/>
        </w:rPr>
        <w:t>。</w:t>
      </w:r>
    </w:p>
    <w:p w14:paraId="6F1A3CE5">
      <w:pPr>
        <w:shd w:val="clear" w:color="auto" w:fill="auto"/>
        <w:snapToGrid w:val="0"/>
        <w:spacing w:line="360" w:lineRule="auto"/>
        <w:ind w:firstLine="640" w:firstLineChars="20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lang w:val="en-US" w:eastAsia="zh-CN"/>
        </w:rPr>
        <w:t>28.3</w:t>
      </w:r>
      <w:r>
        <w:rPr>
          <w:rFonts w:hint="eastAsia" w:ascii="仿宋" w:hAnsi="仿宋" w:eastAsia="仿宋" w:cs="仿宋"/>
          <w:b/>
          <w:color w:val="auto"/>
          <w:kern w:val="0"/>
          <w:sz w:val="32"/>
          <w:szCs w:val="32"/>
          <w:highlight w:val="none"/>
        </w:rPr>
        <w:t xml:space="preserve"> 投标供应商资格审查：</w:t>
      </w:r>
    </w:p>
    <w:p w14:paraId="1CF14B5A">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r>
        <w:rPr>
          <w:rFonts w:hint="eastAsia" w:ascii="仿宋" w:hAnsi="仿宋" w:eastAsia="仿宋" w:cs="仿宋"/>
          <w:bCs/>
          <w:color w:val="auto"/>
          <w:kern w:val="0"/>
          <w:sz w:val="32"/>
          <w:szCs w:val="32"/>
          <w:highlight w:val="none"/>
        </w:rPr>
        <w:t>开标（标书信息开启）后，采购人或采购代理机构</w:t>
      </w:r>
      <w:r>
        <w:rPr>
          <w:rFonts w:hint="eastAsia" w:ascii="仿宋" w:hAnsi="仿宋" w:eastAsia="仿宋" w:cs="仿宋"/>
          <w:bCs/>
          <w:color w:val="auto"/>
          <w:kern w:val="0"/>
          <w:sz w:val="32"/>
          <w:szCs w:val="32"/>
          <w:highlight w:val="none"/>
          <w:lang w:eastAsia="zh-CN"/>
        </w:rPr>
        <w:t>或</w:t>
      </w:r>
      <w:r>
        <w:rPr>
          <w:rFonts w:hint="eastAsia" w:ascii="仿宋" w:hAnsi="仿宋" w:eastAsia="仿宋" w:cs="仿宋"/>
          <w:color w:val="auto"/>
          <w:kern w:val="0"/>
          <w:sz w:val="32"/>
          <w:szCs w:val="32"/>
          <w:highlight w:val="none"/>
          <w:lang w:eastAsia="zh-CN"/>
        </w:rPr>
        <w:t>评审小组</w:t>
      </w:r>
      <w:r>
        <w:rPr>
          <w:rFonts w:hint="eastAsia" w:ascii="仿宋" w:hAnsi="仿宋" w:eastAsia="仿宋" w:cs="仿宋"/>
          <w:bCs/>
          <w:color w:val="auto"/>
          <w:kern w:val="0"/>
          <w:sz w:val="32"/>
          <w:szCs w:val="32"/>
          <w:highlight w:val="none"/>
        </w:rPr>
        <w:t>首先依法对投标供应商的资格文件进行审查，审查各投标供应商的资格符合情况。</w:t>
      </w:r>
      <w:r>
        <w:rPr>
          <w:rFonts w:hint="eastAsia" w:ascii="仿宋" w:hAnsi="仿宋" w:eastAsia="仿宋" w:cs="仿宋"/>
          <w:color w:val="auto"/>
          <w:sz w:val="32"/>
          <w:szCs w:val="32"/>
          <w:highlight w:val="none"/>
        </w:rPr>
        <w:t>采购人或采购代理机构</w:t>
      </w:r>
      <w:r>
        <w:rPr>
          <w:rFonts w:hint="eastAsia" w:ascii="仿宋" w:hAnsi="仿宋" w:eastAsia="仿宋" w:cs="仿宋"/>
          <w:bCs/>
          <w:color w:val="auto"/>
          <w:kern w:val="0"/>
          <w:sz w:val="32"/>
          <w:szCs w:val="32"/>
          <w:highlight w:val="none"/>
          <w:lang w:eastAsia="zh-CN"/>
        </w:rPr>
        <w:t>或</w:t>
      </w:r>
      <w:r>
        <w:rPr>
          <w:rFonts w:hint="eastAsia" w:ascii="仿宋" w:hAnsi="仿宋" w:eastAsia="仿宋" w:cs="仿宋"/>
          <w:color w:val="auto"/>
          <w:kern w:val="0"/>
          <w:sz w:val="32"/>
          <w:szCs w:val="32"/>
          <w:highlight w:val="none"/>
          <w:lang w:eastAsia="zh-CN"/>
        </w:rPr>
        <w:t>评审小组</w:t>
      </w:r>
      <w:r>
        <w:rPr>
          <w:rFonts w:hint="eastAsia" w:ascii="仿宋" w:hAnsi="仿宋" w:eastAsia="仿宋" w:cs="仿宋"/>
          <w:color w:val="auto"/>
          <w:sz w:val="32"/>
          <w:szCs w:val="32"/>
          <w:highlight w:val="none"/>
        </w:rPr>
        <w:t>对投标供应商所提交的资格证明材料仅负审核的责任。如发现投标供应商所提交的资格证明材料不合法或与事实不符，采购人可取消其中标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资格并追究投标供应商的法律责任。</w:t>
      </w:r>
    </w:p>
    <w:p w14:paraId="7A3F9EF2">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b w:val="0"/>
          <w:bCs/>
          <w:color w:val="auto"/>
          <w:sz w:val="32"/>
          <w:szCs w:val="32"/>
          <w:highlight w:val="none"/>
        </w:rPr>
        <w:t>（2</w:t>
      </w:r>
      <w:r>
        <w:rPr>
          <w:rFonts w:hint="eastAsia" w:ascii="仿宋" w:hAnsi="仿宋" w:eastAsia="仿宋" w:cs="仿宋"/>
          <w:color w:val="auto"/>
          <w:sz w:val="32"/>
          <w:szCs w:val="32"/>
          <w:highlight w:val="none"/>
        </w:rPr>
        <w:t>）投标供应商提交的资格证明材料无法证明其符合</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规定的“投标供应商资格要求”的，采购人或采购代理机构将对其作“资格审查不合格”处理（无效投标），并不再将其投标提交评标委员会进行后续评审。</w:t>
      </w:r>
    </w:p>
    <w:p w14:paraId="00D03E61">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（3）供应商信用记录查询与使用：见《供应商须知前附表》。</w:t>
      </w:r>
    </w:p>
    <w:p w14:paraId="1B08F10E">
      <w:pPr>
        <w:shd w:val="clear" w:color="auto" w:fill="auto"/>
        <w:snapToGrid w:val="0"/>
        <w:spacing w:line="360" w:lineRule="auto"/>
        <w:ind w:firstLine="640"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29、</w:t>
      </w:r>
      <w:r>
        <w:rPr>
          <w:rFonts w:hint="eastAsia" w:ascii="仿宋" w:hAnsi="仿宋" w:eastAsia="仿宋" w:cs="仿宋"/>
          <w:b/>
          <w:bCs/>
          <w:color w:val="auto"/>
          <w:sz w:val="32"/>
          <w:szCs w:val="32"/>
          <w:highlight w:val="none"/>
        </w:rPr>
        <w:t>评审工作的组织</w:t>
      </w:r>
    </w:p>
    <w:p w14:paraId="16BBAF74">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采购人或采购代理机构负责组织本项目的评审工作，并依据《政府采购货物和服务招标投标管理办法（财政部第87号令）》第四十五条的相关规定履行职责。</w:t>
      </w:r>
    </w:p>
    <w:p w14:paraId="4187C5DA">
      <w:pPr>
        <w:shd w:val="clear" w:color="auto" w:fill="auto"/>
        <w:snapToGrid w:val="0"/>
        <w:spacing w:line="360" w:lineRule="auto"/>
        <w:ind w:firstLine="640"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30、</w:t>
      </w:r>
      <w:r>
        <w:rPr>
          <w:rFonts w:hint="eastAsia" w:ascii="仿宋" w:hAnsi="仿宋" w:eastAsia="仿宋" w:cs="仿宋"/>
          <w:b/>
          <w:bCs/>
          <w:color w:val="auto"/>
          <w:sz w:val="32"/>
          <w:szCs w:val="32"/>
          <w:highlight w:val="none"/>
        </w:rPr>
        <w:t>评标委员会的组建</w:t>
      </w:r>
    </w:p>
    <w:p w14:paraId="4582E494">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.1评标委员会由采购人或采购代理机构依法组建，成员由采购人代表和评审专家组成，成员人数为</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人单数，其中评审专家不少于成员总数的三分之二。</w:t>
      </w:r>
    </w:p>
    <w:p w14:paraId="1D08B4E0">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30</w:t>
      </w:r>
      <w:r>
        <w:rPr>
          <w:rFonts w:hint="eastAsia" w:ascii="仿宋" w:hAnsi="仿宋" w:eastAsia="仿宋" w:cs="仿宋"/>
          <w:color w:val="auto"/>
          <w:sz w:val="32"/>
          <w:szCs w:val="32"/>
          <w:highlight w:val="none"/>
        </w:rPr>
        <w:t>.2评审专家从</w:t>
      </w:r>
      <w:r>
        <w:rPr>
          <w:rFonts w:hint="eastAsia" w:ascii="仿宋" w:hAnsi="仿宋" w:eastAsia="仿宋" w:cs="仿宋"/>
          <w:color w:val="auto"/>
          <w:sz w:val="32"/>
          <w:szCs w:val="32"/>
          <w:highlight w:val="none"/>
          <w:lang w:eastAsia="zh-CN"/>
        </w:rPr>
        <w:t>新疆</w:t>
      </w:r>
      <w:r>
        <w:rPr>
          <w:rFonts w:hint="eastAsia" w:ascii="仿宋" w:hAnsi="仿宋" w:eastAsia="仿宋" w:cs="仿宋"/>
          <w:color w:val="auto"/>
          <w:sz w:val="32"/>
          <w:szCs w:val="32"/>
          <w:highlight w:val="none"/>
        </w:rPr>
        <w:t>政府采购云平台专家库中通过随机方式抽取产生。评标委员会成员名单在采购结果公告前保密。</w:t>
      </w:r>
    </w:p>
    <w:p w14:paraId="326EE158">
      <w:pPr>
        <w:shd w:val="clear" w:color="auto" w:fill="auto"/>
        <w:snapToGrid w:val="0"/>
        <w:spacing w:line="360" w:lineRule="auto"/>
        <w:ind w:firstLine="640"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31、</w:t>
      </w:r>
      <w:r>
        <w:rPr>
          <w:rFonts w:hint="eastAsia" w:ascii="仿宋" w:hAnsi="仿宋" w:eastAsia="仿宋" w:cs="仿宋"/>
          <w:b/>
          <w:bCs/>
          <w:color w:val="auto"/>
          <w:sz w:val="32"/>
          <w:szCs w:val="32"/>
          <w:highlight w:val="none"/>
        </w:rPr>
        <w:t>评标委员会的职责</w:t>
      </w:r>
    </w:p>
    <w:p w14:paraId="3D685C7E">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.1审查、评价投标文件是否符合</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的商务、技术等实质性要求。</w:t>
      </w:r>
    </w:p>
    <w:p w14:paraId="6F556CDC">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.2要求供应商对投标文件有关事项作出澄清或者说明。</w:t>
      </w:r>
    </w:p>
    <w:p w14:paraId="137DBC9B">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.3对投标文件进行比较和评价。</w:t>
      </w:r>
    </w:p>
    <w:p w14:paraId="4334D6E6">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.4确定中标候选人名单，以及根据采购人委托直接确定中标人。</w:t>
      </w:r>
    </w:p>
    <w:p w14:paraId="3DBDD12B">
      <w:pPr>
        <w:shd w:val="clear" w:color="auto" w:fill="auto"/>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31</w:t>
      </w:r>
      <w:r>
        <w:rPr>
          <w:rFonts w:hint="eastAsia" w:ascii="仿宋" w:hAnsi="仿宋" w:eastAsia="仿宋" w:cs="仿宋"/>
          <w:color w:val="auto"/>
          <w:sz w:val="32"/>
          <w:szCs w:val="32"/>
          <w:highlight w:val="none"/>
        </w:rPr>
        <w:t>.5向采购人、采购代理机构或者有关部门报告评审中发现的违法行为。</w:t>
      </w:r>
    </w:p>
    <w:p w14:paraId="289BD55C">
      <w:pPr>
        <w:keepNext w:val="0"/>
        <w:keepLines w:val="0"/>
        <w:pageBreakBefore w:val="0"/>
        <w:widowControl/>
        <w:shd w:val="clear" w:color="auto" w:fill="auto"/>
        <w:kinsoku/>
        <w:wordWrap/>
        <w:overflowPunct/>
        <w:topLinePunct w:val="0"/>
        <w:autoSpaceDE/>
        <w:autoSpaceDN/>
        <w:bidi w:val="0"/>
        <w:spacing w:line="360" w:lineRule="auto"/>
        <w:ind w:firstLine="320" w:firstLineChars="1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32、</w:t>
      </w:r>
      <w:r>
        <w:rPr>
          <w:rFonts w:hint="eastAsia" w:ascii="仿宋" w:hAnsi="仿宋" w:eastAsia="仿宋" w:cs="仿宋"/>
          <w:b/>
          <w:bCs/>
          <w:color w:val="auto"/>
          <w:sz w:val="32"/>
          <w:szCs w:val="32"/>
          <w:highlight w:val="none"/>
        </w:rPr>
        <w:t>评标原则</w:t>
      </w:r>
    </w:p>
    <w:p w14:paraId="7C85C40C">
      <w:pPr>
        <w:keepNext w:val="0"/>
        <w:keepLines w:val="0"/>
        <w:pageBreakBefore w:val="0"/>
        <w:widowControl/>
        <w:shd w:val="clear" w:color="auto" w:fill="auto"/>
        <w:kinsoku/>
        <w:wordWrap/>
        <w:overflowPunct/>
        <w:topLinePunct w:val="0"/>
        <w:autoSpaceDE/>
        <w:autoSpaceDN/>
        <w:bidi w:val="0"/>
        <w:spacing w:line="360" w:lineRule="auto"/>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.1评标委员会将遵循公平、公正、科学的原则，对供应商提交的投标文件进行综合评审，评标委员会按照</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规定的评标细则进行评分。</w:t>
      </w:r>
    </w:p>
    <w:p w14:paraId="19619E41">
      <w:pPr>
        <w:keepNext w:val="0"/>
        <w:keepLines w:val="0"/>
        <w:pageBreakBefore w:val="0"/>
        <w:widowControl/>
        <w:shd w:val="clear" w:color="auto" w:fill="auto"/>
        <w:kinsoku/>
        <w:wordWrap/>
        <w:overflowPunct/>
        <w:topLinePunct w:val="0"/>
        <w:autoSpaceDE/>
        <w:autoSpaceDN/>
        <w:bidi w:val="0"/>
        <w:spacing w:line="360" w:lineRule="auto"/>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 xml:space="preserve">.2客观公正对待所有供应商，对所有投标评价均采用相同的程序和标准。 </w:t>
      </w:r>
    </w:p>
    <w:p w14:paraId="08B7BBA3">
      <w:pPr>
        <w:keepNext w:val="0"/>
        <w:keepLines w:val="0"/>
        <w:pageBreakBefore w:val="0"/>
        <w:widowControl/>
        <w:shd w:val="clear" w:color="auto" w:fill="auto"/>
        <w:kinsoku/>
        <w:wordWrap/>
        <w:overflowPunct/>
        <w:topLinePunct w:val="0"/>
        <w:autoSpaceDE/>
        <w:autoSpaceDN/>
        <w:bidi w:val="0"/>
        <w:spacing w:line="360" w:lineRule="auto"/>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.3评标委员会成员对需要共同认定的事项存在争议的，按照少数服从多数的原则作出结论。持不同意见的评标委员会成员应当在评审报告上签署不同意见及理由，否则视为同意评审报告。</w:t>
      </w:r>
    </w:p>
    <w:p w14:paraId="2AF2166F">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32</w:t>
      </w:r>
      <w:r>
        <w:rPr>
          <w:rFonts w:hint="eastAsia" w:ascii="仿宋" w:hAnsi="仿宋" w:eastAsia="仿宋" w:cs="仿宋"/>
          <w:color w:val="auto"/>
          <w:sz w:val="32"/>
          <w:szCs w:val="32"/>
          <w:highlight w:val="none"/>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人推荐资格；评审得分相同的，由采购人或者采购人委托评标委员会按照</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规定的方式确定一个供应商获得中标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人推荐资格，</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未规定的采取随机抽取方式确定，其他同品牌供应商不作为中标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候选人。</w:t>
      </w:r>
    </w:p>
    <w:p w14:paraId="20F654C7">
      <w:pPr>
        <w:widowControl/>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非单一产品采购项目，采购人应当根据采购项目技术构成、产品价格比重等合理确定核心产品，并在</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 xml:space="preserve">中载明。多家供应商提供的核心产品品牌相同的，按前款规定处理。      </w:t>
      </w:r>
    </w:p>
    <w:p w14:paraId="7164C74E">
      <w:pPr>
        <w:widowControl/>
        <w:shd w:val="clear" w:color="auto" w:fill="auto"/>
        <w:spacing w:line="440" w:lineRule="exact"/>
        <w:ind w:firstLine="320" w:firstLineChars="1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33、</w:t>
      </w:r>
      <w:r>
        <w:rPr>
          <w:rFonts w:hint="eastAsia" w:ascii="仿宋" w:hAnsi="仿宋" w:eastAsia="仿宋" w:cs="仿宋"/>
          <w:b/>
          <w:bCs/>
          <w:color w:val="auto"/>
          <w:sz w:val="32"/>
          <w:szCs w:val="32"/>
          <w:highlight w:val="none"/>
        </w:rPr>
        <w:t>评委纪律</w:t>
      </w:r>
    </w:p>
    <w:p w14:paraId="2D8C267F">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评标委员会成员必须严格遵守保密规定，不得泄露评审的有关情况，任何单位和个人不得干扰、影响评标的正常进行，评标委员会成员不得私下与投标供应商接触，不得出现</w:t>
      </w:r>
      <w:r>
        <w:rPr>
          <w:rFonts w:hint="eastAsia" w:ascii="仿宋" w:hAnsi="仿宋" w:eastAsia="仿宋" w:cs="仿宋"/>
          <w:color w:val="auto"/>
          <w:sz w:val="32"/>
          <w:szCs w:val="32"/>
          <w:highlight w:val="none"/>
          <w:lang w:val="en-US" w:eastAsia="zh-CN"/>
        </w:rPr>
        <w:t>新疆</w:t>
      </w:r>
      <w:r>
        <w:rPr>
          <w:rFonts w:hint="eastAsia" w:ascii="仿宋" w:hAnsi="仿宋" w:eastAsia="仿宋" w:cs="仿宋"/>
          <w:color w:val="auto"/>
          <w:sz w:val="32"/>
          <w:szCs w:val="32"/>
          <w:highlight w:val="none"/>
        </w:rPr>
        <w:t>政府采购活动现场组织管理办法中规定的其他禁止行为。</w:t>
      </w:r>
    </w:p>
    <w:p w14:paraId="4DE54D2F">
      <w:pPr>
        <w:widowControl/>
        <w:shd w:val="clear" w:color="auto" w:fill="auto"/>
        <w:spacing w:line="440" w:lineRule="exact"/>
        <w:ind w:firstLine="320" w:firstLineChars="1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34、</w:t>
      </w:r>
      <w:r>
        <w:rPr>
          <w:rFonts w:hint="eastAsia" w:ascii="仿宋" w:hAnsi="仿宋" w:eastAsia="仿宋" w:cs="仿宋"/>
          <w:b/>
          <w:bCs/>
          <w:color w:val="auto"/>
          <w:sz w:val="32"/>
          <w:szCs w:val="32"/>
          <w:highlight w:val="none"/>
        </w:rPr>
        <w:t>评标程序</w:t>
      </w:r>
    </w:p>
    <w:p w14:paraId="1835C50F">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1 在评审专家中推选评标委员会组长，采购人代表不得担任评标委员会组长。</w:t>
      </w:r>
    </w:p>
    <w:p w14:paraId="5B3F658B">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2 评标委员会组长召集成员认真阅读</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以及相关补充、质疑、答复文件、项目书面说明等材料，熟悉采购项目的基本概况，采购项目的质量要求、数量、主要技术标准或服务需求，采购合同主要条款，投标文件无效情形，评审方法、评审依据、评审标准等。</w:t>
      </w:r>
    </w:p>
    <w:p w14:paraId="17018DCA">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3 评审人员对符合资格的供应商的投标文件的有效性、符合性、完整性和响应程度进行审查，确定是否对</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作出实质性响应。</w:t>
      </w:r>
    </w:p>
    <w:p w14:paraId="40371BA4">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4 评审人员按</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规定的评审方法和评审标准，依法独立对供应商投标文件进行评估、比较，并给予评价或打分，不受任何单位和个人的干预。</w:t>
      </w:r>
    </w:p>
    <w:p w14:paraId="5C913CF7">
      <w:pPr>
        <w:widowControl/>
        <w:shd w:val="clear" w:color="auto" w:fill="auto"/>
        <w:spacing w:line="440" w:lineRule="exact"/>
        <w:ind w:firstLine="48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综合评分法</w:t>
      </w:r>
      <w:r>
        <w:rPr>
          <w:rFonts w:hint="eastAsia" w:ascii="仿宋" w:hAnsi="仿宋" w:eastAsia="仿宋" w:cs="仿宋"/>
          <w:color w:val="auto"/>
          <w:kern w:val="0"/>
          <w:sz w:val="32"/>
          <w:szCs w:val="32"/>
          <w:highlight w:val="none"/>
          <w:lang w:val="en-US" w:eastAsia="zh-CN"/>
        </w:rPr>
        <w:t>服务</w:t>
      </w:r>
      <w:r>
        <w:rPr>
          <w:rFonts w:hint="eastAsia" w:ascii="仿宋" w:hAnsi="仿宋" w:eastAsia="仿宋" w:cs="仿宋"/>
          <w:color w:val="auto"/>
          <w:kern w:val="0"/>
          <w:sz w:val="32"/>
          <w:szCs w:val="32"/>
          <w:highlight w:val="none"/>
        </w:rPr>
        <w:t>项目的价格分值占总分值的比重(即权值)为</w:t>
      </w:r>
      <w:r>
        <w:rPr>
          <w:rFonts w:hint="eastAsia" w:ascii="仿宋" w:hAnsi="仿宋" w:eastAsia="仿宋" w:cs="仿宋"/>
          <w:color w:val="auto"/>
          <w:kern w:val="0"/>
          <w:sz w:val="32"/>
          <w:szCs w:val="32"/>
          <w:highlight w:val="none"/>
          <w:lang w:val="en-US" w:eastAsia="zh-CN"/>
        </w:rPr>
        <w:t>10</w:t>
      </w:r>
      <w:r>
        <w:rPr>
          <w:rFonts w:hint="eastAsia" w:ascii="仿宋" w:hAnsi="仿宋" w:eastAsia="仿宋" w:cs="仿宋"/>
          <w:color w:val="auto"/>
          <w:kern w:val="0"/>
          <w:sz w:val="32"/>
          <w:szCs w:val="32"/>
          <w:highlight w:val="none"/>
        </w:rPr>
        <w:t>％，采购项目中含不同采购对象的，以占项目资金比例最高的采购对象确定其项目属性。其价格不列为评分因素，有特殊情况需要在上述规定范围外设定价格分权重的。</w:t>
      </w:r>
    </w:p>
    <w:p w14:paraId="52998C70">
      <w:pPr>
        <w:widowControl/>
        <w:shd w:val="clear" w:color="auto" w:fill="auto"/>
        <w:spacing w:line="440" w:lineRule="exact"/>
        <w:ind w:firstLine="48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综合评分法中的价格分统一采用低价优先法计算，即满足</w:t>
      </w:r>
      <w:r>
        <w:rPr>
          <w:rFonts w:hint="eastAsia" w:ascii="仿宋" w:hAnsi="仿宋" w:eastAsia="仿宋" w:cs="仿宋"/>
          <w:color w:val="auto"/>
          <w:kern w:val="0"/>
          <w:sz w:val="32"/>
          <w:szCs w:val="32"/>
          <w:highlight w:val="none"/>
          <w:lang w:eastAsia="zh-CN"/>
        </w:rPr>
        <w:t>磋商文件</w:t>
      </w:r>
      <w:r>
        <w:rPr>
          <w:rFonts w:hint="eastAsia" w:ascii="仿宋" w:hAnsi="仿宋" w:eastAsia="仿宋" w:cs="仿宋"/>
          <w:color w:val="auto"/>
          <w:kern w:val="0"/>
          <w:sz w:val="32"/>
          <w:szCs w:val="32"/>
          <w:highlight w:val="none"/>
        </w:rPr>
        <w:t>要求且最后报价最低的供应商的价格为</w:t>
      </w:r>
      <w:r>
        <w:rPr>
          <w:rFonts w:hint="eastAsia" w:ascii="仿宋" w:hAnsi="仿宋" w:eastAsia="仿宋" w:cs="仿宋"/>
          <w:color w:val="auto"/>
          <w:kern w:val="0"/>
          <w:sz w:val="32"/>
          <w:szCs w:val="32"/>
          <w:highlight w:val="none"/>
          <w:lang w:eastAsia="zh-CN"/>
        </w:rPr>
        <w:t>招标</w:t>
      </w:r>
      <w:r>
        <w:rPr>
          <w:rFonts w:hint="eastAsia" w:ascii="仿宋" w:hAnsi="仿宋" w:eastAsia="仿宋" w:cs="仿宋"/>
          <w:color w:val="auto"/>
          <w:kern w:val="0"/>
          <w:sz w:val="32"/>
          <w:szCs w:val="32"/>
          <w:highlight w:val="none"/>
        </w:rPr>
        <w:t>基准价，其价格分为满分。其他供应商的价格分统一按照下列公式计算：</w:t>
      </w:r>
    </w:p>
    <w:p w14:paraId="48A82A37">
      <w:pPr>
        <w:widowControl/>
        <w:shd w:val="clear" w:color="auto" w:fill="auto"/>
        <w:spacing w:line="440" w:lineRule="exact"/>
        <w:ind w:firstLine="480"/>
        <w:rPr>
          <w:rFonts w:hint="eastAsia" w:ascii="仿宋" w:hAnsi="仿宋" w:eastAsia="仿宋" w:cs="仿宋"/>
          <w:color w:val="auto"/>
          <w:kern w:val="0"/>
          <w:sz w:val="32"/>
          <w:szCs w:val="32"/>
          <w:highlight w:val="none"/>
          <w:lang w:val="en-US"/>
        </w:rPr>
      </w:pPr>
      <w:r>
        <w:rPr>
          <w:rFonts w:hint="eastAsia" w:ascii="仿宋" w:hAnsi="仿宋" w:eastAsia="仿宋" w:cs="仿宋"/>
          <w:color w:val="auto"/>
          <w:kern w:val="0"/>
          <w:sz w:val="32"/>
          <w:szCs w:val="32"/>
          <w:highlight w:val="none"/>
          <w:lang w:eastAsia="zh-CN"/>
        </w:rPr>
        <w:t>投标</w:t>
      </w:r>
      <w:r>
        <w:rPr>
          <w:rFonts w:hint="eastAsia" w:ascii="仿宋" w:hAnsi="仿宋" w:eastAsia="仿宋" w:cs="仿宋"/>
          <w:color w:val="auto"/>
          <w:kern w:val="0"/>
          <w:sz w:val="32"/>
          <w:szCs w:val="32"/>
          <w:highlight w:val="none"/>
        </w:rPr>
        <w:t>报价得分=（基准价/</w:t>
      </w:r>
      <w:r>
        <w:rPr>
          <w:rFonts w:hint="eastAsia" w:ascii="仿宋" w:hAnsi="仿宋" w:eastAsia="仿宋" w:cs="仿宋"/>
          <w:color w:val="auto"/>
          <w:kern w:val="0"/>
          <w:sz w:val="32"/>
          <w:szCs w:val="32"/>
          <w:highlight w:val="none"/>
          <w:lang w:eastAsia="zh-CN"/>
        </w:rPr>
        <w:t>投标</w:t>
      </w:r>
      <w:r>
        <w:rPr>
          <w:rFonts w:hint="eastAsia" w:ascii="仿宋" w:hAnsi="仿宋" w:eastAsia="仿宋" w:cs="仿宋"/>
          <w:color w:val="auto"/>
          <w:kern w:val="0"/>
          <w:sz w:val="32"/>
          <w:szCs w:val="32"/>
          <w:highlight w:val="none"/>
        </w:rPr>
        <w:t>报价）×</w:t>
      </w:r>
      <w:r>
        <w:rPr>
          <w:rFonts w:hint="eastAsia" w:ascii="仿宋" w:hAnsi="仿宋" w:eastAsia="仿宋" w:cs="仿宋"/>
          <w:color w:val="auto"/>
          <w:kern w:val="0"/>
          <w:sz w:val="32"/>
          <w:szCs w:val="32"/>
          <w:highlight w:val="none"/>
          <w:lang w:val="en-US" w:eastAsia="zh-CN"/>
        </w:rPr>
        <w:t>10</w:t>
      </w:r>
    </w:p>
    <w:p w14:paraId="29434A7D">
      <w:pPr>
        <w:widowControl/>
        <w:shd w:val="clear" w:color="auto" w:fill="auto"/>
        <w:spacing w:line="440" w:lineRule="exact"/>
        <w:ind w:firstLine="480"/>
        <w:rPr>
          <w:rFonts w:hint="eastAsia" w:ascii="仿宋" w:hAnsi="仿宋" w:eastAsia="仿宋" w:cs="仿宋"/>
          <w:color w:val="auto"/>
          <w:sz w:val="32"/>
          <w:szCs w:val="32"/>
          <w:highlight w:val="none"/>
          <w:lang w:val="en-US" w:eastAsia="zh-CN"/>
        </w:rPr>
      </w:pPr>
      <w:r>
        <w:rPr>
          <w:rFonts w:hint="eastAsia" w:ascii="仿宋" w:hAnsi="仿宋" w:eastAsia="仿宋" w:cs="仿宋"/>
          <w:color w:val="auto"/>
          <w:kern w:val="0"/>
          <w:sz w:val="32"/>
          <w:szCs w:val="32"/>
          <w:highlight w:val="none"/>
        </w:rPr>
        <w:t>项目评审过程中，不得去掉最后报价中的最高报价和最低报价。</w:t>
      </w:r>
    </w:p>
    <w:p w14:paraId="19EAB365">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6E0192ED">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6 评审人员需对采购方工作人员唱票或统计的评审结果进行确认，现场监督员应对评审结果签署监督意见。如发现分值汇总计算错误、分项评分超出评分标准范围、客观评分不一致以及存在评分畸高、畸低情形的，应由相关人员当场改正或作出书面说明；拒不改正又不作书面说明的，由现场监督员如实记载后存入项目档案资料。</w:t>
      </w:r>
    </w:p>
    <w:p w14:paraId="25B6D724">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7 评标委员会根据评审汇总情况和</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规定确定中标中标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候选供应商排序名单。</w:t>
      </w:r>
    </w:p>
    <w:p w14:paraId="26B4B6D6">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 xml:space="preserve">8 起草评审报告，所有评审人员须在评审报告上签字确认，对自己的评审意见承担法律责任。 </w:t>
      </w:r>
    </w:p>
    <w:p w14:paraId="67F1172A">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9 采购组织机构对评标委员会评审专家进行评价。</w:t>
      </w:r>
    </w:p>
    <w:p w14:paraId="510F401C">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34.</w:t>
      </w:r>
      <w:r>
        <w:rPr>
          <w:rFonts w:hint="eastAsia" w:ascii="仿宋" w:hAnsi="仿宋" w:eastAsia="仿宋" w:cs="仿宋"/>
          <w:color w:val="auto"/>
          <w:sz w:val="32"/>
          <w:szCs w:val="32"/>
          <w:highlight w:val="none"/>
        </w:rPr>
        <w:t>10 修改评审结果</w:t>
      </w:r>
    </w:p>
    <w:p w14:paraId="3305C86D">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评标结果汇总完成后，除下列情形外，任何人不得修改评标结果：</w:t>
      </w:r>
    </w:p>
    <w:p w14:paraId="435B62A8">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（1）分值汇总计算错误的；</w:t>
      </w:r>
    </w:p>
    <w:p w14:paraId="08C0D750">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（2）分项评分超出评分标准范围的；</w:t>
      </w:r>
    </w:p>
    <w:p w14:paraId="75420F59">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（3）评标委员会成员对客观评审因素评分不一致的；</w:t>
      </w:r>
    </w:p>
    <w:p w14:paraId="29644DF8">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（4）经评标委员会认定评分畸高、畸低的。</w:t>
      </w:r>
    </w:p>
    <w:p w14:paraId="6F20A39F">
      <w:pPr>
        <w:widowControl/>
        <w:shd w:val="clear" w:color="auto" w:fill="auto"/>
        <w:spacing w:line="440" w:lineRule="exact"/>
        <w:ind w:firstLine="320" w:firstLineChars="1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3E835AF">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35、澄清、说明或补正的形式</w:t>
      </w:r>
    </w:p>
    <w:p w14:paraId="233EA05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35.1对于投标文件中含义不明确、同类问题表述不一致或者有明显文字和计算错误的内容，评标委员会将通过“政府采购云平台”在线询标的方式要求投标供应商在规定的时间内作出必要的澄清、说明或者补正，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 w:val="32"/>
          <w:szCs w:val="32"/>
          <w:highlight w:val="none"/>
          <w:lang w:val="en-US" w:eastAsia="zh-CN"/>
        </w:rPr>
        <w:t>投标供应商澄清、说明或补正时间为30分钟</w:t>
      </w:r>
      <w:r>
        <w:rPr>
          <w:rFonts w:hint="eastAsia" w:ascii="仿宋" w:hAnsi="仿宋" w:eastAsia="仿宋" w:cs="仿宋"/>
          <w:b w:val="0"/>
          <w:bCs w:val="0"/>
          <w:color w:val="auto"/>
          <w:sz w:val="32"/>
          <w:szCs w:val="32"/>
          <w:highlight w:val="none"/>
          <w:lang w:val="en-US" w:eastAsia="zh-CN"/>
        </w:rPr>
        <w:t>。</w:t>
      </w:r>
    </w:p>
    <w:p w14:paraId="65D19E5A">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35.2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6D29DA7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35.3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624FBB6">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36、错误修正的原则</w:t>
      </w:r>
    </w:p>
    <w:p w14:paraId="56B8EBE6">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电子交易平台客户端里开标一览表录入的投标报价或优惠率与扫描上传的报价文件信息不一致的，以扫描上传的报价文件信息为准进行修正。</w:t>
      </w:r>
    </w:p>
    <w:p w14:paraId="463A0F8A">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投标文件报价出现前后不一致的，除竞争性磋商文件另有规定外，按照下列规定修正：</w:t>
      </w:r>
    </w:p>
    <w:p w14:paraId="19C713F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36.1 投标函中表述的内容与报价表中不一致的，以报价表为准；报价表中的内容与报价明细表不一致的，以报价表为准；</w:t>
      </w:r>
    </w:p>
    <w:p w14:paraId="73C8BD62">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36.2 投标文件中的大写金额和小写金额不一致的，以大写金额为准；</w:t>
      </w:r>
    </w:p>
    <w:p w14:paraId="5245E504">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36.3 单价金额小数点或者百分比有明显错位的，以开标一览表的总价为准，并修改单价；</w:t>
      </w:r>
    </w:p>
    <w:p w14:paraId="18C9ACD5">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36.4 总价金额与按单价汇总金额不一致的，以单价金额计算结果为准；</w:t>
      </w:r>
    </w:p>
    <w:p w14:paraId="53A69BD1">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36.5 若用文字表示的数值与用数字表示的数值不一致，以文字表示的数值为准；</w:t>
      </w:r>
    </w:p>
    <w:p w14:paraId="1093551F">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36.6 如有多报（指数量超出竞争性磋商文件需求）、重报（指同一货物重复报价），其投标总价在评标过程中不予调整，如其中标，其合同价按其投标单价予以调整；</w:t>
      </w:r>
    </w:p>
    <w:p w14:paraId="392C9F03">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36.7 对不同文字文本投标文件的解释发生异议的，以中文文本为准；</w:t>
      </w:r>
    </w:p>
    <w:p w14:paraId="62F80487">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 w:val="32"/>
          <w:szCs w:val="32"/>
          <w:highlight w:val="none"/>
          <w:lang w:val="en-US" w:eastAsia="zh-CN"/>
        </w:rPr>
        <w:t>修正应当采用电子询标的形式，并加盖公章（电子印章）。</w:t>
      </w:r>
    </w:p>
    <w:p w14:paraId="336580A5">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37、无效投标文件</w:t>
      </w:r>
    </w:p>
    <w:p w14:paraId="7EC0CD2F">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有下列情形之一的，投标文件按无效标处理：</w:t>
      </w:r>
    </w:p>
    <w:p w14:paraId="0C5C0DE0">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 报名的投标人与参加投标的投标人发生实质性变更的且未提供有效证明的；</w:t>
      </w:r>
    </w:p>
    <w:p w14:paraId="305BC19D">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37.2投标人提交两份或两份以上内容不同的投标文件，未声明哪一份有效的；</w:t>
      </w:r>
    </w:p>
    <w:p w14:paraId="046EB079">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37.3 投标文件非投标人法定代表人签署的，未提供或提供无效的法定代表人授权书；</w:t>
      </w:r>
    </w:p>
    <w:p w14:paraId="159967B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37.4 未按</w:t>
      </w:r>
      <w:r>
        <w:rPr>
          <w:rFonts w:hint="eastAsia" w:ascii="仿宋" w:hAnsi="仿宋" w:eastAsia="仿宋" w:cs="仿宋"/>
          <w:color w:val="auto"/>
          <w:sz w:val="32"/>
          <w:szCs w:val="32"/>
          <w:highlight w:val="none"/>
          <w:lang w:eastAsia="zh-CN"/>
        </w:rPr>
        <w:t>竞争性</w:t>
      </w:r>
      <w:r>
        <w:rPr>
          <w:rFonts w:hint="eastAsia" w:ascii="仿宋" w:hAnsi="仿宋" w:eastAsia="仿宋" w:cs="仿宋"/>
          <w:b w:val="0"/>
          <w:bCs w:val="0"/>
          <w:color w:val="auto"/>
          <w:sz w:val="32"/>
          <w:szCs w:val="32"/>
          <w:highlight w:val="none"/>
          <w:lang w:val="en-US" w:eastAsia="zh-CN"/>
        </w:rPr>
        <w:t>磋商文件规定装订；</w:t>
      </w:r>
    </w:p>
    <w:p w14:paraId="61F532BA">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37.5 投标文件内容未按</w:t>
      </w:r>
      <w:r>
        <w:rPr>
          <w:rFonts w:hint="eastAsia" w:ascii="仿宋" w:hAnsi="仿宋" w:eastAsia="仿宋" w:cs="仿宋"/>
          <w:color w:val="auto"/>
          <w:sz w:val="32"/>
          <w:szCs w:val="32"/>
          <w:highlight w:val="none"/>
          <w:lang w:eastAsia="zh-CN"/>
        </w:rPr>
        <w:t>竞争性</w:t>
      </w:r>
      <w:r>
        <w:rPr>
          <w:rFonts w:hint="eastAsia" w:ascii="仿宋" w:hAnsi="仿宋" w:eastAsia="仿宋" w:cs="仿宋"/>
          <w:b w:val="0"/>
          <w:bCs w:val="0"/>
          <w:color w:val="auto"/>
          <w:sz w:val="32"/>
          <w:szCs w:val="32"/>
          <w:highlight w:val="none"/>
          <w:lang w:val="en-US" w:eastAsia="zh-CN"/>
        </w:rPr>
        <w:t>磋商文件规定签字或盖章的；</w:t>
      </w:r>
    </w:p>
    <w:p w14:paraId="4EF0FA4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37.6 投标文件组成漏项或未按规定的格式编制或投标文件正、副本份数不足或内容不全或内容字迹模糊辨认不清的等而导致评标活动无法正常进行；</w:t>
      </w:r>
    </w:p>
    <w:p w14:paraId="7FF23B58">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37.7 投标人未按</w:t>
      </w:r>
      <w:r>
        <w:rPr>
          <w:rFonts w:hint="eastAsia" w:ascii="仿宋" w:hAnsi="仿宋" w:eastAsia="仿宋" w:cs="仿宋"/>
          <w:color w:val="auto"/>
          <w:sz w:val="32"/>
          <w:szCs w:val="32"/>
          <w:highlight w:val="none"/>
          <w:lang w:eastAsia="zh-CN"/>
        </w:rPr>
        <w:t>竞争性</w:t>
      </w:r>
      <w:r>
        <w:rPr>
          <w:rFonts w:hint="eastAsia" w:ascii="仿宋" w:hAnsi="仿宋" w:eastAsia="仿宋" w:cs="仿宋"/>
          <w:b w:val="0"/>
          <w:bCs w:val="0"/>
          <w:color w:val="auto"/>
          <w:sz w:val="32"/>
          <w:szCs w:val="32"/>
          <w:highlight w:val="none"/>
          <w:lang w:val="en-US" w:eastAsia="zh-CN"/>
        </w:rPr>
        <w:t>磋商文件变更通知更改投标文件的；</w:t>
      </w:r>
    </w:p>
    <w:p w14:paraId="1E64B903">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37.8 《开标一览表》和《投标分项报价表》内容不完整且不接受修正意见或字迹不能辨认的或未提供；</w:t>
      </w:r>
    </w:p>
    <w:p w14:paraId="2FAC561D">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37.9 标项投标报价超过</w:t>
      </w:r>
      <w:r>
        <w:rPr>
          <w:rFonts w:hint="eastAsia" w:ascii="仿宋" w:hAnsi="仿宋" w:eastAsia="仿宋" w:cs="仿宋"/>
          <w:color w:val="auto"/>
          <w:sz w:val="32"/>
          <w:szCs w:val="32"/>
          <w:highlight w:val="none"/>
          <w:lang w:eastAsia="zh-CN"/>
        </w:rPr>
        <w:t>竞争性</w:t>
      </w:r>
      <w:r>
        <w:rPr>
          <w:rFonts w:hint="eastAsia" w:ascii="仿宋" w:hAnsi="仿宋" w:eastAsia="仿宋" w:cs="仿宋"/>
          <w:b w:val="0"/>
          <w:bCs w:val="0"/>
          <w:color w:val="auto"/>
          <w:sz w:val="32"/>
          <w:szCs w:val="32"/>
          <w:highlight w:val="none"/>
          <w:lang w:val="en-US" w:eastAsia="zh-CN"/>
        </w:rPr>
        <w:t>磋商文件规定的预算金额或最高限价</w:t>
      </w:r>
    </w:p>
    <w:p w14:paraId="1EA6787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37.10 因投标人原因编制错误造成经评标委员会修正后的报价达到或超过投标报价的0.5%；</w:t>
      </w:r>
    </w:p>
    <w:p w14:paraId="516C3B0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37.11 投标人的报价明显低于其他通过符合性审查投标人的报价，有可能影响产品质量或者不能诚信履约的，且在规定时间内不能合理说明原因并提供证明材料的；</w:t>
      </w:r>
    </w:p>
    <w:p w14:paraId="17701A1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37.12 未实质性响应</w:t>
      </w:r>
      <w:r>
        <w:rPr>
          <w:rFonts w:hint="eastAsia" w:ascii="仿宋" w:hAnsi="仿宋" w:eastAsia="仿宋" w:cs="仿宋"/>
          <w:color w:val="auto"/>
          <w:sz w:val="32"/>
          <w:szCs w:val="32"/>
          <w:highlight w:val="none"/>
          <w:lang w:eastAsia="zh-CN"/>
        </w:rPr>
        <w:t>竞争性</w:t>
      </w:r>
      <w:r>
        <w:rPr>
          <w:rFonts w:hint="eastAsia" w:ascii="仿宋" w:hAnsi="仿宋" w:eastAsia="仿宋" w:cs="仿宋"/>
          <w:b w:val="0"/>
          <w:bCs w:val="0"/>
          <w:color w:val="auto"/>
          <w:sz w:val="32"/>
          <w:szCs w:val="32"/>
          <w:highlight w:val="none"/>
          <w:lang w:val="en-US" w:eastAsia="zh-CN"/>
        </w:rPr>
        <w:t>磋商文件中条款要求的投标文件；</w:t>
      </w:r>
    </w:p>
    <w:p w14:paraId="61317AA9">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37.13 不符合招标范围、技术规格、技术标准的要求无法满足采购人使用要求；</w:t>
      </w:r>
    </w:p>
    <w:p w14:paraId="7AB6600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37.14 投标文件附有采购人不能接受的条款；</w:t>
      </w:r>
    </w:p>
    <w:p w14:paraId="0B2AEAF8">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37.15 投标文件中提供了赠品或者与本项目采购无关的其他商品、服务；</w:t>
      </w:r>
    </w:p>
    <w:p w14:paraId="39D21430">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37.16 投标文件中承诺的投标有效期少于磋商文件中载明的投标有效期；</w:t>
      </w:r>
    </w:p>
    <w:p w14:paraId="6B7600F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37.17投标人串通投标，妨碍其他投标人的竞争行为，损害采购人或者其他投标人的合法权益；</w:t>
      </w:r>
    </w:p>
    <w:p w14:paraId="0D96F515">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37.18违反国家及政府部门相关法律、法规、文件规定或经评标委员会认定的其他属于重大偏离；</w:t>
      </w:r>
    </w:p>
    <w:p w14:paraId="3EFFED56">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38、废标</w:t>
      </w:r>
    </w:p>
    <w:p w14:paraId="69323BE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38.1 符合</w:t>
      </w:r>
      <w:r>
        <w:rPr>
          <w:rFonts w:hint="eastAsia" w:ascii="仿宋" w:hAnsi="仿宋" w:eastAsia="仿宋" w:cs="仿宋"/>
          <w:color w:val="auto"/>
          <w:sz w:val="32"/>
          <w:szCs w:val="32"/>
          <w:highlight w:val="none"/>
          <w:lang w:eastAsia="zh-CN"/>
        </w:rPr>
        <w:t>竞争性</w:t>
      </w:r>
      <w:r>
        <w:rPr>
          <w:rFonts w:hint="eastAsia" w:ascii="仿宋" w:hAnsi="仿宋" w:eastAsia="仿宋" w:cs="仿宋"/>
          <w:b w:val="0"/>
          <w:bCs w:val="0"/>
          <w:color w:val="auto"/>
          <w:sz w:val="32"/>
          <w:szCs w:val="32"/>
          <w:highlight w:val="none"/>
          <w:lang w:val="en-US" w:eastAsia="zh-CN"/>
        </w:rPr>
        <w:t>磋商文件规定废标情形的；</w:t>
      </w:r>
    </w:p>
    <w:p w14:paraId="5651B1B2">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38.2 出现影响采购公正的违法、违规行为的；</w:t>
      </w:r>
    </w:p>
    <w:p w14:paraId="18E6EC2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38.3 供应商的报价均超过了采购预算（或最高限价），采购人不能支付的;</w:t>
      </w:r>
    </w:p>
    <w:p w14:paraId="2B15CCE9">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38.4 因重大变故，采购任务取消的。</w:t>
      </w:r>
    </w:p>
    <w:p w14:paraId="5B43021C">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39、突发情况处理</w:t>
      </w:r>
    </w:p>
    <w:p w14:paraId="1889BF91">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39.1 采购过程中出现以下情形，导致电子交易平台无法正常运行，或者无法保证电子交易的公平、公正和安全时，采购组织机构可中止电子交易活动：</w:t>
      </w:r>
    </w:p>
    <w:p w14:paraId="2ED14ACF">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（1）电子交易平台发生故障而无法登录访问的； </w:t>
      </w:r>
    </w:p>
    <w:p w14:paraId="377460CE">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（2）电子交易平台应用或数据库出现错误，不能进行正常操作的；</w:t>
      </w:r>
    </w:p>
    <w:p w14:paraId="058B728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（3）电子交易平台发现严重安全漏洞，有潜在泄密危险的；</w:t>
      </w:r>
    </w:p>
    <w:p w14:paraId="13F27331">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（4）病毒发作导致不能进行正常操作的； </w:t>
      </w:r>
    </w:p>
    <w:p w14:paraId="536774A1">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（5）其他无法保证电子交易的公平、公正和安全的情况。</w:t>
      </w:r>
    </w:p>
    <w:p w14:paraId="52B6453A">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365F122D">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39.2 采购代理机构或评审小组因不可抗力（不可抗力包括但不限于自然灾害、断电、传播疫病等）原因造成电子交易活动无法正常运行的，将采取以下措施：</w:t>
      </w:r>
    </w:p>
    <w:p w14:paraId="6F26320E">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（1）短时间内能消除不可抗力因素的，采购代理机构或评审小组在消除不可抗力因素后继续组织电子交易活动； </w:t>
      </w:r>
    </w:p>
    <w:p w14:paraId="52E98DA9">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（2）长时间内无法消除不可抗力因素的，采购代理机构或评审小组将中止电子交易活动。中止电子交易活动的，采购人应当重新组织政府采购活动。</w:t>
      </w:r>
    </w:p>
    <w:p w14:paraId="77B91BA0">
      <w:pPr>
        <w:shd w:val="clear" w:color="auto" w:fill="auto"/>
        <w:snapToGrid w:val="0"/>
        <w:spacing w:line="360" w:lineRule="exact"/>
        <w:ind w:firstLine="421"/>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40、</w:t>
      </w:r>
      <w:r>
        <w:rPr>
          <w:rFonts w:hint="eastAsia" w:ascii="仿宋" w:hAnsi="仿宋" w:eastAsia="仿宋" w:cs="仿宋"/>
          <w:b/>
          <w:color w:val="auto"/>
          <w:sz w:val="32"/>
          <w:szCs w:val="32"/>
          <w:highlight w:val="none"/>
        </w:rPr>
        <w:t xml:space="preserve"> 定标</w:t>
      </w:r>
    </w:p>
    <w:p w14:paraId="183006C5">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color w:val="auto"/>
          <w:sz w:val="32"/>
          <w:szCs w:val="32"/>
          <w:highlight w:val="none"/>
        </w:rPr>
        <w:t xml:space="preserve">  </w:t>
      </w:r>
      <w:bookmarkStart w:id="65" w:name="_Toc469495729"/>
      <w:r>
        <w:rPr>
          <w:rFonts w:hint="eastAsia" w:ascii="仿宋" w:hAnsi="仿宋" w:eastAsia="仿宋" w:cs="仿宋"/>
          <w:b w:val="0"/>
          <w:bCs w:val="0"/>
          <w:color w:val="auto"/>
          <w:sz w:val="32"/>
          <w:szCs w:val="32"/>
          <w:highlight w:val="none"/>
          <w:lang w:val="en-US" w:eastAsia="zh-CN"/>
        </w:rPr>
        <w:t>40.1采购结果确认（确定</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供应商）</w:t>
      </w:r>
    </w:p>
    <w:p w14:paraId="32B3C703">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采购结果确认（确定</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供应商）：本项目由采购人根据评标委员会提交的《评审报告》，通过“政府采购云平台”依法确认采购结果、确定</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供应商。具体流程如下：</w:t>
      </w:r>
    </w:p>
    <w:p w14:paraId="0BCC1B4F">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（1）采购代理机构将在评审结束后2个工作日内将评审报告送采购人。</w:t>
      </w:r>
    </w:p>
    <w:p w14:paraId="382400C9">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（2）采购人将在收到评审报告之日起5个工作日内，在评审报告推荐的</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候选供应商名单中按顺序确定</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 xml:space="preserve">供应商，并将确认意见以书面形式回复采购代理机构。 </w:t>
      </w:r>
    </w:p>
    <w:p w14:paraId="27DFF30B">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40.2采购结果经采购人确认后2个工作日内，采购代理机构将在</w:t>
      </w:r>
      <w:r>
        <w:rPr>
          <w:rFonts w:hint="eastAsia" w:ascii="仿宋" w:hAnsi="仿宋" w:eastAsia="仿宋" w:cs="仿宋"/>
          <w:b/>
          <w:bCs/>
          <w:color w:val="auto"/>
          <w:sz w:val="32"/>
          <w:szCs w:val="32"/>
          <w:highlight w:val="none"/>
          <w:lang w:val="en-US" w:eastAsia="zh-CN"/>
        </w:rPr>
        <w:t>克州公共资源交易网、新疆政府采购网（www.zjzfcg.gov.cn）上公告采购结果，中标（成交）公告期限为1个工作日。</w:t>
      </w:r>
    </w:p>
    <w:p w14:paraId="60FDB7F2">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41、 中标（成交）通知书</w:t>
      </w:r>
    </w:p>
    <w:p w14:paraId="7B5F83BD">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41.1</w:t>
      </w:r>
      <w:r>
        <w:rPr>
          <w:rFonts w:hint="eastAsia" w:ascii="仿宋" w:hAnsi="仿宋" w:eastAsia="仿宋" w:cs="仿宋"/>
          <w:color w:val="auto"/>
          <w:sz w:val="32"/>
          <w:szCs w:val="32"/>
          <w:highlight w:val="none"/>
        </w:rPr>
        <w:t>在</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color w:val="auto"/>
          <w:sz w:val="32"/>
          <w:szCs w:val="32"/>
          <w:highlight w:val="none"/>
        </w:rPr>
        <w:t>通知书发出前，招标人将</w:t>
      </w:r>
      <w:r>
        <w:rPr>
          <w:rFonts w:hint="eastAsia" w:ascii="仿宋" w:hAnsi="仿宋" w:eastAsia="仿宋" w:cs="仿宋"/>
          <w:color w:val="auto"/>
          <w:sz w:val="32"/>
          <w:szCs w:val="32"/>
          <w:highlight w:val="none"/>
          <w:lang w:eastAsia="zh-CN"/>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侯选人的情况在</w:t>
      </w:r>
      <w:r>
        <w:rPr>
          <w:rFonts w:hint="eastAsia" w:ascii="仿宋" w:hAnsi="仿宋" w:eastAsia="仿宋" w:cs="仿宋"/>
          <w:color w:val="auto"/>
          <w:sz w:val="32"/>
          <w:szCs w:val="32"/>
          <w:highlight w:val="none"/>
          <w:lang w:val="en-US" w:eastAsia="zh-CN"/>
        </w:rPr>
        <w:t>克州公共资源交易网、</w:t>
      </w:r>
      <w:r>
        <w:rPr>
          <w:rFonts w:hint="eastAsia" w:ascii="仿宋" w:hAnsi="仿宋" w:eastAsia="仿宋" w:cs="仿宋"/>
          <w:color w:val="auto"/>
          <w:sz w:val="32"/>
          <w:szCs w:val="32"/>
          <w:highlight w:val="none"/>
          <w:lang w:eastAsia="zh-CN"/>
        </w:rPr>
        <w:t>新疆政府采购网</w:t>
      </w:r>
      <w:r>
        <w:rPr>
          <w:rFonts w:hint="eastAsia" w:ascii="仿宋" w:hAnsi="仿宋" w:eastAsia="仿宋" w:cs="仿宋"/>
          <w:color w:val="auto"/>
          <w:sz w:val="32"/>
          <w:szCs w:val="32"/>
          <w:highlight w:val="none"/>
        </w:rPr>
        <w:t>予以公示，</w:t>
      </w:r>
      <w:r>
        <w:rPr>
          <w:rFonts w:hint="eastAsia" w:ascii="仿宋" w:hAnsi="仿宋" w:eastAsia="仿宋" w:cs="仿宋"/>
          <w:b/>
          <w:bCs/>
          <w:color w:val="auto"/>
          <w:sz w:val="32"/>
          <w:szCs w:val="32"/>
          <w:highlight w:val="none"/>
        </w:rPr>
        <w:t>公示期为</w:t>
      </w:r>
      <w:r>
        <w:rPr>
          <w:rFonts w:hint="eastAsia" w:ascii="仿宋" w:hAnsi="仿宋" w:eastAsia="仿宋" w:cs="仿宋"/>
          <w:b/>
          <w:bCs/>
          <w:color w:val="auto"/>
          <w:sz w:val="32"/>
          <w:szCs w:val="32"/>
          <w:highlight w:val="none"/>
          <w:lang w:eastAsia="zh-CN"/>
        </w:rPr>
        <w:t>一</w:t>
      </w:r>
      <w:r>
        <w:rPr>
          <w:rFonts w:hint="eastAsia" w:ascii="仿宋" w:hAnsi="仿宋" w:eastAsia="仿宋" w:cs="仿宋"/>
          <w:b/>
          <w:bCs/>
          <w:color w:val="auto"/>
          <w:sz w:val="32"/>
          <w:szCs w:val="32"/>
          <w:highlight w:val="none"/>
        </w:rPr>
        <w:t>个工作日。</w:t>
      </w:r>
      <w:r>
        <w:rPr>
          <w:rFonts w:hint="eastAsia" w:ascii="仿宋" w:hAnsi="仿宋" w:eastAsia="仿宋" w:cs="仿宋"/>
          <w:b/>
          <w:bCs/>
          <w:color w:val="auto"/>
          <w:sz w:val="32"/>
          <w:szCs w:val="32"/>
          <w:highlight w:val="none"/>
          <w:lang w:eastAsia="zh-CN"/>
        </w:rPr>
        <w:t>待公示期结束后，</w:t>
      </w:r>
      <w:r>
        <w:rPr>
          <w:rFonts w:hint="eastAsia" w:ascii="仿宋" w:hAnsi="仿宋" w:eastAsia="仿宋" w:cs="仿宋"/>
          <w:b w:val="0"/>
          <w:bCs w:val="0"/>
          <w:color w:val="auto"/>
          <w:sz w:val="32"/>
          <w:szCs w:val="32"/>
          <w:highlight w:val="none"/>
          <w:lang w:val="en-US" w:eastAsia="zh-CN"/>
        </w:rPr>
        <w:t>采购组织机构向</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人发出中标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b w:val="0"/>
          <w:bCs w:val="0"/>
          <w:color w:val="auto"/>
          <w:sz w:val="32"/>
          <w:szCs w:val="32"/>
          <w:highlight w:val="none"/>
          <w:lang w:val="en-US" w:eastAsia="zh-CN"/>
        </w:rPr>
        <w:t>通知书。</w:t>
      </w:r>
    </w:p>
    <w:p w14:paraId="354562BD">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41.2</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通知书作为签订合同的重要依据，对采购人和</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供应商均具有法律效力。采购人改变</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结果或者</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供应商放弃</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项目的都应承担法律责任。成交供应商不得向他人转让</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项目，也不得将</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项目肢解后分别向他人转让。</w:t>
      </w:r>
    </w:p>
    <w:p w14:paraId="77B4759A">
      <w:pPr>
        <w:shd w:val="clear" w:color="auto" w:fill="auto"/>
        <w:spacing w:before="156" w:beforeLines="50" w:line="440" w:lineRule="exact"/>
        <w:jc w:val="center"/>
        <w:outlineLvl w:val="2"/>
        <w:rPr>
          <w:rFonts w:hint="eastAsia" w:ascii="仿宋" w:hAnsi="仿宋" w:eastAsia="仿宋" w:cs="仿宋"/>
          <w:color w:val="auto"/>
          <w:sz w:val="32"/>
          <w:szCs w:val="32"/>
          <w:highlight w:val="none"/>
        </w:rPr>
      </w:pPr>
      <w:bookmarkStart w:id="66" w:name="_Toc25274"/>
      <w:bookmarkStart w:id="67" w:name="_Toc29921"/>
      <w:bookmarkStart w:id="68" w:name="_Toc16664"/>
      <w:bookmarkStart w:id="69" w:name="_Toc20489"/>
      <w:bookmarkStart w:id="70" w:name="_Toc14697"/>
      <w:r>
        <w:rPr>
          <w:rFonts w:hint="eastAsia" w:ascii="仿宋" w:hAnsi="仿宋" w:eastAsia="仿宋" w:cs="仿宋"/>
          <w:color w:val="auto"/>
          <w:sz w:val="32"/>
          <w:szCs w:val="32"/>
          <w:highlight w:val="none"/>
        </w:rPr>
        <w:t>（六）合同的授予</w:t>
      </w:r>
      <w:bookmarkEnd w:id="65"/>
      <w:bookmarkEnd w:id="66"/>
      <w:bookmarkEnd w:id="67"/>
      <w:bookmarkEnd w:id="68"/>
      <w:bookmarkEnd w:id="69"/>
      <w:bookmarkEnd w:id="70"/>
    </w:p>
    <w:p w14:paraId="7D046418">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bookmarkStart w:id="71" w:name="_Toc73975842"/>
      <w:bookmarkStart w:id="72" w:name="_Toc469495730"/>
      <w:r>
        <w:rPr>
          <w:rFonts w:hint="eastAsia" w:ascii="仿宋" w:hAnsi="仿宋" w:eastAsia="仿宋" w:cs="仿宋"/>
          <w:b/>
          <w:bCs/>
          <w:color w:val="auto"/>
          <w:sz w:val="32"/>
          <w:szCs w:val="32"/>
          <w:highlight w:val="none"/>
          <w:lang w:val="en-US" w:eastAsia="zh-CN"/>
        </w:rPr>
        <w:t>42、履约保证金</w:t>
      </w:r>
      <w:bookmarkEnd w:id="71"/>
    </w:p>
    <w:p w14:paraId="02BB5A5C">
      <w:pPr>
        <w:shd w:val="clear" w:color="auto" w:fill="auto"/>
        <w:spacing w:line="440" w:lineRule="exact"/>
        <w:ind w:firstLine="320" w:firstLineChars="100"/>
        <w:jc w:val="left"/>
        <w:rPr>
          <w:rFonts w:hint="eastAsia" w:ascii="仿宋" w:hAnsi="仿宋" w:eastAsia="仿宋" w:cs="仿宋"/>
          <w:b w:val="0"/>
          <w:bCs w:val="0"/>
          <w:color w:val="FF0000"/>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 xml:space="preserve">42.1 </w:t>
      </w:r>
      <w:r>
        <w:rPr>
          <w:rFonts w:hint="eastAsia" w:ascii="仿宋" w:hAnsi="仿宋" w:eastAsia="仿宋" w:cs="仿宋"/>
          <w:b/>
          <w:bCs/>
          <w:color w:val="auto"/>
          <w:sz w:val="32"/>
          <w:szCs w:val="32"/>
          <w:highlight w:val="none"/>
          <w:lang w:val="en-US" w:eastAsia="zh-CN"/>
        </w:rPr>
        <w:t>本项目不需要交纳履约保证金。</w:t>
      </w:r>
    </w:p>
    <w:p w14:paraId="618B032A">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42.2 签订合同后，如中标供应商不按合同约定履约的，履约保证金不予退还，履约保证金不足以赔偿损失的，按实际损失赔偿。</w:t>
      </w:r>
    </w:p>
    <w:p w14:paraId="0B19184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42.3 如果</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供应商在建设期内没有涉及采购人的应付而未付金额或违约行为，采购人在项目验收合格后或提前终止合同后全额无息退还履约保证金。</w:t>
      </w:r>
    </w:p>
    <w:p w14:paraId="76A6CA79">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bookmarkStart w:id="73" w:name="_Toc73975843"/>
      <w:r>
        <w:rPr>
          <w:rFonts w:hint="eastAsia" w:ascii="仿宋" w:hAnsi="仿宋" w:eastAsia="仿宋" w:cs="仿宋"/>
          <w:b/>
          <w:bCs/>
          <w:color w:val="auto"/>
          <w:sz w:val="32"/>
          <w:szCs w:val="32"/>
          <w:highlight w:val="none"/>
          <w:lang w:val="en-US" w:eastAsia="zh-CN"/>
        </w:rPr>
        <w:t>43、签订合同及公告</w:t>
      </w:r>
      <w:bookmarkEnd w:id="73"/>
    </w:p>
    <w:p w14:paraId="7A5E260F">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43.1采购人在</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通知书发出之日起30日内与</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供应商签订合同。</w:t>
      </w:r>
    </w:p>
    <w:p w14:paraId="2484B9B4">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43.2</w:t>
      </w:r>
      <w:r>
        <w:rPr>
          <w:rFonts w:hint="eastAsia" w:ascii="仿宋" w:hAnsi="仿宋" w:eastAsia="仿宋" w:cs="仿宋"/>
          <w:color w:val="auto"/>
          <w:sz w:val="32"/>
          <w:szCs w:val="32"/>
          <w:highlight w:val="none"/>
          <w:lang w:val="en-US" w:eastAsia="zh-CN"/>
        </w:rPr>
        <w:t>中标（成交）</w:t>
      </w:r>
      <w:r>
        <w:rPr>
          <w:rFonts w:hint="eastAsia" w:ascii="仿宋" w:hAnsi="仿宋" w:eastAsia="仿宋" w:cs="仿宋"/>
          <w:b w:val="0"/>
          <w:bCs w:val="0"/>
          <w:color w:val="auto"/>
          <w:sz w:val="32"/>
          <w:szCs w:val="32"/>
          <w:highlight w:val="none"/>
          <w:lang w:val="en-US" w:eastAsia="zh-CN"/>
        </w:rPr>
        <w:t>供应商拖延、拒签合同的,取消中标资格。</w:t>
      </w:r>
    </w:p>
    <w:p w14:paraId="293A2E96">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43.3 竞争性磋商文件、中标供应商的投标文件及评标过程中有关澄清文件等均作为签订合同的依据。所签订的合同不得对竞争性磋商文件和中标供应商的投标文件的内容作实质性修改。</w:t>
      </w:r>
    </w:p>
    <w:p w14:paraId="1198DF7E">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43.4采购人应当自政府采购合同签订之日起2个工作日内，在省级以上财政部门指定的政府采购信息发布媒体及相关网站上公告。</w:t>
      </w:r>
    </w:p>
    <w:p w14:paraId="51CC96FE">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43.5采购人应当自政府采购合同签订之日起7个工作日内，将政府采购合同副本报同级人民政府财政部门备案以及采购代理机构存档。</w:t>
      </w:r>
    </w:p>
    <w:p w14:paraId="36E9F59C">
      <w:pPr>
        <w:shd w:val="clear" w:color="auto" w:fill="auto"/>
        <w:adjustRightInd w:val="0"/>
        <w:snapToGrid w:val="0"/>
        <w:spacing w:line="440" w:lineRule="exact"/>
        <w:jc w:val="center"/>
        <w:outlineLvl w:val="2"/>
        <w:rPr>
          <w:rFonts w:hint="eastAsia" w:ascii="仿宋" w:hAnsi="仿宋" w:eastAsia="仿宋" w:cs="仿宋"/>
          <w:color w:val="auto"/>
          <w:sz w:val="32"/>
          <w:szCs w:val="32"/>
          <w:highlight w:val="none"/>
        </w:rPr>
      </w:pPr>
      <w:bookmarkStart w:id="74" w:name="_Toc31892"/>
      <w:bookmarkStart w:id="75" w:name="_Toc28076"/>
      <w:bookmarkStart w:id="76" w:name="_Toc13058"/>
      <w:bookmarkStart w:id="77" w:name="_Toc10947"/>
      <w:bookmarkStart w:id="78" w:name="_Toc23511"/>
      <w:r>
        <w:rPr>
          <w:rFonts w:hint="eastAsia" w:ascii="仿宋" w:hAnsi="仿宋" w:eastAsia="仿宋" w:cs="仿宋"/>
          <w:color w:val="auto"/>
          <w:sz w:val="32"/>
          <w:szCs w:val="32"/>
          <w:highlight w:val="none"/>
        </w:rPr>
        <w:t>（七）纪律和监督</w:t>
      </w:r>
      <w:bookmarkEnd w:id="72"/>
      <w:bookmarkEnd w:id="74"/>
      <w:bookmarkEnd w:id="75"/>
      <w:bookmarkEnd w:id="76"/>
      <w:bookmarkEnd w:id="77"/>
      <w:bookmarkEnd w:id="78"/>
    </w:p>
    <w:p w14:paraId="6CD5D703">
      <w:pPr>
        <w:shd w:val="clear" w:color="auto" w:fill="auto"/>
        <w:spacing w:line="440" w:lineRule="exact"/>
        <w:ind w:firstLine="470" w:firstLineChars="147"/>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44</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 xml:space="preserve">对招标人的纪律要求 </w:t>
      </w:r>
    </w:p>
    <w:p w14:paraId="24F3D336">
      <w:pPr>
        <w:shd w:val="clear" w:color="auto" w:fill="auto"/>
        <w:adjustRightInd w:val="0"/>
        <w:snapToGrid w:val="0"/>
        <w:spacing w:line="440" w:lineRule="exact"/>
        <w:ind w:firstLine="480" w:firstLineChars="15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44</w:t>
      </w:r>
      <w:r>
        <w:rPr>
          <w:rFonts w:hint="eastAsia" w:ascii="仿宋" w:hAnsi="仿宋" w:eastAsia="仿宋" w:cs="仿宋"/>
          <w:color w:val="auto"/>
          <w:kern w:val="10"/>
          <w:sz w:val="32"/>
          <w:szCs w:val="32"/>
          <w:highlight w:val="none"/>
        </w:rPr>
        <w:t xml:space="preserve">.1招标人不得泄漏招标投标活动中应当保密的情况和资料，不得与投标人串通损害国家利益，社会公共利益或者他人合法权益。 </w:t>
      </w:r>
    </w:p>
    <w:p w14:paraId="6C603465">
      <w:pPr>
        <w:shd w:val="clear" w:color="auto" w:fill="auto"/>
        <w:spacing w:line="440" w:lineRule="exact"/>
        <w:ind w:firstLine="470" w:firstLineChars="147"/>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45、</w:t>
      </w:r>
      <w:r>
        <w:rPr>
          <w:rFonts w:hint="eastAsia" w:ascii="仿宋" w:hAnsi="仿宋" w:eastAsia="仿宋" w:cs="仿宋"/>
          <w:b/>
          <w:color w:val="auto"/>
          <w:sz w:val="32"/>
          <w:szCs w:val="32"/>
          <w:highlight w:val="none"/>
        </w:rPr>
        <w:t xml:space="preserve"> 对投标人的纪律要求 </w:t>
      </w:r>
    </w:p>
    <w:p w14:paraId="48CD77D2">
      <w:pPr>
        <w:shd w:val="clear" w:color="auto" w:fill="auto"/>
        <w:adjustRightInd w:val="0"/>
        <w:snapToGrid w:val="0"/>
        <w:spacing w:line="440" w:lineRule="exact"/>
        <w:ind w:firstLine="480" w:firstLineChars="15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45</w:t>
      </w:r>
      <w:r>
        <w:rPr>
          <w:rFonts w:hint="eastAsia" w:ascii="仿宋" w:hAnsi="仿宋" w:eastAsia="仿宋" w:cs="仿宋"/>
          <w:color w:val="auto"/>
          <w:kern w:val="10"/>
          <w:sz w:val="32"/>
          <w:szCs w:val="32"/>
          <w:highlight w:val="none"/>
        </w:rPr>
        <w:t>.1投标人不得相互串通投标或者与招标人串通投标，不得向招标人或者评标委员会成员行贿谋取中标，不得以他人名义投标或者以其他方式弄虚作假骗取中标；投标人不得以任何方式干扰、影响评标工作。</w:t>
      </w:r>
    </w:p>
    <w:p w14:paraId="673175F6">
      <w:pPr>
        <w:shd w:val="clear" w:color="auto" w:fill="auto"/>
        <w:spacing w:line="440" w:lineRule="exact"/>
        <w:ind w:firstLine="470" w:firstLineChars="147"/>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46</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 xml:space="preserve">对评标委员会成员的纪律要求 </w:t>
      </w:r>
    </w:p>
    <w:p w14:paraId="25AE4AD9">
      <w:pPr>
        <w:shd w:val="clear" w:color="auto" w:fill="auto"/>
        <w:adjustRightInd w:val="0"/>
        <w:snapToGrid w:val="0"/>
        <w:spacing w:line="440" w:lineRule="exact"/>
        <w:ind w:firstLine="480" w:firstLineChars="15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46</w:t>
      </w:r>
      <w:r>
        <w:rPr>
          <w:rFonts w:hint="eastAsia" w:ascii="仿宋" w:hAnsi="仿宋" w:eastAsia="仿宋" w:cs="仿宋"/>
          <w:color w:val="auto"/>
          <w:kern w:val="10"/>
          <w:sz w:val="32"/>
          <w:szCs w:val="32"/>
          <w:highlight w:val="none"/>
        </w:rPr>
        <w:t>.1评标委员会成员不得收受他人的财物或者其他好处，不得向他人透漏对投标文件的评审和比较、</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kern w:val="10"/>
          <w:sz w:val="32"/>
          <w:szCs w:val="32"/>
          <w:highlight w:val="none"/>
        </w:rPr>
        <w:t>候选人的推荐情况以及评标有关的其他情况。</w:t>
      </w:r>
    </w:p>
    <w:p w14:paraId="2A81F32E">
      <w:pPr>
        <w:shd w:val="clear" w:color="auto" w:fill="auto"/>
        <w:adjustRightInd w:val="0"/>
        <w:snapToGrid w:val="0"/>
        <w:spacing w:line="440" w:lineRule="exact"/>
        <w:ind w:firstLine="480" w:firstLineChars="150"/>
        <w:rPr>
          <w:rFonts w:hint="eastAsia" w:ascii="仿宋" w:hAnsi="仿宋" w:eastAsia="仿宋" w:cs="仿宋"/>
          <w:color w:val="auto"/>
          <w:kern w:val="10"/>
          <w:sz w:val="32"/>
          <w:szCs w:val="32"/>
          <w:highlight w:val="none"/>
        </w:rPr>
      </w:pPr>
      <w:r>
        <w:rPr>
          <w:rFonts w:hint="eastAsia" w:ascii="仿宋" w:hAnsi="仿宋" w:eastAsia="仿宋" w:cs="仿宋"/>
          <w:color w:val="auto"/>
          <w:kern w:val="10"/>
          <w:sz w:val="32"/>
          <w:szCs w:val="32"/>
          <w:highlight w:val="none"/>
          <w:lang w:val="en-US" w:eastAsia="zh-CN"/>
        </w:rPr>
        <w:t>46</w:t>
      </w:r>
      <w:r>
        <w:rPr>
          <w:rFonts w:hint="eastAsia" w:ascii="仿宋" w:hAnsi="仿宋" w:eastAsia="仿宋" w:cs="仿宋"/>
          <w:color w:val="auto"/>
          <w:kern w:val="10"/>
          <w:sz w:val="32"/>
          <w:szCs w:val="32"/>
          <w:highlight w:val="none"/>
        </w:rPr>
        <w:t xml:space="preserve">.2在评标活动中，评标委员会成员不得擅离职守，影响评标程序正常进行，不得使用第三章“评标办法”没有规定的评审因素和标准进行评标。 </w:t>
      </w:r>
    </w:p>
    <w:p w14:paraId="3335BD25">
      <w:pPr>
        <w:shd w:val="clear" w:color="auto" w:fill="auto"/>
        <w:spacing w:line="440" w:lineRule="exact"/>
        <w:ind w:firstLine="470" w:firstLineChars="147"/>
        <w:jc w:val="lef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47、</w:t>
      </w:r>
      <w:r>
        <w:rPr>
          <w:rFonts w:hint="eastAsia" w:ascii="仿宋" w:hAnsi="仿宋" w:eastAsia="仿宋" w:cs="仿宋"/>
          <w:b/>
          <w:color w:val="auto"/>
          <w:sz w:val="32"/>
          <w:szCs w:val="32"/>
          <w:highlight w:val="none"/>
        </w:rPr>
        <w:t xml:space="preserve"> 对与评标活动有关的工作人员的纪律要求 </w:t>
      </w:r>
    </w:p>
    <w:p w14:paraId="4D383B16">
      <w:pPr>
        <w:shd w:val="clear" w:color="auto" w:fill="auto"/>
        <w:adjustRightInd w:val="0"/>
        <w:snapToGrid w:val="0"/>
        <w:spacing w:line="44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kern w:val="10"/>
          <w:sz w:val="32"/>
          <w:szCs w:val="32"/>
          <w:highlight w:val="none"/>
        </w:rPr>
        <w:t>4</w:t>
      </w:r>
      <w:r>
        <w:rPr>
          <w:rFonts w:hint="eastAsia" w:ascii="仿宋" w:hAnsi="仿宋" w:eastAsia="仿宋" w:cs="仿宋"/>
          <w:color w:val="auto"/>
          <w:kern w:val="10"/>
          <w:sz w:val="32"/>
          <w:szCs w:val="32"/>
          <w:highlight w:val="none"/>
          <w:lang w:val="en-US" w:eastAsia="zh-CN"/>
        </w:rPr>
        <w:t>7</w:t>
      </w:r>
      <w:r>
        <w:rPr>
          <w:rFonts w:hint="eastAsia" w:ascii="仿宋" w:hAnsi="仿宋" w:eastAsia="仿宋" w:cs="仿宋"/>
          <w:color w:val="auto"/>
          <w:kern w:val="10"/>
          <w:sz w:val="32"/>
          <w:szCs w:val="32"/>
          <w:highlight w:val="none"/>
        </w:rPr>
        <w:t>.1与评标活动有关的工作人员不得收受他人的财物或者其他好处，不得向他人透漏对投标文件的评审和比较、</w:t>
      </w:r>
      <w:r>
        <w:rPr>
          <w:rFonts w:hint="eastAsia" w:ascii="仿宋" w:hAnsi="仿宋" w:eastAsia="仿宋" w:cs="仿宋"/>
          <w:color w:val="auto"/>
          <w:sz w:val="32"/>
          <w:szCs w:val="32"/>
          <w:highlight w:val="none"/>
        </w:rPr>
        <w:t>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kern w:val="10"/>
          <w:sz w:val="32"/>
          <w:szCs w:val="32"/>
          <w:highlight w:val="none"/>
        </w:rPr>
        <w:t>候选人的推荐情况以及评标有关的其他情况。在评标活动中，与评标活动有关的工作人员不得擅离职守，影响评标程序正常进行。</w:t>
      </w:r>
    </w:p>
    <w:p w14:paraId="311EADF4">
      <w:pPr>
        <w:shd w:val="clear" w:color="auto" w:fill="auto"/>
        <w:spacing w:before="156" w:beforeLines="50" w:after="156" w:afterLines="50" w:line="500" w:lineRule="exac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（八）质疑与投诉</w:t>
      </w:r>
    </w:p>
    <w:p w14:paraId="35EBE213">
      <w:pPr>
        <w:shd w:val="clear" w:color="auto" w:fill="auto"/>
        <w:spacing w:line="440" w:lineRule="exact"/>
        <w:ind w:firstLine="320" w:firstLineChars="100"/>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48、质疑和投诉</w:t>
      </w:r>
    </w:p>
    <w:p w14:paraId="024C784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48.1.供应商认为竞争性磋商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57D966BB">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（一）对可以质疑的竞争性磋商文件提出质疑的，为收到竞争性磋商文件之日或者竞争性磋商文件公告期限届满之日；</w:t>
      </w:r>
    </w:p>
    <w:p w14:paraId="4BF40430">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（二）对采购过程提出质疑的，为各采购程序环节结束之日；</w:t>
      </w:r>
    </w:p>
    <w:p w14:paraId="2CD1759A">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（三）对中标或者成交结果提出质疑的，为中标或者成交结果公告期限届满之日。</w:t>
      </w:r>
    </w:p>
    <w:p w14:paraId="083AD2C8">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48.2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4CE43D84">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供应商为自然人的，应当由本人签字；供应商为法人或者其他组织的，应当由法定代表人、主要负责人，或者其授权代表签字或者盖章，并加盖公章。</w:t>
      </w:r>
    </w:p>
    <w:p w14:paraId="2E34EA05">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48.3供应商质疑、投诉应当有明确的请求和必要的证明材料。供应商投诉的事项不得超出已质疑事项的范围。采购人及采购代理机构按《政府采购质疑和投诉办法》进行处理供应商质疑事项。</w:t>
      </w:r>
    </w:p>
    <w:p w14:paraId="5DD096A2">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48.4质疑供应商对采购人、采购代理机构的质疑答复不满意，或者采购人、采购代理机构未在规定期限内作出答复的，供应商可以在答复期满后15个工作日内向同级财政部门提起投诉。</w:t>
      </w:r>
    </w:p>
    <w:p w14:paraId="2A3ABB0C">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48.5供应商有下列情形之一的，采购代理机构上报至阿图什市财政局政府采购办，将其列入不良行为记录名单：</w:t>
      </w:r>
    </w:p>
    <w:p w14:paraId="237AA690">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（一）一年内三次以上质疑均查无实据的；</w:t>
      </w:r>
    </w:p>
    <w:p w14:paraId="1A87F054">
      <w:pPr>
        <w:shd w:val="clear" w:color="auto" w:fill="auto"/>
        <w:spacing w:line="440" w:lineRule="exact"/>
        <w:ind w:firstLine="320" w:firstLineChars="1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（二）捏造事实或者提供虚假质疑材料的。</w:t>
      </w:r>
    </w:p>
    <w:p w14:paraId="4F726072">
      <w:pPr>
        <w:pStyle w:val="42"/>
        <w:shd w:val="clear" w:color="auto" w:fill="auto"/>
        <w:ind w:left="0" w:leftChars="0" w:firstLine="320" w:firstLineChars="100"/>
        <w:rPr>
          <w:rFonts w:hint="eastAsia" w:ascii="仿宋" w:hAnsi="仿宋" w:eastAsia="仿宋" w:cs="仿宋"/>
          <w:b/>
          <w:bCs/>
          <w:color w:val="auto"/>
          <w:sz w:val="32"/>
          <w:szCs w:val="32"/>
          <w:highlight w:val="none"/>
          <w:lang w:eastAsia="zh-CN"/>
        </w:rPr>
      </w:pPr>
      <w:r>
        <w:rPr>
          <w:rFonts w:hint="eastAsia" w:ascii="仿宋" w:hAnsi="仿宋" w:eastAsia="仿宋" w:cs="仿宋"/>
          <w:b w:val="0"/>
          <w:bCs w:val="0"/>
          <w:color w:val="auto"/>
          <w:kern w:val="2"/>
          <w:sz w:val="32"/>
          <w:szCs w:val="32"/>
          <w:highlight w:val="none"/>
          <w:lang w:val="en-US" w:eastAsia="zh-CN" w:bidi="ar-SA"/>
        </w:rPr>
        <w:t>（三）以非法手段取得证明材料。证据来源的合法性存在明显疑问，质疑人无法证明其取得方式合法的，视为以非法手段取得证明材料。</w:t>
      </w:r>
    </w:p>
    <w:p w14:paraId="319D7B49">
      <w:pPr>
        <w:rPr>
          <w:rFonts w:hint="eastAsia" w:ascii="仿宋" w:hAnsi="仿宋" w:eastAsia="仿宋" w:cs="仿宋"/>
          <w:b/>
          <w:bCs/>
          <w:color w:val="auto"/>
          <w:sz w:val="32"/>
          <w:szCs w:val="32"/>
          <w:highlight w:val="none"/>
          <w:lang w:eastAsia="zh-CN"/>
        </w:rPr>
      </w:pPr>
      <w:bookmarkStart w:id="79" w:name="_Toc31388"/>
      <w:bookmarkStart w:id="80" w:name="_Toc17515"/>
      <w:bookmarkStart w:id="81" w:name="_Toc21861"/>
      <w:bookmarkStart w:id="82" w:name="_Toc30505"/>
      <w:bookmarkStart w:id="83" w:name="_Toc26611"/>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lang w:eastAsia="zh-CN"/>
        </w:rPr>
        <w:t>附件：</w:t>
      </w:r>
    </w:p>
    <w:p w14:paraId="55DAA7DD">
      <w:pPr>
        <w:jc w:val="center"/>
        <w:rPr>
          <w:rFonts w:hint="eastAsia" w:ascii="仿宋" w:hAnsi="仿宋" w:eastAsia="仿宋" w:cs="仿宋"/>
          <w:b/>
          <w:bCs/>
          <w:sz w:val="36"/>
          <w:szCs w:val="36"/>
        </w:rPr>
      </w:pPr>
      <w:r>
        <w:rPr>
          <w:rFonts w:hint="eastAsia" w:ascii="仿宋" w:hAnsi="仿宋" w:eastAsia="仿宋" w:cs="仿宋"/>
          <w:b/>
          <w:bCs/>
          <w:sz w:val="36"/>
          <w:szCs w:val="36"/>
        </w:rPr>
        <w:t>政府采购投诉书（范本）、质疑函范本</w:t>
      </w:r>
    </w:p>
    <w:p w14:paraId="5D3153C8">
      <w:pPr>
        <w:pStyle w:val="3"/>
        <w:numPr>
          <w:ilvl w:val="1"/>
          <w:numId w:val="0"/>
        </w:numPr>
        <w:bidi w:val="0"/>
        <w:ind w:left="431" w:leftChars="0"/>
        <w:jc w:val="center"/>
        <w:rPr>
          <w:rFonts w:hint="eastAsia" w:ascii="仿宋" w:hAnsi="仿宋" w:eastAsia="仿宋" w:cs="仿宋"/>
          <w:sz w:val="36"/>
          <w:szCs w:val="36"/>
          <w:highlight w:val="none"/>
          <w:lang w:eastAsia="zh-CN"/>
        </w:rPr>
      </w:pPr>
      <w:bookmarkStart w:id="84" w:name="_Toc13447"/>
      <w:bookmarkStart w:id="85" w:name="_Toc29624"/>
      <w:r>
        <w:rPr>
          <w:rFonts w:hint="eastAsia" w:ascii="仿宋" w:hAnsi="仿宋" w:eastAsia="仿宋" w:cs="仿宋"/>
          <w:sz w:val="36"/>
          <w:szCs w:val="36"/>
          <w:highlight w:val="none"/>
        </w:rPr>
        <w:t>投 诉 书</w:t>
      </w:r>
      <w:bookmarkEnd w:id="84"/>
      <w:bookmarkEnd w:id="85"/>
    </w:p>
    <w:p w14:paraId="17A21854">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outlineLvl w:val="0"/>
        <w:rPr>
          <w:rFonts w:hint="eastAsia" w:ascii="仿宋" w:hAnsi="仿宋" w:eastAsia="仿宋" w:cs="仿宋"/>
          <w:kern w:val="0"/>
          <w:sz w:val="32"/>
          <w:szCs w:val="32"/>
          <w:highlight w:val="none"/>
          <w:lang w:eastAsia="zh-CN"/>
        </w:rPr>
      </w:pPr>
      <w:bookmarkStart w:id="86" w:name="_Toc30403"/>
      <w:bookmarkStart w:id="87" w:name="_Toc4730"/>
      <w:bookmarkStart w:id="88" w:name="_Toc18623"/>
      <w:bookmarkStart w:id="89" w:name="_Toc22042"/>
      <w:bookmarkStart w:id="90" w:name="_Toc21897"/>
      <w:r>
        <w:rPr>
          <w:rFonts w:hint="eastAsia" w:ascii="仿宋" w:hAnsi="仿宋" w:eastAsia="仿宋" w:cs="仿宋"/>
          <w:kern w:val="0"/>
          <w:sz w:val="32"/>
          <w:szCs w:val="32"/>
          <w:highlight w:val="none"/>
          <w:lang w:eastAsia="zh-CN"/>
        </w:rPr>
        <w:t>一、投诉相关主体基本情况</w:t>
      </w:r>
      <w:bookmarkEnd w:id="86"/>
      <w:bookmarkEnd w:id="87"/>
      <w:bookmarkEnd w:id="88"/>
      <w:bookmarkEnd w:id="89"/>
      <w:bookmarkEnd w:id="90"/>
    </w:p>
    <w:p w14:paraId="1AFFA758">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rPr>
        <w:t>投诉人：</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 xml:space="preserve">     </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rPr>
        <w:t xml:space="preserve">  </w:t>
      </w:r>
    </w:p>
    <w:p w14:paraId="228D55D2">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rPr>
        <w:t>地</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址：</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rPr>
        <w:t>邮</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编：</w:t>
      </w:r>
      <w:r>
        <w:rPr>
          <w:rFonts w:hint="eastAsia" w:ascii="仿宋" w:hAnsi="仿宋" w:eastAsia="仿宋" w:cs="仿宋"/>
          <w:kern w:val="0"/>
          <w:sz w:val="32"/>
          <w:szCs w:val="32"/>
          <w:highlight w:val="none"/>
          <w:u w:val="single"/>
        </w:rPr>
        <w:t xml:space="preserve">             </w:t>
      </w:r>
    </w:p>
    <w:p w14:paraId="68B02D37">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法定代表人/主要负责人：</w:t>
      </w:r>
      <w:r>
        <w:rPr>
          <w:rFonts w:hint="eastAsia" w:ascii="仿宋" w:hAnsi="仿宋" w:eastAsia="仿宋" w:cs="仿宋"/>
          <w:kern w:val="0"/>
          <w:sz w:val="32"/>
          <w:szCs w:val="32"/>
          <w:highlight w:val="none"/>
          <w:u w:val="single"/>
          <w:lang w:val="en-US" w:eastAsia="zh-CN"/>
        </w:rPr>
        <w:t xml:space="preserve">                             </w:t>
      </w:r>
    </w:p>
    <w:p w14:paraId="03DDBBFB">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rPr>
        <w:t>联系电话：</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p>
    <w:p w14:paraId="4360F47C">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rPr>
        <w:t>地</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址：</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rPr>
        <w:t>邮</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编：</w:t>
      </w:r>
      <w:r>
        <w:rPr>
          <w:rFonts w:hint="eastAsia" w:ascii="仿宋" w:hAnsi="仿宋" w:eastAsia="仿宋" w:cs="仿宋"/>
          <w:kern w:val="0"/>
          <w:sz w:val="32"/>
          <w:szCs w:val="32"/>
          <w:highlight w:val="none"/>
          <w:u w:val="single"/>
        </w:rPr>
        <w:t xml:space="preserve">             </w:t>
      </w:r>
    </w:p>
    <w:p w14:paraId="65402D61">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u w:val="single"/>
          <w:lang w:val="en-US" w:eastAsia="zh-CN"/>
        </w:rPr>
      </w:pPr>
      <w:r>
        <w:rPr>
          <w:rFonts w:hint="eastAsia" w:ascii="仿宋" w:hAnsi="仿宋" w:eastAsia="仿宋" w:cs="仿宋"/>
          <w:kern w:val="0"/>
          <w:sz w:val="32"/>
          <w:szCs w:val="32"/>
          <w:highlight w:val="none"/>
          <w:u w:val="none"/>
          <w:lang w:eastAsia="zh-CN"/>
        </w:rPr>
        <w:t>授权代表（如有）：</w:t>
      </w:r>
      <w:r>
        <w:rPr>
          <w:rFonts w:hint="eastAsia" w:ascii="仿宋" w:hAnsi="仿宋" w:eastAsia="仿宋" w:cs="仿宋"/>
          <w:kern w:val="0"/>
          <w:sz w:val="32"/>
          <w:szCs w:val="32"/>
          <w:highlight w:val="none"/>
          <w:u w:val="single"/>
          <w:lang w:val="en-US" w:eastAsia="zh-CN"/>
        </w:rPr>
        <w:t xml:space="preserve">                         </w:t>
      </w:r>
    </w:p>
    <w:p w14:paraId="191FBC49">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lang w:val="en-US" w:eastAsia="zh-CN"/>
        </w:rPr>
        <w:t>联系电话：</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p>
    <w:p w14:paraId="52A7836C">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rPr>
        <w:t>地</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址：</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rPr>
        <w:t>邮</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编：</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rPr>
        <w:t xml:space="preserve">         </w:t>
      </w:r>
    </w:p>
    <w:p w14:paraId="6DA27E51">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u w:val="single"/>
          <w:lang w:val="en-US" w:eastAsia="zh-CN"/>
        </w:rPr>
      </w:pPr>
      <w:r>
        <w:rPr>
          <w:rFonts w:hint="eastAsia" w:ascii="仿宋" w:hAnsi="仿宋" w:eastAsia="仿宋" w:cs="仿宋"/>
          <w:kern w:val="0"/>
          <w:sz w:val="32"/>
          <w:szCs w:val="32"/>
          <w:highlight w:val="none"/>
          <w:u w:val="none"/>
          <w:lang w:eastAsia="zh-CN"/>
        </w:rPr>
        <w:t>被投诉人</w:t>
      </w:r>
      <w:r>
        <w:rPr>
          <w:rFonts w:hint="eastAsia" w:ascii="仿宋" w:hAnsi="仿宋" w:eastAsia="仿宋" w:cs="仿宋"/>
          <w:kern w:val="0"/>
          <w:sz w:val="32"/>
          <w:szCs w:val="32"/>
          <w:highlight w:val="none"/>
          <w:u w:val="none"/>
          <w:lang w:val="en-US" w:eastAsia="zh-CN"/>
        </w:rPr>
        <w:t>1：</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rPr>
        <w:t>地</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址：</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rPr>
        <w:t>邮</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编：</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p>
    <w:p w14:paraId="56994F0A">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u w:val="single"/>
          <w:lang w:val="en-US" w:eastAsia="zh-CN"/>
        </w:rPr>
      </w:pPr>
      <w:r>
        <w:rPr>
          <w:rFonts w:hint="eastAsia" w:ascii="仿宋" w:hAnsi="仿宋" w:eastAsia="仿宋" w:cs="仿宋"/>
          <w:kern w:val="0"/>
          <w:sz w:val="32"/>
          <w:szCs w:val="32"/>
          <w:highlight w:val="none"/>
          <w:lang w:eastAsia="zh-CN"/>
        </w:rPr>
        <w:t>联系人：</w:t>
      </w:r>
      <w:r>
        <w:rPr>
          <w:rFonts w:hint="eastAsia" w:ascii="仿宋" w:hAnsi="仿宋" w:eastAsia="仿宋" w:cs="仿宋"/>
          <w:kern w:val="0"/>
          <w:sz w:val="32"/>
          <w:szCs w:val="32"/>
          <w:highlight w:val="none"/>
          <w:u w:val="single"/>
          <w:lang w:val="en-US" w:eastAsia="zh-CN"/>
        </w:rPr>
        <w:t xml:space="preserve">                  </w:t>
      </w:r>
    </w:p>
    <w:p w14:paraId="0B9BC254">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rPr>
        <w:t>联系电话：</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p>
    <w:p w14:paraId="7304DAB3">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single"/>
          <w:lang w:val="en-US" w:eastAsia="zh-CN"/>
        </w:rPr>
      </w:pPr>
      <w:r>
        <w:rPr>
          <w:rFonts w:hint="eastAsia" w:ascii="仿宋" w:hAnsi="仿宋" w:eastAsia="仿宋" w:cs="仿宋"/>
          <w:kern w:val="0"/>
          <w:sz w:val="32"/>
          <w:szCs w:val="32"/>
          <w:highlight w:val="none"/>
          <w:u w:val="none"/>
          <w:lang w:eastAsia="zh-CN"/>
        </w:rPr>
        <w:t>被投诉人</w:t>
      </w:r>
      <w:r>
        <w:rPr>
          <w:rFonts w:hint="eastAsia" w:ascii="仿宋" w:hAnsi="仿宋" w:eastAsia="仿宋" w:cs="仿宋"/>
          <w:kern w:val="0"/>
          <w:sz w:val="32"/>
          <w:szCs w:val="32"/>
          <w:highlight w:val="none"/>
          <w:u w:val="none"/>
          <w:lang w:val="en-US" w:eastAsia="zh-CN"/>
        </w:rPr>
        <w:t>2：</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p>
    <w:p w14:paraId="7A4E4F62">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left="638" w:leftChars="304" w:firstLine="0" w:firstLineChars="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u w:val="none"/>
          <w:lang w:val="en-US" w:eastAsia="zh-CN"/>
        </w:rPr>
        <w:t>相关供应商</w:t>
      </w:r>
      <w:r>
        <w:rPr>
          <w:rFonts w:hint="eastAsia" w:ascii="仿宋" w:hAnsi="仿宋" w:eastAsia="仿宋" w:cs="仿宋"/>
          <w:kern w:val="0"/>
          <w:sz w:val="32"/>
          <w:szCs w:val="32"/>
          <w:highlight w:val="none"/>
          <w:u w:val="none"/>
          <w:lang w:eastAsia="zh-CN"/>
        </w:rPr>
        <w:t>（如有）</w:t>
      </w:r>
      <w:r>
        <w:rPr>
          <w:rFonts w:hint="eastAsia" w:ascii="仿宋" w:hAnsi="仿宋" w:eastAsia="仿宋" w:cs="仿宋"/>
          <w:kern w:val="0"/>
          <w:sz w:val="32"/>
          <w:szCs w:val="32"/>
          <w:highlight w:val="none"/>
          <w:u w:val="none"/>
          <w:lang w:val="en-US" w:eastAsia="zh-CN"/>
        </w:rPr>
        <w:t>：</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rPr>
        <w:t>地</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址：</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rPr>
        <w:t>邮编：</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p>
    <w:p w14:paraId="51B9AD0B">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rPr>
        <w:t>联系人：</w:t>
      </w:r>
      <w:r>
        <w:rPr>
          <w:rFonts w:hint="eastAsia" w:ascii="仿宋" w:hAnsi="仿宋" w:eastAsia="仿宋" w:cs="仿宋"/>
          <w:kern w:val="0"/>
          <w:sz w:val="32"/>
          <w:szCs w:val="32"/>
          <w:highlight w:val="none"/>
          <w:u w:val="single"/>
        </w:rPr>
        <w:t xml:space="preserve">                   </w:t>
      </w:r>
    </w:p>
    <w:p w14:paraId="5D3E90F2">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400" w:lineRule="exact"/>
        <w:ind w:firstLine="640" w:firstLineChars="200"/>
        <w:jc w:val="left"/>
        <w:textAlignment w:val="auto"/>
        <w:rPr>
          <w:rFonts w:hint="eastAsia" w:ascii="仿宋" w:hAnsi="仿宋" w:eastAsia="仿宋" w:cs="仿宋"/>
          <w:kern w:val="0"/>
          <w:sz w:val="32"/>
          <w:szCs w:val="32"/>
          <w:highlight w:val="none"/>
          <w:u w:val="single"/>
        </w:rPr>
      </w:pPr>
      <w:r>
        <w:rPr>
          <w:rFonts w:hint="eastAsia" w:ascii="仿宋" w:hAnsi="仿宋" w:eastAsia="仿宋" w:cs="仿宋"/>
          <w:kern w:val="0"/>
          <w:sz w:val="32"/>
          <w:szCs w:val="32"/>
          <w:highlight w:val="none"/>
        </w:rPr>
        <w:t>联系电话：</w:t>
      </w:r>
      <w:r>
        <w:rPr>
          <w:rFonts w:hint="eastAsia" w:ascii="仿宋" w:hAnsi="仿宋" w:eastAsia="仿宋" w:cs="仿宋"/>
          <w:kern w:val="0"/>
          <w:sz w:val="32"/>
          <w:szCs w:val="32"/>
          <w:highlight w:val="none"/>
          <w:u w:val="single"/>
        </w:rPr>
        <w:t xml:space="preserve">         </w:t>
      </w:r>
      <w:r>
        <w:rPr>
          <w:rFonts w:hint="eastAsia" w:ascii="仿宋" w:hAnsi="仿宋" w:eastAsia="仿宋" w:cs="仿宋"/>
          <w:kern w:val="0"/>
          <w:sz w:val="32"/>
          <w:szCs w:val="32"/>
          <w:highlight w:val="none"/>
          <w:u w:val="single"/>
          <w:lang w:val="en-US" w:eastAsia="zh-CN"/>
        </w:rPr>
        <w:t xml:space="preserve">  </w:t>
      </w:r>
      <w:r>
        <w:rPr>
          <w:rFonts w:hint="eastAsia" w:ascii="仿宋" w:hAnsi="仿宋" w:eastAsia="仿宋" w:cs="仿宋"/>
          <w:kern w:val="0"/>
          <w:sz w:val="32"/>
          <w:szCs w:val="32"/>
          <w:highlight w:val="none"/>
          <w:u w:val="single"/>
        </w:rPr>
        <w:t xml:space="preserve">    </w:t>
      </w:r>
    </w:p>
    <w:p w14:paraId="537E631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outlineLvl w:val="0"/>
        <w:rPr>
          <w:rFonts w:hint="eastAsia" w:ascii="仿宋" w:hAnsi="仿宋" w:eastAsia="仿宋" w:cs="仿宋"/>
          <w:kern w:val="0"/>
          <w:sz w:val="32"/>
          <w:szCs w:val="32"/>
          <w:highlight w:val="none"/>
          <w:lang w:eastAsia="zh-CN"/>
        </w:rPr>
      </w:pPr>
      <w:bookmarkStart w:id="91" w:name="_Toc17048"/>
      <w:bookmarkStart w:id="92" w:name="_Toc10853"/>
      <w:bookmarkStart w:id="93" w:name="_Toc25214"/>
      <w:bookmarkStart w:id="94" w:name="_Toc18283"/>
      <w:bookmarkStart w:id="95" w:name="_Toc7437"/>
      <w:r>
        <w:rPr>
          <w:rFonts w:hint="eastAsia" w:ascii="仿宋" w:hAnsi="仿宋" w:eastAsia="仿宋" w:cs="仿宋"/>
          <w:kern w:val="0"/>
          <w:sz w:val="32"/>
          <w:szCs w:val="32"/>
          <w:highlight w:val="none"/>
          <w:lang w:eastAsia="zh-CN"/>
        </w:rPr>
        <w:t>二、投诉项目基本情况</w:t>
      </w:r>
      <w:bookmarkEnd w:id="91"/>
      <w:bookmarkEnd w:id="92"/>
      <w:bookmarkEnd w:id="93"/>
      <w:bookmarkEnd w:id="94"/>
      <w:bookmarkEnd w:id="95"/>
    </w:p>
    <w:p w14:paraId="667276F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lang w:eastAsia="zh-CN"/>
        </w:rPr>
        <w:t>采购项目名称：</w:t>
      </w:r>
    </w:p>
    <w:p w14:paraId="1C41832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eastAsia="zh-CN"/>
        </w:rPr>
        <w:t>采购项目编号：</w:t>
      </w:r>
      <w:r>
        <w:rPr>
          <w:rFonts w:hint="eastAsia" w:ascii="仿宋" w:hAnsi="仿宋" w:eastAsia="仿宋" w:cs="仿宋"/>
          <w:kern w:val="0"/>
          <w:sz w:val="32"/>
          <w:szCs w:val="32"/>
          <w:highlight w:val="none"/>
          <w:lang w:val="en-US" w:eastAsia="zh-CN"/>
        </w:rPr>
        <w:t xml:space="preserve">        包号：</w:t>
      </w:r>
    </w:p>
    <w:p w14:paraId="6D05861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采购人名称：</w:t>
      </w:r>
    </w:p>
    <w:p w14:paraId="4DF03F3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代理机构名称：</w:t>
      </w:r>
    </w:p>
    <w:p w14:paraId="3EBA4DC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采购文件公告：是/否 公告期限：</w:t>
      </w:r>
    </w:p>
    <w:p w14:paraId="019F98C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采购结果公告：是/否 公告期限：</w:t>
      </w:r>
    </w:p>
    <w:p w14:paraId="4DD9F28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outlineLvl w:val="0"/>
        <w:rPr>
          <w:rFonts w:hint="eastAsia" w:ascii="仿宋" w:hAnsi="仿宋" w:eastAsia="仿宋" w:cs="仿宋"/>
          <w:kern w:val="0"/>
          <w:sz w:val="32"/>
          <w:szCs w:val="32"/>
          <w:highlight w:val="none"/>
          <w:lang w:val="en-US" w:eastAsia="zh-CN"/>
        </w:rPr>
      </w:pPr>
      <w:bookmarkStart w:id="96" w:name="_Toc13582"/>
      <w:bookmarkStart w:id="97" w:name="_Toc2182"/>
      <w:bookmarkStart w:id="98" w:name="_Toc14152"/>
      <w:bookmarkStart w:id="99" w:name="_Toc25877"/>
      <w:bookmarkStart w:id="100" w:name="_Toc13183"/>
      <w:r>
        <w:rPr>
          <w:rFonts w:hint="eastAsia" w:ascii="仿宋" w:hAnsi="仿宋" w:eastAsia="仿宋" w:cs="仿宋"/>
          <w:kern w:val="0"/>
          <w:sz w:val="32"/>
          <w:szCs w:val="32"/>
          <w:highlight w:val="none"/>
          <w:lang w:val="en-US" w:eastAsia="zh-CN"/>
        </w:rPr>
        <w:t>三、质疑基本情况</w:t>
      </w:r>
      <w:bookmarkEnd w:id="96"/>
      <w:bookmarkEnd w:id="97"/>
      <w:bookmarkEnd w:id="98"/>
      <w:bookmarkEnd w:id="99"/>
      <w:bookmarkEnd w:id="100"/>
    </w:p>
    <w:p w14:paraId="0A4B6B0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投诉人于    年  月  日，向       提出质疑，</w:t>
      </w:r>
    </w:p>
    <w:p w14:paraId="4B364B9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质疑事项为：</w:t>
      </w:r>
    </w:p>
    <w:p w14:paraId="758AF6D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采购人/代理机构于    年  月  日，就质疑事项做出了答复/没有在法定期限内做出答复。</w:t>
      </w:r>
    </w:p>
    <w:p w14:paraId="398632D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outlineLvl w:val="0"/>
        <w:rPr>
          <w:rFonts w:hint="eastAsia" w:ascii="仿宋" w:hAnsi="仿宋" w:eastAsia="仿宋" w:cs="仿宋"/>
          <w:kern w:val="0"/>
          <w:sz w:val="32"/>
          <w:szCs w:val="32"/>
          <w:highlight w:val="none"/>
          <w:lang w:val="en-US" w:eastAsia="zh-CN"/>
        </w:rPr>
      </w:pPr>
      <w:bookmarkStart w:id="101" w:name="_Toc23110"/>
      <w:bookmarkStart w:id="102" w:name="_Toc3347"/>
      <w:bookmarkStart w:id="103" w:name="_Toc17256"/>
      <w:bookmarkStart w:id="104" w:name="_Toc26083"/>
      <w:bookmarkStart w:id="105" w:name="_Toc15203"/>
      <w:r>
        <w:rPr>
          <w:rFonts w:hint="eastAsia" w:ascii="仿宋" w:hAnsi="仿宋" w:eastAsia="仿宋" w:cs="仿宋"/>
          <w:kern w:val="0"/>
          <w:sz w:val="32"/>
          <w:szCs w:val="32"/>
          <w:highlight w:val="none"/>
          <w:lang w:val="en-US" w:eastAsia="zh-CN"/>
        </w:rPr>
        <w:t>四、投诉事项具体内容</w:t>
      </w:r>
      <w:bookmarkEnd w:id="101"/>
      <w:bookmarkEnd w:id="102"/>
      <w:bookmarkEnd w:id="103"/>
      <w:bookmarkEnd w:id="104"/>
      <w:bookmarkEnd w:id="105"/>
    </w:p>
    <w:p w14:paraId="1420D6A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投诉事项1：</w:t>
      </w:r>
    </w:p>
    <w:p w14:paraId="11111CA5">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事实依据：</w:t>
      </w:r>
    </w:p>
    <w:p w14:paraId="50A7550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法律依据1：</w:t>
      </w:r>
    </w:p>
    <w:p w14:paraId="25BCC91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法律依据2：</w:t>
      </w:r>
    </w:p>
    <w:p w14:paraId="5123F04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投诉事项2：</w:t>
      </w:r>
    </w:p>
    <w:p w14:paraId="63081AD7">
      <w:pPr>
        <w:ind w:firstLine="640" w:firstLineChars="200"/>
        <w:rPr>
          <w:rFonts w:hint="eastAsia" w:ascii="仿宋" w:hAnsi="仿宋" w:eastAsia="仿宋" w:cs="仿宋"/>
          <w:kern w:val="0"/>
          <w:sz w:val="32"/>
          <w:szCs w:val="32"/>
          <w:highlight w:val="none"/>
          <w:u w:val="single"/>
          <w:lang w:val="en-US" w:eastAsia="zh-CN"/>
        </w:rPr>
      </w:pPr>
      <w:r>
        <w:rPr>
          <w:rFonts w:hint="eastAsia" w:ascii="仿宋" w:hAnsi="仿宋" w:eastAsia="仿宋" w:cs="仿宋"/>
          <w:sz w:val="32"/>
          <w:szCs w:val="32"/>
          <w:highlight w:val="none"/>
        </w:rPr>
        <w:t>……</w:t>
      </w:r>
    </w:p>
    <w:p w14:paraId="4C96578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outlineLvl w:val="0"/>
        <w:rPr>
          <w:rFonts w:hint="eastAsia" w:ascii="仿宋" w:hAnsi="仿宋" w:eastAsia="仿宋" w:cs="仿宋"/>
          <w:kern w:val="0"/>
          <w:sz w:val="32"/>
          <w:szCs w:val="32"/>
          <w:highlight w:val="none"/>
          <w:lang w:eastAsia="zh-CN"/>
        </w:rPr>
      </w:pPr>
      <w:bookmarkStart w:id="106" w:name="_Toc32324"/>
      <w:bookmarkStart w:id="107" w:name="_Toc13424"/>
      <w:bookmarkStart w:id="108" w:name="_Toc31495"/>
      <w:bookmarkStart w:id="109" w:name="_Toc16036"/>
      <w:bookmarkStart w:id="110" w:name="_Toc16741"/>
      <w:r>
        <w:rPr>
          <w:rFonts w:hint="eastAsia" w:ascii="仿宋" w:hAnsi="仿宋" w:eastAsia="仿宋" w:cs="仿宋"/>
          <w:kern w:val="0"/>
          <w:sz w:val="32"/>
          <w:szCs w:val="32"/>
          <w:highlight w:val="none"/>
          <w:lang w:eastAsia="zh-CN"/>
        </w:rPr>
        <w:t>五、与投诉事项相关的投诉请求</w:t>
      </w:r>
      <w:bookmarkEnd w:id="106"/>
      <w:bookmarkEnd w:id="107"/>
      <w:bookmarkEnd w:id="108"/>
      <w:bookmarkEnd w:id="109"/>
      <w:bookmarkEnd w:id="110"/>
    </w:p>
    <w:p w14:paraId="3C7591BC">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Chars="0" w:firstLine="640" w:firstLineChars="200"/>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eastAsia="zh-CN"/>
        </w:rPr>
        <w:t>请求：</w:t>
      </w:r>
    </w:p>
    <w:p w14:paraId="3F8C1E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eastAsia="zh-CN"/>
        </w:rPr>
        <w:t>签字（签章）（法人代表或负责人、代理人）：</w:t>
      </w:r>
      <w:r>
        <w:rPr>
          <w:rFonts w:hint="eastAsia" w:ascii="仿宋" w:hAnsi="仿宋" w:eastAsia="仿宋" w:cs="仿宋"/>
          <w:kern w:val="0"/>
          <w:sz w:val="32"/>
          <w:szCs w:val="32"/>
          <w:highlight w:val="none"/>
          <w:lang w:val="en-US" w:eastAsia="zh-CN"/>
        </w:rPr>
        <w:t xml:space="preserve">       </w:t>
      </w:r>
    </w:p>
    <w:p w14:paraId="1FA4BC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kern w:val="0"/>
          <w:sz w:val="32"/>
          <w:szCs w:val="32"/>
          <w:highlight w:val="none"/>
        </w:rPr>
      </w:pPr>
      <w:r>
        <w:rPr>
          <w:rFonts w:hint="eastAsia" w:ascii="仿宋" w:hAnsi="仿宋" w:eastAsia="仿宋" w:cs="仿宋"/>
          <w:kern w:val="0"/>
          <w:sz w:val="32"/>
          <w:szCs w:val="32"/>
          <w:highlight w:val="none"/>
          <w:lang w:eastAsia="zh-CN"/>
        </w:rPr>
        <w:t>公章（单位）：</w:t>
      </w:r>
      <w:r>
        <w:rPr>
          <w:rFonts w:hint="eastAsia" w:ascii="仿宋" w:hAnsi="仿宋" w:eastAsia="仿宋" w:cs="仿宋"/>
          <w:kern w:val="0"/>
          <w:sz w:val="32"/>
          <w:szCs w:val="32"/>
          <w:highlight w:val="none"/>
        </w:rPr>
        <w:t xml:space="preserve">            </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kern w:val="0"/>
          <w:sz w:val="32"/>
          <w:szCs w:val="32"/>
          <w:highlight w:val="none"/>
        </w:rPr>
        <w:t xml:space="preserve">  </w:t>
      </w:r>
    </w:p>
    <w:p w14:paraId="6B0804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lang w:eastAsia="zh-CN"/>
        </w:rPr>
        <w:t>日期：</w:t>
      </w:r>
    </w:p>
    <w:p w14:paraId="6BA198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left"/>
        <w:rPr>
          <w:rFonts w:hint="eastAsia" w:ascii="仿宋" w:hAnsi="仿宋" w:eastAsia="仿宋" w:cs="仿宋"/>
          <w:kern w:val="0"/>
          <w:sz w:val="32"/>
          <w:szCs w:val="32"/>
          <w:highlight w:val="none"/>
          <w:lang w:eastAsia="zh-CN"/>
        </w:rPr>
      </w:pPr>
    </w:p>
    <w:p w14:paraId="55DEF7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jc w:val="left"/>
        <w:rPr>
          <w:rFonts w:hint="eastAsia" w:ascii="仿宋" w:hAnsi="仿宋" w:eastAsia="仿宋" w:cs="仿宋"/>
          <w:kern w:val="0"/>
          <w:sz w:val="32"/>
          <w:szCs w:val="32"/>
          <w:highlight w:val="none"/>
          <w:lang w:eastAsia="zh-CN"/>
        </w:rPr>
      </w:pPr>
      <w:r>
        <w:rPr>
          <w:rFonts w:hint="eastAsia" w:ascii="仿宋" w:hAnsi="仿宋" w:eastAsia="仿宋" w:cs="仿宋"/>
          <w:kern w:val="0"/>
          <w:sz w:val="32"/>
          <w:szCs w:val="32"/>
          <w:highlight w:val="none"/>
          <w:lang w:eastAsia="zh-CN"/>
        </w:rPr>
        <w:t>附件：质疑及答复材料</w:t>
      </w:r>
    </w:p>
    <w:p w14:paraId="283BFB59">
      <w:pPr>
        <w:rPr>
          <w:rFonts w:hint="eastAsia" w:ascii="仿宋" w:hAnsi="仿宋" w:eastAsia="仿宋" w:cs="仿宋"/>
          <w:b/>
          <w:bCs/>
          <w:color w:val="auto"/>
          <w:kern w:val="0"/>
          <w:sz w:val="32"/>
          <w:szCs w:val="32"/>
          <w:highlight w:val="none"/>
          <w:lang w:eastAsia="zh-CN"/>
        </w:rPr>
      </w:pPr>
      <w:r>
        <w:rPr>
          <w:rFonts w:hint="eastAsia" w:ascii="仿宋" w:hAnsi="仿宋" w:eastAsia="仿宋" w:cs="仿宋"/>
          <w:b/>
          <w:bCs/>
          <w:color w:val="auto"/>
          <w:kern w:val="0"/>
          <w:sz w:val="32"/>
          <w:szCs w:val="32"/>
          <w:highlight w:val="none"/>
          <w:lang w:eastAsia="zh-CN"/>
        </w:rPr>
        <w:br w:type="page"/>
      </w:r>
      <w:r>
        <w:rPr>
          <w:rFonts w:hint="eastAsia" w:ascii="仿宋" w:hAnsi="仿宋" w:eastAsia="仿宋" w:cs="仿宋"/>
          <w:b/>
          <w:bCs/>
          <w:color w:val="auto"/>
          <w:kern w:val="0"/>
          <w:sz w:val="32"/>
          <w:szCs w:val="32"/>
          <w:highlight w:val="none"/>
          <w:lang w:eastAsia="zh-CN"/>
        </w:rPr>
        <w:t>投诉书制作说明：</w:t>
      </w:r>
    </w:p>
    <w:p w14:paraId="40C30A8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1.投诉人应当按照《政府采购质疑和投诉办法》（财政部令第94号）规定提起投诉。</w:t>
      </w:r>
    </w:p>
    <w:p w14:paraId="3FC058F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2.投诉人提起投诉时，应当提交投诉书和必要的证明材料，并按照被投诉人和与投诉事项有关的供应商数量提供投诉书副本。</w:t>
      </w:r>
    </w:p>
    <w:p w14:paraId="65700450">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12505141">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4.投诉人若对项目的某一分包进行投诉，投诉书应列明具体分包号。</w:t>
      </w:r>
    </w:p>
    <w:p w14:paraId="4C4C92A3">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5.投诉书应简要列明质疑事项，质疑函、质疑答复等作为附件材料提供。</w:t>
      </w:r>
    </w:p>
    <w:p w14:paraId="31207A29">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6.投诉书的投诉事项应具体、明确，并由必要的事实依据和法律依据。</w:t>
      </w:r>
    </w:p>
    <w:p w14:paraId="5134A50A">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7.投诉书的投诉请求应与投诉事项相关。</w:t>
      </w:r>
    </w:p>
    <w:p w14:paraId="730A8EA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b/>
          <w:bCs/>
          <w:color w:val="auto"/>
          <w:sz w:val="32"/>
          <w:szCs w:val="32"/>
          <w:highlight w:val="none"/>
        </w:rPr>
      </w:pPr>
      <w:r>
        <w:rPr>
          <w:rFonts w:hint="eastAsia" w:ascii="仿宋" w:hAnsi="仿宋" w:eastAsia="仿宋" w:cs="仿宋"/>
          <w:color w:val="auto"/>
          <w:kern w:val="0"/>
          <w:sz w:val="32"/>
          <w:szCs w:val="32"/>
          <w:highlight w:val="none"/>
          <w:lang w:val="en-US" w:eastAsia="zh-CN"/>
        </w:rPr>
        <w:t>8.投诉人为自然人的，投诉书应当由本人签字；投诉书应当由法定代表人、主要负责人，或者其授权代表签字或者盖章，并加盖公章。</w:t>
      </w:r>
    </w:p>
    <w:p w14:paraId="71FCFF73">
      <w:pPr>
        <w:shd w:val="clear" w:color="auto" w:fill="auto"/>
        <w:jc w:val="center"/>
        <w:outlineLvl w:val="0"/>
        <w:rPr>
          <w:rFonts w:hint="eastAsia" w:ascii="仿宋" w:hAnsi="仿宋" w:eastAsia="仿宋" w:cs="仿宋"/>
          <w:b/>
          <w:bCs/>
          <w:color w:val="auto"/>
          <w:sz w:val="32"/>
          <w:szCs w:val="32"/>
          <w:highlight w:val="none"/>
        </w:rPr>
      </w:pPr>
      <w:bookmarkStart w:id="111" w:name="_Toc2368"/>
    </w:p>
    <w:p w14:paraId="59E5D095">
      <w:pPr>
        <w:shd w:val="clear" w:color="auto" w:fill="auto"/>
        <w:jc w:val="center"/>
        <w:outlineLvl w:val="0"/>
        <w:rPr>
          <w:rFonts w:hint="eastAsia" w:ascii="仿宋" w:hAnsi="仿宋" w:eastAsia="仿宋" w:cs="仿宋"/>
          <w:b/>
          <w:bCs/>
          <w:color w:val="auto"/>
          <w:sz w:val="32"/>
          <w:szCs w:val="32"/>
          <w:highlight w:val="none"/>
        </w:rPr>
      </w:pPr>
    </w:p>
    <w:p w14:paraId="75CB72E5">
      <w:pPr>
        <w:shd w:val="clear" w:color="auto" w:fill="auto"/>
        <w:jc w:val="center"/>
        <w:outlineLvl w:val="0"/>
        <w:rPr>
          <w:rFonts w:hint="eastAsia" w:ascii="仿宋" w:hAnsi="仿宋" w:eastAsia="仿宋" w:cs="仿宋"/>
          <w:b/>
          <w:bCs/>
          <w:color w:val="auto"/>
          <w:sz w:val="32"/>
          <w:szCs w:val="32"/>
          <w:highlight w:val="none"/>
        </w:rPr>
      </w:pPr>
    </w:p>
    <w:p w14:paraId="724D3E72">
      <w:pPr>
        <w:pStyle w:val="6"/>
        <w:ind w:left="0" w:leftChars="0" w:firstLine="0" w:firstLineChars="0"/>
        <w:rPr>
          <w:rFonts w:hint="eastAsia" w:ascii="仿宋" w:hAnsi="仿宋" w:eastAsia="仿宋" w:cs="仿宋"/>
          <w:color w:val="auto"/>
          <w:sz w:val="32"/>
          <w:szCs w:val="32"/>
          <w:highlight w:val="none"/>
        </w:rPr>
      </w:pPr>
    </w:p>
    <w:p w14:paraId="69EB0E36">
      <w:pPr>
        <w:shd w:val="clear" w:color="auto" w:fill="auto"/>
        <w:jc w:val="center"/>
        <w:outlineLvl w:val="0"/>
        <w:rPr>
          <w:rFonts w:hint="eastAsia" w:ascii="仿宋" w:hAnsi="仿宋" w:eastAsia="仿宋" w:cs="仿宋"/>
          <w:color w:val="auto"/>
          <w:sz w:val="32"/>
          <w:szCs w:val="32"/>
          <w:highlight w:val="none"/>
        </w:rPr>
      </w:pPr>
      <w:bookmarkStart w:id="112" w:name="_Toc17913"/>
      <w:bookmarkStart w:id="113" w:name="_Toc16785"/>
      <w:bookmarkStart w:id="114" w:name="_Toc28225"/>
      <w:r>
        <w:rPr>
          <w:rFonts w:hint="eastAsia" w:ascii="仿宋" w:hAnsi="仿宋" w:eastAsia="仿宋" w:cs="仿宋"/>
          <w:b/>
          <w:bCs/>
          <w:color w:val="auto"/>
          <w:sz w:val="32"/>
          <w:szCs w:val="32"/>
          <w:highlight w:val="none"/>
        </w:rPr>
        <w:t>投诉相关说明</w:t>
      </w:r>
      <w:bookmarkEnd w:id="79"/>
      <w:bookmarkEnd w:id="80"/>
      <w:bookmarkEnd w:id="81"/>
      <w:bookmarkEnd w:id="82"/>
      <w:bookmarkEnd w:id="83"/>
      <w:bookmarkEnd w:id="111"/>
      <w:bookmarkEnd w:id="112"/>
      <w:bookmarkEnd w:id="113"/>
      <w:bookmarkEnd w:id="114"/>
    </w:p>
    <w:p w14:paraId="6BBB152E">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投诉人应当满足《政府采购法》、《政府采购法实施条例》和《政府采购供应商投诉处理办法》的相关规定。</w:t>
      </w:r>
    </w:p>
    <w:p w14:paraId="255169E2">
      <w:pPr>
        <w:keepNext w:val="0"/>
        <w:keepLines w:val="0"/>
        <w:pageBreakBefore w:val="0"/>
        <w:numPr>
          <w:ilvl w:val="0"/>
          <w:numId w:val="4"/>
        </w:numPr>
        <w:shd w:val="clear" w:color="auto" w:fill="auto"/>
        <w:kinsoku/>
        <w:wordWrap/>
        <w:overflowPunct/>
        <w:topLinePunct w:val="0"/>
        <w:autoSpaceDE/>
        <w:autoSpaceDN/>
        <w:bidi w:val="0"/>
        <w:adjustRightInd/>
        <w:snapToGrid/>
        <w:spacing w:line="400" w:lineRule="exact"/>
        <w:ind w:left="5758" w:leftChars="304" w:hanging="5120" w:hangingChars="1600"/>
        <w:textAlignment w:val="auto"/>
        <w:outlineLvl w:val="0"/>
        <w:rPr>
          <w:rFonts w:hint="eastAsia" w:ascii="仿宋" w:hAnsi="仿宋" w:eastAsia="仿宋" w:cs="仿宋"/>
          <w:b/>
          <w:bCs/>
          <w:color w:val="auto"/>
          <w:sz w:val="32"/>
          <w:szCs w:val="32"/>
          <w:highlight w:val="none"/>
        </w:rPr>
      </w:pPr>
      <w:bookmarkStart w:id="115" w:name="_Toc6228"/>
      <w:bookmarkStart w:id="116" w:name="_Toc27141"/>
      <w:bookmarkStart w:id="117" w:name="_Toc29243"/>
      <w:bookmarkStart w:id="118" w:name="_Toc27615"/>
      <w:bookmarkStart w:id="119" w:name="_Toc21676"/>
      <w:bookmarkStart w:id="120" w:name="_Toc11499"/>
      <w:bookmarkStart w:id="121" w:name="_Toc8130"/>
      <w:bookmarkStart w:id="122" w:name="_Toc22585"/>
      <w:r>
        <w:rPr>
          <w:rFonts w:hint="eastAsia" w:ascii="仿宋" w:hAnsi="仿宋" w:eastAsia="仿宋" w:cs="仿宋"/>
          <w:b/>
          <w:bCs/>
          <w:color w:val="auto"/>
          <w:sz w:val="32"/>
          <w:szCs w:val="32"/>
          <w:highlight w:val="none"/>
        </w:rPr>
        <w:t>质疑前置及时间要求</w:t>
      </w:r>
      <w:bookmarkEnd w:id="115"/>
      <w:bookmarkEnd w:id="116"/>
      <w:bookmarkEnd w:id="117"/>
      <w:bookmarkEnd w:id="118"/>
      <w:bookmarkEnd w:id="119"/>
      <w:bookmarkEnd w:id="120"/>
      <w:bookmarkEnd w:id="121"/>
      <w:bookmarkEnd w:id="122"/>
    </w:p>
    <w:p w14:paraId="5307A36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sz w:val="32"/>
          <w:szCs w:val="32"/>
          <w:highlight w:val="none"/>
        </w:rPr>
        <w:t>《中华人民共和国政府采购法》</w:t>
      </w:r>
      <w:r>
        <w:rPr>
          <w:rFonts w:hint="eastAsia" w:ascii="仿宋" w:hAnsi="仿宋" w:eastAsia="仿宋" w:cs="仿宋"/>
          <w:color w:val="auto"/>
          <w:kern w:val="0"/>
          <w:sz w:val="32"/>
          <w:szCs w:val="32"/>
          <w:highlight w:val="none"/>
          <w:shd w:val="clear" w:color="auto" w:fill="FFFFFF"/>
        </w:rPr>
        <w:t>第五十一条：供应商对政府采购活动事项有疑问的，可以向采购人提出询问，采购人应当及时作出答复，但答复的内容不得涉及商业秘密。</w:t>
      </w:r>
    </w:p>
    <w:p w14:paraId="1145FBD9">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shd w:val="clear" w:color="auto" w:fill="FFFFFF"/>
        </w:rPr>
        <w:t xml:space="preserve"> 第五十二条：供应商认为</w:t>
      </w:r>
      <w:r>
        <w:rPr>
          <w:rFonts w:hint="eastAsia" w:ascii="仿宋" w:hAnsi="仿宋" w:eastAsia="仿宋" w:cs="仿宋"/>
          <w:color w:val="auto"/>
          <w:kern w:val="0"/>
          <w:sz w:val="32"/>
          <w:szCs w:val="32"/>
          <w:highlight w:val="none"/>
          <w:shd w:val="clear" w:color="auto" w:fill="FFFFFF"/>
          <w:lang w:eastAsia="zh-CN"/>
        </w:rPr>
        <w:t>竞争性磋商文件</w:t>
      </w:r>
      <w:r>
        <w:rPr>
          <w:rFonts w:hint="eastAsia" w:ascii="仿宋" w:hAnsi="仿宋" w:eastAsia="仿宋" w:cs="仿宋"/>
          <w:color w:val="auto"/>
          <w:kern w:val="0"/>
          <w:sz w:val="32"/>
          <w:szCs w:val="32"/>
          <w:highlight w:val="none"/>
          <w:shd w:val="clear" w:color="auto" w:fill="FFFFFF"/>
        </w:rPr>
        <w:t>、采购过程和中标、</w:t>
      </w:r>
      <w:r>
        <w:rPr>
          <w:rFonts w:hint="eastAsia" w:ascii="仿宋" w:hAnsi="仿宋" w:eastAsia="仿宋" w:cs="仿宋"/>
          <w:color w:val="auto"/>
          <w:kern w:val="0"/>
          <w:sz w:val="32"/>
          <w:szCs w:val="32"/>
          <w:highlight w:val="none"/>
          <w:shd w:val="clear" w:color="auto" w:fill="FFFFFF"/>
          <w:lang w:eastAsia="zh-CN"/>
        </w:rPr>
        <w:t>中标</w:t>
      </w:r>
      <w:r>
        <w:rPr>
          <w:rFonts w:hint="eastAsia" w:ascii="仿宋" w:hAnsi="仿宋" w:eastAsia="仿宋" w:cs="仿宋"/>
          <w:color w:val="auto"/>
          <w:kern w:val="0"/>
          <w:sz w:val="32"/>
          <w:szCs w:val="32"/>
          <w:highlight w:val="none"/>
          <w:shd w:val="clear" w:color="auto" w:fill="FFFFFF"/>
        </w:rPr>
        <w:t>结果使自己的权益受到损害的，可以在知道或者应知其权益受到损害之日起七个工作日内，以书面形式向采购人提出质疑。</w:t>
      </w:r>
    </w:p>
    <w:p w14:paraId="665F90A3">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0B00A867">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6A8BB75D">
      <w:pPr>
        <w:keepNext w:val="0"/>
        <w:keepLines w:val="0"/>
        <w:pageBreakBefore w:val="0"/>
        <w:widowControl/>
        <w:shd w:val="clear" w:color="auto" w:fill="auto"/>
        <w:kinsoku/>
        <w:wordWrap/>
        <w:overflowPunct/>
        <w:topLinePunct w:val="0"/>
        <w:autoSpaceDE/>
        <w:autoSpaceDN/>
        <w:bidi w:val="0"/>
        <w:adjustRightInd/>
        <w:snapToGrid/>
        <w:spacing w:line="400" w:lineRule="exact"/>
        <w:ind w:firstLine="42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shd w:val="clear" w:color="auto" w:fill="FFFFFF"/>
        </w:rPr>
        <w:t xml:space="preserve">  《政府采购实施条例》第五十五条：供应商质疑、投诉应当有明确的请求和必要的证明材料。供应商投诉的事项不得超出质疑事项的范围。</w:t>
      </w:r>
    </w:p>
    <w:p w14:paraId="54DAAC00">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outlineLvl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b/>
          <w:bCs/>
          <w:color w:val="auto"/>
          <w:sz w:val="32"/>
          <w:szCs w:val="32"/>
          <w:highlight w:val="none"/>
        </w:rPr>
        <w:t xml:space="preserve">   </w:t>
      </w:r>
      <w:bookmarkStart w:id="123" w:name="_Toc7672"/>
      <w:bookmarkStart w:id="124" w:name="_Toc26522"/>
      <w:bookmarkStart w:id="125" w:name="_Toc28552"/>
      <w:bookmarkStart w:id="126" w:name="_Toc13508"/>
      <w:bookmarkStart w:id="127" w:name="_Toc16735"/>
      <w:bookmarkStart w:id="128" w:name="_Toc14780"/>
      <w:bookmarkStart w:id="129" w:name="_Toc9471"/>
      <w:bookmarkStart w:id="130" w:name="_Toc887"/>
      <w:r>
        <w:rPr>
          <w:rFonts w:hint="eastAsia" w:ascii="仿宋" w:hAnsi="仿宋" w:eastAsia="仿宋" w:cs="仿宋"/>
          <w:b/>
          <w:bCs/>
          <w:color w:val="auto"/>
          <w:sz w:val="32"/>
          <w:szCs w:val="32"/>
          <w:highlight w:val="none"/>
        </w:rPr>
        <w:t>二、书面方式</w:t>
      </w:r>
      <w:bookmarkEnd w:id="123"/>
      <w:bookmarkEnd w:id="124"/>
      <w:bookmarkEnd w:id="125"/>
      <w:bookmarkEnd w:id="126"/>
      <w:bookmarkEnd w:id="127"/>
      <w:bookmarkEnd w:id="128"/>
      <w:bookmarkEnd w:id="129"/>
      <w:bookmarkEnd w:id="130"/>
    </w:p>
    <w:p w14:paraId="42A0B1B8">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《政府采购供应商投诉处理办法》第八条：投诉人投诉</w:t>
      </w:r>
    </w:p>
    <w:p w14:paraId="4783DED9">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时，应当提交投诉书，并按照被投诉人以及与投诉事项有关的供应商数量提供投诉书的副本。</w:t>
      </w:r>
    </w:p>
    <w:p w14:paraId="59A500F1">
      <w:pPr>
        <w:keepNext w:val="0"/>
        <w:keepLines w:val="0"/>
        <w:pageBreakBefore w:val="0"/>
        <w:shd w:val="clear" w:color="auto" w:fill="auto"/>
        <w:kinsoku/>
        <w:wordWrap/>
        <w:overflowPunct/>
        <w:topLinePunct w:val="0"/>
        <w:autoSpaceDE/>
        <w:autoSpaceDN/>
        <w:bidi w:val="0"/>
        <w:adjustRightInd/>
        <w:snapToGrid/>
        <w:spacing w:line="400" w:lineRule="exact"/>
        <w:ind w:left="5760" w:hanging="5760" w:hangingChars="18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投诉书应当包括下列主要内容：</w:t>
      </w:r>
    </w:p>
    <w:p w14:paraId="23E731AD">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（一）</w:t>
      </w:r>
      <w:r>
        <w:rPr>
          <w:rFonts w:hint="eastAsia" w:ascii="仿宋" w:hAnsi="仿宋" w:eastAsia="仿宋" w:cs="仿宋"/>
          <w:color w:val="auto"/>
          <w:sz w:val="32"/>
          <w:szCs w:val="32"/>
          <w:highlight w:val="none"/>
        </w:rPr>
        <w:t>投诉人和被投诉人的名称、地址、电话等；</w:t>
      </w:r>
    </w:p>
    <w:p w14:paraId="3DDDA7E0">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（二）</w:t>
      </w:r>
      <w:r>
        <w:rPr>
          <w:rFonts w:hint="eastAsia" w:ascii="仿宋" w:hAnsi="仿宋" w:eastAsia="仿宋" w:cs="仿宋"/>
          <w:color w:val="auto"/>
          <w:sz w:val="32"/>
          <w:szCs w:val="32"/>
          <w:highlight w:val="none"/>
        </w:rPr>
        <w:t>具体的投诉事项及事实依据；</w:t>
      </w:r>
    </w:p>
    <w:p w14:paraId="71F0E1F5">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（三）</w:t>
      </w:r>
      <w:r>
        <w:rPr>
          <w:rFonts w:hint="eastAsia" w:ascii="仿宋" w:hAnsi="仿宋" w:eastAsia="仿宋" w:cs="仿宋"/>
          <w:color w:val="auto"/>
          <w:sz w:val="32"/>
          <w:szCs w:val="32"/>
          <w:highlight w:val="none"/>
        </w:rPr>
        <w:t>质疑和质疑答复情况及相关证明材料；</w:t>
      </w:r>
    </w:p>
    <w:p w14:paraId="6327CB67">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（四）</w:t>
      </w:r>
      <w:r>
        <w:rPr>
          <w:rFonts w:hint="eastAsia" w:ascii="仿宋" w:hAnsi="仿宋" w:eastAsia="仿宋" w:cs="仿宋"/>
          <w:color w:val="auto"/>
          <w:sz w:val="32"/>
          <w:szCs w:val="32"/>
          <w:highlight w:val="none"/>
        </w:rPr>
        <w:t>提起投诉的日期。</w:t>
      </w:r>
    </w:p>
    <w:p w14:paraId="2EA0DECD">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投诉书应当署名。投诉人为自然人，应当由本人签字；投诉人为法人或者其他组织的，应当由法定代表人或者主要负责人签字并加盖公章。</w:t>
      </w:r>
    </w:p>
    <w:p w14:paraId="73AA5065">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0ED1A745">
      <w:pPr>
        <w:keepNext w:val="0"/>
        <w:keepLines w:val="0"/>
        <w:pageBreakBefore w:val="0"/>
        <w:shd w:val="clear" w:color="auto" w:fill="auto"/>
        <w:kinsoku/>
        <w:wordWrap/>
        <w:overflowPunct/>
        <w:topLinePunct w:val="0"/>
        <w:autoSpaceDE/>
        <w:autoSpaceDN/>
        <w:bidi w:val="0"/>
        <w:adjustRightInd/>
        <w:snapToGrid/>
        <w:spacing w:line="400" w:lineRule="exact"/>
        <w:ind w:firstLine="645"/>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《政府采购供应商投诉处理办法》第十条：投诉人提起投诉应当符合下列条件：</w:t>
      </w:r>
    </w:p>
    <w:p w14:paraId="2B8EBEE4">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（一）</w:t>
      </w:r>
      <w:r>
        <w:rPr>
          <w:rFonts w:hint="eastAsia" w:ascii="仿宋" w:hAnsi="仿宋" w:eastAsia="仿宋" w:cs="仿宋"/>
          <w:color w:val="auto"/>
          <w:sz w:val="32"/>
          <w:szCs w:val="32"/>
          <w:highlight w:val="none"/>
        </w:rPr>
        <w:t>投诉人是参与所投诉政府采购活动的供应商；</w:t>
      </w:r>
    </w:p>
    <w:p w14:paraId="30ED336C">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（二）</w:t>
      </w:r>
      <w:r>
        <w:rPr>
          <w:rFonts w:hint="eastAsia" w:ascii="仿宋" w:hAnsi="仿宋" w:eastAsia="仿宋" w:cs="仿宋"/>
          <w:color w:val="auto"/>
          <w:sz w:val="32"/>
          <w:szCs w:val="32"/>
          <w:highlight w:val="none"/>
        </w:rPr>
        <w:t>提起投诉诉前已依法进行质疑；</w:t>
      </w:r>
    </w:p>
    <w:p w14:paraId="3CA563B3">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（三）</w:t>
      </w:r>
      <w:r>
        <w:rPr>
          <w:rFonts w:hint="eastAsia" w:ascii="仿宋" w:hAnsi="仿宋" w:eastAsia="仿宋" w:cs="仿宋"/>
          <w:color w:val="auto"/>
          <w:sz w:val="32"/>
          <w:szCs w:val="32"/>
          <w:highlight w:val="none"/>
        </w:rPr>
        <w:t>投诉书内容符合本办法的规定；</w:t>
      </w:r>
    </w:p>
    <w:p w14:paraId="3489BC0F">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（四）</w:t>
      </w:r>
      <w:r>
        <w:rPr>
          <w:rFonts w:hint="eastAsia" w:ascii="仿宋" w:hAnsi="仿宋" w:eastAsia="仿宋" w:cs="仿宋"/>
          <w:color w:val="auto"/>
          <w:sz w:val="32"/>
          <w:szCs w:val="32"/>
          <w:highlight w:val="none"/>
        </w:rPr>
        <w:t>在投诉有效期内提起投诉；</w:t>
      </w:r>
    </w:p>
    <w:p w14:paraId="47748ADA">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（五）</w:t>
      </w:r>
      <w:r>
        <w:rPr>
          <w:rFonts w:hint="eastAsia" w:ascii="仿宋" w:hAnsi="仿宋" w:eastAsia="仿宋" w:cs="仿宋"/>
          <w:color w:val="auto"/>
          <w:sz w:val="32"/>
          <w:szCs w:val="32"/>
          <w:highlight w:val="none"/>
        </w:rPr>
        <w:t>属于本级财政部门管辖；</w:t>
      </w:r>
    </w:p>
    <w:p w14:paraId="7D359C99">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left="645" w:leftChars="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（六）</w:t>
      </w:r>
      <w:r>
        <w:rPr>
          <w:rFonts w:hint="eastAsia" w:ascii="仿宋" w:hAnsi="仿宋" w:eastAsia="仿宋" w:cs="仿宋"/>
          <w:color w:val="auto"/>
          <w:sz w:val="32"/>
          <w:szCs w:val="32"/>
          <w:highlight w:val="none"/>
        </w:rPr>
        <w:t>同一投诉事项未经财政部门投诉处理；</w:t>
      </w:r>
    </w:p>
    <w:p w14:paraId="7DE693E4">
      <w:pPr>
        <w:keepNext w:val="0"/>
        <w:keepLines w:val="0"/>
        <w:pageBreakBefore w:val="0"/>
        <w:numPr>
          <w:ilvl w:val="0"/>
          <w:numId w:val="0"/>
        </w:numPr>
        <w:shd w:val="clear" w:color="auto" w:fill="auto"/>
        <w:kinsoku/>
        <w:wordWrap/>
        <w:overflowPunct/>
        <w:topLinePunct w:val="0"/>
        <w:autoSpaceDE/>
        <w:autoSpaceDN/>
        <w:bidi w:val="0"/>
        <w:adjustRightInd/>
        <w:snapToGrid/>
        <w:spacing w:line="400" w:lineRule="exact"/>
        <w:ind w:firstLine="960" w:firstLineChars="3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（七）</w:t>
      </w:r>
      <w:r>
        <w:rPr>
          <w:rFonts w:hint="eastAsia" w:ascii="仿宋" w:hAnsi="仿宋" w:eastAsia="仿宋" w:cs="仿宋"/>
          <w:color w:val="auto"/>
          <w:sz w:val="32"/>
          <w:szCs w:val="32"/>
          <w:highlight w:val="none"/>
        </w:rPr>
        <w:t>国务院财政部门规定的其他条件。</w:t>
      </w:r>
    </w:p>
    <w:p w14:paraId="4DC6538E">
      <w:pPr>
        <w:shd w:val="clear" w:color="auto" w:fill="auto"/>
        <w:outlineLvl w:val="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b/>
          <w:bCs/>
          <w:color w:val="auto"/>
          <w:sz w:val="32"/>
          <w:szCs w:val="32"/>
          <w:highlight w:val="none"/>
        </w:rPr>
        <w:t xml:space="preserve">   </w:t>
      </w:r>
      <w:bookmarkStart w:id="131" w:name="_Toc5978"/>
      <w:bookmarkStart w:id="132" w:name="_Toc9213"/>
      <w:bookmarkStart w:id="133" w:name="_Toc11954"/>
      <w:bookmarkStart w:id="134" w:name="_Toc4652"/>
      <w:bookmarkStart w:id="135" w:name="_Toc19128"/>
      <w:bookmarkStart w:id="136" w:name="_Toc18643"/>
      <w:bookmarkStart w:id="137" w:name="_Toc526"/>
      <w:bookmarkStart w:id="138" w:name="_Toc2650"/>
      <w:r>
        <w:rPr>
          <w:rFonts w:hint="eastAsia" w:ascii="仿宋" w:hAnsi="仿宋" w:eastAsia="仿宋" w:cs="仿宋"/>
          <w:b/>
          <w:bCs/>
          <w:color w:val="auto"/>
          <w:sz w:val="32"/>
          <w:szCs w:val="32"/>
          <w:highlight w:val="none"/>
        </w:rPr>
        <w:t>三、虚假、恶意投诉法律责任</w:t>
      </w:r>
      <w:bookmarkEnd w:id="131"/>
      <w:bookmarkEnd w:id="132"/>
      <w:bookmarkEnd w:id="133"/>
      <w:bookmarkEnd w:id="134"/>
      <w:bookmarkEnd w:id="135"/>
      <w:bookmarkEnd w:id="136"/>
      <w:bookmarkEnd w:id="137"/>
      <w:bookmarkEnd w:id="138"/>
    </w:p>
    <w:p w14:paraId="5C789B97">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第七十三条：供应商捏造实施、提供虚假材料或者以非法手段取得证明材料进行投诉的，由财政部门列入不良行为记录名单，禁止其1至3年内参加政府采购活动。</w:t>
      </w:r>
    </w:p>
    <w:p w14:paraId="4BDC208E">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《政府采购供应商投诉处理办法》第二十六条：投诉人有下列情形之一的，属于虚假、恶意投诉，财政部门应当驳回投诉，将其列入不良行为记录名单，并依法予以处罚：</w:t>
      </w:r>
    </w:p>
    <w:p w14:paraId="05FEA9EB">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（一）1年内3次以上投诉均查无实据的；</w:t>
      </w:r>
    </w:p>
    <w:p w14:paraId="6F9FA43C">
      <w:pPr>
        <w:keepNext w:val="0"/>
        <w:keepLines w:val="0"/>
        <w:pageBreakBefore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（二）捏造事实或者提供虚假投诉材料的。</w:t>
      </w:r>
    </w:p>
    <w:p w14:paraId="5936D2EB">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p>
    <w:p w14:paraId="64C493A7">
      <w:pPr>
        <w:keepNext w:val="0"/>
        <w:keepLines w:val="0"/>
        <w:pageBreakBefore w:val="0"/>
        <w:shd w:val="clear" w:color="auto" w:fill="auto"/>
        <w:kinsoku/>
        <w:wordWrap/>
        <w:overflowPunct/>
        <w:topLinePunct w:val="0"/>
        <w:autoSpaceDE/>
        <w:autoSpaceDN/>
        <w:bidi w:val="0"/>
        <w:adjustRightInd/>
        <w:snapToGrid/>
        <w:spacing w:line="400" w:lineRule="exact"/>
        <w:textAlignment w:val="auto"/>
        <w:rPr>
          <w:rFonts w:hint="eastAsia" w:ascii="仿宋" w:hAnsi="仿宋" w:eastAsia="仿宋" w:cs="仿宋"/>
          <w:color w:val="auto"/>
          <w:sz w:val="32"/>
          <w:szCs w:val="32"/>
          <w:highlight w:val="none"/>
        </w:rPr>
      </w:pPr>
    </w:p>
    <w:p w14:paraId="64249363">
      <w:pPr>
        <w:shd w:val="clear" w:color="auto" w:fill="auto"/>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递交投诉书地址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克州财政局政府采购办</w:t>
      </w:r>
      <w:r>
        <w:rPr>
          <w:rFonts w:hint="eastAsia" w:ascii="仿宋" w:hAnsi="仿宋" w:eastAsia="仿宋" w:cs="仿宋"/>
          <w:color w:val="auto"/>
          <w:sz w:val="32"/>
          <w:szCs w:val="32"/>
          <w:highlight w:val="none"/>
        </w:rPr>
        <w:t>监管办公室</w:t>
      </w:r>
    </w:p>
    <w:p w14:paraId="336DE7FF">
      <w:pPr>
        <w:shd w:val="clear" w:color="auto" w:fill="auto"/>
        <w:jc w:val="right"/>
        <w:rPr>
          <w:rFonts w:hint="eastAsia" w:ascii="仿宋" w:hAnsi="仿宋" w:eastAsia="仿宋" w:cs="仿宋"/>
          <w:color w:val="auto"/>
          <w:sz w:val="32"/>
          <w:szCs w:val="32"/>
          <w:highlight w:val="none"/>
        </w:rPr>
      </w:pPr>
    </w:p>
    <w:p w14:paraId="1520A5CB">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32"/>
          <w:szCs w:val="32"/>
          <w:highlight w:val="none"/>
        </w:rPr>
      </w:pPr>
    </w:p>
    <w:p w14:paraId="3EA7505E">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32"/>
          <w:szCs w:val="32"/>
          <w:highlight w:val="none"/>
        </w:rPr>
      </w:pPr>
    </w:p>
    <w:p w14:paraId="34812648">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32"/>
          <w:szCs w:val="32"/>
          <w:highlight w:val="none"/>
        </w:rPr>
      </w:pPr>
    </w:p>
    <w:p w14:paraId="13E539BE">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rPr>
          <w:rFonts w:hint="eastAsia" w:ascii="仿宋" w:hAnsi="仿宋" w:eastAsia="仿宋" w:cs="仿宋"/>
          <w:b/>
          <w:bCs/>
          <w:color w:val="auto"/>
          <w:sz w:val="32"/>
          <w:szCs w:val="32"/>
          <w:highlight w:val="none"/>
        </w:rPr>
      </w:pPr>
    </w:p>
    <w:p w14:paraId="5DAA6835">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仿宋" w:hAnsi="仿宋" w:eastAsia="仿宋" w:cs="仿宋"/>
          <w:b/>
          <w:bCs/>
          <w:color w:val="auto"/>
          <w:sz w:val="32"/>
          <w:szCs w:val="32"/>
          <w:highlight w:val="none"/>
        </w:rPr>
      </w:pPr>
      <w:bookmarkStart w:id="139" w:name="_Toc1697"/>
    </w:p>
    <w:p w14:paraId="11A38DAE">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9"/>
        <w:rPr>
          <w:rFonts w:hint="eastAsia" w:ascii="仿宋" w:hAnsi="仿宋" w:eastAsia="仿宋" w:cs="仿宋"/>
          <w:b/>
          <w:bCs/>
          <w:color w:val="auto"/>
          <w:sz w:val="32"/>
          <w:szCs w:val="32"/>
          <w:highlight w:val="none"/>
        </w:rPr>
      </w:pPr>
    </w:p>
    <w:p w14:paraId="21D1A6AD">
      <w:pPr>
        <w:pStyle w:val="7"/>
        <w:rPr>
          <w:rFonts w:hint="eastAsia" w:ascii="仿宋" w:hAnsi="仿宋" w:eastAsia="仿宋" w:cs="仿宋"/>
          <w:b/>
          <w:bCs/>
          <w:color w:val="auto"/>
          <w:sz w:val="32"/>
          <w:szCs w:val="32"/>
          <w:highlight w:val="none"/>
        </w:rPr>
      </w:pPr>
      <w:bookmarkStart w:id="140" w:name="_Toc20613"/>
      <w:bookmarkStart w:id="141" w:name="_Toc16839"/>
      <w:bookmarkStart w:id="142" w:name="_Toc30728"/>
      <w:bookmarkStart w:id="143" w:name="_Toc21386"/>
    </w:p>
    <w:bookmarkEnd w:id="139"/>
    <w:bookmarkEnd w:id="140"/>
    <w:bookmarkEnd w:id="141"/>
    <w:bookmarkEnd w:id="142"/>
    <w:bookmarkEnd w:id="143"/>
    <w:p w14:paraId="420DF99A">
      <w:pPr>
        <w:keepNext w:val="0"/>
        <w:keepLines w:val="0"/>
        <w:pageBreakBefore w:val="0"/>
        <w:widowControl w:val="0"/>
        <w:shd w:val="clear" w:color="auto" w:fill="auto"/>
        <w:kinsoku/>
        <w:wordWrap/>
        <w:overflowPunct/>
        <w:topLinePunct w:val="0"/>
        <w:autoSpaceDE/>
        <w:autoSpaceDN/>
        <w:bidi w:val="0"/>
        <w:spacing w:line="540" w:lineRule="exact"/>
        <w:jc w:val="center"/>
        <w:textAlignment w:val="auto"/>
        <w:outlineLvl w:val="0"/>
        <w:rPr>
          <w:rFonts w:hint="eastAsia" w:ascii="仿宋" w:hAnsi="仿宋" w:eastAsia="仿宋" w:cs="仿宋"/>
          <w:b/>
          <w:bCs/>
          <w:color w:val="auto"/>
          <w:sz w:val="32"/>
          <w:szCs w:val="32"/>
          <w:highlight w:val="none"/>
        </w:rPr>
      </w:pPr>
      <w:bookmarkStart w:id="144" w:name="_Toc11066"/>
      <w:bookmarkStart w:id="145" w:name="_Toc32220"/>
      <w:r>
        <w:rPr>
          <w:rFonts w:hint="eastAsia" w:ascii="仿宋" w:hAnsi="仿宋" w:eastAsia="仿宋" w:cs="仿宋"/>
          <w:b/>
          <w:bCs/>
          <w:color w:val="auto"/>
          <w:sz w:val="32"/>
          <w:szCs w:val="32"/>
          <w:highlight w:val="none"/>
          <w:lang w:val="en-US" w:eastAsia="zh-CN"/>
        </w:rPr>
        <w:t xml:space="preserve"> </w:t>
      </w:r>
      <w:bookmarkStart w:id="146" w:name="_Toc14858"/>
      <w:bookmarkStart w:id="147" w:name="_Toc17071"/>
      <w:bookmarkStart w:id="148" w:name="_Toc29213"/>
      <w:bookmarkStart w:id="149" w:name="_Toc30295"/>
      <w:r>
        <w:rPr>
          <w:rFonts w:hint="eastAsia" w:ascii="仿宋" w:hAnsi="仿宋" w:eastAsia="仿宋" w:cs="仿宋"/>
          <w:b/>
          <w:bCs/>
          <w:color w:val="auto"/>
          <w:sz w:val="32"/>
          <w:szCs w:val="32"/>
          <w:highlight w:val="none"/>
        </w:rPr>
        <w:t>质疑函范本</w:t>
      </w:r>
      <w:bookmarkEnd w:id="146"/>
      <w:bookmarkEnd w:id="147"/>
      <w:bookmarkEnd w:id="148"/>
      <w:bookmarkEnd w:id="149"/>
    </w:p>
    <w:p w14:paraId="21E5DC9E">
      <w:pPr>
        <w:keepNext w:val="0"/>
        <w:keepLines w:val="0"/>
        <w:pageBreakBefore w:val="0"/>
        <w:widowControl w:val="0"/>
        <w:shd w:val="clear" w:color="auto" w:fill="auto"/>
        <w:kinsoku/>
        <w:wordWrap/>
        <w:overflowPunct/>
        <w:topLinePunct w:val="0"/>
        <w:autoSpaceDE/>
        <w:autoSpaceDN/>
        <w:bidi w:val="0"/>
        <w:adjustRightInd w:val="0"/>
        <w:snapToGrid w:val="0"/>
        <w:spacing w:beforeLines="100" w:line="540" w:lineRule="exact"/>
        <w:ind w:firstLine="640" w:firstLineChars="200"/>
        <w:textAlignment w:val="auto"/>
        <w:outlineLvl w:val="0"/>
        <w:rPr>
          <w:rFonts w:hint="eastAsia" w:ascii="仿宋" w:hAnsi="仿宋" w:eastAsia="仿宋" w:cs="仿宋"/>
          <w:bCs/>
          <w:color w:val="auto"/>
          <w:sz w:val="32"/>
          <w:szCs w:val="32"/>
          <w:highlight w:val="none"/>
        </w:rPr>
      </w:pPr>
      <w:bookmarkStart w:id="150" w:name="_Toc21993"/>
      <w:bookmarkStart w:id="151" w:name="_Toc7313"/>
      <w:bookmarkStart w:id="152" w:name="_Toc13017"/>
      <w:bookmarkStart w:id="153" w:name="_Toc195"/>
      <w:bookmarkStart w:id="154" w:name="_Toc9061"/>
      <w:r>
        <w:rPr>
          <w:rFonts w:hint="eastAsia" w:ascii="仿宋" w:hAnsi="仿宋" w:eastAsia="仿宋" w:cs="仿宋"/>
          <w:bCs/>
          <w:color w:val="auto"/>
          <w:sz w:val="32"/>
          <w:szCs w:val="32"/>
          <w:highlight w:val="none"/>
        </w:rPr>
        <w:t>一、质疑供应商基本信息</w:t>
      </w:r>
      <w:bookmarkEnd w:id="150"/>
      <w:bookmarkEnd w:id="151"/>
      <w:bookmarkEnd w:id="152"/>
      <w:bookmarkEnd w:id="153"/>
      <w:bookmarkEnd w:id="154"/>
    </w:p>
    <w:p w14:paraId="1763B2F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6F0943A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5790B6F3">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53CB9CC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3E19C0F6">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082825FF">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3E98A44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155" w:name="_Toc28284"/>
      <w:bookmarkStart w:id="156" w:name="_Toc15938"/>
      <w:bookmarkStart w:id="157" w:name="_Toc19126"/>
      <w:bookmarkStart w:id="158" w:name="_Toc13489"/>
      <w:bookmarkStart w:id="159" w:name="_Toc14474"/>
      <w:r>
        <w:rPr>
          <w:rFonts w:hint="eastAsia" w:ascii="仿宋" w:hAnsi="仿宋" w:eastAsia="仿宋" w:cs="仿宋"/>
          <w:bCs/>
          <w:color w:val="auto"/>
          <w:sz w:val="32"/>
          <w:szCs w:val="32"/>
          <w:highlight w:val="none"/>
        </w:rPr>
        <w:t>二、质疑项目基本情况</w:t>
      </w:r>
      <w:bookmarkEnd w:id="155"/>
      <w:bookmarkEnd w:id="156"/>
      <w:bookmarkEnd w:id="157"/>
      <w:bookmarkEnd w:id="158"/>
      <w:bookmarkEnd w:id="159"/>
    </w:p>
    <w:p w14:paraId="6A2FE20E">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14:paraId="6A8B288A">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23684B68">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14:paraId="3E01711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1EE55E2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160" w:name="_Toc18271"/>
      <w:bookmarkStart w:id="161" w:name="_Toc10333"/>
      <w:bookmarkStart w:id="162" w:name="_Toc30774"/>
      <w:bookmarkStart w:id="163" w:name="_Toc29695"/>
      <w:bookmarkStart w:id="164" w:name="_Toc31451"/>
      <w:r>
        <w:rPr>
          <w:rFonts w:hint="eastAsia" w:ascii="仿宋" w:hAnsi="仿宋" w:eastAsia="仿宋" w:cs="仿宋"/>
          <w:bCs/>
          <w:color w:val="auto"/>
          <w:sz w:val="32"/>
          <w:szCs w:val="32"/>
          <w:highlight w:val="none"/>
        </w:rPr>
        <w:t>三、质疑事项具体内容</w:t>
      </w:r>
      <w:bookmarkEnd w:id="160"/>
      <w:bookmarkEnd w:id="161"/>
      <w:bookmarkEnd w:id="162"/>
      <w:bookmarkEnd w:id="163"/>
      <w:bookmarkEnd w:id="164"/>
    </w:p>
    <w:p w14:paraId="2FB6AAE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1CCA7857">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3244403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5D5F7BAD">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0AD8B420">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2C462D8B">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outlineLvl w:val="0"/>
        <w:rPr>
          <w:rFonts w:hint="eastAsia" w:ascii="仿宋" w:hAnsi="仿宋" w:eastAsia="仿宋" w:cs="仿宋"/>
          <w:bCs/>
          <w:color w:val="auto"/>
          <w:sz w:val="32"/>
          <w:szCs w:val="32"/>
          <w:highlight w:val="none"/>
        </w:rPr>
      </w:pPr>
      <w:bookmarkStart w:id="165" w:name="_Toc26309"/>
      <w:bookmarkStart w:id="166" w:name="_Toc3705"/>
      <w:bookmarkStart w:id="167" w:name="_Toc16905"/>
      <w:bookmarkStart w:id="168" w:name="_Toc17753"/>
      <w:bookmarkStart w:id="169" w:name="_Toc22365"/>
      <w:r>
        <w:rPr>
          <w:rFonts w:hint="eastAsia" w:ascii="仿宋" w:hAnsi="仿宋" w:eastAsia="仿宋" w:cs="仿宋"/>
          <w:bCs/>
          <w:color w:val="auto"/>
          <w:sz w:val="32"/>
          <w:szCs w:val="32"/>
          <w:highlight w:val="none"/>
        </w:rPr>
        <w:t>四、与质疑事项相关的质疑请求</w:t>
      </w:r>
      <w:bookmarkEnd w:id="165"/>
      <w:bookmarkEnd w:id="166"/>
      <w:bookmarkEnd w:id="167"/>
      <w:bookmarkEnd w:id="168"/>
      <w:bookmarkEnd w:id="169"/>
    </w:p>
    <w:p w14:paraId="42263AD9">
      <w:pPr>
        <w:keepNext w:val="0"/>
        <w:keepLines w:val="0"/>
        <w:pageBreakBefore w:val="0"/>
        <w:widowControl w:val="0"/>
        <w:shd w:val="clear" w:color="auto" w:fill="auto"/>
        <w:kinsoku/>
        <w:wordWrap/>
        <w:overflowPunct/>
        <w:topLinePunct w:val="0"/>
        <w:autoSpaceDE/>
        <w:autoSpaceDN/>
        <w:bidi w:val="0"/>
        <w:adjustRightInd w:val="0"/>
        <w:snapToGrid w:val="0"/>
        <w:spacing w:line="540" w:lineRule="exact"/>
        <w:ind w:firstLine="640" w:firstLineChars="200"/>
        <w:textAlignment w:val="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55CC2B28">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签字(签章)：                   公章：                      </w:t>
      </w:r>
    </w:p>
    <w:p w14:paraId="4B65CD91">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日期：</w:t>
      </w:r>
    </w:p>
    <w:p w14:paraId="0E0F43A6">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p>
    <w:p w14:paraId="1EF6D574">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p>
    <w:p w14:paraId="780B43AD">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质疑函制作说明：</w:t>
      </w:r>
    </w:p>
    <w:p w14:paraId="4B2AD20C">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1.供应商提出质疑时，应提交质疑函和必要的证明材料。</w:t>
      </w:r>
    </w:p>
    <w:p w14:paraId="32569378">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2B07923">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3.质疑供应商若对项目的某一分包进行质疑，质疑函中应列明具体分包号。</w:t>
      </w:r>
    </w:p>
    <w:p w14:paraId="255C3F80">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4.质疑函的质疑事项应具体、明确，并有必要的事实依据和法律依据。</w:t>
      </w:r>
    </w:p>
    <w:p w14:paraId="34A5B874">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5.质疑函的质疑请求应与质疑事项相关。</w:t>
      </w:r>
    </w:p>
    <w:p w14:paraId="57985661">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rPr>
      </w:pPr>
      <w:r>
        <w:rPr>
          <w:rFonts w:hint="eastAsia" w:ascii="仿宋" w:hAnsi="仿宋" w:eastAsia="仿宋" w:cs="仿宋"/>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14:paraId="45DBB514">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注意事项</w:t>
      </w:r>
    </w:p>
    <w:p w14:paraId="0DA6A046">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1、投标人对所附表格中要求的资料和询问应做出肯定的回答。</w:t>
      </w:r>
    </w:p>
    <w:p w14:paraId="29A7CC76">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2、采购文件的签字人应保证他所做的声明及对一切问题的回答的真实性和准确。</w:t>
      </w:r>
    </w:p>
    <w:p w14:paraId="07F5068F">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3、投标人提供的采购文件将由采购人使用，并据此进行评价和判断，确定投标人的能力。</w:t>
      </w:r>
    </w:p>
    <w:p w14:paraId="39099A3F">
      <w:pPr>
        <w:keepNext w:val="0"/>
        <w:keepLines w:val="0"/>
        <w:pageBreakBefore w:val="0"/>
        <w:widowControl w:val="0"/>
        <w:shd w:val="clear" w:color="auto" w:fill="auto"/>
        <w:kinsoku/>
        <w:wordWrap/>
        <w:overflowPunct/>
        <w:topLinePunct w:val="0"/>
        <w:autoSpaceDE/>
        <w:autoSpaceDN/>
        <w:bidi w:val="0"/>
        <w:spacing w:line="540" w:lineRule="exact"/>
        <w:ind w:firstLine="640" w:firstLineChars="200"/>
        <w:textAlignment w:val="auto"/>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sz w:val="32"/>
          <w:szCs w:val="32"/>
          <w:highlight w:val="none"/>
        </w:rPr>
        <w:t xml:space="preserve">4、投标人提交的文件将给予保密，但不退还。    </w:t>
      </w:r>
    </w:p>
    <w:p w14:paraId="774B872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center"/>
        <w:outlineLvl w:val="0"/>
        <w:rPr>
          <w:rFonts w:hint="eastAsia" w:ascii="仿宋" w:hAnsi="仿宋" w:eastAsia="仿宋" w:cs="仿宋"/>
          <w:b/>
          <w:bCs/>
          <w:color w:val="auto"/>
          <w:sz w:val="40"/>
          <w:szCs w:val="40"/>
          <w:highlight w:val="none"/>
        </w:rPr>
      </w:pPr>
      <w:bookmarkStart w:id="170" w:name="_Toc16190"/>
    </w:p>
    <w:p w14:paraId="1085626F">
      <w:pPr>
        <w:pStyle w:val="33"/>
        <w:rPr>
          <w:rFonts w:hint="eastAsia" w:ascii="仿宋" w:hAnsi="仿宋" w:eastAsia="仿宋" w:cs="仿宋"/>
          <w:b/>
          <w:bCs/>
          <w:color w:val="auto"/>
          <w:sz w:val="40"/>
          <w:szCs w:val="40"/>
          <w:highlight w:val="none"/>
        </w:rPr>
      </w:pPr>
    </w:p>
    <w:p w14:paraId="37360DDA">
      <w:pPr>
        <w:pStyle w:val="33"/>
        <w:rPr>
          <w:rFonts w:hint="eastAsia" w:ascii="仿宋" w:hAnsi="仿宋" w:eastAsia="仿宋" w:cs="仿宋"/>
          <w:b/>
          <w:bCs/>
          <w:color w:val="auto"/>
          <w:sz w:val="40"/>
          <w:szCs w:val="40"/>
          <w:highlight w:val="none"/>
        </w:rPr>
      </w:pPr>
    </w:p>
    <w:p w14:paraId="72DB64AE">
      <w:pPr>
        <w:pStyle w:val="33"/>
        <w:rPr>
          <w:rFonts w:hint="eastAsia" w:ascii="仿宋" w:hAnsi="仿宋" w:eastAsia="仿宋" w:cs="仿宋"/>
          <w:b/>
          <w:bCs/>
          <w:color w:val="auto"/>
          <w:sz w:val="40"/>
          <w:szCs w:val="40"/>
          <w:highlight w:val="none"/>
        </w:rPr>
      </w:pPr>
    </w:p>
    <w:p w14:paraId="0885D5F6">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center"/>
        <w:outlineLvl w:val="0"/>
        <w:rPr>
          <w:rFonts w:hint="eastAsia" w:ascii="仿宋" w:hAnsi="仿宋" w:eastAsia="仿宋" w:cs="仿宋"/>
          <w:b/>
          <w:bCs/>
          <w:color w:val="auto"/>
          <w:sz w:val="40"/>
          <w:szCs w:val="40"/>
          <w:highlight w:val="none"/>
        </w:rPr>
      </w:pPr>
      <w:r>
        <w:rPr>
          <w:rFonts w:hint="eastAsia" w:ascii="仿宋" w:hAnsi="仿宋" w:eastAsia="仿宋" w:cs="仿宋"/>
          <w:b/>
          <w:bCs/>
          <w:color w:val="auto"/>
          <w:sz w:val="40"/>
          <w:szCs w:val="40"/>
          <w:highlight w:val="none"/>
        </w:rPr>
        <w:t>第三章  评标办法</w:t>
      </w:r>
      <w:bookmarkEnd w:id="144"/>
      <w:bookmarkEnd w:id="145"/>
      <w:bookmarkEnd w:id="170"/>
    </w:p>
    <w:p w14:paraId="3D9A889C">
      <w:pPr>
        <w:shd w:val="clear" w:color="auto" w:fill="auto"/>
        <w:jc w:val="center"/>
        <w:outlineLvl w:val="1"/>
        <w:rPr>
          <w:rFonts w:hint="eastAsia" w:ascii="仿宋" w:hAnsi="仿宋" w:eastAsia="仿宋" w:cs="仿宋"/>
          <w:b/>
          <w:color w:val="auto"/>
          <w:sz w:val="32"/>
          <w:szCs w:val="32"/>
          <w:highlight w:val="none"/>
        </w:rPr>
      </w:pPr>
      <w:bookmarkStart w:id="171" w:name="_Toc18561"/>
      <w:bookmarkStart w:id="172" w:name="_Toc18890"/>
      <w:bookmarkStart w:id="173" w:name="_Toc16089"/>
      <w:bookmarkStart w:id="174" w:name="_Toc15418"/>
      <w:bookmarkStart w:id="175" w:name="_Toc362983802"/>
      <w:bookmarkStart w:id="176" w:name="_Toc267320058"/>
      <w:bookmarkStart w:id="177" w:name="_Toc363135205"/>
      <w:r>
        <w:rPr>
          <w:rFonts w:hint="eastAsia" w:ascii="仿宋" w:hAnsi="仿宋" w:eastAsia="仿宋" w:cs="仿宋"/>
          <w:b/>
          <w:color w:val="auto"/>
          <w:sz w:val="32"/>
          <w:szCs w:val="32"/>
          <w:highlight w:val="none"/>
        </w:rPr>
        <w:t>一</w:t>
      </w:r>
      <w:r>
        <w:rPr>
          <w:rFonts w:hint="eastAsia" w:ascii="仿宋" w:hAnsi="仿宋" w:eastAsia="仿宋" w:cs="仿宋"/>
          <w:b/>
          <w:color w:val="auto"/>
          <w:sz w:val="32"/>
          <w:szCs w:val="32"/>
          <w:highlight w:val="none"/>
          <w:lang w:val="en-US" w:eastAsia="zh-CN"/>
        </w:rPr>
        <w:t>、</w:t>
      </w:r>
      <w:r>
        <w:rPr>
          <w:rFonts w:hint="eastAsia" w:ascii="仿宋" w:hAnsi="仿宋" w:eastAsia="仿宋" w:cs="仿宋"/>
          <w:b/>
          <w:color w:val="auto"/>
          <w:sz w:val="32"/>
          <w:szCs w:val="32"/>
          <w:highlight w:val="none"/>
        </w:rPr>
        <w:t>总  则</w:t>
      </w:r>
      <w:bookmarkEnd w:id="171"/>
      <w:bookmarkEnd w:id="172"/>
      <w:bookmarkEnd w:id="173"/>
      <w:bookmarkEnd w:id="174"/>
    </w:p>
    <w:p w14:paraId="79DD9A7B">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1、一般规定</w:t>
      </w:r>
    </w:p>
    <w:p w14:paraId="280D52E2">
      <w:pPr>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1.1本项目的招标按照《中华人民共和国政府采购法》、《政府采购服务和服务招标磋商管理办法》、《政府采购竞争性磋商采购方式管理暂行办法》及政府采购的有关规定进行。</w:t>
      </w:r>
    </w:p>
    <w:p w14:paraId="2508993D">
      <w:pPr>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1.2评标必须遵循公开、公平、公正、诚实信用的原则。</w:t>
      </w:r>
    </w:p>
    <w:p w14:paraId="6AD0D1CB">
      <w:pPr>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1.3招标代理机构组织招标、开标、评标工作，全过程接受政府采购有关部门的监督、管理和指导。</w:t>
      </w:r>
    </w:p>
    <w:p w14:paraId="5B137063">
      <w:pPr>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1.4评标按照</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磋商文件规定的内容进行，采取综合比较和分项打分相结合的评标方法（综合评分法），避免纯技术或纯经济的倾向。</w:t>
      </w:r>
    </w:p>
    <w:p w14:paraId="45F108A3">
      <w:pPr>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1.5本办法的评标对象是指供应商按照</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磋商文件要求提供的有效响应文件，包括供应商应磋商小组要求对原响应文件作出的正式书面澄清文件。</w:t>
      </w:r>
    </w:p>
    <w:p w14:paraId="4AACBAEE">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2、磋商组织机构的组成</w:t>
      </w:r>
    </w:p>
    <w:p w14:paraId="110119B8">
      <w:pPr>
        <w:tabs>
          <w:tab w:val="left" w:pos="567"/>
          <w:tab w:val="left" w:pos="1145"/>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2.1磋商小组成员由招标人的代表和随机抽取的有关方面的</w:t>
      </w:r>
      <w:r>
        <w:rPr>
          <w:rFonts w:hint="eastAsia" w:ascii="仿宋" w:hAnsi="仿宋" w:eastAsia="仿宋" w:cs="仿宋"/>
          <w:b/>
          <w:bCs/>
          <w:color w:val="auto"/>
          <w:sz w:val="32"/>
          <w:szCs w:val="32"/>
          <w:highlight w:val="none"/>
          <w:u w:val="single"/>
        </w:rPr>
        <w:t>专家</w:t>
      </w:r>
      <w:r>
        <w:rPr>
          <w:rFonts w:hint="eastAsia" w:ascii="仿宋" w:hAnsi="仿宋" w:eastAsia="仿宋" w:cs="仿宋"/>
          <w:b/>
          <w:bCs/>
          <w:color w:val="auto"/>
          <w:sz w:val="32"/>
          <w:szCs w:val="32"/>
          <w:highlight w:val="none"/>
          <w:u w:val="single"/>
          <w:lang w:val="en-US" w:eastAsia="zh-CN"/>
        </w:rPr>
        <w:t>2</w:t>
      </w:r>
      <w:r>
        <w:rPr>
          <w:rFonts w:hint="eastAsia" w:ascii="仿宋" w:hAnsi="仿宋" w:eastAsia="仿宋" w:cs="仿宋"/>
          <w:b/>
          <w:bCs/>
          <w:color w:val="auto"/>
          <w:sz w:val="32"/>
          <w:szCs w:val="32"/>
          <w:highlight w:val="none"/>
          <w:u w:val="single"/>
        </w:rPr>
        <w:t>名组成，成员为</w:t>
      </w:r>
      <w:r>
        <w:rPr>
          <w:rFonts w:hint="eastAsia" w:ascii="仿宋" w:hAnsi="仿宋" w:eastAsia="仿宋" w:cs="仿宋"/>
          <w:b/>
          <w:bCs/>
          <w:color w:val="auto"/>
          <w:sz w:val="32"/>
          <w:szCs w:val="32"/>
          <w:highlight w:val="none"/>
          <w:u w:val="single"/>
          <w:lang w:val="en-US" w:eastAsia="zh-CN"/>
        </w:rPr>
        <w:t>3</w:t>
      </w:r>
      <w:r>
        <w:rPr>
          <w:rFonts w:hint="eastAsia" w:ascii="仿宋" w:hAnsi="仿宋" w:eastAsia="仿宋" w:cs="仿宋"/>
          <w:b/>
          <w:bCs/>
          <w:color w:val="auto"/>
          <w:sz w:val="32"/>
          <w:szCs w:val="32"/>
          <w:highlight w:val="none"/>
          <w:u w:val="single"/>
        </w:rPr>
        <w:t>人</w:t>
      </w:r>
      <w:r>
        <w:rPr>
          <w:rFonts w:hint="eastAsia" w:ascii="仿宋" w:hAnsi="仿宋" w:eastAsia="仿宋" w:cs="仿宋"/>
          <w:color w:val="auto"/>
          <w:sz w:val="32"/>
          <w:szCs w:val="32"/>
          <w:highlight w:val="none"/>
        </w:rPr>
        <w:t>，磋商小组的成员在评标过程中</w:t>
      </w:r>
      <w:r>
        <w:rPr>
          <w:rFonts w:hint="eastAsia" w:ascii="仿宋" w:hAnsi="仿宋" w:eastAsia="仿宋" w:cs="仿宋"/>
          <w:color w:val="auto"/>
          <w:sz w:val="32"/>
          <w:szCs w:val="32"/>
          <w:highlight w:val="none"/>
          <w:lang w:val="zh-CN"/>
        </w:rPr>
        <w:t>必须严格遵守政府采购的有关规定</w:t>
      </w:r>
      <w:r>
        <w:rPr>
          <w:rFonts w:hint="eastAsia" w:ascii="仿宋" w:hAnsi="仿宋" w:eastAsia="仿宋" w:cs="仿宋"/>
          <w:color w:val="auto"/>
          <w:sz w:val="32"/>
          <w:szCs w:val="32"/>
          <w:highlight w:val="none"/>
        </w:rPr>
        <w:t>。专家从当地专家库中随机抽取产生。</w:t>
      </w:r>
    </w:p>
    <w:p w14:paraId="2F0FD6BA">
      <w:pPr>
        <w:tabs>
          <w:tab w:val="left" w:pos="567"/>
          <w:tab w:val="left" w:pos="1145"/>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2.2评标工作组由招标人及有关专家组成，由磋商小组确认，并接受其领导。</w:t>
      </w:r>
    </w:p>
    <w:p w14:paraId="4EB33A63">
      <w:pPr>
        <w:tabs>
          <w:tab w:val="left" w:pos="567"/>
          <w:tab w:val="left" w:pos="1145"/>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2.3</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磋商小组应相对独立工作，负责评标、撰写技术、商务评标报告。采购代理机构负责评标过程中资料的保管、发放、回收，整理、汇总评标资料。</w:t>
      </w:r>
    </w:p>
    <w:p w14:paraId="60D7A8DF">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3、磋商小组职责</w:t>
      </w:r>
    </w:p>
    <w:p w14:paraId="3F984D32">
      <w:pPr>
        <w:pStyle w:val="43"/>
        <w:spacing w:before="0" w:beforeAutospacing="0" w:after="0" w:afterAutospacing="0"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3.1审查</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磋商文件是否符合磋商文件要求，并作出评价；</w:t>
      </w:r>
    </w:p>
    <w:p w14:paraId="7AC1785C">
      <w:pPr>
        <w:pStyle w:val="43"/>
        <w:spacing w:before="0" w:beforeAutospacing="0" w:after="0" w:afterAutospacing="0"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3.2要求供应商对</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磋商文件有关事项作出解释或者澄清；</w:t>
      </w:r>
    </w:p>
    <w:p w14:paraId="783B123C">
      <w:pPr>
        <w:pStyle w:val="43"/>
        <w:spacing w:before="0" w:beforeAutospacing="0" w:after="0" w:afterAutospacing="0"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3.3推荐中标</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候选人名单；</w:t>
      </w:r>
    </w:p>
    <w:p w14:paraId="65963AEF">
      <w:pPr>
        <w:pStyle w:val="43"/>
        <w:spacing w:before="0" w:beforeAutospacing="0" w:after="0" w:afterAutospacing="0"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3.4向招标人、招标代理机构或者有关部门报告非法干预评标工作的行为。</w:t>
      </w:r>
    </w:p>
    <w:p w14:paraId="551AB9A2">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4、磋商小组义务</w:t>
      </w:r>
    </w:p>
    <w:p w14:paraId="38895AA0">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4.1遵纪守法，客观、公正、廉洁地履行职责；</w:t>
      </w:r>
    </w:p>
    <w:p w14:paraId="544908BA">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4.2按照</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sz w:val="32"/>
          <w:szCs w:val="32"/>
          <w:highlight w:val="none"/>
        </w:rPr>
        <w:t>磋商文件规定的评标方法和评标标准进行评标，对评审意见承担个人责任；</w:t>
      </w:r>
    </w:p>
    <w:p w14:paraId="5CB7BB0D">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4.3对评标过程和结果，以及供应商的商业秘密保密；</w:t>
      </w:r>
    </w:p>
    <w:p w14:paraId="34F55418">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4.4参与评标报告的起草；</w:t>
      </w:r>
    </w:p>
    <w:p w14:paraId="36EA33A9">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4.5配合有关部门的投诉处理工作；</w:t>
      </w:r>
    </w:p>
    <w:p w14:paraId="304E0C67">
      <w:pPr>
        <w:tabs>
          <w:tab w:val="left" w:pos="567"/>
          <w:tab w:val="left" w:pos="60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4.6配合招标人、招标代理机构答复磋商供应商提出的质疑。</w:t>
      </w:r>
    </w:p>
    <w:p w14:paraId="31BDBA12">
      <w:pPr>
        <w:tabs>
          <w:tab w:val="left" w:pos="1547"/>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 评标程序</w:t>
      </w:r>
    </w:p>
    <w:p w14:paraId="6A64EDFD">
      <w:pPr>
        <w:pStyle w:val="23"/>
        <w:tabs>
          <w:tab w:val="left" w:pos="720"/>
          <w:tab w:val="clear" w:pos="0"/>
        </w:tabs>
        <w:spacing w:line="440" w:lineRule="exact"/>
        <w:ind w:firstLine="816" w:firstLineChars="255"/>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rPr>
        <w:t>5.1本次评标首先由磋商小组对供应商的响应文件进行初审，对未能通过初审的响应文件作废标处理；</w:t>
      </w:r>
    </w:p>
    <w:p w14:paraId="0C263607">
      <w:pPr>
        <w:tabs>
          <w:tab w:val="left" w:pos="720"/>
        </w:tabs>
        <w:spacing w:line="440" w:lineRule="exact"/>
        <w:ind w:firstLine="816" w:firstLineChars="255"/>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5.2对通过初审的供应商的响应文件进行详细的比较和评价。如需要，进行必要的澄清工作；</w:t>
      </w:r>
    </w:p>
    <w:p w14:paraId="1E33A39E">
      <w:pPr>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5.3评标报告与推荐成交候选人</w:t>
      </w:r>
    </w:p>
    <w:p w14:paraId="6629536F">
      <w:pPr>
        <w:widowControl/>
        <w:spacing w:line="440" w:lineRule="exact"/>
        <w:ind w:firstLine="480"/>
        <w:rPr>
          <w:rFonts w:hint="eastAsia" w:ascii="仿宋" w:hAnsi="仿宋" w:eastAsia="仿宋" w:cs="仿宋"/>
          <w:color w:val="auto"/>
          <w:kern w:val="0"/>
          <w:sz w:val="32"/>
          <w:szCs w:val="32"/>
          <w:highlight w:val="none"/>
        </w:rPr>
      </w:pPr>
      <w:r>
        <w:rPr>
          <w:rFonts w:hint="eastAsia" w:ascii="仿宋" w:hAnsi="仿宋" w:eastAsia="仿宋" w:cs="仿宋"/>
          <w:color w:val="auto"/>
          <w:sz w:val="32"/>
          <w:szCs w:val="32"/>
          <w:highlight w:val="none"/>
        </w:rPr>
        <w:t>5.3</w:t>
      </w:r>
      <w:r>
        <w:rPr>
          <w:rFonts w:hint="eastAsia" w:ascii="仿宋" w:hAnsi="仿宋" w:eastAsia="仿宋" w:cs="仿宋"/>
          <w:color w:val="auto"/>
          <w:kern w:val="0"/>
          <w:sz w:val="32"/>
          <w:szCs w:val="32"/>
          <w:highlight w:val="none"/>
        </w:rPr>
        <w:t>磋商小组各成员应当独立对每个有效响应的文件进行评价、打分，然后汇总每个供应商每项评分因素的得分。</w:t>
      </w:r>
    </w:p>
    <w:p w14:paraId="1853674C">
      <w:pPr>
        <w:widowControl/>
        <w:spacing w:line="440" w:lineRule="exact"/>
        <w:ind w:firstLine="48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　综合评分法服务项目的价格分值占总分值的比重(即权值)为</w:t>
      </w:r>
      <w:r>
        <w:rPr>
          <w:rFonts w:hint="eastAsia" w:ascii="仿宋" w:hAnsi="仿宋" w:eastAsia="仿宋" w:cs="仿宋"/>
          <w:color w:val="auto"/>
          <w:kern w:val="0"/>
          <w:sz w:val="32"/>
          <w:szCs w:val="32"/>
          <w:highlight w:val="none"/>
          <w:lang w:val="en-US" w:eastAsia="zh-CN"/>
        </w:rPr>
        <w:t>10</w:t>
      </w:r>
      <w:r>
        <w:rPr>
          <w:rFonts w:hint="eastAsia" w:ascii="仿宋" w:hAnsi="仿宋" w:eastAsia="仿宋" w:cs="仿宋"/>
          <w:color w:val="auto"/>
          <w:kern w:val="0"/>
          <w:sz w:val="32"/>
          <w:szCs w:val="32"/>
          <w:highlight w:val="none"/>
        </w:rPr>
        <w:t>％，采购项目中含不同采购对象的，以占项目资金比例最高的采购对象确定其项目属性。其价格不列为评分因素，有特殊情况需要在上述规定范围外设定价格分权重的。</w:t>
      </w:r>
    </w:p>
    <w:p w14:paraId="79FFDDA0">
      <w:pPr>
        <w:widowControl/>
        <w:spacing w:line="440" w:lineRule="exact"/>
        <w:ind w:firstLine="48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　综合评分法中的价格分统一采用低价优先法计算，即满足</w:t>
      </w:r>
      <w:r>
        <w:rPr>
          <w:rFonts w:hint="eastAsia" w:ascii="仿宋" w:hAnsi="仿宋" w:eastAsia="仿宋" w:cs="仿宋"/>
          <w:color w:val="auto"/>
          <w:sz w:val="32"/>
          <w:szCs w:val="32"/>
          <w:highlight w:val="none"/>
          <w:lang w:eastAsia="zh-CN"/>
        </w:rPr>
        <w:t>竞争性</w:t>
      </w:r>
      <w:r>
        <w:rPr>
          <w:rFonts w:hint="eastAsia" w:ascii="仿宋" w:hAnsi="仿宋" w:eastAsia="仿宋" w:cs="仿宋"/>
          <w:color w:val="auto"/>
          <w:kern w:val="0"/>
          <w:sz w:val="32"/>
          <w:szCs w:val="32"/>
          <w:highlight w:val="none"/>
        </w:rPr>
        <w:t>磋商文件要求且最后报价最低的供应商的价格为磋商基准价，其价格分为满分。其他供应商的价格分统一按照下列公式计算：</w:t>
      </w:r>
    </w:p>
    <w:p w14:paraId="046F9FDA">
      <w:pPr>
        <w:widowControl/>
        <w:shd w:val="clear" w:color="auto" w:fill="auto"/>
        <w:spacing w:line="440" w:lineRule="exact"/>
        <w:ind w:firstLine="480"/>
        <w:rPr>
          <w:rFonts w:hint="eastAsia" w:ascii="仿宋" w:hAnsi="仿宋" w:eastAsia="仿宋" w:cs="仿宋"/>
          <w:color w:val="auto"/>
          <w:kern w:val="0"/>
          <w:sz w:val="32"/>
          <w:szCs w:val="32"/>
          <w:highlight w:val="none"/>
          <w:lang w:val="en-US"/>
        </w:rPr>
      </w:pPr>
      <w:r>
        <w:rPr>
          <w:rFonts w:hint="eastAsia" w:ascii="仿宋" w:hAnsi="仿宋" w:eastAsia="仿宋" w:cs="仿宋"/>
          <w:color w:val="auto"/>
          <w:kern w:val="0"/>
          <w:sz w:val="32"/>
          <w:szCs w:val="32"/>
          <w:highlight w:val="none"/>
        </w:rPr>
        <w:t>　</w:t>
      </w:r>
      <w:r>
        <w:rPr>
          <w:rFonts w:hint="eastAsia" w:ascii="仿宋" w:hAnsi="仿宋" w:eastAsia="仿宋" w:cs="仿宋"/>
          <w:color w:val="auto"/>
          <w:kern w:val="0"/>
          <w:sz w:val="32"/>
          <w:szCs w:val="32"/>
          <w:highlight w:val="none"/>
          <w:lang w:eastAsia="zh-CN"/>
        </w:rPr>
        <w:t>投标</w:t>
      </w:r>
      <w:r>
        <w:rPr>
          <w:rFonts w:hint="eastAsia" w:ascii="仿宋" w:hAnsi="仿宋" w:eastAsia="仿宋" w:cs="仿宋"/>
          <w:color w:val="auto"/>
          <w:kern w:val="0"/>
          <w:sz w:val="32"/>
          <w:szCs w:val="32"/>
          <w:highlight w:val="none"/>
        </w:rPr>
        <w:t>报价得分=（基准价/</w:t>
      </w:r>
      <w:r>
        <w:rPr>
          <w:rFonts w:hint="eastAsia" w:ascii="仿宋" w:hAnsi="仿宋" w:eastAsia="仿宋" w:cs="仿宋"/>
          <w:color w:val="auto"/>
          <w:kern w:val="0"/>
          <w:sz w:val="32"/>
          <w:szCs w:val="32"/>
          <w:highlight w:val="none"/>
          <w:lang w:eastAsia="zh-CN"/>
        </w:rPr>
        <w:t>投标</w:t>
      </w:r>
      <w:r>
        <w:rPr>
          <w:rFonts w:hint="eastAsia" w:ascii="仿宋" w:hAnsi="仿宋" w:eastAsia="仿宋" w:cs="仿宋"/>
          <w:color w:val="auto"/>
          <w:kern w:val="0"/>
          <w:sz w:val="32"/>
          <w:szCs w:val="32"/>
          <w:highlight w:val="none"/>
        </w:rPr>
        <w:t>报价）×</w:t>
      </w:r>
      <w:r>
        <w:rPr>
          <w:rFonts w:hint="eastAsia" w:ascii="仿宋" w:hAnsi="仿宋" w:eastAsia="仿宋" w:cs="仿宋"/>
          <w:color w:val="auto"/>
          <w:kern w:val="0"/>
          <w:sz w:val="32"/>
          <w:szCs w:val="32"/>
          <w:highlight w:val="none"/>
          <w:lang w:val="en-US" w:eastAsia="zh-CN"/>
        </w:rPr>
        <w:t>10</w:t>
      </w:r>
    </w:p>
    <w:p w14:paraId="2E7AEAFB">
      <w:pPr>
        <w:widowControl/>
        <w:spacing w:line="440" w:lineRule="exact"/>
        <w:ind w:firstLine="480"/>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　项目评审过程中，不得去掉最后报价中的最高报价和最低报价。</w:t>
      </w:r>
    </w:p>
    <w:p w14:paraId="00DFEF69">
      <w:pPr>
        <w:widowControl/>
        <w:spacing w:line="440" w:lineRule="exact"/>
        <w:ind w:firstLine="480"/>
        <w:rPr>
          <w:rFonts w:hint="eastAsia" w:ascii="宋体"/>
          <w:b/>
          <w:color w:val="auto"/>
          <w:sz w:val="28"/>
          <w:szCs w:val="28"/>
          <w:highlight w:val="none"/>
        </w:rPr>
      </w:pPr>
      <w:bookmarkStart w:id="178" w:name="_Toc26200"/>
      <w:bookmarkStart w:id="179" w:name="_Toc13511"/>
      <w:bookmarkStart w:id="180" w:name="_Toc22920"/>
      <w:bookmarkStart w:id="181" w:name="_Toc18771"/>
      <w:bookmarkStart w:id="182" w:name="_Toc7941"/>
      <w:r>
        <w:rPr>
          <w:rFonts w:hint="eastAsia" w:ascii="仿宋" w:hAnsi="仿宋" w:eastAsia="仿宋" w:cs="仿宋"/>
          <w:color w:val="auto"/>
          <w:kern w:val="0"/>
          <w:sz w:val="32"/>
          <w:szCs w:val="32"/>
          <w:highlight w:val="none"/>
        </w:rPr>
        <w:t> 磋商小组应当根据综合评分情况，按照评审得分由高到低顺序推荐3名以上成交候选供应商符合《政府采购竞争性磋商采购方式管理暂行办法》法第二十五条磋商小组应当根据综合评分情况，按照评审得分由高到低顺序推荐3名以上成交候选供应商。符合本办法第二十一条第三款情形的，可以推荐2家成交候选供应商。评审得分相同的，按照最后报价由低到高的顺序推荐。评审得分且最后报价相同的，按照技术指标优劣顺序推荐。</w:t>
      </w:r>
      <w:bookmarkEnd w:id="178"/>
      <w:bookmarkEnd w:id="179"/>
      <w:bookmarkEnd w:id="180"/>
      <w:bookmarkEnd w:id="181"/>
      <w:bookmarkEnd w:id="182"/>
      <w:bookmarkStart w:id="183" w:name="_Toc22222"/>
      <w:bookmarkStart w:id="184" w:name="_Toc20301"/>
    </w:p>
    <w:p w14:paraId="38C1CCDC">
      <w:pPr>
        <w:shd w:val="clear" w:color="auto" w:fill="auto"/>
        <w:jc w:val="center"/>
        <w:outlineLvl w:val="1"/>
        <w:rPr>
          <w:rFonts w:hint="eastAsia" w:ascii="仿宋" w:hAnsi="仿宋" w:eastAsia="仿宋" w:cs="仿宋"/>
          <w:b/>
          <w:color w:val="auto"/>
          <w:sz w:val="32"/>
          <w:szCs w:val="32"/>
          <w:highlight w:val="none"/>
        </w:rPr>
      </w:pPr>
      <w:bookmarkStart w:id="185" w:name="_Toc14147"/>
      <w:bookmarkStart w:id="186" w:name="_Toc7706"/>
      <w:r>
        <w:rPr>
          <w:rFonts w:hint="eastAsia" w:ascii="仿宋" w:hAnsi="仿宋" w:eastAsia="仿宋" w:cs="仿宋"/>
          <w:b/>
          <w:color w:val="auto"/>
          <w:sz w:val="32"/>
          <w:szCs w:val="32"/>
          <w:highlight w:val="none"/>
        </w:rPr>
        <w:t xml:space="preserve">二 </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投标文件初审</w:t>
      </w:r>
      <w:bookmarkEnd w:id="175"/>
      <w:bookmarkEnd w:id="183"/>
      <w:bookmarkEnd w:id="184"/>
      <w:bookmarkEnd w:id="185"/>
      <w:bookmarkEnd w:id="186"/>
    </w:p>
    <w:p w14:paraId="3EF36504">
      <w:pPr>
        <w:shd w:val="clear" w:color="auto" w:fill="auto"/>
        <w:spacing w:line="400" w:lineRule="exact"/>
        <w:ind w:firstLine="470" w:firstLineChars="147"/>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资格性审查:</w:t>
      </w:r>
    </w:p>
    <w:p w14:paraId="614ED57D">
      <w:pPr>
        <w:shd w:val="clear" w:color="auto" w:fill="auto"/>
        <w:spacing w:line="400" w:lineRule="exact"/>
        <w:ind w:firstLine="470" w:firstLineChars="147"/>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.1评审细则</w:t>
      </w:r>
    </w:p>
    <w:tbl>
      <w:tblPr>
        <w:tblStyle w:val="46"/>
        <w:tblW w:w="9343" w:type="dxa"/>
        <w:tblInd w:w="25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7"/>
        <w:gridCol w:w="793"/>
        <w:gridCol w:w="5957"/>
        <w:gridCol w:w="927"/>
        <w:gridCol w:w="1019"/>
      </w:tblGrid>
      <w:tr w14:paraId="56015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647" w:type="dxa"/>
            <w:vMerge w:val="restart"/>
            <w:tcBorders>
              <w:bottom w:val="nil"/>
            </w:tcBorders>
            <w:vAlign w:val="top"/>
          </w:tcPr>
          <w:p w14:paraId="418CC140">
            <w:pPr>
              <w:pStyle w:val="45"/>
              <w:spacing w:line="307" w:lineRule="auto"/>
              <w:rPr>
                <w:rFonts w:hint="eastAsia" w:ascii="仿宋" w:hAnsi="仿宋" w:eastAsia="仿宋" w:cs="仿宋"/>
                <w:sz w:val="32"/>
                <w:szCs w:val="32"/>
              </w:rPr>
            </w:pPr>
          </w:p>
          <w:p w14:paraId="7A072851">
            <w:pPr>
              <w:spacing w:before="65" w:line="228" w:lineRule="auto"/>
              <w:ind w:left="216"/>
              <w:outlineLvl w:val="1"/>
              <w:rPr>
                <w:rFonts w:hint="eastAsia" w:ascii="仿宋" w:hAnsi="仿宋" w:eastAsia="仿宋" w:cs="仿宋"/>
                <w:sz w:val="32"/>
                <w:szCs w:val="32"/>
              </w:rPr>
            </w:pPr>
            <w:r>
              <w:rPr>
                <w:rFonts w:hint="eastAsia" w:ascii="仿宋" w:hAnsi="仿宋" w:eastAsia="仿宋" w:cs="仿宋"/>
                <w:spacing w:val="3"/>
                <w:sz w:val="32"/>
                <w:szCs w:val="32"/>
              </w:rPr>
              <w:t>项目</w:t>
            </w:r>
          </w:p>
        </w:tc>
        <w:tc>
          <w:tcPr>
            <w:tcW w:w="6750" w:type="dxa"/>
            <w:gridSpan w:val="2"/>
            <w:vMerge w:val="restart"/>
            <w:tcBorders>
              <w:bottom w:val="nil"/>
            </w:tcBorders>
            <w:vAlign w:val="top"/>
          </w:tcPr>
          <w:p w14:paraId="331DB823">
            <w:pPr>
              <w:pStyle w:val="45"/>
              <w:spacing w:line="306" w:lineRule="auto"/>
              <w:rPr>
                <w:rFonts w:hint="eastAsia" w:ascii="仿宋" w:hAnsi="仿宋" w:eastAsia="仿宋" w:cs="仿宋"/>
                <w:sz w:val="32"/>
                <w:szCs w:val="32"/>
              </w:rPr>
            </w:pPr>
          </w:p>
          <w:p w14:paraId="700208CA">
            <w:pPr>
              <w:spacing w:before="65" w:line="228" w:lineRule="auto"/>
              <w:ind w:left="2795"/>
              <w:outlineLvl w:val="1"/>
              <w:rPr>
                <w:rFonts w:hint="eastAsia" w:ascii="仿宋" w:hAnsi="仿宋" w:eastAsia="仿宋" w:cs="仿宋"/>
                <w:sz w:val="32"/>
                <w:szCs w:val="32"/>
              </w:rPr>
            </w:pPr>
            <w:r>
              <w:rPr>
                <w:rFonts w:hint="eastAsia" w:ascii="仿宋" w:hAnsi="仿宋" w:eastAsia="仿宋" w:cs="仿宋"/>
                <w:spacing w:val="7"/>
                <w:sz w:val="32"/>
                <w:szCs w:val="32"/>
              </w:rPr>
              <w:t>评审内容</w:t>
            </w:r>
          </w:p>
        </w:tc>
        <w:tc>
          <w:tcPr>
            <w:tcW w:w="1946" w:type="dxa"/>
            <w:gridSpan w:val="2"/>
            <w:vAlign w:val="top"/>
          </w:tcPr>
          <w:p w14:paraId="1177F94F">
            <w:pPr>
              <w:spacing w:before="133" w:line="228" w:lineRule="auto"/>
              <w:outlineLvl w:val="1"/>
              <w:rPr>
                <w:rFonts w:hint="eastAsia" w:ascii="仿宋" w:hAnsi="仿宋" w:eastAsia="仿宋" w:cs="仿宋"/>
                <w:sz w:val="32"/>
                <w:szCs w:val="32"/>
              </w:rPr>
            </w:pPr>
            <w:r>
              <w:rPr>
                <w:rFonts w:hint="eastAsia" w:ascii="仿宋" w:hAnsi="仿宋" w:eastAsia="仿宋" w:cs="仿宋"/>
                <w:spacing w:val="7"/>
                <w:sz w:val="32"/>
                <w:szCs w:val="32"/>
              </w:rPr>
              <w:t>评审意见</w:t>
            </w:r>
          </w:p>
        </w:tc>
      </w:tr>
      <w:tr w14:paraId="47C82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647" w:type="dxa"/>
            <w:vMerge w:val="continue"/>
            <w:tcBorders>
              <w:top w:val="nil"/>
            </w:tcBorders>
            <w:vAlign w:val="top"/>
          </w:tcPr>
          <w:p w14:paraId="7546CC55">
            <w:pPr>
              <w:pStyle w:val="45"/>
              <w:rPr>
                <w:rFonts w:hint="eastAsia" w:ascii="仿宋" w:hAnsi="仿宋" w:eastAsia="仿宋" w:cs="仿宋"/>
                <w:sz w:val="32"/>
                <w:szCs w:val="32"/>
              </w:rPr>
            </w:pPr>
          </w:p>
        </w:tc>
        <w:tc>
          <w:tcPr>
            <w:tcW w:w="6750" w:type="dxa"/>
            <w:gridSpan w:val="2"/>
            <w:vMerge w:val="continue"/>
            <w:tcBorders>
              <w:top w:val="nil"/>
            </w:tcBorders>
            <w:vAlign w:val="top"/>
          </w:tcPr>
          <w:p w14:paraId="40135552">
            <w:pPr>
              <w:pStyle w:val="45"/>
              <w:rPr>
                <w:rFonts w:hint="eastAsia" w:ascii="仿宋" w:hAnsi="仿宋" w:eastAsia="仿宋" w:cs="仿宋"/>
                <w:sz w:val="32"/>
                <w:szCs w:val="32"/>
              </w:rPr>
            </w:pPr>
          </w:p>
        </w:tc>
        <w:tc>
          <w:tcPr>
            <w:tcW w:w="927" w:type="dxa"/>
            <w:vAlign w:val="top"/>
          </w:tcPr>
          <w:p w14:paraId="1F2ECD68">
            <w:pPr>
              <w:spacing w:before="129" w:line="228" w:lineRule="auto"/>
              <w:ind w:left="117"/>
              <w:outlineLvl w:val="1"/>
              <w:rPr>
                <w:rFonts w:hint="default" w:ascii="仿宋" w:hAnsi="仿宋" w:eastAsia="仿宋" w:cs="仿宋"/>
                <w:sz w:val="32"/>
                <w:szCs w:val="32"/>
                <w:lang w:val="en-US" w:eastAsia="zh-CN"/>
              </w:rPr>
            </w:pPr>
            <w:r>
              <w:rPr>
                <w:rFonts w:hint="eastAsia" w:ascii="仿宋" w:hAnsi="仿宋" w:eastAsia="仿宋" w:cs="仿宋"/>
                <w:spacing w:val="6"/>
                <w:sz w:val="32"/>
                <w:szCs w:val="32"/>
                <w:lang w:val="en-US" w:eastAsia="zh-CN"/>
              </w:rPr>
              <w:t>是否合格</w:t>
            </w:r>
          </w:p>
        </w:tc>
        <w:tc>
          <w:tcPr>
            <w:tcW w:w="1019" w:type="dxa"/>
            <w:vAlign w:val="top"/>
          </w:tcPr>
          <w:p w14:paraId="48EC46B6">
            <w:pPr>
              <w:spacing w:before="129" w:line="228" w:lineRule="auto"/>
              <w:ind w:left="118"/>
              <w:outlineLvl w:val="1"/>
              <w:rPr>
                <w:rFonts w:hint="eastAsia" w:ascii="仿宋" w:hAnsi="仿宋" w:eastAsia="仿宋" w:cs="仿宋"/>
                <w:sz w:val="32"/>
                <w:szCs w:val="32"/>
              </w:rPr>
            </w:pPr>
            <w:r>
              <w:rPr>
                <w:rFonts w:hint="eastAsia" w:ascii="仿宋" w:hAnsi="仿宋" w:eastAsia="仿宋" w:cs="仿宋"/>
                <w:spacing w:val="6"/>
                <w:sz w:val="32"/>
                <w:szCs w:val="32"/>
              </w:rPr>
              <w:t>是否合</w:t>
            </w:r>
            <w:r>
              <w:rPr>
                <w:rFonts w:hint="eastAsia" w:ascii="仿宋" w:hAnsi="仿宋" w:eastAsia="仿宋" w:cs="仿宋"/>
                <w:spacing w:val="6"/>
                <w:sz w:val="32"/>
                <w:szCs w:val="32"/>
                <w:lang w:val="en-US" w:eastAsia="zh-CN"/>
              </w:rPr>
              <w:t xml:space="preserve"> </w:t>
            </w:r>
            <w:r>
              <w:rPr>
                <w:rFonts w:hint="eastAsia" w:ascii="仿宋" w:hAnsi="仿宋" w:eastAsia="仿宋" w:cs="仿宋"/>
                <w:spacing w:val="6"/>
                <w:sz w:val="32"/>
                <w:szCs w:val="32"/>
              </w:rPr>
              <w:t>格</w:t>
            </w:r>
          </w:p>
        </w:tc>
      </w:tr>
      <w:tr w14:paraId="66A7B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7" w:type="dxa"/>
            <w:vMerge w:val="restart"/>
            <w:tcBorders>
              <w:bottom w:val="nil"/>
            </w:tcBorders>
            <w:vAlign w:val="top"/>
          </w:tcPr>
          <w:p w14:paraId="3442F627">
            <w:pPr>
              <w:pStyle w:val="45"/>
              <w:spacing w:line="294" w:lineRule="auto"/>
              <w:rPr>
                <w:rFonts w:hint="eastAsia" w:ascii="仿宋" w:hAnsi="仿宋" w:eastAsia="仿宋" w:cs="仿宋"/>
                <w:color w:val="auto"/>
                <w:sz w:val="32"/>
                <w:szCs w:val="32"/>
              </w:rPr>
            </w:pPr>
          </w:p>
          <w:p w14:paraId="31F8C0B1">
            <w:pPr>
              <w:pStyle w:val="45"/>
              <w:spacing w:line="295" w:lineRule="auto"/>
              <w:jc w:val="center"/>
              <w:rPr>
                <w:rFonts w:hint="eastAsia" w:ascii="仿宋" w:hAnsi="仿宋" w:eastAsia="仿宋" w:cs="仿宋"/>
                <w:color w:val="auto"/>
                <w:sz w:val="32"/>
                <w:szCs w:val="32"/>
              </w:rPr>
            </w:pPr>
          </w:p>
          <w:p w14:paraId="1F8CB005">
            <w:pPr>
              <w:spacing w:before="65" w:line="228"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审</w:t>
            </w:r>
          </w:p>
          <w:p w14:paraId="2B4DE5C4">
            <w:pPr>
              <w:spacing w:before="220" w:line="235"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查</w:t>
            </w:r>
          </w:p>
          <w:p w14:paraId="6C0B1323">
            <w:pPr>
              <w:spacing w:before="213" w:line="228"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标</w:t>
            </w:r>
          </w:p>
          <w:p w14:paraId="312A25D5">
            <w:pPr>
              <w:spacing w:before="220" w:line="229"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准</w:t>
            </w:r>
          </w:p>
          <w:p w14:paraId="0DC7EA4E">
            <w:pPr>
              <w:spacing w:before="219" w:line="231" w:lineRule="auto"/>
              <w:jc w:val="center"/>
              <w:outlineLvl w:val="1"/>
              <w:rPr>
                <w:rFonts w:hint="eastAsia" w:ascii="仿宋" w:hAnsi="仿宋" w:eastAsia="仿宋" w:cs="仿宋"/>
                <w:color w:val="auto"/>
                <w:sz w:val="32"/>
                <w:szCs w:val="32"/>
              </w:rPr>
            </w:pPr>
            <w:r>
              <w:rPr>
                <w:rFonts w:hint="eastAsia" w:ascii="仿宋" w:hAnsi="仿宋" w:eastAsia="仿宋" w:cs="仿宋"/>
                <w:color w:val="auto"/>
                <w:spacing w:val="-16"/>
                <w:sz w:val="32"/>
                <w:szCs w:val="32"/>
              </w:rPr>
              <w:t>(适</w:t>
            </w:r>
          </w:p>
          <w:p w14:paraId="555F2AB8">
            <w:pPr>
              <w:spacing w:before="219" w:line="229"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用</w:t>
            </w:r>
          </w:p>
          <w:p w14:paraId="7757B900">
            <w:pPr>
              <w:spacing w:before="220" w:line="231"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于</w:t>
            </w:r>
          </w:p>
          <w:p w14:paraId="07044000">
            <w:pPr>
              <w:spacing w:before="217" w:line="229"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资</w:t>
            </w:r>
          </w:p>
          <w:p w14:paraId="2F452C2E">
            <w:pPr>
              <w:spacing w:before="220" w:line="228"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格</w:t>
            </w:r>
          </w:p>
          <w:p w14:paraId="318659B4">
            <w:pPr>
              <w:spacing w:before="221" w:line="228" w:lineRule="auto"/>
              <w:jc w:val="center"/>
              <w:rPr>
                <w:rFonts w:hint="eastAsia" w:ascii="仿宋" w:hAnsi="仿宋" w:eastAsia="仿宋" w:cs="仿宋"/>
                <w:color w:val="auto"/>
                <w:sz w:val="32"/>
                <w:szCs w:val="32"/>
              </w:rPr>
            </w:pPr>
            <w:r>
              <w:rPr>
                <w:rFonts w:hint="eastAsia" w:ascii="仿宋" w:hAnsi="仿宋" w:eastAsia="仿宋" w:cs="仿宋"/>
                <w:color w:val="auto"/>
                <w:sz w:val="32"/>
                <w:szCs w:val="32"/>
              </w:rPr>
              <w:t>后</w:t>
            </w:r>
          </w:p>
          <w:p w14:paraId="7054E755">
            <w:pPr>
              <w:spacing w:before="221" w:line="228" w:lineRule="auto"/>
              <w:jc w:val="center"/>
              <w:outlineLvl w:val="1"/>
              <w:rPr>
                <w:rFonts w:hint="eastAsia" w:ascii="仿宋" w:hAnsi="仿宋" w:eastAsia="仿宋" w:cs="仿宋"/>
                <w:color w:val="auto"/>
                <w:sz w:val="32"/>
                <w:szCs w:val="32"/>
              </w:rPr>
            </w:pPr>
            <w:r>
              <w:rPr>
                <w:rFonts w:hint="eastAsia" w:ascii="仿宋" w:hAnsi="仿宋" w:eastAsia="仿宋" w:cs="仿宋"/>
                <w:color w:val="auto"/>
                <w:spacing w:val="-3"/>
                <w:sz w:val="32"/>
                <w:szCs w:val="32"/>
              </w:rPr>
              <w:t>审)</w:t>
            </w:r>
          </w:p>
        </w:tc>
        <w:tc>
          <w:tcPr>
            <w:tcW w:w="793" w:type="dxa"/>
            <w:vAlign w:val="center"/>
          </w:tcPr>
          <w:p w14:paraId="2C1E5D99">
            <w:pPr>
              <w:shd w:val="clear" w:color="auto" w:fill="auto"/>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rPr>
              <w:t>1</w:t>
            </w:r>
          </w:p>
        </w:tc>
        <w:tc>
          <w:tcPr>
            <w:tcW w:w="5957" w:type="dxa"/>
            <w:vAlign w:val="top"/>
          </w:tcPr>
          <w:p w14:paraId="6BF44A6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color w:val="auto"/>
                <w:kern w:val="0"/>
                <w:sz w:val="32"/>
                <w:szCs w:val="32"/>
                <w:highlight w:val="none"/>
                <w:lang w:bidi="ar"/>
              </w:rPr>
            </w:pPr>
            <w:r>
              <w:rPr>
                <w:rFonts w:hint="eastAsia" w:ascii="仿宋" w:hAnsi="仿宋" w:eastAsia="仿宋" w:cs="仿宋"/>
                <w:i w:val="0"/>
                <w:caps w:val="0"/>
                <w:color w:val="auto"/>
                <w:spacing w:val="0"/>
                <w:kern w:val="0"/>
                <w:sz w:val="32"/>
                <w:szCs w:val="32"/>
                <w:highlight w:val="none"/>
                <w:lang w:val="en-US" w:eastAsia="zh-CN"/>
              </w:rPr>
              <w:t>具备合格的三证合一营业执照副本；</w:t>
            </w:r>
          </w:p>
        </w:tc>
        <w:tc>
          <w:tcPr>
            <w:tcW w:w="927" w:type="dxa"/>
            <w:vAlign w:val="top"/>
          </w:tcPr>
          <w:p w14:paraId="48A0BBDB">
            <w:pPr>
              <w:pStyle w:val="45"/>
              <w:rPr>
                <w:rFonts w:hint="eastAsia" w:ascii="仿宋" w:hAnsi="仿宋" w:eastAsia="仿宋" w:cs="仿宋"/>
                <w:color w:val="auto"/>
                <w:sz w:val="32"/>
                <w:szCs w:val="32"/>
              </w:rPr>
            </w:pPr>
          </w:p>
        </w:tc>
        <w:tc>
          <w:tcPr>
            <w:tcW w:w="1019" w:type="dxa"/>
            <w:vAlign w:val="top"/>
          </w:tcPr>
          <w:p w14:paraId="170D45C5">
            <w:pPr>
              <w:pStyle w:val="45"/>
              <w:rPr>
                <w:rFonts w:hint="eastAsia" w:ascii="仿宋" w:hAnsi="仿宋" w:eastAsia="仿宋" w:cs="仿宋"/>
                <w:color w:val="auto"/>
                <w:sz w:val="32"/>
                <w:szCs w:val="32"/>
              </w:rPr>
            </w:pPr>
          </w:p>
        </w:tc>
      </w:tr>
      <w:tr w14:paraId="0FB1F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647" w:type="dxa"/>
            <w:vMerge w:val="continue"/>
            <w:tcBorders>
              <w:top w:val="nil"/>
              <w:bottom w:val="nil"/>
            </w:tcBorders>
            <w:vAlign w:val="top"/>
          </w:tcPr>
          <w:p w14:paraId="46478EA6">
            <w:pPr>
              <w:pStyle w:val="45"/>
              <w:rPr>
                <w:rFonts w:hint="eastAsia" w:ascii="仿宋" w:hAnsi="仿宋" w:eastAsia="仿宋" w:cs="仿宋"/>
                <w:color w:val="auto"/>
                <w:sz w:val="32"/>
                <w:szCs w:val="32"/>
              </w:rPr>
            </w:pPr>
          </w:p>
        </w:tc>
        <w:tc>
          <w:tcPr>
            <w:tcW w:w="793" w:type="dxa"/>
            <w:vAlign w:val="center"/>
          </w:tcPr>
          <w:p w14:paraId="0912BB72">
            <w:pPr>
              <w:shd w:val="clear" w:color="auto" w:fill="auto"/>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lang w:val="en-US" w:eastAsia="zh-CN"/>
              </w:rPr>
              <w:t>2</w:t>
            </w:r>
          </w:p>
        </w:tc>
        <w:tc>
          <w:tcPr>
            <w:tcW w:w="5957" w:type="dxa"/>
            <w:vAlign w:val="top"/>
          </w:tcPr>
          <w:p w14:paraId="46138F65">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color w:val="auto"/>
                <w:kern w:val="0"/>
                <w:sz w:val="32"/>
                <w:szCs w:val="32"/>
                <w:highlight w:val="none"/>
                <w:lang w:bidi="ar"/>
              </w:rPr>
            </w:pPr>
            <w:r>
              <w:rPr>
                <w:rFonts w:hint="eastAsia" w:ascii="仿宋" w:hAnsi="仿宋" w:eastAsia="仿宋" w:cs="仿宋"/>
                <w:i w:val="0"/>
                <w:caps w:val="0"/>
                <w:color w:val="auto"/>
                <w:spacing w:val="0"/>
                <w:kern w:val="0"/>
                <w:sz w:val="32"/>
                <w:szCs w:val="32"/>
                <w:highlight w:val="none"/>
                <w:lang w:val="en-US" w:eastAsia="zh-CN"/>
              </w:rPr>
              <w:t>法定代表人投标需提供法定代表人资格证明书，委托代理人投标需提供法定代表人授权委托书；</w:t>
            </w:r>
            <w:r>
              <w:rPr>
                <w:rFonts w:hint="eastAsia" w:ascii="仿宋" w:hAnsi="仿宋" w:eastAsia="仿宋" w:cs="仿宋"/>
                <w:b/>
                <w:bCs/>
                <w:i w:val="0"/>
                <w:caps w:val="0"/>
                <w:color w:val="auto"/>
                <w:spacing w:val="0"/>
                <w:kern w:val="0"/>
                <w:sz w:val="32"/>
                <w:szCs w:val="32"/>
                <w:highlight w:val="none"/>
                <w:lang w:val="en-US" w:eastAsia="zh-CN"/>
              </w:rPr>
              <w:t>（由牵头单位出具）</w:t>
            </w:r>
          </w:p>
        </w:tc>
        <w:tc>
          <w:tcPr>
            <w:tcW w:w="927" w:type="dxa"/>
            <w:vAlign w:val="top"/>
          </w:tcPr>
          <w:p w14:paraId="01A893BF">
            <w:pPr>
              <w:pStyle w:val="45"/>
              <w:rPr>
                <w:rFonts w:hint="eastAsia" w:ascii="仿宋" w:hAnsi="仿宋" w:eastAsia="仿宋" w:cs="仿宋"/>
                <w:color w:val="auto"/>
                <w:sz w:val="32"/>
                <w:szCs w:val="32"/>
              </w:rPr>
            </w:pPr>
          </w:p>
        </w:tc>
        <w:tc>
          <w:tcPr>
            <w:tcW w:w="1019" w:type="dxa"/>
            <w:vAlign w:val="top"/>
          </w:tcPr>
          <w:p w14:paraId="5B70FAB0">
            <w:pPr>
              <w:pStyle w:val="45"/>
              <w:rPr>
                <w:rFonts w:hint="eastAsia" w:ascii="仿宋" w:hAnsi="仿宋" w:eastAsia="仿宋" w:cs="仿宋"/>
                <w:color w:val="auto"/>
                <w:sz w:val="32"/>
                <w:szCs w:val="32"/>
              </w:rPr>
            </w:pPr>
          </w:p>
        </w:tc>
      </w:tr>
      <w:tr w14:paraId="00EEEF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647" w:type="dxa"/>
            <w:vMerge w:val="continue"/>
            <w:tcBorders>
              <w:top w:val="nil"/>
              <w:bottom w:val="nil"/>
            </w:tcBorders>
            <w:vAlign w:val="top"/>
          </w:tcPr>
          <w:p w14:paraId="3F946C3B">
            <w:pPr>
              <w:pStyle w:val="45"/>
              <w:rPr>
                <w:rFonts w:hint="eastAsia" w:ascii="仿宋" w:hAnsi="仿宋" w:eastAsia="仿宋" w:cs="仿宋"/>
                <w:color w:val="auto"/>
                <w:sz w:val="32"/>
                <w:szCs w:val="32"/>
              </w:rPr>
            </w:pPr>
          </w:p>
        </w:tc>
        <w:tc>
          <w:tcPr>
            <w:tcW w:w="793" w:type="dxa"/>
            <w:vAlign w:val="center"/>
          </w:tcPr>
          <w:p w14:paraId="2F4FBF9F">
            <w:pPr>
              <w:shd w:val="clear" w:color="auto" w:fill="auto"/>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lang w:val="en-US" w:eastAsia="zh-CN"/>
              </w:rPr>
              <w:t>3</w:t>
            </w:r>
          </w:p>
        </w:tc>
        <w:tc>
          <w:tcPr>
            <w:tcW w:w="5957" w:type="dxa"/>
            <w:vAlign w:val="top"/>
          </w:tcPr>
          <w:p w14:paraId="5BF14EF9">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color w:val="auto"/>
                <w:kern w:val="0"/>
                <w:sz w:val="32"/>
                <w:szCs w:val="32"/>
                <w:highlight w:val="none"/>
                <w:lang w:bidi="ar"/>
              </w:rPr>
            </w:pPr>
            <w:r>
              <w:rPr>
                <w:rFonts w:hint="eastAsia" w:ascii="仿宋" w:hAnsi="仿宋" w:eastAsia="仿宋" w:cs="仿宋"/>
                <w:i w:val="0"/>
                <w:caps w:val="0"/>
                <w:color w:val="auto"/>
                <w:spacing w:val="0"/>
                <w:kern w:val="0"/>
                <w:sz w:val="32"/>
                <w:szCs w:val="32"/>
                <w:highlight w:val="none"/>
                <w:lang w:val="en-US" w:eastAsia="zh-CN"/>
              </w:rPr>
              <w:t>投标人须提供（被授权在职人员）近6个月内任意1个月社保证明；</w:t>
            </w:r>
            <w:r>
              <w:rPr>
                <w:rFonts w:hint="eastAsia" w:ascii="仿宋" w:hAnsi="仿宋" w:eastAsia="仿宋" w:cs="仿宋"/>
                <w:b/>
                <w:bCs/>
                <w:i w:val="0"/>
                <w:caps w:val="0"/>
                <w:color w:val="auto"/>
                <w:spacing w:val="0"/>
                <w:kern w:val="0"/>
                <w:sz w:val="32"/>
                <w:szCs w:val="32"/>
                <w:highlight w:val="none"/>
                <w:lang w:val="en-US" w:eastAsia="zh-CN"/>
              </w:rPr>
              <w:t>（由牵头单位出具）</w:t>
            </w:r>
          </w:p>
        </w:tc>
        <w:tc>
          <w:tcPr>
            <w:tcW w:w="927" w:type="dxa"/>
            <w:vAlign w:val="top"/>
          </w:tcPr>
          <w:p w14:paraId="21B8AEB4">
            <w:pPr>
              <w:pStyle w:val="45"/>
              <w:rPr>
                <w:rFonts w:hint="eastAsia" w:ascii="仿宋" w:hAnsi="仿宋" w:eastAsia="仿宋" w:cs="仿宋"/>
                <w:color w:val="auto"/>
                <w:sz w:val="32"/>
                <w:szCs w:val="32"/>
              </w:rPr>
            </w:pPr>
          </w:p>
        </w:tc>
        <w:tc>
          <w:tcPr>
            <w:tcW w:w="1019" w:type="dxa"/>
            <w:vAlign w:val="top"/>
          </w:tcPr>
          <w:p w14:paraId="32471EB1">
            <w:pPr>
              <w:pStyle w:val="45"/>
              <w:rPr>
                <w:rFonts w:hint="eastAsia" w:ascii="仿宋" w:hAnsi="仿宋" w:eastAsia="仿宋" w:cs="仿宋"/>
                <w:color w:val="auto"/>
                <w:sz w:val="32"/>
                <w:szCs w:val="32"/>
              </w:rPr>
            </w:pPr>
          </w:p>
        </w:tc>
      </w:tr>
      <w:tr w14:paraId="3C76A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5" w:hRule="atLeast"/>
        </w:trPr>
        <w:tc>
          <w:tcPr>
            <w:tcW w:w="647" w:type="dxa"/>
            <w:vMerge w:val="continue"/>
            <w:tcBorders>
              <w:top w:val="nil"/>
              <w:bottom w:val="nil"/>
            </w:tcBorders>
            <w:vAlign w:val="top"/>
          </w:tcPr>
          <w:p w14:paraId="1073FCD5">
            <w:pPr>
              <w:pStyle w:val="45"/>
              <w:rPr>
                <w:rFonts w:hint="eastAsia" w:ascii="仿宋" w:hAnsi="仿宋" w:eastAsia="仿宋" w:cs="仿宋"/>
                <w:color w:val="auto"/>
                <w:sz w:val="32"/>
                <w:szCs w:val="32"/>
              </w:rPr>
            </w:pPr>
          </w:p>
        </w:tc>
        <w:tc>
          <w:tcPr>
            <w:tcW w:w="793" w:type="dxa"/>
            <w:vAlign w:val="center"/>
          </w:tcPr>
          <w:p w14:paraId="5A6BFE17">
            <w:pPr>
              <w:shd w:val="clear" w:color="auto" w:fill="auto"/>
              <w:jc w:val="center"/>
              <w:rPr>
                <w:rFonts w:hint="eastAsia" w:ascii="仿宋" w:hAnsi="仿宋" w:eastAsia="仿宋" w:cs="仿宋"/>
                <w:color w:val="auto"/>
                <w:sz w:val="32"/>
                <w:szCs w:val="32"/>
              </w:rPr>
            </w:pPr>
            <w:r>
              <w:rPr>
                <w:rFonts w:hint="eastAsia" w:ascii="仿宋" w:hAnsi="仿宋" w:eastAsia="仿宋" w:cs="仿宋"/>
                <w:color w:val="auto"/>
                <w:sz w:val="32"/>
                <w:szCs w:val="32"/>
                <w:highlight w:val="none"/>
                <w:lang w:val="en-US" w:eastAsia="zh-CN"/>
              </w:rPr>
              <w:t>4</w:t>
            </w:r>
          </w:p>
        </w:tc>
        <w:tc>
          <w:tcPr>
            <w:tcW w:w="5957" w:type="dxa"/>
            <w:vAlign w:val="top"/>
          </w:tcPr>
          <w:p w14:paraId="2CB7238E">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i w:val="0"/>
                <w:caps w:val="0"/>
                <w:color w:val="auto"/>
                <w:spacing w:val="0"/>
                <w:kern w:val="0"/>
                <w:sz w:val="32"/>
                <w:szCs w:val="32"/>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927" w:type="dxa"/>
            <w:vAlign w:val="top"/>
          </w:tcPr>
          <w:p w14:paraId="36285B75">
            <w:pPr>
              <w:pStyle w:val="45"/>
              <w:rPr>
                <w:rFonts w:hint="eastAsia" w:ascii="仿宋" w:hAnsi="仿宋" w:eastAsia="仿宋" w:cs="仿宋"/>
                <w:color w:val="auto"/>
                <w:sz w:val="32"/>
                <w:szCs w:val="32"/>
              </w:rPr>
            </w:pPr>
          </w:p>
        </w:tc>
        <w:tc>
          <w:tcPr>
            <w:tcW w:w="1019" w:type="dxa"/>
            <w:vAlign w:val="top"/>
          </w:tcPr>
          <w:p w14:paraId="43CF238B">
            <w:pPr>
              <w:pStyle w:val="45"/>
              <w:rPr>
                <w:rFonts w:hint="eastAsia" w:ascii="仿宋" w:hAnsi="仿宋" w:eastAsia="仿宋" w:cs="仿宋"/>
                <w:color w:val="auto"/>
                <w:sz w:val="32"/>
                <w:szCs w:val="32"/>
              </w:rPr>
            </w:pPr>
          </w:p>
        </w:tc>
      </w:tr>
      <w:tr w14:paraId="68BD3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5" w:hRule="atLeast"/>
        </w:trPr>
        <w:tc>
          <w:tcPr>
            <w:tcW w:w="647" w:type="dxa"/>
            <w:vMerge w:val="continue"/>
            <w:tcBorders>
              <w:top w:val="nil"/>
              <w:bottom w:val="nil"/>
            </w:tcBorders>
            <w:vAlign w:val="top"/>
          </w:tcPr>
          <w:p w14:paraId="043DEC14">
            <w:pPr>
              <w:pStyle w:val="45"/>
              <w:rPr>
                <w:rFonts w:hint="eastAsia" w:ascii="仿宋" w:hAnsi="仿宋" w:eastAsia="仿宋" w:cs="仿宋"/>
                <w:color w:val="auto"/>
                <w:sz w:val="32"/>
                <w:szCs w:val="32"/>
              </w:rPr>
            </w:pPr>
          </w:p>
        </w:tc>
        <w:tc>
          <w:tcPr>
            <w:tcW w:w="793" w:type="dxa"/>
            <w:vAlign w:val="center"/>
          </w:tcPr>
          <w:p w14:paraId="35957397">
            <w:pPr>
              <w:shd w:val="clear" w:color="auto" w:fill="auto"/>
              <w:jc w:val="center"/>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w:t>
            </w:r>
          </w:p>
        </w:tc>
        <w:tc>
          <w:tcPr>
            <w:tcW w:w="5957" w:type="dxa"/>
            <w:vAlign w:val="top"/>
          </w:tcPr>
          <w:p w14:paraId="58F16251">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投标人须具备行政主管部门颁发的有效的《保安服务许可证》；</w:t>
            </w:r>
          </w:p>
        </w:tc>
        <w:tc>
          <w:tcPr>
            <w:tcW w:w="927" w:type="dxa"/>
            <w:vAlign w:val="top"/>
          </w:tcPr>
          <w:p w14:paraId="245CE671">
            <w:pPr>
              <w:pStyle w:val="45"/>
              <w:rPr>
                <w:rFonts w:hint="eastAsia" w:ascii="仿宋" w:hAnsi="仿宋" w:eastAsia="仿宋" w:cs="仿宋"/>
                <w:color w:val="auto"/>
                <w:sz w:val="32"/>
                <w:szCs w:val="32"/>
              </w:rPr>
            </w:pPr>
          </w:p>
        </w:tc>
        <w:tc>
          <w:tcPr>
            <w:tcW w:w="1019" w:type="dxa"/>
            <w:vAlign w:val="top"/>
          </w:tcPr>
          <w:p w14:paraId="5A3E2226">
            <w:pPr>
              <w:pStyle w:val="45"/>
              <w:rPr>
                <w:rFonts w:hint="eastAsia" w:ascii="仿宋" w:hAnsi="仿宋" w:eastAsia="仿宋" w:cs="仿宋"/>
                <w:color w:val="auto"/>
                <w:sz w:val="32"/>
                <w:szCs w:val="32"/>
              </w:rPr>
            </w:pPr>
          </w:p>
        </w:tc>
      </w:tr>
      <w:tr w14:paraId="217EE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647" w:type="dxa"/>
            <w:vMerge w:val="continue"/>
            <w:tcBorders>
              <w:top w:val="nil"/>
              <w:bottom w:val="nil"/>
            </w:tcBorders>
            <w:vAlign w:val="top"/>
          </w:tcPr>
          <w:p w14:paraId="0B05C1DC">
            <w:pPr>
              <w:pStyle w:val="45"/>
              <w:rPr>
                <w:rFonts w:hint="eastAsia" w:ascii="仿宋" w:hAnsi="仿宋" w:eastAsia="仿宋" w:cs="仿宋"/>
                <w:color w:val="auto"/>
                <w:sz w:val="32"/>
                <w:szCs w:val="32"/>
              </w:rPr>
            </w:pPr>
          </w:p>
        </w:tc>
        <w:tc>
          <w:tcPr>
            <w:tcW w:w="793" w:type="dxa"/>
            <w:vAlign w:val="center"/>
          </w:tcPr>
          <w:p w14:paraId="4EF8FD4E">
            <w:pPr>
              <w:shd w:val="clear" w:color="auto" w:fill="auto"/>
              <w:jc w:val="center"/>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w:t>
            </w:r>
          </w:p>
        </w:tc>
        <w:tc>
          <w:tcPr>
            <w:tcW w:w="5957" w:type="dxa"/>
            <w:vAlign w:val="top"/>
          </w:tcPr>
          <w:p w14:paraId="03D4B74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联合体协议书（若有）。</w:t>
            </w:r>
          </w:p>
        </w:tc>
        <w:tc>
          <w:tcPr>
            <w:tcW w:w="927" w:type="dxa"/>
            <w:vAlign w:val="top"/>
          </w:tcPr>
          <w:p w14:paraId="6A83E141">
            <w:pPr>
              <w:pStyle w:val="45"/>
              <w:rPr>
                <w:rFonts w:hint="eastAsia" w:ascii="仿宋" w:hAnsi="仿宋" w:eastAsia="仿宋" w:cs="仿宋"/>
                <w:color w:val="auto"/>
                <w:sz w:val="32"/>
                <w:szCs w:val="32"/>
              </w:rPr>
            </w:pPr>
          </w:p>
        </w:tc>
        <w:tc>
          <w:tcPr>
            <w:tcW w:w="1019" w:type="dxa"/>
            <w:vAlign w:val="top"/>
          </w:tcPr>
          <w:p w14:paraId="6BAA2347">
            <w:pPr>
              <w:pStyle w:val="45"/>
              <w:rPr>
                <w:rFonts w:hint="eastAsia" w:ascii="仿宋" w:hAnsi="仿宋" w:eastAsia="仿宋" w:cs="仿宋"/>
                <w:color w:val="auto"/>
                <w:sz w:val="32"/>
                <w:szCs w:val="32"/>
              </w:rPr>
            </w:pPr>
          </w:p>
        </w:tc>
      </w:tr>
      <w:tr w14:paraId="05DC2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647" w:type="dxa"/>
            <w:vMerge w:val="continue"/>
            <w:tcBorders>
              <w:top w:val="nil"/>
              <w:bottom w:val="nil"/>
            </w:tcBorders>
            <w:vAlign w:val="top"/>
          </w:tcPr>
          <w:p w14:paraId="5C7B49F3">
            <w:pPr>
              <w:pStyle w:val="45"/>
              <w:rPr>
                <w:rFonts w:hint="eastAsia" w:ascii="仿宋" w:hAnsi="仿宋" w:eastAsia="仿宋" w:cs="仿宋"/>
                <w:color w:val="auto"/>
                <w:sz w:val="32"/>
                <w:szCs w:val="32"/>
              </w:rPr>
            </w:pPr>
          </w:p>
        </w:tc>
        <w:tc>
          <w:tcPr>
            <w:tcW w:w="793" w:type="dxa"/>
            <w:vAlign w:val="center"/>
          </w:tcPr>
          <w:p w14:paraId="6E9B0FF8">
            <w:pPr>
              <w:shd w:val="clear" w:color="auto" w:fill="auto"/>
              <w:jc w:val="center"/>
              <w:rPr>
                <w:rFonts w:hint="eastAsia"/>
                <w:color w:val="auto"/>
                <w:lang w:val="en-US" w:eastAsia="zh-CN"/>
              </w:rPr>
            </w:pPr>
            <w:r>
              <w:rPr>
                <w:rFonts w:hint="eastAsia" w:ascii="仿宋" w:hAnsi="仿宋" w:eastAsia="仿宋" w:cs="仿宋"/>
                <w:color w:val="auto"/>
                <w:sz w:val="32"/>
                <w:szCs w:val="32"/>
                <w:highlight w:val="none"/>
                <w:lang w:val="en-US" w:eastAsia="zh-CN"/>
              </w:rPr>
              <w:t>7</w:t>
            </w:r>
          </w:p>
        </w:tc>
        <w:tc>
          <w:tcPr>
            <w:tcW w:w="5957" w:type="dxa"/>
            <w:vAlign w:val="top"/>
          </w:tcPr>
          <w:p w14:paraId="1078452D">
            <w:pPr>
              <w:widowControl/>
              <w:shd w:val="clear" w:color="auto" w:fill="auto"/>
              <w:jc w:val="left"/>
              <w:textAlignment w:val="center"/>
              <w:rPr>
                <w:rFonts w:hint="eastAsia" w:ascii="仿宋" w:hAnsi="仿宋" w:eastAsia="仿宋" w:cs="仿宋"/>
                <w:color w:val="auto"/>
                <w:kern w:val="0"/>
                <w:sz w:val="32"/>
                <w:szCs w:val="32"/>
                <w:highlight w:val="none"/>
                <w:lang w:eastAsia="zh-CN" w:bidi="ar"/>
              </w:rPr>
            </w:pPr>
            <w:r>
              <w:rPr>
                <w:rFonts w:hint="eastAsia" w:ascii="仿宋" w:hAnsi="仿宋" w:eastAsia="仿宋" w:cs="仿宋"/>
                <w:color w:val="auto"/>
                <w:sz w:val="32"/>
                <w:szCs w:val="32"/>
                <w:highlight w:val="none"/>
                <w:lang w:val="en-US" w:eastAsia="zh-CN"/>
              </w:rPr>
              <w:t>投标保证金汇款凭证或投标担保函；</w:t>
            </w:r>
          </w:p>
        </w:tc>
        <w:tc>
          <w:tcPr>
            <w:tcW w:w="927" w:type="dxa"/>
            <w:vAlign w:val="top"/>
          </w:tcPr>
          <w:p w14:paraId="146EE10A">
            <w:pPr>
              <w:pStyle w:val="45"/>
              <w:rPr>
                <w:rFonts w:hint="eastAsia" w:ascii="仿宋" w:hAnsi="仿宋" w:eastAsia="仿宋" w:cs="仿宋"/>
                <w:color w:val="auto"/>
                <w:sz w:val="32"/>
                <w:szCs w:val="32"/>
              </w:rPr>
            </w:pPr>
          </w:p>
        </w:tc>
        <w:tc>
          <w:tcPr>
            <w:tcW w:w="1019" w:type="dxa"/>
            <w:vAlign w:val="top"/>
          </w:tcPr>
          <w:p w14:paraId="540CFF7B">
            <w:pPr>
              <w:pStyle w:val="45"/>
              <w:rPr>
                <w:rFonts w:hint="eastAsia" w:ascii="仿宋" w:hAnsi="仿宋" w:eastAsia="仿宋" w:cs="仿宋"/>
                <w:color w:val="auto"/>
                <w:sz w:val="32"/>
                <w:szCs w:val="32"/>
              </w:rPr>
            </w:pPr>
          </w:p>
        </w:tc>
      </w:tr>
      <w:tr w14:paraId="37F7D7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7" w:type="dxa"/>
            <w:vMerge w:val="continue"/>
            <w:tcBorders>
              <w:top w:val="nil"/>
              <w:bottom w:val="nil"/>
            </w:tcBorders>
            <w:vAlign w:val="top"/>
          </w:tcPr>
          <w:p w14:paraId="0DA2711B">
            <w:pPr>
              <w:pStyle w:val="45"/>
              <w:rPr>
                <w:rFonts w:hint="eastAsia" w:ascii="仿宋" w:hAnsi="仿宋" w:eastAsia="仿宋" w:cs="仿宋"/>
                <w:color w:val="auto"/>
                <w:sz w:val="32"/>
                <w:szCs w:val="32"/>
              </w:rPr>
            </w:pPr>
          </w:p>
        </w:tc>
        <w:tc>
          <w:tcPr>
            <w:tcW w:w="793" w:type="dxa"/>
            <w:vAlign w:val="center"/>
          </w:tcPr>
          <w:p w14:paraId="55177A41">
            <w:pPr>
              <w:shd w:val="clear" w:color="auto" w:fill="auto"/>
              <w:jc w:val="cente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highlight w:val="none"/>
                <w:lang w:val="en-US" w:eastAsia="zh-CN"/>
              </w:rPr>
              <w:t>8</w:t>
            </w:r>
          </w:p>
        </w:tc>
        <w:tc>
          <w:tcPr>
            <w:tcW w:w="5957" w:type="dxa"/>
            <w:vAlign w:val="top"/>
          </w:tcPr>
          <w:p w14:paraId="1967F1A9">
            <w:pPr>
              <w:widowControl/>
              <w:shd w:val="clear" w:color="auto" w:fill="auto"/>
              <w:jc w:val="left"/>
              <w:textAlignment w:val="center"/>
              <w:rPr>
                <w:rFonts w:hint="eastAsia" w:ascii="仿宋" w:hAnsi="仿宋" w:eastAsia="仿宋" w:cs="仿宋"/>
                <w:color w:val="auto"/>
                <w:kern w:val="0"/>
                <w:sz w:val="32"/>
                <w:szCs w:val="32"/>
                <w:highlight w:val="none"/>
                <w:lang w:eastAsia="zh-CN" w:bidi="ar"/>
              </w:rPr>
            </w:pPr>
            <w:r>
              <w:rPr>
                <w:rFonts w:hint="eastAsia" w:ascii="仿宋" w:hAnsi="仿宋" w:eastAsia="仿宋" w:cs="仿宋"/>
                <w:color w:val="auto"/>
                <w:sz w:val="32"/>
                <w:szCs w:val="32"/>
                <w:highlight w:val="none"/>
                <w:lang w:val="en-US" w:eastAsia="zh-CN"/>
              </w:rPr>
              <w:t>供应商须提供《中小企业声明函》；</w:t>
            </w:r>
          </w:p>
        </w:tc>
        <w:tc>
          <w:tcPr>
            <w:tcW w:w="927" w:type="dxa"/>
            <w:vAlign w:val="top"/>
          </w:tcPr>
          <w:p w14:paraId="18D4C6BF">
            <w:pPr>
              <w:pStyle w:val="45"/>
              <w:rPr>
                <w:rFonts w:hint="eastAsia" w:ascii="仿宋" w:hAnsi="仿宋" w:eastAsia="仿宋" w:cs="仿宋"/>
                <w:color w:val="auto"/>
                <w:sz w:val="32"/>
                <w:szCs w:val="32"/>
              </w:rPr>
            </w:pPr>
          </w:p>
        </w:tc>
        <w:tc>
          <w:tcPr>
            <w:tcW w:w="1019" w:type="dxa"/>
            <w:vAlign w:val="top"/>
          </w:tcPr>
          <w:p w14:paraId="26BC35C2">
            <w:pPr>
              <w:pStyle w:val="45"/>
              <w:rPr>
                <w:rFonts w:hint="eastAsia" w:ascii="仿宋" w:hAnsi="仿宋" w:eastAsia="仿宋" w:cs="仿宋"/>
                <w:color w:val="auto"/>
                <w:sz w:val="32"/>
                <w:szCs w:val="32"/>
              </w:rPr>
            </w:pPr>
          </w:p>
        </w:tc>
      </w:tr>
      <w:tr w14:paraId="27236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647" w:type="dxa"/>
            <w:vMerge w:val="continue"/>
            <w:tcBorders>
              <w:top w:val="nil"/>
            </w:tcBorders>
            <w:vAlign w:val="top"/>
          </w:tcPr>
          <w:p w14:paraId="6E4D8C6E">
            <w:pPr>
              <w:pStyle w:val="45"/>
              <w:rPr>
                <w:rFonts w:hint="eastAsia" w:ascii="仿宋" w:hAnsi="仿宋" w:eastAsia="仿宋" w:cs="仿宋"/>
                <w:color w:val="auto"/>
                <w:sz w:val="32"/>
                <w:szCs w:val="32"/>
              </w:rPr>
            </w:pPr>
          </w:p>
        </w:tc>
        <w:tc>
          <w:tcPr>
            <w:tcW w:w="8696" w:type="dxa"/>
            <w:gridSpan w:val="4"/>
            <w:vAlign w:val="top"/>
          </w:tcPr>
          <w:p w14:paraId="553A715E">
            <w:pPr>
              <w:spacing w:before="134" w:line="330" w:lineRule="auto"/>
              <w:ind w:left="112" w:right="211"/>
              <w:outlineLvl w:val="1"/>
              <w:rPr>
                <w:rFonts w:hint="eastAsia" w:ascii="仿宋" w:hAnsi="仿宋" w:eastAsia="仿宋" w:cs="仿宋"/>
                <w:color w:val="auto"/>
                <w:sz w:val="32"/>
                <w:szCs w:val="32"/>
              </w:rPr>
            </w:pPr>
            <w:r>
              <w:rPr>
                <w:rFonts w:hint="eastAsia" w:ascii="仿宋" w:hAnsi="仿宋" w:eastAsia="仿宋" w:cs="仿宋"/>
                <w:color w:val="auto"/>
                <w:spacing w:val="5"/>
                <w:sz w:val="32"/>
                <w:szCs w:val="32"/>
              </w:rPr>
              <w:t>评审结果“</w:t>
            </w:r>
            <w:r>
              <w:rPr>
                <w:rFonts w:hint="eastAsia" w:ascii="仿宋" w:hAnsi="仿宋" w:eastAsia="仿宋" w:cs="仿宋"/>
                <w:color w:val="auto"/>
                <w:spacing w:val="-37"/>
                <w:sz w:val="32"/>
                <w:szCs w:val="32"/>
              </w:rPr>
              <w:t xml:space="preserve"> </w:t>
            </w:r>
            <w:r>
              <w:rPr>
                <w:rFonts w:hint="eastAsia" w:ascii="仿宋" w:hAnsi="仿宋" w:eastAsia="仿宋" w:cs="仿宋"/>
                <w:color w:val="auto"/>
                <w:spacing w:val="5"/>
                <w:sz w:val="32"/>
                <w:szCs w:val="32"/>
              </w:rPr>
              <w:t>√</w:t>
            </w:r>
            <w:r>
              <w:rPr>
                <w:rFonts w:hint="eastAsia" w:ascii="仿宋" w:hAnsi="仿宋" w:eastAsia="仿宋" w:cs="仿宋"/>
                <w:color w:val="auto"/>
                <w:spacing w:val="-70"/>
                <w:sz w:val="32"/>
                <w:szCs w:val="32"/>
              </w:rPr>
              <w:t xml:space="preserve"> </w:t>
            </w:r>
            <w:r>
              <w:rPr>
                <w:rFonts w:hint="eastAsia" w:ascii="仿宋" w:hAnsi="仿宋" w:eastAsia="仿宋" w:cs="仿宋"/>
                <w:color w:val="auto"/>
                <w:spacing w:val="5"/>
                <w:sz w:val="32"/>
                <w:szCs w:val="32"/>
              </w:rPr>
              <w:t>”表示合格；</w:t>
            </w:r>
            <w:r>
              <w:rPr>
                <w:rFonts w:hint="eastAsia" w:ascii="仿宋" w:hAnsi="仿宋" w:eastAsia="仿宋" w:cs="仿宋"/>
                <w:color w:val="auto"/>
                <w:spacing w:val="-78"/>
                <w:sz w:val="32"/>
                <w:szCs w:val="32"/>
              </w:rPr>
              <w:t xml:space="preserve"> </w:t>
            </w:r>
            <w:r>
              <w:rPr>
                <w:rFonts w:hint="eastAsia" w:ascii="仿宋" w:hAnsi="仿宋" w:eastAsia="仿宋" w:cs="仿宋"/>
                <w:color w:val="auto"/>
                <w:spacing w:val="5"/>
                <w:sz w:val="32"/>
                <w:szCs w:val="32"/>
              </w:rPr>
              <w:t>“</w:t>
            </w:r>
            <w:r>
              <w:rPr>
                <w:rFonts w:hint="eastAsia" w:ascii="仿宋" w:hAnsi="仿宋" w:eastAsia="仿宋" w:cs="仿宋"/>
                <w:color w:val="auto"/>
                <w:spacing w:val="-62"/>
                <w:sz w:val="32"/>
                <w:szCs w:val="32"/>
              </w:rPr>
              <w:t xml:space="preserve"> </w:t>
            </w:r>
            <w:r>
              <w:rPr>
                <w:rFonts w:hint="eastAsia" w:ascii="仿宋" w:hAnsi="仿宋" w:eastAsia="仿宋" w:cs="仿宋"/>
                <w:color w:val="auto"/>
                <w:spacing w:val="5"/>
                <w:sz w:val="32"/>
                <w:szCs w:val="32"/>
              </w:rPr>
              <w:t>×</w:t>
            </w:r>
            <w:r>
              <w:rPr>
                <w:rFonts w:hint="eastAsia" w:ascii="仿宋" w:hAnsi="仿宋" w:eastAsia="仿宋" w:cs="仿宋"/>
                <w:color w:val="auto"/>
                <w:spacing w:val="-70"/>
                <w:sz w:val="32"/>
                <w:szCs w:val="32"/>
              </w:rPr>
              <w:t xml:space="preserve"> </w:t>
            </w:r>
            <w:r>
              <w:rPr>
                <w:rFonts w:hint="eastAsia" w:ascii="仿宋" w:hAnsi="仿宋" w:eastAsia="仿宋" w:cs="仿宋"/>
                <w:color w:val="auto"/>
                <w:spacing w:val="5"/>
                <w:sz w:val="32"/>
                <w:szCs w:val="32"/>
              </w:rPr>
              <w:t>”表示不合格，一项不合格结果为不合格，如不合格，请</w:t>
            </w:r>
            <w:r>
              <w:rPr>
                <w:rFonts w:hint="eastAsia" w:ascii="仿宋" w:hAnsi="仿宋" w:eastAsia="仿宋" w:cs="仿宋"/>
                <w:color w:val="auto"/>
                <w:sz w:val="32"/>
                <w:szCs w:val="32"/>
              </w:rPr>
              <w:t xml:space="preserve"> </w:t>
            </w:r>
            <w:r>
              <w:rPr>
                <w:rFonts w:hint="eastAsia" w:ascii="仿宋" w:hAnsi="仿宋" w:eastAsia="仿宋" w:cs="仿宋"/>
                <w:color w:val="auto"/>
                <w:spacing w:val="7"/>
                <w:sz w:val="32"/>
                <w:szCs w:val="32"/>
              </w:rPr>
              <w:t>在结果中写明原因。</w:t>
            </w:r>
          </w:p>
        </w:tc>
      </w:tr>
    </w:tbl>
    <w:p w14:paraId="6576DC17">
      <w:pPr>
        <w:snapToGrid w:val="0"/>
        <w:spacing w:line="240" w:lineRule="auto"/>
        <w:ind w:left="0" w:leftChars="0" w:right="0" w:rightChars="0"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lang w:val="en-US" w:eastAsia="zh-CN"/>
        </w:rPr>
        <w:t>注：</w:t>
      </w:r>
      <w:r>
        <w:rPr>
          <w:rFonts w:hint="eastAsia" w:ascii="仿宋" w:hAnsi="仿宋" w:eastAsia="仿宋" w:cs="仿宋"/>
          <w:b/>
          <w:bCs/>
          <w:i w:val="0"/>
          <w:caps w:val="0"/>
          <w:color w:val="auto"/>
          <w:spacing w:val="0"/>
          <w:kern w:val="0"/>
          <w:sz w:val="32"/>
          <w:szCs w:val="32"/>
          <w:highlight w:val="none"/>
          <w:lang w:val="en-US" w:eastAsia="zh-CN"/>
        </w:rPr>
        <w:t>（联合体成员均需提供上述（1）、（4）、（8）审查资料）</w:t>
      </w:r>
    </w:p>
    <w:p w14:paraId="4BEAAE8C">
      <w:pPr>
        <w:spacing w:before="71" w:line="259" w:lineRule="auto"/>
        <w:ind w:left="11" w:right="249" w:firstLine="631"/>
        <w:outlineLvl w:val="1"/>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上述资料为原件扫描件并加盖公章。</w:t>
      </w:r>
    </w:p>
    <w:p w14:paraId="59C41807">
      <w:pPr>
        <w:shd w:val="clear" w:color="auto" w:fill="auto"/>
        <w:spacing w:line="400" w:lineRule="exact"/>
        <w:ind w:firstLine="771" w:firstLineChars="241"/>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rPr>
        <w:t>.2如评标专家在检验电子标书过程中，如果由于投标人自身原因导致评标专家无法查看并检验电子标书中以上相关资料的，否决其投标。即使投标单位将原件携带至现场的，同样按无效投标处理。</w:t>
      </w:r>
    </w:p>
    <w:p w14:paraId="5F99470F">
      <w:pPr>
        <w:shd w:val="clear" w:color="auto" w:fill="auto"/>
        <w:spacing w:before="156" w:beforeLines="50" w:line="44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7</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符合性审查</w:t>
      </w:r>
    </w:p>
    <w:p w14:paraId="03AE7A13">
      <w:pPr>
        <w:shd w:val="clear" w:color="auto" w:fill="auto"/>
        <w:spacing w:line="440" w:lineRule="exact"/>
        <w:ind w:firstLine="480" w:firstLineChars="1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．1评审细则</w:t>
      </w:r>
    </w:p>
    <w:tbl>
      <w:tblPr>
        <w:tblStyle w:val="28"/>
        <w:tblpPr w:leftFromText="180" w:rightFromText="180" w:vertAnchor="text" w:horzAnchor="page" w:tblpX="1293" w:tblpY="544"/>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85"/>
        <w:gridCol w:w="600"/>
        <w:gridCol w:w="6884"/>
        <w:gridCol w:w="716"/>
        <w:gridCol w:w="650"/>
      </w:tblGrid>
      <w:tr w14:paraId="6096E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180" w:hRule="atLeast"/>
        </w:trPr>
        <w:tc>
          <w:tcPr>
            <w:tcW w:w="585" w:type="dxa"/>
            <w:tcBorders>
              <w:top w:val="single" w:color="auto" w:sz="4" w:space="0"/>
              <w:left w:val="single" w:color="auto" w:sz="4" w:space="0"/>
            </w:tcBorders>
            <w:noWrap w:val="0"/>
            <w:vAlign w:val="center"/>
          </w:tcPr>
          <w:p w14:paraId="3C79F0F6">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w:t>
            </w:r>
          </w:p>
        </w:tc>
        <w:tc>
          <w:tcPr>
            <w:tcW w:w="7484" w:type="dxa"/>
            <w:gridSpan w:val="2"/>
            <w:tcBorders>
              <w:top w:val="single" w:color="auto" w:sz="4" w:space="0"/>
            </w:tcBorders>
            <w:noWrap w:val="0"/>
            <w:vAlign w:val="center"/>
          </w:tcPr>
          <w:p w14:paraId="51A8CD28">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评审内容</w:t>
            </w:r>
          </w:p>
        </w:tc>
        <w:tc>
          <w:tcPr>
            <w:tcW w:w="1366" w:type="dxa"/>
            <w:gridSpan w:val="2"/>
            <w:tcBorders>
              <w:top w:val="single" w:color="auto" w:sz="4" w:space="0"/>
              <w:right w:val="single" w:color="auto" w:sz="4" w:space="0"/>
            </w:tcBorders>
            <w:noWrap w:val="0"/>
            <w:vAlign w:val="center"/>
          </w:tcPr>
          <w:p w14:paraId="313559D1">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评审意见</w:t>
            </w:r>
          </w:p>
        </w:tc>
      </w:tr>
      <w:tr w14:paraId="1646DD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85" w:type="dxa"/>
            <w:tcBorders>
              <w:left w:val="single" w:color="auto" w:sz="4" w:space="0"/>
              <w:bottom w:val="single" w:color="auto" w:sz="4" w:space="0"/>
            </w:tcBorders>
            <w:noWrap w:val="0"/>
            <w:vAlign w:val="center"/>
          </w:tcPr>
          <w:p w14:paraId="3468346B">
            <w:pPr>
              <w:shd w:val="clear" w:color="auto" w:fill="auto"/>
              <w:rPr>
                <w:rFonts w:hint="eastAsia" w:ascii="仿宋" w:hAnsi="仿宋" w:eastAsia="仿宋" w:cs="仿宋"/>
                <w:color w:val="auto"/>
                <w:sz w:val="32"/>
                <w:szCs w:val="32"/>
                <w:highlight w:val="none"/>
              </w:rPr>
            </w:pPr>
          </w:p>
        </w:tc>
        <w:tc>
          <w:tcPr>
            <w:tcW w:w="7484" w:type="dxa"/>
            <w:gridSpan w:val="2"/>
            <w:tcBorders>
              <w:bottom w:val="single" w:color="auto" w:sz="4" w:space="0"/>
            </w:tcBorders>
            <w:noWrap w:val="0"/>
            <w:vAlign w:val="top"/>
          </w:tcPr>
          <w:p w14:paraId="3E2291BC">
            <w:pPr>
              <w:shd w:val="clear" w:color="auto" w:fill="auto"/>
              <w:rPr>
                <w:rFonts w:hint="eastAsia" w:ascii="仿宋" w:hAnsi="仿宋" w:eastAsia="仿宋" w:cs="仿宋"/>
                <w:color w:val="auto"/>
                <w:sz w:val="32"/>
                <w:szCs w:val="32"/>
                <w:highlight w:val="none"/>
              </w:rPr>
            </w:pPr>
          </w:p>
        </w:tc>
        <w:tc>
          <w:tcPr>
            <w:tcW w:w="716" w:type="dxa"/>
            <w:noWrap w:val="0"/>
            <w:vAlign w:val="center"/>
          </w:tcPr>
          <w:p w14:paraId="055BDD0C">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是</w:t>
            </w:r>
          </w:p>
        </w:tc>
        <w:tc>
          <w:tcPr>
            <w:tcW w:w="650" w:type="dxa"/>
            <w:tcBorders>
              <w:right w:val="single" w:color="auto" w:sz="4" w:space="0"/>
            </w:tcBorders>
            <w:noWrap w:val="0"/>
            <w:vAlign w:val="center"/>
          </w:tcPr>
          <w:p w14:paraId="0E8A9F7C">
            <w:pPr>
              <w:shd w:val="clear" w:color="auto" w:fill="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否</w:t>
            </w:r>
          </w:p>
        </w:tc>
      </w:tr>
      <w:tr w14:paraId="7C4226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585" w:type="dxa"/>
            <w:vMerge w:val="restart"/>
            <w:tcBorders>
              <w:top w:val="single" w:color="auto" w:sz="4" w:space="0"/>
              <w:left w:val="single" w:color="auto" w:sz="4" w:space="0"/>
              <w:right w:val="single" w:color="auto" w:sz="4" w:space="0"/>
            </w:tcBorders>
            <w:noWrap w:val="0"/>
            <w:vAlign w:val="center"/>
          </w:tcPr>
          <w:p w14:paraId="39977A4D">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审</w:t>
            </w:r>
          </w:p>
          <w:p w14:paraId="538A83C7">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查</w:t>
            </w:r>
          </w:p>
          <w:p w14:paraId="6A1613D8">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标</w:t>
            </w:r>
          </w:p>
          <w:p w14:paraId="169688DD">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准</w:t>
            </w:r>
          </w:p>
        </w:tc>
        <w:tc>
          <w:tcPr>
            <w:tcW w:w="600" w:type="dxa"/>
            <w:tcBorders>
              <w:top w:val="single" w:color="auto" w:sz="4" w:space="0"/>
              <w:left w:val="single" w:color="auto" w:sz="4" w:space="0"/>
              <w:right w:val="single" w:color="auto" w:sz="4" w:space="0"/>
            </w:tcBorders>
            <w:noWrap w:val="0"/>
            <w:vAlign w:val="center"/>
          </w:tcPr>
          <w:p w14:paraId="45AF4424">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w:t>
            </w:r>
          </w:p>
        </w:tc>
        <w:tc>
          <w:tcPr>
            <w:tcW w:w="6884" w:type="dxa"/>
            <w:tcBorders>
              <w:top w:val="single" w:color="auto" w:sz="4" w:space="0"/>
              <w:left w:val="single" w:color="auto" w:sz="4" w:space="0"/>
              <w:right w:val="single" w:color="auto" w:sz="4" w:space="0"/>
            </w:tcBorders>
            <w:noWrap w:val="0"/>
            <w:vAlign w:val="center"/>
          </w:tcPr>
          <w:p w14:paraId="79C54FF7">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由政府立项核准、审批的采购项目, 报价是否高于设定的采购预算价。</w:t>
            </w:r>
          </w:p>
        </w:tc>
        <w:tc>
          <w:tcPr>
            <w:tcW w:w="716" w:type="dxa"/>
            <w:tcBorders>
              <w:left w:val="single" w:color="auto" w:sz="4" w:space="0"/>
              <w:right w:val="single" w:color="auto" w:sz="4" w:space="0"/>
            </w:tcBorders>
            <w:noWrap w:val="0"/>
            <w:vAlign w:val="top"/>
          </w:tcPr>
          <w:p w14:paraId="6D15A217">
            <w:pPr>
              <w:shd w:val="clear" w:color="auto" w:fill="auto"/>
              <w:jc w:val="center"/>
              <w:rPr>
                <w:rFonts w:hint="eastAsia" w:ascii="仿宋" w:hAnsi="仿宋" w:eastAsia="仿宋" w:cs="仿宋"/>
                <w:b/>
                <w:color w:val="auto"/>
                <w:sz w:val="32"/>
                <w:szCs w:val="32"/>
                <w:highlight w:val="none"/>
              </w:rPr>
            </w:pPr>
          </w:p>
        </w:tc>
        <w:tc>
          <w:tcPr>
            <w:tcW w:w="650" w:type="dxa"/>
            <w:tcBorders>
              <w:left w:val="single" w:color="auto" w:sz="4" w:space="0"/>
              <w:right w:val="single" w:color="auto" w:sz="4" w:space="0"/>
            </w:tcBorders>
            <w:noWrap w:val="0"/>
            <w:vAlign w:val="top"/>
          </w:tcPr>
          <w:p w14:paraId="52CBC136">
            <w:pPr>
              <w:shd w:val="clear" w:color="auto" w:fill="auto"/>
              <w:jc w:val="center"/>
              <w:rPr>
                <w:rFonts w:hint="eastAsia" w:ascii="仿宋" w:hAnsi="仿宋" w:eastAsia="仿宋" w:cs="仿宋"/>
                <w:b/>
                <w:color w:val="auto"/>
                <w:sz w:val="32"/>
                <w:szCs w:val="32"/>
                <w:highlight w:val="none"/>
              </w:rPr>
            </w:pPr>
          </w:p>
        </w:tc>
      </w:tr>
      <w:tr w14:paraId="76341E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585" w:type="dxa"/>
            <w:vMerge w:val="continue"/>
            <w:tcBorders>
              <w:left w:val="single" w:color="auto" w:sz="4" w:space="0"/>
              <w:right w:val="single" w:color="auto" w:sz="4" w:space="0"/>
            </w:tcBorders>
            <w:noWrap w:val="0"/>
            <w:vAlign w:val="center"/>
          </w:tcPr>
          <w:p w14:paraId="45DB02E8">
            <w:pPr>
              <w:shd w:val="clear" w:color="auto" w:fill="auto"/>
              <w:jc w:val="center"/>
              <w:rPr>
                <w:rFonts w:hint="eastAsia" w:ascii="仿宋" w:hAnsi="仿宋" w:eastAsia="仿宋" w:cs="仿宋"/>
                <w:color w:val="auto"/>
                <w:sz w:val="32"/>
                <w:szCs w:val="32"/>
                <w:highlight w:val="none"/>
              </w:rPr>
            </w:pPr>
          </w:p>
        </w:tc>
        <w:tc>
          <w:tcPr>
            <w:tcW w:w="600" w:type="dxa"/>
            <w:tcBorders>
              <w:top w:val="single" w:color="auto" w:sz="4" w:space="0"/>
              <w:left w:val="single" w:color="auto" w:sz="4" w:space="0"/>
              <w:right w:val="single" w:color="auto" w:sz="4" w:space="0"/>
            </w:tcBorders>
            <w:noWrap w:val="0"/>
            <w:vAlign w:val="center"/>
          </w:tcPr>
          <w:p w14:paraId="37A830CB">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p>
        </w:tc>
        <w:tc>
          <w:tcPr>
            <w:tcW w:w="6884" w:type="dxa"/>
            <w:tcBorders>
              <w:top w:val="single" w:color="auto" w:sz="4" w:space="0"/>
              <w:left w:val="single" w:color="auto" w:sz="4" w:space="0"/>
              <w:right w:val="single" w:color="auto" w:sz="4" w:space="0"/>
            </w:tcBorders>
            <w:noWrap w:val="0"/>
            <w:vAlign w:val="center"/>
          </w:tcPr>
          <w:p w14:paraId="43A3732E">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color w:val="auto"/>
                <w:kern w:val="0"/>
                <w:sz w:val="32"/>
                <w:szCs w:val="32"/>
                <w:highlight w:val="none"/>
                <w:lang w:eastAsia="zh-CN" w:bidi="ar"/>
              </w:rPr>
              <w:t>法定代表人身份证明及授权委托书是否有效，且符合</w:t>
            </w:r>
            <w:r>
              <w:rPr>
                <w:rFonts w:hint="eastAsia" w:ascii="仿宋" w:hAnsi="仿宋" w:eastAsia="仿宋" w:cs="仿宋"/>
                <w:color w:val="auto"/>
                <w:kern w:val="0"/>
                <w:sz w:val="32"/>
                <w:szCs w:val="32"/>
                <w:highlight w:val="none"/>
                <w:lang w:val="en-US" w:eastAsia="zh-CN" w:bidi="ar"/>
              </w:rPr>
              <w:t>磋商文件</w:t>
            </w:r>
            <w:r>
              <w:rPr>
                <w:rFonts w:hint="eastAsia" w:ascii="仿宋" w:hAnsi="仿宋" w:eastAsia="仿宋" w:cs="仿宋"/>
                <w:color w:val="auto"/>
                <w:kern w:val="0"/>
                <w:sz w:val="32"/>
                <w:szCs w:val="32"/>
                <w:highlight w:val="none"/>
                <w:lang w:eastAsia="zh-CN" w:bidi="ar"/>
              </w:rPr>
              <w:t>规定的格式。</w:t>
            </w:r>
          </w:p>
        </w:tc>
        <w:tc>
          <w:tcPr>
            <w:tcW w:w="716" w:type="dxa"/>
            <w:tcBorders>
              <w:left w:val="single" w:color="auto" w:sz="4" w:space="0"/>
              <w:right w:val="single" w:color="auto" w:sz="4" w:space="0"/>
            </w:tcBorders>
            <w:noWrap w:val="0"/>
            <w:vAlign w:val="top"/>
          </w:tcPr>
          <w:p w14:paraId="5E67CFD4">
            <w:pPr>
              <w:shd w:val="clear" w:color="auto" w:fill="auto"/>
              <w:jc w:val="center"/>
              <w:rPr>
                <w:rFonts w:hint="eastAsia" w:ascii="仿宋" w:hAnsi="仿宋" w:eastAsia="仿宋" w:cs="仿宋"/>
                <w:b/>
                <w:color w:val="auto"/>
                <w:sz w:val="32"/>
                <w:szCs w:val="32"/>
                <w:highlight w:val="none"/>
              </w:rPr>
            </w:pPr>
          </w:p>
        </w:tc>
        <w:tc>
          <w:tcPr>
            <w:tcW w:w="650" w:type="dxa"/>
            <w:tcBorders>
              <w:left w:val="single" w:color="auto" w:sz="4" w:space="0"/>
              <w:right w:val="single" w:color="auto" w:sz="4" w:space="0"/>
            </w:tcBorders>
            <w:noWrap w:val="0"/>
            <w:vAlign w:val="top"/>
          </w:tcPr>
          <w:p w14:paraId="53226927">
            <w:pPr>
              <w:shd w:val="clear" w:color="auto" w:fill="auto"/>
              <w:jc w:val="center"/>
              <w:rPr>
                <w:rFonts w:hint="eastAsia" w:ascii="仿宋" w:hAnsi="仿宋" w:eastAsia="仿宋" w:cs="仿宋"/>
                <w:b/>
                <w:color w:val="auto"/>
                <w:sz w:val="32"/>
                <w:szCs w:val="32"/>
                <w:highlight w:val="none"/>
              </w:rPr>
            </w:pPr>
          </w:p>
        </w:tc>
      </w:tr>
      <w:tr w14:paraId="47F764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 w:hRule="atLeast"/>
        </w:trPr>
        <w:tc>
          <w:tcPr>
            <w:tcW w:w="585" w:type="dxa"/>
            <w:vMerge w:val="continue"/>
            <w:tcBorders>
              <w:left w:val="single" w:color="auto" w:sz="4" w:space="0"/>
              <w:right w:val="single" w:color="auto" w:sz="4" w:space="0"/>
            </w:tcBorders>
            <w:noWrap w:val="0"/>
            <w:vAlign w:val="center"/>
          </w:tcPr>
          <w:p w14:paraId="52D56FFF">
            <w:pPr>
              <w:shd w:val="clear" w:color="auto" w:fill="auto"/>
              <w:rPr>
                <w:rFonts w:hint="eastAsia" w:ascii="仿宋" w:hAnsi="仿宋" w:eastAsia="仿宋" w:cs="仿宋"/>
                <w:color w:val="auto"/>
                <w:sz w:val="32"/>
                <w:szCs w:val="32"/>
                <w:highlight w:val="none"/>
              </w:rPr>
            </w:pPr>
          </w:p>
        </w:tc>
        <w:tc>
          <w:tcPr>
            <w:tcW w:w="600" w:type="dxa"/>
            <w:tcBorders>
              <w:top w:val="single" w:color="auto" w:sz="4" w:space="0"/>
              <w:left w:val="single" w:color="auto" w:sz="4" w:space="0"/>
              <w:right w:val="single" w:color="auto" w:sz="4" w:space="0"/>
            </w:tcBorders>
            <w:noWrap w:val="0"/>
            <w:vAlign w:val="center"/>
          </w:tcPr>
          <w:p w14:paraId="11A233CC">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3</w:t>
            </w:r>
          </w:p>
        </w:tc>
        <w:tc>
          <w:tcPr>
            <w:tcW w:w="6884" w:type="dxa"/>
            <w:tcBorders>
              <w:top w:val="single" w:color="auto" w:sz="4" w:space="0"/>
              <w:left w:val="single" w:color="auto" w:sz="4" w:space="0"/>
              <w:right w:val="single" w:color="auto" w:sz="4" w:space="0"/>
            </w:tcBorders>
            <w:noWrap w:val="0"/>
            <w:vAlign w:val="center"/>
          </w:tcPr>
          <w:p w14:paraId="27BDB01E">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是否只有一个有效报价。</w:t>
            </w:r>
          </w:p>
        </w:tc>
        <w:tc>
          <w:tcPr>
            <w:tcW w:w="716" w:type="dxa"/>
            <w:tcBorders>
              <w:left w:val="single" w:color="auto" w:sz="4" w:space="0"/>
            </w:tcBorders>
            <w:noWrap w:val="0"/>
            <w:vAlign w:val="top"/>
          </w:tcPr>
          <w:p w14:paraId="2B2BA0A6">
            <w:pPr>
              <w:shd w:val="clear" w:color="auto" w:fill="auto"/>
              <w:rPr>
                <w:rFonts w:hint="eastAsia" w:ascii="仿宋" w:hAnsi="仿宋" w:eastAsia="仿宋" w:cs="仿宋"/>
                <w:color w:val="auto"/>
                <w:sz w:val="32"/>
                <w:szCs w:val="32"/>
                <w:highlight w:val="none"/>
              </w:rPr>
            </w:pPr>
          </w:p>
        </w:tc>
        <w:tc>
          <w:tcPr>
            <w:tcW w:w="650" w:type="dxa"/>
            <w:tcBorders>
              <w:right w:val="single" w:color="auto" w:sz="4" w:space="0"/>
            </w:tcBorders>
            <w:noWrap w:val="0"/>
            <w:vAlign w:val="top"/>
          </w:tcPr>
          <w:p w14:paraId="4C148FB8">
            <w:pPr>
              <w:shd w:val="clear" w:color="auto" w:fill="auto"/>
              <w:rPr>
                <w:rFonts w:hint="eastAsia" w:ascii="仿宋" w:hAnsi="仿宋" w:eastAsia="仿宋" w:cs="仿宋"/>
                <w:color w:val="auto"/>
                <w:sz w:val="32"/>
                <w:szCs w:val="32"/>
                <w:highlight w:val="none"/>
              </w:rPr>
            </w:pPr>
          </w:p>
        </w:tc>
      </w:tr>
      <w:tr w14:paraId="2134E5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 w:hRule="atLeast"/>
        </w:trPr>
        <w:tc>
          <w:tcPr>
            <w:tcW w:w="585" w:type="dxa"/>
            <w:vMerge w:val="continue"/>
            <w:tcBorders>
              <w:left w:val="single" w:color="auto" w:sz="4" w:space="0"/>
              <w:right w:val="single" w:color="auto" w:sz="4" w:space="0"/>
            </w:tcBorders>
            <w:noWrap w:val="0"/>
            <w:vAlign w:val="center"/>
          </w:tcPr>
          <w:p w14:paraId="006A13FF">
            <w:pPr>
              <w:shd w:val="clear" w:color="auto" w:fill="auto"/>
              <w:rPr>
                <w:rFonts w:hint="eastAsia" w:ascii="仿宋" w:hAnsi="仿宋" w:eastAsia="仿宋" w:cs="仿宋"/>
                <w:color w:val="auto"/>
                <w:sz w:val="32"/>
                <w:szCs w:val="32"/>
                <w:highlight w:val="none"/>
              </w:rPr>
            </w:pPr>
          </w:p>
        </w:tc>
        <w:tc>
          <w:tcPr>
            <w:tcW w:w="600" w:type="dxa"/>
            <w:tcBorders>
              <w:left w:val="single" w:color="auto" w:sz="4" w:space="0"/>
            </w:tcBorders>
            <w:noWrap w:val="0"/>
            <w:vAlign w:val="center"/>
          </w:tcPr>
          <w:p w14:paraId="67BB4DF4">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p>
        </w:tc>
        <w:tc>
          <w:tcPr>
            <w:tcW w:w="6884" w:type="dxa"/>
            <w:tcBorders>
              <w:right w:val="single" w:color="auto" w:sz="4" w:space="0"/>
            </w:tcBorders>
            <w:noWrap w:val="0"/>
            <w:vAlign w:val="center"/>
          </w:tcPr>
          <w:p w14:paraId="6A9600D3">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响应文件内</w:t>
            </w:r>
            <w:r>
              <w:rPr>
                <w:rFonts w:hint="eastAsia" w:ascii="仿宋" w:hAnsi="仿宋" w:eastAsia="仿宋" w:cs="仿宋"/>
                <w:color w:val="auto"/>
                <w:sz w:val="32"/>
                <w:szCs w:val="32"/>
                <w:highlight w:val="none"/>
                <w:lang w:val="en-US" w:eastAsia="zh-CN"/>
              </w:rPr>
              <w:t>签章是否齐全、无遗漏。</w:t>
            </w:r>
          </w:p>
        </w:tc>
        <w:tc>
          <w:tcPr>
            <w:tcW w:w="716" w:type="dxa"/>
            <w:tcBorders>
              <w:left w:val="single" w:color="auto" w:sz="4" w:space="0"/>
            </w:tcBorders>
            <w:noWrap w:val="0"/>
            <w:vAlign w:val="top"/>
          </w:tcPr>
          <w:p w14:paraId="7314DDAC">
            <w:pPr>
              <w:shd w:val="clear" w:color="auto" w:fill="auto"/>
              <w:rPr>
                <w:rFonts w:hint="eastAsia" w:ascii="仿宋" w:hAnsi="仿宋" w:eastAsia="仿宋" w:cs="仿宋"/>
                <w:color w:val="auto"/>
                <w:sz w:val="32"/>
                <w:szCs w:val="32"/>
                <w:highlight w:val="none"/>
              </w:rPr>
            </w:pPr>
          </w:p>
        </w:tc>
        <w:tc>
          <w:tcPr>
            <w:tcW w:w="650" w:type="dxa"/>
            <w:tcBorders>
              <w:right w:val="single" w:color="auto" w:sz="4" w:space="0"/>
            </w:tcBorders>
            <w:noWrap w:val="0"/>
            <w:vAlign w:val="top"/>
          </w:tcPr>
          <w:p w14:paraId="2D530497">
            <w:pPr>
              <w:shd w:val="clear" w:color="auto" w:fill="auto"/>
              <w:rPr>
                <w:rFonts w:hint="eastAsia" w:ascii="仿宋" w:hAnsi="仿宋" w:eastAsia="仿宋" w:cs="仿宋"/>
                <w:color w:val="auto"/>
                <w:sz w:val="32"/>
                <w:szCs w:val="32"/>
                <w:highlight w:val="none"/>
              </w:rPr>
            </w:pPr>
          </w:p>
        </w:tc>
      </w:tr>
      <w:tr w14:paraId="0E917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85" w:type="dxa"/>
            <w:vMerge w:val="continue"/>
            <w:tcBorders>
              <w:left w:val="single" w:color="auto" w:sz="4" w:space="0"/>
              <w:right w:val="single" w:color="auto" w:sz="4" w:space="0"/>
            </w:tcBorders>
            <w:noWrap w:val="0"/>
            <w:vAlign w:val="center"/>
          </w:tcPr>
          <w:p w14:paraId="011864FF">
            <w:pPr>
              <w:shd w:val="clear" w:color="auto" w:fill="auto"/>
              <w:rPr>
                <w:rFonts w:hint="eastAsia" w:ascii="仿宋" w:hAnsi="仿宋" w:eastAsia="仿宋" w:cs="仿宋"/>
                <w:color w:val="auto"/>
                <w:sz w:val="32"/>
                <w:szCs w:val="32"/>
                <w:highlight w:val="none"/>
              </w:rPr>
            </w:pPr>
          </w:p>
        </w:tc>
        <w:tc>
          <w:tcPr>
            <w:tcW w:w="600" w:type="dxa"/>
            <w:tcBorders>
              <w:left w:val="single" w:color="auto" w:sz="4" w:space="0"/>
              <w:bottom w:val="single" w:color="auto" w:sz="4" w:space="0"/>
            </w:tcBorders>
            <w:noWrap w:val="0"/>
            <w:vAlign w:val="center"/>
          </w:tcPr>
          <w:p w14:paraId="6B22357B">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w:t>
            </w:r>
          </w:p>
        </w:tc>
        <w:tc>
          <w:tcPr>
            <w:tcW w:w="6884" w:type="dxa"/>
            <w:tcBorders>
              <w:bottom w:val="single" w:color="auto" w:sz="4" w:space="0"/>
              <w:right w:val="single" w:color="auto" w:sz="4" w:space="0"/>
            </w:tcBorders>
            <w:noWrap w:val="0"/>
            <w:vAlign w:val="center"/>
          </w:tcPr>
          <w:p w14:paraId="57DBCFCE">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是否对</w:t>
            </w:r>
            <w:r>
              <w:rPr>
                <w:rFonts w:hint="eastAsia" w:ascii="仿宋" w:hAnsi="仿宋" w:eastAsia="仿宋" w:cs="仿宋"/>
                <w:color w:val="auto"/>
                <w:kern w:val="0"/>
                <w:sz w:val="32"/>
                <w:szCs w:val="32"/>
                <w:highlight w:val="none"/>
                <w:lang w:val="en-US" w:eastAsia="zh-CN" w:bidi="ar"/>
              </w:rPr>
              <w:t>磋商文件</w:t>
            </w:r>
            <w:r>
              <w:rPr>
                <w:rFonts w:hint="eastAsia" w:ascii="仿宋" w:hAnsi="仿宋" w:eastAsia="仿宋" w:cs="仿宋"/>
                <w:color w:val="auto"/>
                <w:sz w:val="32"/>
                <w:szCs w:val="32"/>
                <w:highlight w:val="none"/>
                <w:lang w:eastAsia="zh-CN"/>
              </w:rPr>
              <w:t>规定的</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lang w:eastAsia="zh-CN"/>
              </w:rPr>
              <w:t>内容全部作出响应。</w:t>
            </w:r>
          </w:p>
        </w:tc>
        <w:tc>
          <w:tcPr>
            <w:tcW w:w="716" w:type="dxa"/>
            <w:tcBorders>
              <w:left w:val="single" w:color="auto" w:sz="4" w:space="0"/>
              <w:bottom w:val="single" w:color="auto" w:sz="4" w:space="0"/>
            </w:tcBorders>
            <w:noWrap w:val="0"/>
            <w:vAlign w:val="top"/>
          </w:tcPr>
          <w:p w14:paraId="4E1F15E7">
            <w:pPr>
              <w:shd w:val="clear" w:color="auto" w:fill="auto"/>
              <w:rPr>
                <w:rFonts w:hint="eastAsia" w:ascii="仿宋" w:hAnsi="仿宋" w:eastAsia="仿宋" w:cs="仿宋"/>
                <w:color w:val="auto"/>
                <w:sz w:val="32"/>
                <w:szCs w:val="32"/>
                <w:highlight w:val="none"/>
              </w:rPr>
            </w:pPr>
          </w:p>
        </w:tc>
        <w:tc>
          <w:tcPr>
            <w:tcW w:w="650" w:type="dxa"/>
            <w:tcBorders>
              <w:bottom w:val="single" w:color="auto" w:sz="4" w:space="0"/>
              <w:right w:val="single" w:color="auto" w:sz="4" w:space="0"/>
            </w:tcBorders>
            <w:noWrap w:val="0"/>
            <w:vAlign w:val="top"/>
          </w:tcPr>
          <w:p w14:paraId="1B81E43E">
            <w:pPr>
              <w:shd w:val="clear" w:color="auto" w:fill="auto"/>
              <w:rPr>
                <w:rFonts w:hint="eastAsia" w:ascii="仿宋" w:hAnsi="仿宋" w:eastAsia="仿宋" w:cs="仿宋"/>
                <w:color w:val="auto"/>
                <w:sz w:val="32"/>
                <w:szCs w:val="32"/>
                <w:highlight w:val="none"/>
              </w:rPr>
            </w:pPr>
          </w:p>
        </w:tc>
      </w:tr>
      <w:tr w14:paraId="516E25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8" w:hRule="atLeast"/>
        </w:trPr>
        <w:tc>
          <w:tcPr>
            <w:tcW w:w="585" w:type="dxa"/>
            <w:vMerge w:val="continue"/>
            <w:tcBorders>
              <w:left w:val="single" w:color="auto" w:sz="4" w:space="0"/>
              <w:right w:val="single" w:color="auto" w:sz="4" w:space="0"/>
            </w:tcBorders>
            <w:noWrap w:val="0"/>
            <w:vAlign w:val="center"/>
          </w:tcPr>
          <w:p w14:paraId="293E7044">
            <w:pPr>
              <w:shd w:val="clear" w:color="auto" w:fill="auto"/>
              <w:rPr>
                <w:rFonts w:hint="eastAsia" w:ascii="仿宋" w:hAnsi="仿宋" w:eastAsia="仿宋" w:cs="仿宋"/>
                <w:color w:val="auto"/>
                <w:sz w:val="32"/>
                <w:szCs w:val="32"/>
                <w:highlight w:val="none"/>
              </w:rPr>
            </w:pPr>
          </w:p>
        </w:tc>
        <w:tc>
          <w:tcPr>
            <w:tcW w:w="600" w:type="dxa"/>
            <w:tcBorders>
              <w:top w:val="single" w:color="auto" w:sz="4" w:space="0"/>
              <w:left w:val="single" w:color="auto" w:sz="4" w:space="0"/>
              <w:bottom w:val="single" w:color="auto" w:sz="4" w:space="0"/>
              <w:right w:val="single" w:color="auto" w:sz="4" w:space="0"/>
            </w:tcBorders>
            <w:noWrap w:val="0"/>
            <w:vAlign w:val="center"/>
          </w:tcPr>
          <w:p w14:paraId="1A57495C">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6</w:t>
            </w:r>
          </w:p>
        </w:tc>
        <w:tc>
          <w:tcPr>
            <w:tcW w:w="6884" w:type="dxa"/>
            <w:tcBorders>
              <w:top w:val="single" w:color="auto" w:sz="4" w:space="0"/>
              <w:left w:val="single" w:color="auto" w:sz="4" w:space="0"/>
              <w:bottom w:val="single" w:color="auto" w:sz="4" w:space="0"/>
              <w:right w:val="single" w:color="auto" w:sz="4" w:space="0"/>
            </w:tcBorders>
            <w:noWrap w:val="0"/>
            <w:vAlign w:val="center"/>
          </w:tcPr>
          <w:p w14:paraId="4F36A372">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是否满足</w:t>
            </w:r>
            <w:r>
              <w:rPr>
                <w:rFonts w:hint="eastAsia" w:ascii="仿宋" w:hAnsi="仿宋" w:eastAsia="仿宋" w:cs="仿宋"/>
                <w:color w:val="auto"/>
                <w:kern w:val="0"/>
                <w:sz w:val="32"/>
                <w:szCs w:val="32"/>
                <w:highlight w:val="none"/>
                <w:lang w:val="en-US" w:eastAsia="zh-CN" w:bidi="ar"/>
              </w:rPr>
              <w:t>磋商文件</w:t>
            </w:r>
            <w:r>
              <w:rPr>
                <w:rFonts w:hint="eastAsia" w:ascii="仿宋" w:hAnsi="仿宋" w:eastAsia="仿宋" w:cs="仿宋"/>
                <w:color w:val="auto"/>
                <w:sz w:val="32"/>
                <w:szCs w:val="32"/>
                <w:highlight w:val="none"/>
                <w:lang w:eastAsia="zh-CN"/>
              </w:rPr>
              <w:t>提出的技术和质量要求。</w:t>
            </w:r>
          </w:p>
        </w:tc>
        <w:tc>
          <w:tcPr>
            <w:tcW w:w="716" w:type="dxa"/>
            <w:tcBorders>
              <w:top w:val="single" w:color="auto" w:sz="4" w:space="0"/>
              <w:left w:val="single" w:color="auto" w:sz="4" w:space="0"/>
              <w:bottom w:val="single" w:color="auto" w:sz="4" w:space="0"/>
              <w:right w:val="single" w:color="auto" w:sz="4" w:space="0"/>
            </w:tcBorders>
            <w:noWrap w:val="0"/>
            <w:vAlign w:val="top"/>
          </w:tcPr>
          <w:p w14:paraId="2B99CBEB">
            <w:pPr>
              <w:shd w:val="clear" w:color="auto" w:fill="auto"/>
              <w:rPr>
                <w:rFonts w:hint="eastAsia" w:ascii="仿宋" w:hAnsi="仿宋" w:eastAsia="仿宋" w:cs="仿宋"/>
                <w:color w:val="auto"/>
                <w:sz w:val="32"/>
                <w:szCs w:val="32"/>
                <w:highlight w:val="none"/>
              </w:rPr>
            </w:pPr>
          </w:p>
        </w:tc>
        <w:tc>
          <w:tcPr>
            <w:tcW w:w="650" w:type="dxa"/>
            <w:tcBorders>
              <w:top w:val="single" w:color="auto" w:sz="4" w:space="0"/>
              <w:left w:val="single" w:color="auto" w:sz="4" w:space="0"/>
              <w:bottom w:val="single" w:color="auto" w:sz="4" w:space="0"/>
              <w:right w:val="single" w:color="auto" w:sz="4" w:space="0"/>
            </w:tcBorders>
            <w:noWrap w:val="0"/>
            <w:vAlign w:val="top"/>
          </w:tcPr>
          <w:p w14:paraId="70145188">
            <w:pPr>
              <w:shd w:val="clear" w:color="auto" w:fill="auto"/>
              <w:rPr>
                <w:rFonts w:hint="eastAsia" w:ascii="仿宋" w:hAnsi="仿宋" w:eastAsia="仿宋" w:cs="仿宋"/>
                <w:color w:val="auto"/>
                <w:sz w:val="32"/>
                <w:szCs w:val="32"/>
                <w:highlight w:val="none"/>
              </w:rPr>
            </w:pPr>
          </w:p>
        </w:tc>
      </w:tr>
      <w:tr w14:paraId="608772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8" w:hRule="atLeast"/>
        </w:trPr>
        <w:tc>
          <w:tcPr>
            <w:tcW w:w="585" w:type="dxa"/>
            <w:vMerge w:val="continue"/>
            <w:tcBorders>
              <w:left w:val="single" w:color="auto" w:sz="4" w:space="0"/>
              <w:right w:val="single" w:color="auto" w:sz="4" w:space="0"/>
            </w:tcBorders>
            <w:noWrap w:val="0"/>
            <w:vAlign w:val="center"/>
          </w:tcPr>
          <w:p w14:paraId="5E284FA8">
            <w:pPr>
              <w:shd w:val="clear" w:color="auto" w:fill="auto"/>
              <w:rPr>
                <w:rFonts w:hint="eastAsia" w:ascii="仿宋" w:hAnsi="仿宋" w:eastAsia="仿宋" w:cs="仿宋"/>
                <w:color w:val="auto"/>
                <w:sz w:val="32"/>
                <w:szCs w:val="32"/>
                <w:highlight w:val="none"/>
              </w:rPr>
            </w:pPr>
          </w:p>
        </w:tc>
        <w:tc>
          <w:tcPr>
            <w:tcW w:w="600" w:type="dxa"/>
            <w:tcBorders>
              <w:left w:val="single" w:color="auto" w:sz="4" w:space="0"/>
            </w:tcBorders>
            <w:noWrap w:val="0"/>
            <w:vAlign w:val="center"/>
          </w:tcPr>
          <w:p w14:paraId="1FD9F10C">
            <w:pPr>
              <w:widowControl/>
              <w:shd w:val="clear" w:color="auto" w:fill="auto"/>
              <w:jc w:val="center"/>
              <w:textAlignment w:val="center"/>
              <w:rPr>
                <w:rFonts w:hint="eastAsia" w:ascii="仿宋" w:hAnsi="仿宋" w:eastAsia="仿宋" w:cs="仿宋"/>
                <w:color w:val="auto"/>
                <w:kern w:val="0"/>
                <w:sz w:val="32"/>
                <w:szCs w:val="32"/>
                <w:highlight w:val="none"/>
                <w:lang w:eastAsia="zh-CN" w:bidi="ar"/>
              </w:rPr>
            </w:pPr>
            <w:r>
              <w:rPr>
                <w:rFonts w:hint="eastAsia" w:ascii="仿宋" w:hAnsi="仿宋" w:eastAsia="仿宋" w:cs="仿宋"/>
                <w:color w:val="auto"/>
                <w:kern w:val="0"/>
                <w:sz w:val="32"/>
                <w:szCs w:val="32"/>
                <w:highlight w:val="none"/>
                <w:lang w:val="en-US" w:eastAsia="zh-CN" w:bidi="ar"/>
              </w:rPr>
              <w:t>7</w:t>
            </w:r>
          </w:p>
        </w:tc>
        <w:tc>
          <w:tcPr>
            <w:tcW w:w="6884" w:type="dxa"/>
            <w:tcBorders>
              <w:right w:val="single" w:color="auto" w:sz="4" w:space="0"/>
            </w:tcBorders>
            <w:noWrap w:val="0"/>
            <w:vAlign w:val="center"/>
          </w:tcPr>
          <w:p w14:paraId="29E4B8C9">
            <w:pPr>
              <w:widowControl/>
              <w:shd w:val="clear" w:color="auto" w:fill="auto"/>
              <w:jc w:val="left"/>
              <w:textAlignment w:val="center"/>
              <w:rPr>
                <w:rFonts w:hint="eastAsia" w:ascii="仿宋" w:hAnsi="仿宋" w:eastAsia="仿宋" w:cs="仿宋"/>
                <w:color w:val="auto"/>
                <w:kern w:val="0"/>
                <w:sz w:val="32"/>
                <w:szCs w:val="32"/>
                <w:highlight w:val="none"/>
                <w:lang w:bidi="ar"/>
              </w:rPr>
            </w:pPr>
            <w:r>
              <w:rPr>
                <w:rFonts w:hint="eastAsia" w:ascii="仿宋" w:hAnsi="仿宋" w:eastAsia="仿宋" w:cs="仿宋"/>
                <w:color w:val="auto"/>
                <w:kern w:val="0"/>
                <w:sz w:val="32"/>
                <w:szCs w:val="32"/>
                <w:highlight w:val="none"/>
                <w:lang w:val="en-US" w:eastAsia="zh-CN" w:bidi="ar"/>
              </w:rPr>
              <w:t>服务</w:t>
            </w:r>
            <w:r>
              <w:rPr>
                <w:rFonts w:hint="eastAsia" w:ascii="仿宋" w:hAnsi="仿宋" w:eastAsia="仿宋" w:cs="仿宋"/>
                <w:color w:val="auto"/>
                <w:kern w:val="0"/>
                <w:sz w:val="32"/>
                <w:szCs w:val="32"/>
                <w:highlight w:val="none"/>
                <w:lang w:eastAsia="zh-CN" w:bidi="ar"/>
              </w:rPr>
              <w:t>期限是否满足</w:t>
            </w:r>
            <w:r>
              <w:rPr>
                <w:rFonts w:hint="eastAsia" w:ascii="仿宋" w:hAnsi="仿宋" w:eastAsia="仿宋" w:cs="仿宋"/>
                <w:color w:val="auto"/>
                <w:kern w:val="0"/>
                <w:sz w:val="32"/>
                <w:szCs w:val="32"/>
                <w:highlight w:val="none"/>
                <w:lang w:val="en-US" w:eastAsia="zh-CN" w:bidi="ar"/>
              </w:rPr>
              <w:t>磋商文件</w:t>
            </w:r>
            <w:r>
              <w:rPr>
                <w:rFonts w:hint="eastAsia" w:ascii="仿宋" w:hAnsi="仿宋" w:eastAsia="仿宋" w:cs="仿宋"/>
                <w:color w:val="auto"/>
                <w:kern w:val="0"/>
                <w:sz w:val="32"/>
                <w:szCs w:val="32"/>
                <w:highlight w:val="none"/>
                <w:lang w:eastAsia="zh-CN" w:bidi="ar"/>
              </w:rPr>
              <w:t>要求。</w:t>
            </w:r>
          </w:p>
        </w:tc>
        <w:tc>
          <w:tcPr>
            <w:tcW w:w="716" w:type="dxa"/>
            <w:tcBorders>
              <w:left w:val="single" w:color="auto" w:sz="4" w:space="0"/>
            </w:tcBorders>
            <w:noWrap w:val="0"/>
            <w:vAlign w:val="top"/>
          </w:tcPr>
          <w:p w14:paraId="4AAEBB77">
            <w:pPr>
              <w:shd w:val="clear" w:color="auto" w:fill="auto"/>
              <w:rPr>
                <w:rFonts w:hint="eastAsia" w:ascii="仿宋" w:hAnsi="仿宋" w:eastAsia="仿宋" w:cs="仿宋"/>
                <w:color w:val="auto"/>
                <w:sz w:val="32"/>
                <w:szCs w:val="32"/>
                <w:highlight w:val="none"/>
              </w:rPr>
            </w:pPr>
          </w:p>
        </w:tc>
        <w:tc>
          <w:tcPr>
            <w:tcW w:w="650" w:type="dxa"/>
            <w:tcBorders>
              <w:right w:val="single" w:color="auto" w:sz="4" w:space="0"/>
            </w:tcBorders>
            <w:noWrap w:val="0"/>
            <w:vAlign w:val="top"/>
          </w:tcPr>
          <w:p w14:paraId="21E0EC80">
            <w:pPr>
              <w:shd w:val="clear" w:color="auto" w:fill="auto"/>
              <w:rPr>
                <w:rFonts w:hint="eastAsia" w:ascii="仿宋" w:hAnsi="仿宋" w:eastAsia="仿宋" w:cs="仿宋"/>
                <w:color w:val="auto"/>
                <w:sz w:val="32"/>
                <w:szCs w:val="32"/>
                <w:highlight w:val="none"/>
              </w:rPr>
            </w:pPr>
          </w:p>
        </w:tc>
      </w:tr>
      <w:tr w14:paraId="549BD0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585" w:type="dxa"/>
            <w:vMerge w:val="continue"/>
            <w:tcBorders>
              <w:left w:val="single" w:color="auto" w:sz="4" w:space="0"/>
              <w:right w:val="single" w:color="auto" w:sz="4" w:space="0"/>
            </w:tcBorders>
            <w:noWrap w:val="0"/>
            <w:vAlign w:val="center"/>
          </w:tcPr>
          <w:p w14:paraId="73248DAE">
            <w:pPr>
              <w:shd w:val="clear" w:color="auto" w:fill="auto"/>
              <w:rPr>
                <w:rFonts w:hint="eastAsia" w:ascii="仿宋" w:hAnsi="仿宋" w:eastAsia="仿宋" w:cs="仿宋"/>
                <w:color w:val="auto"/>
                <w:sz w:val="32"/>
                <w:szCs w:val="32"/>
                <w:highlight w:val="none"/>
              </w:rPr>
            </w:pPr>
          </w:p>
        </w:tc>
        <w:tc>
          <w:tcPr>
            <w:tcW w:w="600" w:type="dxa"/>
            <w:tcBorders>
              <w:left w:val="single" w:color="auto" w:sz="4" w:space="0"/>
            </w:tcBorders>
            <w:noWrap w:val="0"/>
            <w:vAlign w:val="center"/>
          </w:tcPr>
          <w:p w14:paraId="26E164CE">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8</w:t>
            </w:r>
          </w:p>
        </w:tc>
        <w:tc>
          <w:tcPr>
            <w:tcW w:w="6884" w:type="dxa"/>
            <w:tcBorders>
              <w:right w:val="single" w:color="auto" w:sz="4" w:space="0"/>
            </w:tcBorders>
            <w:noWrap w:val="0"/>
            <w:vAlign w:val="center"/>
          </w:tcPr>
          <w:p w14:paraId="4A5224C2">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投标有效期是否满足</w:t>
            </w:r>
            <w:r>
              <w:rPr>
                <w:rFonts w:hint="eastAsia" w:ascii="仿宋" w:hAnsi="仿宋" w:eastAsia="仿宋" w:cs="仿宋"/>
                <w:color w:val="auto"/>
                <w:kern w:val="0"/>
                <w:sz w:val="32"/>
                <w:szCs w:val="32"/>
                <w:highlight w:val="none"/>
                <w:lang w:val="en-US" w:eastAsia="zh-CN" w:bidi="ar"/>
              </w:rPr>
              <w:t>磋商文件</w:t>
            </w:r>
            <w:r>
              <w:rPr>
                <w:rFonts w:hint="eastAsia" w:ascii="仿宋" w:hAnsi="仿宋" w:eastAsia="仿宋" w:cs="仿宋"/>
                <w:color w:val="auto"/>
                <w:sz w:val="32"/>
                <w:szCs w:val="32"/>
                <w:highlight w:val="none"/>
                <w:lang w:eastAsia="zh-CN"/>
              </w:rPr>
              <w:t>要求。</w:t>
            </w:r>
          </w:p>
        </w:tc>
        <w:tc>
          <w:tcPr>
            <w:tcW w:w="716" w:type="dxa"/>
            <w:tcBorders>
              <w:left w:val="single" w:color="auto" w:sz="4" w:space="0"/>
            </w:tcBorders>
            <w:noWrap w:val="0"/>
            <w:vAlign w:val="top"/>
          </w:tcPr>
          <w:p w14:paraId="626CB76B">
            <w:pPr>
              <w:shd w:val="clear" w:color="auto" w:fill="auto"/>
              <w:rPr>
                <w:rFonts w:hint="eastAsia" w:ascii="仿宋" w:hAnsi="仿宋" w:eastAsia="仿宋" w:cs="仿宋"/>
                <w:color w:val="auto"/>
                <w:sz w:val="32"/>
                <w:szCs w:val="32"/>
                <w:highlight w:val="none"/>
              </w:rPr>
            </w:pPr>
          </w:p>
        </w:tc>
        <w:tc>
          <w:tcPr>
            <w:tcW w:w="650" w:type="dxa"/>
            <w:tcBorders>
              <w:right w:val="single" w:color="auto" w:sz="4" w:space="0"/>
            </w:tcBorders>
            <w:noWrap w:val="0"/>
            <w:vAlign w:val="top"/>
          </w:tcPr>
          <w:p w14:paraId="04476289">
            <w:pPr>
              <w:shd w:val="clear" w:color="auto" w:fill="auto"/>
              <w:rPr>
                <w:rFonts w:hint="eastAsia" w:ascii="仿宋" w:hAnsi="仿宋" w:eastAsia="仿宋" w:cs="仿宋"/>
                <w:color w:val="auto"/>
                <w:sz w:val="32"/>
                <w:szCs w:val="32"/>
                <w:highlight w:val="none"/>
              </w:rPr>
            </w:pPr>
          </w:p>
        </w:tc>
      </w:tr>
      <w:tr w14:paraId="2E9E6F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85" w:type="dxa"/>
            <w:vMerge w:val="continue"/>
            <w:tcBorders>
              <w:left w:val="single" w:color="auto" w:sz="4" w:space="0"/>
              <w:right w:val="single" w:color="auto" w:sz="4" w:space="0"/>
            </w:tcBorders>
            <w:noWrap w:val="0"/>
            <w:vAlign w:val="center"/>
          </w:tcPr>
          <w:p w14:paraId="7D271583">
            <w:pPr>
              <w:shd w:val="clear" w:color="auto" w:fill="auto"/>
              <w:rPr>
                <w:rFonts w:hint="eastAsia" w:ascii="仿宋" w:hAnsi="仿宋" w:eastAsia="仿宋" w:cs="仿宋"/>
                <w:color w:val="auto"/>
                <w:sz w:val="32"/>
                <w:szCs w:val="32"/>
                <w:highlight w:val="none"/>
              </w:rPr>
            </w:pPr>
          </w:p>
        </w:tc>
        <w:tc>
          <w:tcPr>
            <w:tcW w:w="600" w:type="dxa"/>
            <w:tcBorders>
              <w:left w:val="single" w:color="auto" w:sz="4" w:space="0"/>
            </w:tcBorders>
            <w:noWrap w:val="0"/>
            <w:vAlign w:val="center"/>
          </w:tcPr>
          <w:p w14:paraId="49503F85">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9</w:t>
            </w:r>
          </w:p>
        </w:tc>
        <w:tc>
          <w:tcPr>
            <w:tcW w:w="6884" w:type="dxa"/>
            <w:tcBorders>
              <w:right w:val="single" w:color="auto" w:sz="4" w:space="0"/>
            </w:tcBorders>
            <w:noWrap w:val="0"/>
            <w:vAlign w:val="center"/>
          </w:tcPr>
          <w:p w14:paraId="19E88F99">
            <w:pPr>
              <w:widowControl/>
              <w:shd w:val="clear" w:color="auto" w:fill="auto"/>
              <w:jc w:val="left"/>
              <w:textAlignment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是否有不符合</w:t>
            </w:r>
            <w:r>
              <w:rPr>
                <w:rFonts w:hint="eastAsia" w:ascii="仿宋" w:hAnsi="仿宋" w:eastAsia="仿宋" w:cs="仿宋"/>
                <w:color w:val="auto"/>
                <w:kern w:val="0"/>
                <w:sz w:val="32"/>
                <w:szCs w:val="32"/>
                <w:highlight w:val="none"/>
                <w:lang w:val="en-US" w:eastAsia="zh-CN" w:bidi="ar"/>
              </w:rPr>
              <w:t>磋商文件</w:t>
            </w:r>
            <w:r>
              <w:rPr>
                <w:rFonts w:hint="eastAsia" w:ascii="仿宋" w:hAnsi="仿宋" w:eastAsia="仿宋" w:cs="仿宋"/>
                <w:color w:val="auto"/>
                <w:sz w:val="32"/>
                <w:szCs w:val="32"/>
                <w:highlight w:val="none"/>
                <w:lang w:eastAsia="zh-CN"/>
              </w:rPr>
              <w:t>中规定的其他实质性要求。</w:t>
            </w:r>
          </w:p>
        </w:tc>
        <w:tc>
          <w:tcPr>
            <w:tcW w:w="716" w:type="dxa"/>
            <w:tcBorders>
              <w:left w:val="single" w:color="auto" w:sz="4" w:space="0"/>
            </w:tcBorders>
            <w:noWrap w:val="0"/>
            <w:vAlign w:val="top"/>
          </w:tcPr>
          <w:p w14:paraId="23D22CCE">
            <w:pPr>
              <w:shd w:val="clear" w:color="auto" w:fill="auto"/>
              <w:rPr>
                <w:rFonts w:hint="eastAsia" w:ascii="仿宋" w:hAnsi="仿宋" w:eastAsia="仿宋" w:cs="仿宋"/>
                <w:color w:val="auto"/>
                <w:sz w:val="32"/>
                <w:szCs w:val="32"/>
                <w:highlight w:val="none"/>
              </w:rPr>
            </w:pPr>
          </w:p>
        </w:tc>
        <w:tc>
          <w:tcPr>
            <w:tcW w:w="650" w:type="dxa"/>
            <w:tcBorders>
              <w:right w:val="single" w:color="auto" w:sz="4" w:space="0"/>
            </w:tcBorders>
            <w:noWrap w:val="0"/>
            <w:vAlign w:val="top"/>
          </w:tcPr>
          <w:p w14:paraId="05292A0F">
            <w:pPr>
              <w:shd w:val="clear" w:color="auto" w:fill="auto"/>
              <w:rPr>
                <w:rFonts w:hint="eastAsia" w:ascii="仿宋" w:hAnsi="仿宋" w:eastAsia="仿宋" w:cs="仿宋"/>
                <w:color w:val="auto"/>
                <w:sz w:val="32"/>
                <w:szCs w:val="32"/>
                <w:highlight w:val="none"/>
              </w:rPr>
            </w:pPr>
          </w:p>
        </w:tc>
      </w:tr>
      <w:tr w14:paraId="13FEE6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85" w:type="dxa"/>
            <w:tcBorders>
              <w:left w:val="single" w:color="auto" w:sz="4" w:space="0"/>
              <w:right w:val="single" w:color="auto" w:sz="4" w:space="0"/>
            </w:tcBorders>
            <w:noWrap w:val="0"/>
            <w:vAlign w:val="center"/>
          </w:tcPr>
          <w:p w14:paraId="5E3B7F4D">
            <w:pPr>
              <w:shd w:val="clear" w:color="auto" w:fill="auto"/>
              <w:rPr>
                <w:rFonts w:hint="eastAsia" w:ascii="仿宋" w:hAnsi="仿宋" w:eastAsia="仿宋" w:cs="仿宋"/>
                <w:color w:val="auto"/>
                <w:sz w:val="32"/>
                <w:szCs w:val="32"/>
                <w:highlight w:val="none"/>
              </w:rPr>
            </w:pPr>
          </w:p>
        </w:tc>
        <w:tc>
          <w:tcPr>
            <w:tcW w:w="600" w:type="dxa"/>
            <w:tcBorders>
              <w:left w:val="single" w:color="auto" w:sz="4" w:space="0"/>
            </w:tcBorders>
            <w:noWrap w:val="0"/>
            <w:vAlign w:val="center"/>
          </w:tcPr>
          <w:p w14:paraId="09328F05">
            <w:pPr>
              <w:shd w:val="clear" w:color="auto" w:fill="auto"/>
              <w:jc w:val="center"/>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10</w:t>
            </w:r>
          </w:p>
        </w:tc>
        <w:tc>
          <w:tcPr>
            <w:tcW w:w="6884" w:type="dxa"/>
            <w:tcBorders>
              <w:right w:val="single" w:color="auto" w:sz="4" w:space="0"/>
            </w:tcBorders>
            <w:noWrap w:val="0"/>
            <w:vAlign w:val="center"/>
          </w:tcPr>
          <w:p w14:paraId="07149AB8">
            <w:pPr>
              <w:widowControl/>
              <w:shd w:val="clear" w:color="auto" w:fill="auto"/>
              <w:jc w:val="left"/>
              <w:textAlignment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响应文件是否附有</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lang w:eastAsia="zh-CN"/>
              </w:rPr>
              <w:t>人不能接受的条件。</w:t>
            </w:r>
          </w:p>
        </w:tc>
        <w:tc>
          <w:tcPr>
            <w:tcW w:w="716" w:type="dxa"/>
            <w:tcBorders>
              <w:left w:val="single" w:color="auto" w:sz="4" w:space="0"/>
            </w:tcBorders>
            <w:noWrap w:val="0"/>
            <w:vAlign w:val="top"/>
          </w:tcPr>
          <w:p w14:paraId="2AD5B447">
            <w:pPr>
              <w:shd w:val="clear" w:color="auto" w:fill="auto"/>
              <w:rPr>
                <w:rFonts w:hint="eastAsia" w:ascii="仿宋" w:hAnsi="仿宋" w:eastAsia="仿宋" w:cs="仿宋"/>
                <w:color w:val="auto"/>
                <w:sz w:val="32"/>
                <w:szCs w:val="32"/>
                <w:highlight w:val="none"/>
              </w:rPr>
            </w:pPr>
          </w:p>
        </w:tc>
        <w:tc>
          <w:tcPr>
            <w:tcW w:w="650" w:type="dxa"/>
            <w:tcBorders>
              <w:right w:val="single" w:color="auto" w:sz="4" w:space="0"/>
            </w:tcBorders>
            <w:noWrap w:val="0"/>
            <w:vAlign w:val="top"/>
          </w:tcPr>
          <w:p w14:paraId="6878F9C1">
            <w:pPr>
              <w:shd w:val="clear" w:color="auto" w:fill="auto"/>
              <w:rPr>
                <w:rFonts w:hint="eastAsia" w:ascii="仿宋" w:hAnsi="仿宋" w:eastAsia="仿宋" w:cs="仿宋"/>
                <w:color w:val="auto"/>
                <w:sz w:val="32"/>
                <w:szCs w:val="32"/>
                <w:highlight w:val="none"/>
              </w:rPr>
            </w:pPr>
          </w:p>
        </w:tc>
      </w:tr>
      <w:tr w14:paraId="5E6589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585" w:type="dxa"/>
            <w:tcBorders>
              <w:left w:val="single" w:color="auto" w:sz="4" w:space="0"/>
              <w:bottom w:val="single" w:color="auto" w:sz="4" w:space="0"/>
              <w:right w:val="single" w:color="auto" w:sz="4" w:space="0"/>
            </w:tcBorders>
            <w:noWrap w:val="0"/>
            <w:vAlign w:val="center"/>
          </w:tcPr>
          <w:p w14:paraId="56C606E5">
            <w:pPr>
              <w:shd w:val="clear" w:color="auto" w:fill="auto"/>
              <w:jc w:val="center"/>
              <w:rPr>
                <w:rFonts w:hint="eastAsia" w:ascii="仿宋" w:hAnsi="仿宋" w:eastAsia="仿宋" w:cs="仿宋"/>
                <w:color w:val="auto"/>
                <w:sz w:val="32"/>
                <w:szCs w:val="32"/>
                <w:highlight w:val="none"/>
              </w:rPr>
            </w:pPr>
          </w:p>
        </w:tc>
        <w:tc>
          <w:tcPr>
            <w:tcW w:w="7484" w:type="dxa"/>
            <w:gridSpan w:val="2"/>
            <w:tcBorders>
              <w:left w:val="single" w:color="auto" w:sz="4" w:space="0"/>
              <w:bottom w:val="single" w:color="auto" w:sz="4" w:space="0"/>
              <w:right w:val="single" w:color="auto" w:sz="4" w:space="0"/>
            </w:tcBorders>
            <w:noWrap w:val="0"/>
            <w:vAlign w:val="top"/>
          </w:tcPr>
          <w:p w14:paraId="53B6E321">
            <w:pPr>
              <w:shd w:val="clear" w:color="auto" w:fil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结论：是否通过评审（须填写通过或不通过）</w:t>
            </w:r>
          </w:p>
          <w:p w14:paraId="56CE5949">
            <w:pPr>
              <w:shd w:val="clear" w:color="auto" w:fil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注：如有一项不合格，作废标处理。</w:t>
            </w:r>
          </w:p>
        </w:tc>
        <w:tc>
          <w:tcPr>
            <w:tcW w:w="1366" w:type="dxa"/>
            <w:gridSpan w:val="2"/>
            <w:tcBorders>
              <w:left w:val="single" w:color="auto" w:sz="4" w:space="0"/>
              <w:bottom w:val="single" w:color="auto" w:sz="4" w:space="0"/>
              <w:right w:val="single" w:color="auto" w:sz="4" w:space="0"/>
            </w:tcBorders>
            <w:noWrap w:val="0"/>
            <w:vAlign w:val="top"/>
          </w:tcPr>
          <w:p w14:paraId="54ABEA21">
            <w:pPr>
              <w:shd w:val="clear" w:color="auto" w:fill="auto"/>
              <w:rPr>
                <w:rFonts w:hint="eastAsia" w:ascii="仿宋" w:hAnsi="仿宋" w:eastAsia="仿宋" w:cs="仿宋"/>
                <w:color w:val="auto"/>
                <w:sz w:val="32"/>
                <w:szCs w:val="32"/>
                <w:highlight w:val="none"/>
              </w:rPr>
            </w:pPr>
          </w:p>
        </w:tc>
      </w:tr>
    </w:tbl>
    <w:p w14:paraId="0EA96CFF">
      <w:pPr>
        <w:shd w:val="clear" w:color="auto" w:fill="auto"/>
        <w:bidi w:val="0"/>
        <w:rPr>
          <w:rFonts w:hint="eastAsia" w:ascii="仿宋" w:hAnsi="仿宋" w:eastAsia="仿宋" w:cs="仿宋"/>
          <w:color w:val="auto"/>
          <w:sz w:val="32"/>
          <w:szCs w:val="32"/>
          <w:highlight w:val="none"/>
        </w:rPr>
      </w:pPr>
    </w:p>
    <w:p w14:paraId="067CD17B">
      <w:pPr>
        <w:shd w:val="clear" w:color="auto" w:fill="auto"/>
        <w:spacing w:line="400" w:lineRule="exact"/>
        <w:ind w:firstLine="771" w:firstLineChars="24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.2评委会判定投标文件的响应性只根据投标文件本身的内容，而不寻求外部的证据，但投标有不真实不正确的内容时除外。</w:t>
      </w:r>
    </w:p>
    <w:p w14:paraId="5F56691F">
      <w:pPr>
        <w:shd w:val="clear" w:color="auto" w:fill="auto"/>
        <w:spacing w:line="400" w:lineRule="exact"/>
        <w:ind w:firstLine="771" w:firstLineChars="24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.3如果投标文件实质上没有响应</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的要求，评委会将予以拒绝，投标人不得通过修正或撤销不符合要求的偏离或保留，而使其投标成为实质上响应的投标。</w:t>
      </w:r>
    </w:p>
    <w:p w14:paraId="4710C8AF">
      <w:pPr>
        <w:shd w:val="clear" w:color="auto" w:fill="auto"/>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.4投标人可在现场</w:t>
      </w:r>
      <w:r>
        <w:rPr>
          <w:rFonts w:hint="eastAsia" w:ascii="仿宋" w:hAnsi="仿宋" w:eastAsia="仿宋" w:cs="仿宋"/>
          <w:color w:val="auto"/>
          <w:sz w:val="32"/>
          <w:szCs w:val="32"/>
          <w:highlight w:val="none"/>
          <w:lang w:eastAsia="zh-CN"/>
        </w:rPr>
        <w:t>30分钟</w:t>
      </w:r>
      <w:r>
        <w:rPr>
          <w:rFonts w:hint="eastAsia" w:ascii="仿宋" w:hAnsi="仿宋" w:eastAsia="仿宋" w:cs="仿宋"/>
          <w:color w:val="auto"/>
          <w:sz w:val="32"/>
          <w:szCs w:val="32"/>
          <w:highlight w:val="none"/>
        </w:rPr>
        <w:t>内对评标委员会的评审结论提出异议，评标委员会根据</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及有关规定对投标人的异议进行复议</w:t>
      </w:r>
    </w:p>
    <w:p w14:paraId="5B96CDC0">
      <w:pPr>
        <w:shd w:val="clear" w:color="auto" w:fill="auto"/>
        <w:spacing w:line="40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.5只有通过初审的投标人才能进入下一步评标程序。</w:t>
      </w:r>
    </w:p>
    <w:p w14:paraId="2BE9C615">
      <w:pPr>
        <w:shd w:val="clear" w:color="auto" w:fill="auto"/>
        <w:spacing w:line="40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572B9BCF">
      <w:pPr>
        <w:pStyle w:val="7"/>
        <w:rPr>
          <w:rFonts w:hint="eastAsia" w:ascii="仿宋" w:hAnsi="仿宋" w:eastAsia="仿宋" w:cs="仿宋"/>
          <w:b/>
          <w:color w:val="auto"/>
          <w:sz w:val="32"/>
          <w:szCs w:val="32"/>
          <w:highlight w:val="none"/>
        </w:rPr>
      </w:pPr>
    </w:p>
    <w:p w14:paraId="05C1F34A">
      <w:pPr>
        <w:rPr>
          <w:rFonts w:hint="eastAsia" w:ascii="仿宋" w:hAnsi="仿宋" w:eastAsia="仿宋" w:cs="仿宋"/>
          <w:b/>
          <w:color w:val="auto"/>
          <w:sz w:val="32"/>
          <w:szCs w:val="32"/>
          <w:highlight w:val="none"/>
        </w:rPr>
      </w:pPr>
    </w:p>
    <w:p w14:paraId="101065F8">
      <w:pPr>
        <w:pStyle w:val="33"/>
        <w:rPr>
          <w:rFonts w:hint="eastAsia" w:ascii="仿宋" w:hAnsi="仿宋" w:eastAsia="仿宋" w:cs="仿宋"/>
          <w:b/>
          <w:color w:val="auto"/>
          <w:sz w:val="32"/>
          <w:szCs w:val="32"/>
          <w:highlight w:val="none"/>
        </w:rPr>
      </w:pPr>
    </w:p>
    <w:p w14:paraId="1248AFE9">
      <w:pPr>
        <w:pStyle w:val="33"/>
        <w:rPr>
          <w:rFonts w:hint="eastAsia" w:ascii="仿宋" w:hAnsi="仿宋" w:eastAsia="仿宋" w:cs="仿宋"/>
          <w:b/>
          <w:color w:val="auto"/>
          <w:sz w:val="32"/>
          <w:szCs w:val="32"/>
          <w:highlight w:val="none"/>
        </w:rPr>
      </w:pPr>
    </w:p>
    <w:p w14:paraId="7C93F840">
      <w:pPr>
        <w:pStyle w:val="33"/>
        <w:rPr>
          <w:rFonts w:hint="eastAsia" w:ascii="仿宋" w:hAnsi="仿宋" w:eastAsia="仿宋" w:cs="仿宋"/>
          <w:b/>
          <w:color w:val="auto"/>
          <w:sz w:val="32"/>
          <w:szCs w:val="32"/>
          <w:highlight w:val="none"/>
        </w:rPr>
      </w:pPr>
    </w:p>
    <w:p w14:paraId="7BA0E4C8">
      <w:pPr>
        <w:pStyle w:val="19"/>
        <w:rPr>
          <w:rFonts w:hint="eastAsia" w:ascii="仿宋" w:hAnsi="仿宋" w:eastAsia="仿宋" w:cs="仿宋"/>
          <w:color w:val="auto"/>
          <w:sz w:val="32"/>
          <w:szCs w:val="32"/>
          <w:highlight w:val="none"/>
        </w:rPr>
      </w:pPr>
    </w:p>
    <w:p w14:paraId="47BC0612">
      <w:pPr>
        <w:shd w:val="clear" w:color="auto" w:fill="auto"/>
        <w:spacing w:before="156" w:beforeLines="50" w:line="400" w:lineRule="exact"/>
        <w:jc w:val="center"/>
        <w:outlineLvl w:val="1"/>
        <w:rPr>
          <w:rFonts w:hint="eastAsia" w:ascii="仿宋" w:hAnsi="仿宋" w:eastAsia="仿宋" w:cs="仿宋"/>
          <w:b/>
          <w:color w:val="auto"/>
          <w:sz w:val="32"/>
          <w:szCs w:val="32"/>
          <w:highlight w:val="none"/>
        </w:rPr>
      </w:pPr>
      <w:bookmarkStart w:id="187" w:name="_Toc14524"/>
      <w:bookmarkStart w:id="188" w:name="_Toc26583"/>
      <w:bookmarkStart w:id="189" w:name="_Toc25547"/>
      <w:bookmarkStart w:id="190" w:name="_Toc362983803"/>
      <w:bookmarkStart w:id="191" w:name="_Toc8144"/>
      <w:r>
        <w:rPr>
          <w:rFonts w:hint="eastAsia" w:ascii="仿宋" w:hAnsi="仿宋" w:eastAsia="仿宋" w:cs="仿宋"/>
          <w:b/>
          <w:color w:val="auto"/>
          <w:sz w:val="32"/>
          <w:szCs w:val="32"/>
          <w:highlight w:val="none"/>
        </w:rPr>
        <w:t xml:space="preserve">三 </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投标文件的澄清和补正</w:t>
      </w:r>
      <w:bookmarkEnd w:id="187"/>
      <w:bookmarkEnd w:id="188"/>
      <w:bookmarkEnd w:id="189"/>
      <w:bookmarkEnd w:id="190"/>
      <w:bookmarkEnd w:id="191"/>
    </w:p>
    <w:p w14:paraId="2FBDFD90">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8、澄清、说明或补正的形式</w:t>
      </w:r>
    </w:p>
    <w:p w14:paraId="2F858CFB">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30分钟。</w:t>
      </w:r>
    </w:p>
    <w:p w14:paraId="136FE145">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2F395013">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4E9EB3E6">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9、错误修正的原则</w:t>
      </w:r>
    </w:p>
    <w:p w14:paraId="42ACF7D0">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电子交易平台客户端里开标一览表录入的投标报价或优惠率与扫描上传的报价文件信息不一致的，以扫描上传的报价文件信息为准进行修正。</w:t>
      </w:r>
    </w:p>
    <w:p w14:paraId="348DCF9A">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投标文件报价出现前后不一致的，除竞争性磋商文件另有规定外，按照下列规定修正：</w:t>
      </w:r>
    </w:p>
    <w:p w14:paraId="57156A59">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9.1 投标函中表述的内容与报价表中不一致的，以报价表为准；报价表中的内容与报价明细表不一致的，以报价表为准；</w:t>
      </w:r>
    </w:p>
    <w:p w14:paraId="0FE2D6AF">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9.2 投标文件中的大写金额和小写金额不一致的，以大写金额为准；</w:t>
      </w:r>
    </w:p>
    <w:p w14:paraId="0AD7E0D4">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9.3 单价金额小数点或者百分比有明显错位的，以开标一览表的总价为准，并修改单价；</w:t>
      </w:r>
    </w:p>
    <w:p w14:paraId="48C6CBFF">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9.4 总价金额与按单价汇总金额不一致的，以单价金额计算结果为准；</w:t>
      </w:r>
    </w:p>
    <w:p w14:paraId="16724EFF">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9.5 若用文字表示的数值与用数字表示的数值不一致，以文字表示的数值为准；</w:t>
      </w:r>
    </w:p>
    <w:p w14:paraId="0EC4CFB7">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9.6 如有多报（指数量超出竞争性磋商文件需求）、重报（指同一货物重复报价），其投标总价在评标过程中不予调整，如其中标，其合同价按其投标单价予以调整；</w:t>
      </w:r>
    </w:p>
    <w:p w14:paraId="632F0B8A">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9.7 对不同文字文本投标文件的解释发生异议的，以中文文本为准；</w:t>
      </w:r>
    </w:p>
    <w:p w14:paraId="769C996D">
      <w:pPr>
        <w:shd w:val="clear" w:color="auto" w:fill="auto"/>
        <w:spacing w:line="440" w:lineRule="exact"/>
        <w:ind w:firstLine="640" w:firstLineChars="200"/>
        <w:jc w:val="left"/>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3E635FCD">
      <w:pPr>
        <w:shd w:val="clear" w:color="auto" w:fill="auto"/>
        <w:spacing w:line="400" w:lineRule="exact"/>
        <w:ind w:firstLine="614" w:firstLineChars="192"/>
        <w:rPr>
          <w:rFonts w:hint="eastAsia" w:ascii="仿宋" w:hAnsi="仿宋" w:eastAsia="仿宋" w:cs="仿宋"/>
          <w:color w:val="auto"/>
          <w:sz w:val="32"/>
          <w:szCs w:val="32"/>
          <w:highlight w:val="none"/>
        </w:rPr>
      </w:pPr>
    </w:p>
    <w:p w14:paraId="5D61FF66">
      <w:pPr>
        <w:shd w:val="clear" w:color="auto" w:fill="auto"/>
        <w:spacing w:line="400" w:lineRule="exact"/>
        <w:jc w:val="center"/>
        <w:outlineLvl w:val="1"/>
        <w:rPr>
          <w:rFonts w:hint="eastAsia" w:ascii="仿宋" w:hAnsi="仿宋" w:eastAsia="仿宋" w:cs="仿宋"/>
          <w:b/>
          <w:color w:val="auto"/>
          <w:sz w:val="32"/>
          <w:szCs w:val="32"/>
          <w:highlight w:val="none"/>
        </w:rPr>
      </w:pPr>
      <w:bookmarkStart w:id="192" w:name="_Toc10651"/>
    </w:p>
    <w:p w14:paraId="2604D693">
      <w:pPr>
        <w:shd w:val="clear" w:color="auto" w:fill="auto"/>
        <w:spacing w:line="400" w:lineRule="exact"/>
        <w:jc w:val="center"/>
        <w:outlineLvl w:val="1"/>
        <w:rPr>
          <w:rFonts w:hint="eastAsia" w:ascii="仿宋" w:hAnsi="仿宋" w:eastAsia="仿宋" w:cs="仿宋"/>
          <w:b/>
          <w:color w:val="auto"/>
          <w:sz w:val="32"/>
          <w:szCs w:val="32"/>
          <w:highlight w:val="none"/>
        </w:rPr>
      </w:pPr>
    </w:p>
    <w:p w14:paraId="1221A03F">
      <w:pPr>
        <w:shd w:val="clear" w:color="auto" w:fill="auto"/>
        <w:spacing w:line="400" w:lineRule="exact"/>
        <w:jc w:val="center"/>
        <w:outlineLvl w:val="1"/>
        <w:rPr>
          <w:rFonts w:hint="eastAsia" w:ascii="仿宋" w:hAnsi="仿宋" w:eastAsia="仿宋" w:cs="仿宋"/>
          <w:b/>
          <w:color w:val="auto"/>
          <w:sz w:val="32"/>
          <w:szCs w:val="32"/>
          <w:highlight w:val="none"/>
        </w:rPr>
      </w:pPr>
    </w:p>
    <w:p w14:paraId="5FFF342C">
      <w:pPr>
        <w:shd w:val="clear" w:color="auto" w:fill="auto"/>
        <w:spacing w:line="400" w:lineRule="exact"/>
        <w:jc w:val="center"/>
        <w:outlineLvl w:val="1"/>
        <w:rPr>
          <w:rFonts w:hint="eastAsia" w:ascii="仿宋" w:hAnsi="仿宋" w:eastAsia="仿宋" w:cs="仿宋"/>
          <w:b/>
          <w:color w:val="auto"/>
          <w:sz w:val="32"/>
          <w:szCs w:val="32"/>
          <w:highlight w:val="none"/>
        </w:rPr>
      </w:pPr>
      <w:bookmarkStart w:id="193" w:name="_Toc31343"/>
      <w:bookmarkStart w:id="194" w:name="_Toc9700"/>
      <w:bookmarkStart w:id="195" w:name="_Toc27258"/>
      <w:r>
        <w:rPr>
          <w:rFonts w:hint="eastAsia" w:ascii="仿宋" w:hAnsi="仿宋" w:eastAsia="仿宋" w:cs="仿宋"/>
          <w:b/>
          <w:color w:val="auto"/>
          <w:sz w:val="32"/>
          <w:szCs w:val="32"/>
          <w:highlight w:val="none"/>
        </w:rPr>
        <w:t>四</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比较与评价</w:t>
      </w:r>
      <w:bookmarkEnd w:id="192"/>
      <w:bookmarkEnd w:id="193"/>
      <w:bookmarkEnd w:id="194"/>
      <w:bookmarkEnd w:id="195"/>
    </w:p>
    <w:p w14:paraId="6F9E221E">
      <w:pPr>
        <w:shd w:val="clear" w:color="auto" w:fill="auto"/>
        <w:tabs>
          <w:tab w:val="left" w:pos="720"/>
        </w:tabs>
        <w:spacing w:line="440" w:lineRule="exact"/>
        <w:ind w:firstLine="816" w:firstLineChars="255"/>
        <w:rPr>
          <w:rFonts w:hint="eastAsia" w:ascii="仿宋" w:hAnsi="仿宋" w:eastAsia="仿宋" w:cs="仿宋"/>
          <w:b w:val="0"/>
          <w:bCs w:val="0"/>
          <w:color w:val="auto"/>
          <w:sz w:val="32"/>
          <w:szCs w:val="32"/>
          <w:highlight w:val="none"/>
          <w:lang w:val="en-US" w:eastAsia="zh-CN" w:bidi="ar-SA"/>
        </w:rPr>
      </w:pPr>
      <w:bookmarkStart w:id="196" w:name="_Toc362983805"/>
      <w:r>
        <w:rPr>
          <w:rFonts w:hint="eastAsia" w:ascii="仿宋" w:hAnsi="仿宋" w:eastAsia="仿宋" w:cs="仿宋"/>
          <w:b w:val="0"/>
          <w:bCs w:val="0"/>
          <w:color w:val="auto"/>
          <w:sz w:val="32"/>
          <w:szCs w:val="32"/>
          <w:highlight w:val="none"/>
          <w:lang w:val="en-US" w:eastAsia="zh-CN" w:bidi="ar-SA"/>
        </w:rPr>
        <w:t>10、评标方法和标准</w:t>
      </w:r>
    </w:p>
    <w:p w14:paraId="61D8B08C">
      <w:pPr>
        <w:shd w:val="clear" w:color="auto" w:fill="auto"/>
        <w:tabs>
          <w:tab w:val="left" w:pos="720"/>
        </w:tabs>
        <w:spacing w:line="440" w:lineRule="exact"/>
        <w:ind w:firstLine="816" w:firstLineChars="255"/>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10.1</w:t>
      </w:r>
      <w:r>
        <w:rPr>
          <w:rFonts w:hint="eastAsia" w:ascii="仿宋" w:hAnsi="仿宋" w:eastAsia="仿宋" w:cs="仿宋"/>
          <w:color w:val="auto"/>
          <w:sz w:val="32"/>
          <w:szCs w:val="32"/>
          <w:highlight w:val="none"/>
          <w:lang w:bidi="ar-SA"/>
        </w:rPr>
        <w:t>评标委员会按</w:t>
      </w:r>
      <w:r>
        <w:rPr>
          <w:rFonts w:hint="eastAsia" w:ascii="仿宋" w:hAnsi="仿宋" w:eastAsia="仿宋" w:cs="仿宋"/>
          <w:color w:val="auto"/>
          <w:sz w:val="32"/>
          <w:szCs w:val="32"/>
          <w:highlight w:val="none"/>
          <w:lang w:eastAsia="zh-CN" w:bidi="ar-SA"/>
        </w:rPr>
        <w:t>磋商</w:t>
      </w:r>
      <w:r>
        <w:rPr>
          <w:rFonts w:hint="eastAsia" w:ascii="仿宋" w:hAnsi="仿宋" w:eastAsia="仿宋" w:cs="仿宋"/>
          <w:color w:val="auto"/>
          <w:sz w:val="32"/>
          <w:szCs w:val="32"/>
          <w:highlight w:val="none"/>
          <w:lang w:bidi="ar-SA"/>
        </w:rPr>
        <w:t>文件中规定的评标方法和标准，对资格性检查和符合性检查合格的投标文件进行商务和技术评估、综合比较与评价。</w:t>
      </w:r>
    </w:p>
    <w:p w14:paraId="5AF94982">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10.2</w:t>
      </w:r>
      <w:r>
        <w:rPr>
          <w:rFonts w:hint="eastAsia" w:ascii="仿宋" w:hAnsi="仿宋" w:eastAsia="仿宋" w:cs="仿宋"/>
          <w:color w:val="auto"/>
          <w:sz w:val="32"/>
          <w:szCs w:val="32"/>
          <w:highlight w:val="none"/>
          <w:lang w:bidi="ar-SA"/>
        </w:rPr>
        <w:t>评标委员会根据商务和技术评估的结果，采用综合评分法，分别对投标文件的商务、技术、价格等内容进行打分。其中，商务评估、技术评估、价格评估的评分权值（详见附件1）。</w:t>
      </w:r>
    </w:p>
    <w:p w14:paraId="3847DB70">
      <w:pPr>
        <w:shd w:val="clear" w:color="auto" w:fill="auto"/>
        <w:spacing w:line="440" w:lineRule="exact"/>
        <w:ind w:firstLine="822" w:firstLineChars="257"/>
        <w:rPr>
          <w:rFonts w:hint="eastAsia" w:ascii="仿宋" w:hAnsi="仿宋" w:eastAsia="仿宋" w:cs="仿宋"/>
          <w:bCs/>
          <w:color w:val="auto"/>
          <w:sz w:val="32"/>
          <w:szCs w:val="32"/>
          <w:highlight w:val="none"/>
          <w:lang w:bidi="ar-SA"/>
        </w:rPr>
      </w:pPr>
      <w:r>
        <w:rPr>
          <w:rFonts w:hint="eastAsia" w:ascii="仿宋" w:hAnsi="仿宋" w:eastAsia="仿宋" w:cs="仿宋"/>
          <w:color w:val="auto"/>
          <w:sz w:val="32"/>
          <w:szCs w:val="32"/>
          <w:highlight w:val="none"/>
          <w:lang w:val="en-US" w:eastAsia="zh-CN" w:bidi="ar-SA"/>
        </w:rPr>
        <w:t>10.</w:t>
      </w:r>
      <w:r>
        <w:rPr>
          <w:rFonts w:hint="eastAsia" w:ascii="仿宋" w:hAnsi="仿宋" w:eastAsia="仿宋" w:cs="仿宋"/>
          <w:bCs/>
          <w:color w:val="auto"/>
          <w:sz w:val="32"/>
          <w:szCs w:val="32"/>
          <w:highlight w:val="none"/>
          <w:lang w:val="en-US" w:eastAsia="zh-CN" w:bidi="ar-SA"/>
        </w:rPr>
        <w:t>2.1</w:t>
      </w:r>
      <w:r>
        <w:rPr>
          <w:rFonts w:hint="eastAsia" w:ascii="仿宋" w:hAnsi="仿宋" w:eastAsia="仿宋" w:cs="仿宋"/>
          <w:bCs/>
          <w:color w:val="auto"/>
          <w:sz w:val="32"/>
          <w:szCs w:val="32"/>
          <w:highlight w:val="none"/>
          <w:lang w:bidi="ar-SA"/>
        </w:rPr>
        <w:t>评委打分办法</w:t>
      </w:r>
    </w:p>
    <w:p w14:paraId="25878129">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bCs/>
          <w:color w:val="auto"/>
          <w:sz w:val="32"/>
          <w:szCs w:val="32"/>
          <w:highlight w:val="none"/>
          <w:lang w:bidi="ar-SA"/>
        </w:rPr>
        <w:t>（1）</w:t>
      </w:r>
      <w:r>
        <w:rPr>
          <w:rFonts w:hint="eastAsia" w:ascii="仿宋" w:hAnsi="仿宋" w:eastAsia="仿宋" w:cs="仿宋"/>
          <w:color w:val="auto"/>
          <w:sz w:val="32"/>
          <w:szCs w:val="32"/>
          <w:highlight w:val="none"/>
          <w:lang w:bidi="ar-SA"/>
        </w:rPr>
        <w:t>参加评分的评委应尽力体现客观、实事求是，避免学派偏见和个人偏好。</w:t>
      </w:r>
    </w:p>
    <w:p w14:paraId="75562B3A">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（2）衡量、对比的依据，应以</w:t>
      </w:r>
      <w:r>
        <w:rPr>
          <w:rFonts w:hint="eastAsia" w:ascii="仿宋" w:hAnsi="仿宋" w:eastAsia="仿宋" w:cs="仿宋"/>
          <w:color w:val="auto"/>
          <w:sz w:val="32"/>
          <w:szCs w:val="32"/>
          <w:highlight w:val="none"/>
          <w:lang w:eastAsia="zh-CN" w:bidi="ar-SA"/>
        </w:rPr>
        <w:t>磋商文件</w:t>
      </w:r>
      <w:r>
        <w:rPr>
          <w:rFonts w:hint="eastAsia" w:ascii="仿宋" w:hAnsi="仿宋" w:eastAsia="仿宋" w:cs="仿宋"/>
          <w:color w:val="auto"/>
          <w:sz w:val="32"/>
          <w:szCs w:val="32"/>
          <w:highlight w:val="none"/>
          <w:lang w:bidi="ar-SA"/>
        </w:rPr>
        <w:t>、投标文件、提供的正式试验数据、质询澄清中的文字为准，口头回答和收集的资料只作为参考。</w:t>
      </w:r>
    </w:p>
    <w:p w14:paraId="140B812F">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（3）评分主要是为比较各投标人的价格、商务和技术综合排序。</w:t>
      </w:r>
    </w:p>
    <w:p w14:paraId="7F863E01">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（4）评委打分采取记名形式。</w:t>
      </w:r>
    </w:p>
    <w:p w14:paraId="312701AF">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（5）各评委根据提供的技术打分表独立自主打分，任何人不得要求评委统一打分或统一确定等次顺序。</w:t>
      </w:r>
    </w:p>
    <w:p w14:paraId="74EBE5C4">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（6）对打分表中的每项条款，各评委应根据投标文件、澄清材料、</w:t>
      </w:r>
      <w:r>
        <w:rPr>
          <w:rFonts w:hint="eastAsia" w:ascii="仿宋" w:hAnsi="仿宋" w:eastAsia="仿宋" w:cs="仿宋"/>
          <w:color w:val="auto"/>
          <w:sz w:val="32"/>
          <w:szCs w:val="32"/>
          <w:highlight w:val="none"/>
          <w:lang w:eastAsia="zh-CN" w:bidi="ar-SA"/>
        </w:rPr>
        <w:t>磋商文件</w:t>
      </w:r>
      <w:r>
        <w:rPr>
          <w:rFonts w:hint="eastAsia" w:ascii="仿宋" w:hAnsi="仿宋" w:eastAsia="仿宋" w:cs="仿宋"/>
          <w:color w:val="auto"/>
          <w:sz w:val="32"/>
          <w:szCs w:val="32"/>
          <w:highlight w:val="none"/>
          <w:lang w:bidi="ar-SA"/>
        </w:rPr>
        <w:t>要求，按满足的程度给投标人打分。</w:t>
      </w:r>
    </w:p>
    <w:p w14:paraId="050CDE11">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（7）评分程序</w:t>
      </w:r>
    </w:p>
    <w:p w14:paraId="73ACB65E">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a</w:t>
      </w:r>
      <w:r>
        <w:rPr>
          <w:rFonts w:hint="eastAsia" w:ascii="仿宋" w:hAnsi="仿宋" w:eastAsia="仿宋" w:cs="仿宋"/>
          <w:color w:val="auto"/>
          <w:sz w:val="32"/>
          <w:szCs w:val="32"/>
          <w:highlight w:val="none"/>
          <w:lang w:bidi="ar-SA"/>
        </w:rPr>
        <w:t>就投标人的投标文件对照整理出商务、技术评标因素对比表、偏差表，并在经过校核的基础上逐项打分。</w:t>
      </w:r>
    </w:p>
    <w:p w14:paraId="7EC3BCFD">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b</w:t>
      </w:r>
      <w:r>
        <w:rPr>
          <w:rFonts w:hint="eastAsia" w:ascii="仿宋" w:hAnsi="仿宋" w:eastAsia="仿宋" w:cs="仿宋"/>
          <w:color w:val="auto"/>
          <w:sz w:val="32"/>
          <w:szCs w:val="32"/>
          <w:highlight w:val="none"/>
          <w:lang w:bidi="ar-SA"/>
        </w:rPr>
        <w:t>各评委独立完成打分后，将评分表交给代理机构，由代理机构组织进行分数统计。</w:t>
      </w:r>
    </w:p>
    <w:p w14:paraId="6FD31D37">
      <w:pPr>
        <w:shd w:val="clear" w:color="auto" w:fill="auto"/>
        <w:spacing w:line="440" w:lineRule="exact"/>
        <w:ind w:firstLine="822" w:firstLineChars="257"/>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val="en-US" w:eastAsia="zh-CN" w:bidi="ar-SA"/>
        </w:rPr>
        <w:t>c</w:t>
      </w:r>
      <w:r>
        <w:rPr>
          <w:rFonts w:hint="eastAsia" w:ascii="仿宋" w:hAnsi="仿宋" w:eastAsia="仿宋" w:cs="仿宋"/>
          <w:color w:val="auto"/>
          <w:sz w:val="32"/>
          <w:szCs w:val="32"/>
          <w:highlight w:val="none"/>
          <w:lang w:bidi="ar-SA"/>
        </w:rPr>
        <w:t>最终汇总表中各投标人得分应为评委打分的算术平均值。</w:t>
      </w:r>
    </w:p>
    <w:p w14:paraId="6F7F71C8">
      <w:pPr>
        <w:pStyle w:val="36"/>
        <w:ind w:left="0" w:leftChars="0" w:firstLine="0" w:firstLineChars="0"/>
        <w:rPr>
          <w:rFonts w:hint="eastAsia" w:ascii="宋体" w:hAnsi="宋体" w:eastAsia="宋体" w:cs="宋体"/>
          <w:color w:val="auto"/>
          <w:szCs w:val="21"/>
          <w:highlight w:val="none"/>
          <w:lang w:bidi="ar-SA"/>
        </w:rPr>
      </w:pPr>
    </w:p>
    <w:p w14:paraId="7F5967DD">
      <w:pPr>
        <w:pStyle w:val="36"/>
        <w:ind w:left="0" w:leftChars="0" w:firstLine="0" w:firstLineChars="0"/>
        <w:rPr>
          <w:rFonts w:hint="eastAsia" w:ascii="宋体" w:hAnsi="宋体" w:eastAsia="宋体" w:cs="宋体"/>
          <w:color w:val="auto"/>
          <w:szCs w:val="21"/>
          <w:highlight w:val="none"/>
          <w:lang w:bidi="ar-SA"/>
        </w:rPr>
      </w:pPr>
    </w:p>
    <w:p w14:paraId="62D616DF">
      <w:pPr>
        <w:pStyle w:val="36"/>
        <w:ind w:left="0" w:leftChars="0" w:firstLine="0" w:firstLineChars="0"/>
        <w:rPr>
          <w:rFonts w:hint="eastAsia" w:ascii="宋体" w:hAnsi="宋体" w:eastAsia="宋体" w:cs="宋体"/>
          <w:color w:val="auto"/>
          <w:szCs w:val="21"/>
          <w:highlight w:val="none"/>
          <w:lang w:bidi="ar-SA"/>
        </w:rPr>
      </w:pPr>
    </w:p>
    <w:p w14:paraId="08E939FF">
      <w:pPr>
        <w:pStyle w:val="36"/>
        <w:ind w:left="0" w:leftChars="0" w:firstLine="0" w:firstLineChars="0"/>
        <w:rPr>
          <w:rFonts w:hint="eastAsia" w:ascii="宋体" w:hAnsi="宋体" w:eastAsia="宋体" w:cs="宋体"/>
          <w:color w:val="auto"/>
          <w:szCs w:val="21"/>
          <w:highlight w:val="none"/>
          <w:lang w:bidi="ar-SA"/>
        </w:rPr>
      </w:pPr>
    </w:p>
    <w:p w14:paraId="01411C1A">
      <w:pPr>
        <w:pStyle w:val="36"/>
        <w:ind w:left="0" w:leftChars="0" w:firstLine="0" w:firstLineChars="0"/>
        <w:rPr>
          <w:rFonts w:hint="eastAsia" w:ascii="宋体" w:hAnsi="宋体" w:eastAsia="宋体" w:cs="宋体"/>
          <w:color w:val="auto"/>
          <w:szCs w:val="21"/>
          <w:highlight w:val="none"/>
          <w:lang w:bidi="ar-SA"/>
        </w:rPr>
      </w:pPr>
    </w:p>
    <w:p w14:paraId="55110A2D">
      <w:pPr>
        <w:pStyle w:val="36"/>
        <w:ind w:left="0" w:leftChars="0" w:firstLine="0" w:firstLineChars="0"/>
        <w:rPr>
          <w:rFonts w:hint="eastAsia" w:ascii="宋体" w:hAnsi="宋体" w:eastAsia="宋体" w:cs="宋体"/>
          <w:color w:val="auto"/>
          <w:szCs w:val="21"/>
          <w:highlight w:val="none"/>
          <w:lang w:bidi="ar-SA"/>
        </w:rPr>
      </w:pPr>
    </w:p>
    <w:p w14:paraId="3032912A">
      <w:pPr>
        <w:pStyle w:val="36"/>
        <w:ind w:left="0" w:leftChars="0" w:firstLine="0" w:firstLineChars="0"/>
        <w:rPr>
          <w:rFonts w:hint="eastAsia" w:ascii="宋体" w:hAnsi="宋体" w:eastAsia="宋体" w:cs="宋体"/>
          <w:color w:val="auto"/>
          <w:szCs w:val="21"/>
          <w:highlight w:val="none"/>
          <w:lang w:bidi="ar-SA"/>
        </w:rPr>
      </w:pPr>
    </w:p>
    <w:p w14:paraId="178E8F4B">
      <w:pPr>
        <w:pStyle w:val="36"/>
        <w:ind w:left="0" w:leftChars="0" w:firstLine="0" w:firstLineChars="0"/>
        <w:rPr>
          <w:rFonts w:hint="eastAsia" w:ascii="宋体" w:hAnsi="宋体" w:eastAsia="宋体" w:cs="宋体"/>
          <w:color w:val="auto"/>
          <w:szCs w:val="21"/>
          <w:highlight w:val="none"/>
          <w:lang w:bidi="ar-SA"/>
        </w:rPr>
      </w:pPr>
    </w:p>
    <w:p w14:paraId="59E76C67">
      <w:pPr>
        <w:pStyle w:val="36"/>
        <w:ind w:left="0" w:leftChars="0" w:firstLine="0" w:firstLineChars="0"/>
        <w:rPr>
          <w:rFonts w:hint="eastAsia" w:ascii="宋体" w:hAnsi="宋体" w:eastAsia="宋体" w:cs="宋体"/>
          <w:color w:val="auto"/>
          <w:szCs w:val="21"/>
          <w:highlight w:val="none"/>
          <w:lang w:bidi="ar-SA"/>
        </w:rPr>
      </w:pPr>
    </w:p>
    <w:p w14:paraId="2179286B">
      <w:pPr>
        <w:pStyle w:val="36"/>
        <w:ind w:left="0" w:leftChars="0" w:firstLine="0" w:firstLineChars="0"/>
        <w:rPr>
          <w:rFonts w:hint="eastAsia" w:ascii="宋体" w:hAnsi="宋体" w:eastAsia="宋体" w:cs="宋体"/>
          <w:color w:val="auto"/>
          <w:szCs w:val="21"/>
          <w:highlight w:val="none"/>
          <w:lang w:bidi="ar-SA"/>
        </w:rPr>
      </w:pPr>
    </w:p>
    <w:p w14:paraId="0D0AA15A">
      <w:pPr>
        <w:pStyle w:val="36"/>
        <w:ind w:left="0" w:leftChars="0" w:firstLine="0" w:firstLineChars="0"/>
        <w:rPr>
          <w:rFonts w:hint="eastAsia" w:ascii="宋体" w:hAnsi="宋体" w:eastAsia="宋体" w:cs="宋体"/>
          <w:color w:val="auto"/>
          <w:szCs w:val="21"/>
          <w:highlight w:val="none"/>
          <w:lang w:bidi="ar-SA"/>
        </w:rPr>
      </w:pPr>
    </w:p>
    <w:p w14:paraId="061F059D">
      <w:pPr>
        <w:pStyle w:val="36"/>
        <w:ind w:left="0" w:leftChars="0" w:firstLine="0" w:firstLineChars="0"/>
        <w:rPr>
          <w:rFonts w:hint="eastAsia" w:ascii="宋体" w:hAnsi="宋体" w:eastAsia="宋体" w:cs="宋体"/>
          <w:color w:val="auto"/>
          <w:szCs w:val="21"/>
          <w:highlight w:val="none"/>
          <w:lang w:bidi="ar-SA"/>
        </w:rPr>
      </w:pPr>
    </w:p>
    <w:p w14:paraId="477AA0A4">
      <w:pPr>
        <w:pStyle w:val="36"/>
        <w:ind w:left="0" w:leftChars="0" w:firstLine="0" w:firstLineChars="0"/>
        <w:rPr>
          <w:rFonts w:hint="eastAsia" w:ascii="宋体" w:hAnsi="宋体" w:eastAsia="宋体" w:cs="宋体"/>
          <w:color w:val="auto"/>
          <w:szCs w:val="21"/>
          <w:highlight w:val="none"/>
          <w:lang w:bidi="ar-SA"/>
        </w:rPr>
      </w:pPr>
    </w:p>
    <w:p w14:paraId="325B3E37">
      <w:pPr>
        <w:pStyle w:val="36"/>
        <w:ind w:left="0" w:leftChars="0" w:firstLine="0" w:firstLineChars="0"/>
        <w:rPr>
          <w:rFonts w:hint="eastAsia" w:ascii="宋体" w:hAnsi="宋体" w:eastAsia="宋体" w:cs="宋体"/>
          <w:color w:val="auto"/>
          <w:szCs w:val="21"/>
          <w:highlight w:val="none"/>
          <w:lang w:bidi="ar-SA"/>
        </w:rPr>
      </w:pPr>
    </w:p>
    <w:p w14:paraId="06E78DA5">
      <w:pPr>
        <w:pStyle w:val="36"/>
        <w:ind w:left="0" w:leftChars="0" w:firstLine="0" w:firstLineChars="0"/>
        <w:rPr>
          <w:rFonts w:hint="eastAsia" w:ascii="宋体" w:hAnsi="宋体" w:eastAsia="宋体" w:cs="宋体"/>
          <w:color w:val="auto"/>
          <w:szCs w:val="21"/>
          <w:highlight w:val="none"/>
          <w:lang w:bidi="ar-SA"/>
        </w:rPr>
      </w:pPr>
    </w:p>
    <w:p w14:paraId="18E6374A">
      <w:pPr>
        <w:pStyle w:val="36"/>
        <w:rPr>
          <w:rFonts w:hint="eastAsia" w:ascii="宋体" w:hAnsi="宋体" w:eastAsia="宋体" w:cs="宋体"/>
          <w:color w:val="auto"/>
          <w:szCs w:val="21"/>
          <w:highlight w:val="none"/>
          <w:lang w:bidi="ar-SA"/>
        </w:rPr>
      </w:pPr>
    </w:p>
    <w:p w14:paraId="43FEFF77">
      <w:pPr>
        <w:numPr>
          <w:ilvl w:val="0"/>
          <w:numId w:val="5"/>
        </w:numPr>
        <w:shd w:val="clear" w:color="auto" w:fill="auto"/>
        <w:spacing w:line="500" w:lineRule="exact"/>
        <w:jc w:val="left"/>
        <w:rPr>
          <w:rFonts w:hint="eastAsia" w:ascii="仿宋" w:hAnsi="仿宋" w:eastAsia="仿宋" w:cs="仿宋"/>
          <w:color w:val="auto"/>
          <w:sz w:val="32"/>
          <w:szCs w:val="32"/>
          <w:highlight w:val="none"/>
          <w:lang w:bidi="ar-SA"/>
        </w:rPr>
      </w:pPr>
      <w:r>
        <w:rPr>
          <w:rFonts w:hint="eastAsia" w:ascii="仿宋" w:hAnsi="仿宋" w:eastAsia="仿宋" w:cs="仿宋"/>
          <w:color w:val="auto"/>
          <w:sz w:val="32"/>
          <w:szCs w:val="32"/>
          <w:highlight w:val="none"/>
          <w:lang w:bidi="ar-SA"/>
        </w:rPr>
        <w:t>评分标准和细则（综合评分法评分标准）</w:t>
      </w:r>
    </w:p>
    <w:tbl>
      <w:tblPr>
        <w:tblStyle w:val="46"/>
        <w:tblW w:w="98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40"/>
        <w:gridCol w:w="1393"/>
        <w:gridCol w:w="6921"/>
      </w:tblGrid>
      <w:tr w14:paraId="587CB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trPr>
        <w:tc>
          <w:tcPr>
            <w:tcW w:w="1540" w:type="dxa"/>
            <w:vAlign w:val="center"/>
          </w:tcPr>
          <w:p w14:paraId="0335620C">
            <w:pPr>
              <w:pStyle w:val="45"/>
              <w:snapToGrid w:val="0"/>
              <w:spacing w:before="185" w:line="240" w:lineRule="auto"/>
              <w:ind w:left="0" w:leftChars="0" w:right="0" w:rightChars="0" w:firstLine="0" w:firstLineChars="0"/>
              <w:jc w:val="center"/>
              <w:rPr>
                <w:rFonts w:hint="eastAsia" w:ascii="仿宋" w:hAnsi="仿宋" w:eastAsia="仿宋" w:cs="仿宋"/>
                <w:b/>
                <w:sz w:val="32"/>
                <w:szCs w:val="32"/>
              </w:rPr>
            </w:pPr>
            <w:r>
              <w:rPr>
                <w:rFonts w:hint="eastAsia" w:ascii="仿宋" w:hAnsi="仿宋" w:eastAsia="仿宋" w:cs="仿宋"/>
                <w:b/>
                <w:bCs/>
                <w:spacing w:val="4"/>
                <w:sz w:val="32"/>
                <w:szCs w:val="32"/>
              </w:rPr>
              <w:t>序号</w:t>
            </w:r>
          </w:p>
        </w:tc>
        <w:tc>
          <w:tcPr>
            <w:tcW w:w="0" w:type="auto"/>
            <w:vAlign w:val="center"/>
          </w:tcPr>
          <w:p w14:paraId="4127427A">
            <w:pPr>
              <w:pStyle w:val="45"/>
              <w:snapToGrid w:val="0"/>
              <w:spacing w:before="185" w:line="240" w:lineRule="auto"/>
              <w:ind w:left="0" w:leftChars="0" w:right="0" w:rightChars="0" w:firstLine="0" w:firstLineChars="0"/>
              <w:jc w:val="center"/>
              <w:rPr>
                <w:rFonts w:hint="eastAsia" w:ascii="仿宋" w:hAnsi="仿宋" w:eastAsia="仿宋" w:cs="仿宋"/>
                <w:b/>
                <w:sz w:val="32"/>
                <w:szCs w:val="32"/>
              </w:rPr>
            </w:pPr>
            <w:r>
              <w:rPr>
                <w:rFonts w:hint="eastAsia" w:ascii="仿宋" w:hAnsi="仿宋" w:eastAsia="仿宋" w:cs="仿宋"/>
                <w:b/>
                <w:bCs/>
                <w:spacing w:val="6"/>
                <w:sz w:val="32"/>
                <w:szCs w:val="32"/>
              </w:rPr>
              <w:t>评审类型</w:t>
            </w:r>
          </w:p>
        </w:tc>
        <w:tc>
          <w:tcPr>
            <w:tcW w:w="6921" w:type="dxa"/>
            <w:vAlign w:val="center"/>
          </w:tcPr>
          <w:p w14:paraId="21D4B9CF">
            <w:pPr>
              <w:pStyle w:val="45"/>
              <w:snapToGrid w:val="0"/>
              <w:spacing w:before="185" w:line="240" w:lineRule="auto"/>
              <w:ind w:left="0" w:leftChars="0" w:right="0" w:rightChars="0" w:firstLine="0" w:firstLineChars="0"/>
              <w:jc w:val="center"/>
              <w:rPr>
                <w:rFonts w:hint="eastAsia" w:ascii="仿宋" w:hAnsi="仿宋" w:eastAsia="仿宋" w:cs="仿宋"/>
                <w:b/>
                <w:sz w:val="32"/>
                <w:szCs w:val="32"/>
              </w:rPr>
            </w:pPr>
            <w:r>
              <w:rPr>
                <w:rFonts w:hint="eastAsia" w:ascii="仿宋" w:hAnsi="仿宋" w:eastAsia="仿宋" w:cs="仿宋"/>
                <w:b/>
                <w:bCs/>
                <w:spacing w:val="6"/>
                <w:sz w:val="32"/>
                <w:szCs w:val="32"/>
              </w:rPr>
              <w:t>评审内容</w:t>
            </w:r>
          </w:p>
        </w:tc>
      </w:tr>
      <w:tr w14:paraId="1A54C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Align w:val="center"/>
          </w:tcPr>
          <w:p w14:paraId="277D7DE8">
            <w:pPr>
              <w:pStyle w:val="45"/>
              <w:snapToGrid w:val="0"/>
              <w:spacing w:before="65" w:line="240" w:lineRule="auto"/>
              <w:jc w:val="center"/>
              <w:rPr>
                <w:rFonts w:hint="eastAsia" w:ascii="仿宋" w:hAnsi="仿宋" w:eastAsia="仿宋" w:cs="仿宋"/>
                <w:sz w:val="32"/>
                <w:szCs w:val="32"/>
              </w:rPr>
            </w:pPr>
            <w:r>
              <w:rPr>
                <w:rFonts w:hint="eastAsia" w:ascii="仿宋" w:hAnsi="仿宋" w:eastAsia="仿宋" w:cs="仿宋"/>
                <w:spacing w:val="5"/>
                <w:sz w:val="32"/>
                <w:szCs w:val="32"/>
                <w:lang w:val="en-US" w:eastAsia="zh-CN"/>
              </w:rPr>
              <w:t>投标</w:t>
            </w:r>
            <w:r>
              <w:rPr>
                <w:rFonts w:hint="eastAsia" w:ascii="仿宋" w:hAnsi="仿宋" w:eastAsia="仿宋" w:cs="仿宋"/>
                <w:spacing w:val="5"/>
                <w:sz w:val="32"/>
                <w:szCs w:val="32"/>
              </w:rPr>
              <w:t>报价</w:t>
            </w:r>
          </w:p>
        </w:tc>
        <w:tc>
          <w:tcPr>
            <w:tcW w:w="0" w:type="auto"/>
            <w:vAlign w:val="center"/>
          </w:tcPr>
          <w:p w14:paraId="74E9C985">
            <w:pPr>
              <w:pStyle w:val="45"/>
              <w:snapToGrid w:val="0"/>
              <w:spacing w:before="65" w:line="240" w:lineRule="auto"/>
              <w:ind w:left="0" w:leftChars="0" w:right="0" w:rightChars="0" w:firstLine="0" w:firstLineChars="0"/>
              <w:jc w:val="left"/>
              <w:rPr>
                <w:rFonts w:hint="eastAsia" w:ascii="仿宋" w:hAnsi="仿宋" w:eastAsia="仿宋" w:cs="仿宋"/>
                <w:sz w:val="32"/>
                <w:szCs w:val="32"/>
                <w:lang w:eastAsia="zh-CN"/>
              </w:rPr>
            </w:pPr>
            <w:r>
              <w:rPr>
                <w:rFonts w:hint="eastAsia" w:ascii="仿宋" w:hAnsi="仿宋" w:eastAsia="仿宋" w:cs="仿宋"/>
                <w:spacing w:val="5"/>
                <w:sz w:val="32"/>
                <w:szCs w:val="32"/>
              </w:rPr>
              <w:t>报价</w:t>
            </w:r>
            <w:r>
              <w:rPr>
                <w:rFonts w:hint="eastAsia" w:ascii="仿宋" w:hAnsi="仿宋" w:eastAsia="仿宋" w:cs="仿宋"/>
                <w:spacing w:val="5"/>
                <w:sz w:val="32"/>
                <w:szCs w:val="32"/>
                <w:lang w:eastAsia="zh-CN"/>
              </w:rPr>
              <w:t>（</w:t>
            </w:r>
            <w:r>
              <w:rPr>
                <w:rFonts w:hint="eastAsia" w:ascii="仿宋" w:hAnsi="仿宋" w:eastAsia="仿宋" w:cs="仿宋"/>
                <w:spacing w:val="5"/>
                <w:sz w:val="32"/>
                <w:szCs w:val="32"/>
                <w:lang w:val="en-US" w:eastAsia="zh-CN"/>
              </w:rPr>
              <w:t>10分</w:t>
            </w:r>
            <w:r>
              <w:rPr>
                <w:rFonts w:hint="eastAsia" w:ascii="仿宋" w:hAnsi="仿宋" w:eastAsia="仿宋" w:cs="仿宋"/>
                <w:spacing w:val="5"/>
                <w:sz w:val="32"/>
                <w:szCs w:val="32"/>
                <w:lang w:eastAsia="zh-CN"/>
              </w:rPr>
              <w:t>）</w:t>
            </w:r>
          </w:p>
        </w:tc>
        <w:tc>
          <w:tcPr>
            <w:tcW w:w="6921" w:type="dxa"/>
            <w:vAlign w:val="center"/>
          </w:tcPr>
          <w:p w14:paraId="4BDC4DAE">
            <w:pPr>
              <w:pStyle w:val="45"/>
              <w:snapToGrid w:val="0"/>
              <w:spacing w:before="119"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pacing w:val="7"/>
                <w:sz w:val="32"/>
                <w:szCs w:val="32"/>
              </w:rPr>
              <w:t>价格分采用低价优先法计算，即满足招标文件要求且投标价格最低的投标报价（或经政策扣除后最低的评审价）为评标基准价，其价格分为满分。其他</w:t>
            </w:r>
            <w:r>
              <w:rPr>
                <w:rFonts w:hint="eastAsia" w:ascii="仿宋" w:hAnsi="仿宋" w:eastAsia="仿宋" w:cs="仿宋"/>
                <w:spacing w:val="8"/>
                <w:sz w:val="32"/>
                <w:szCs w:val="32"/>
              </w:rPr>
              <w:t>投标人的价格分统一按照下列公式计算：</w:t>
            </w:r>
          </w:p>
          <w:p w14:paraId="60498C92">
            <w:pPr>
              <w:pStyle w:val="45"/>
              <w:snapToGrid w:val="0"/>
              <w:spacing w:before="1" w:line="240" w:lineRule="auto"/>
              <w:ind w:left="0" w:leftChars="0" w:right="0" w:rightChars="0" w:firstLine="0" w:firstLineChars="0"/>
              <w:jc w:val="left"/>
              <w:rPr>
                <w:rFonts w:hint="eastAsia" w:ascii="仿宋" w:hAnsi="仿宋" w:eastAsia="仿宋" w:cs="仿宋"/>
                <w:spacing w:val="7"/>
                <w:sz w:val="32"/>
                <w:szCs w:val="32"/>
              </w:rPr>
            </w:pPr>
            <w:r>
              <w:rPr>
                <w:rFonts w:hint="eastAsia" w:ascii="仿宋" w:hAnsi="仿宋" w:eastAsia="仿宋" w:cs="仿宋"/>
                <w:spacing w:val="7"/>
                <w:sz w:val="32"/>
                <w:szCs w:val="32"/>
              </w:rPr>
              <w:t>投标报价得分=（评标基准价/投标报价）</w:t>
            </w:r>
            <w:r>
              <w:rPr>
                <w:rFonts w:hint="eastAsia" w:ascii="仿宋" w:hAnsi="仿宋" w:eastAsia="仿宋" w:cs="仿宋"/>
                <w:spacing w:val="-52"/>
                <w:sz w:val="32"/>
                <w:szCs w:val="32"/>
              </w:rPr>
              <w:t xml:space="preserve"> </w:t>
            </w:r>
            <w:r>
              <w:rPr>
                <w:rFonts w:hint="eastAsia" w:ascii="仿宋" w:hAnsi="仿宋" w:eastAsia="仿宋" w:cs="仿宋"/>
                <w:spacing w:val="7"/>
                <w:sz w:val="32"/>
                <w:szCs w:val="32"/>
              </w:rPr>
              <w:t>×价格权重×100</w:t>
            </w:r>
          </w:p>
          <w:p w14:paraId="059162B7">
            <w:pPr>
              <w:pStyle w:val="45"/>
              <w:snapToGrid w:val="0"/>
              <w:spacing w:before="1"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pacing w:val="5"/>
                <w:sz w:val="32"/>
                <w:szCs w:val="32"/>
              </w:rPr>
              <w:t>本项目的</w:t>
            </w:r>
            <w:r>
              <w:rPr>
                <w:rFonts w:hint="eastAsia" w:ascii="仿宋" w:hAnsi="仿宋" w:eastAsia="仿宋" w:cs="仿宋"/>
                <w:spacing w:val="7"/>
                <w:sz w:val="32"/>
                <w:szCs w:val="32"/>
              </w:rPr>
              <w:t>价格权重</w:t>
            </w:r>
            <w:r>
              <w:rPr>
                <w:rFonts w:hint="eastAsia" w:ascii="仿宋" w:hAnsi="仿宋" w:eastAsia="仿宋" w:cs="仿宋"/>
                <w:spacing w:val="5"/>
                <w:sz w:val="32"/>
                <w:szCs w:val="32"/>
              </w:rPr>
              <w:t>为</w:t>
            </w:r>
            <w:r>
              <w:rPr>
                <w:rFonts w:hint="eastAsia" w:ascii="仿宋" w:hAnsi="仿宋" w:eastAsia="仿宋" w:cs="仿宋"/>
                <w:spacing w:val="-18"/>
                <w:sz w:val="32"/>
                <w:szCs w:val="32"/>
              </w:rPr>
              <w:t xml:space="preserve"> </w:t>
            </w:r>
            <w:r>
              <w:rPr>
                <w:rFonts w:hint="eastAsia" w:ascii="仿宋" w:hAnsi="仿宋" w:eastAsia="仿宋" w:cs="仿宋"/>
                <w:spacing w:val="5"/>
                <w:sz w:val="32"/>
                <w:szCs w:val="32"/>
              </w:rPr>
              <w:t>10%。</w:t>
            </w:r>
          </w:p>
        </w:tc>
      </w:tr>
      <w:tr w14:paraId="6DCBF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restart"/>
            <w:vAlign w:val="center"/>
          </w:tcPr>
          <w:p w14:paraId="1219E53E">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508A4E3E">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74629D95">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1137D39E">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3A731BB0">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5A4D37F7">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7222967B">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1DFF28D7">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2F04F0FF">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021E6F39">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p>
          <w:p w14:paraId="2A7EFC6B">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r>
              <w:rPr>
                <w:rFonts w:hint="eastAsia" w:ascii="仿宋" w:hAnsi="仿宋" w:eastAsia="仿宋" w:cs="仿宋"/>
                <w:spacing w:val="7"/>
                <w:sz w:val="32"/>
                <w:szCs w:val="32"/>
                <w:lang w:eastAsia="zh-CN"/>
              </w:rPr>
              <w:t>商</w:t>
            </w:r>
          </w:p>
          <w:p w14:paraId="377D0E56">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r>
              <w:rPr>
                <w:rFonts w:hint="eastAsia" w:ascii="仿宋" w:hAnsi="仿宋" w:eastAsia="仿宋" w:cs="仿宋"/>
                <w:spacing w:val="7"/>
                <w:sz w:val="32"/>
                <w:szCs w:val="32"/>
                <w:lang w:eastAsia="zh-CN"/>
              </w:rPr>
              <w:t>务</w:t>
            </w:r>
          </w:p>
          <w:p w14:paraId="4604DBB7">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r>
              <w:rPr>
                <w:rFonts w:hint="eastAsia" w:ascii="仿宋" w:hAnsi="仿宋" w:eastAsia="仿宋" w:cs="仿宋"/>
                <w:spacing w:val="7"/>
                <w:sz w:val="32"/>
                <w:szCs w:val="32"/>
                <w:lang w:eastAsia="zh-CN"/>
              </w:rPr>
              <w:t>技</w:t>
            </w:r>
          </w:p>
          <w:p w14:paraId="7D5838E5">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r>
              <w:rPr>
                <w:rFonts w:hint="eastAsia" w:ascii="仿宋" w:hAnsi="仿宋" w:eastAsia="仿宋" w:cs="仿宋"/>
                <w:spacing w:val="7"/>
                <w:sz w:val="32"/>
                <w:szCs w:val="32"/>
                <w:lang w:eastAsia="zh-CN"/>
              </w:rPr>
              <w:t>术</w:t>
            </w:r>
          </w:p>
          <w:p w14:paraId="27619B11">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r>
              <w:rPr>
                <w:rFonts w:hint="eastAsia" w:ascii="仿宋" w:hAnsi="仿宋" w:eastAsia="仿宋" w:cs="仿宋"/>
                <w:spacing w:val="7"/>
                <w:sz w:val="32"/>
                <w:szCs w:val="32"/>
                <w:lang w:eastAsia="zh-CN"/>
              </w:rPr>
              <w:t>部</w:t>
            </w:r>
          </w:p>
          <w:p w14:paraId="33F5F7E2">
            <w:pPr>
              <w:pStyle w:val="45"/>
              <w:snapToGrid w:val="0"/>
              <w:spacing w:before="65" w:line="240" w:lineRule="auto"/>
              <w:ind w:left="0" w:leftChars="0" w:right="0" w:rightChars="0" w:firstLine="0" w:firstLineChars="0"/>
              <w:jc w:val="center"/>
              <w:rPr>
                <w:rFonts w:hint="eastAsia" w:ascii="仿宋" w:hAnsi="仿宋" w:eastAsia="仿宋" w:cs="仿宋"/>
                <w:spacing w:val="7"/>
                <w:sz w:val="32"/>
                <w:szCs w:val="32"/>
                <w:lang w:eastAsia="zh-CN"/>
              </w:rPr>
            </w:pPr>
            <w:r>
              <w:rPr>
                <w:rFonts w:hint="eastAsia" w:ascii="仿宋" w:hAnsi="仿宋" w:eastAsia="仿宋" w:cs="仿宋"/>
                <w:spacing w:val="7"/>
                <w:sz w:val="32"/>
                <w:szCs w:val="32"/>
                <w:lang w:eastAsia="zh-CN"/>
              </w:rPr>
              <w:t>分</w:t>
            </w:r>
          </w:p>
          <w:p w14:paraId="4EFC6934">
            <w:pPr>
              <w:pStyle w:val="45"/>
              <w:snapToGrid w:val="0"/>
              <w:spacing w:before="65" w:line="240" w:lineRule="auto"/>
              <w:ind w:left="0" w:leftChars="0" w:right="0" w:rightChars="0" w:firstLine="0" w:firstLineChars="0"/>
              <w:jc w:val="center"/>
              <w:rPr>
                <w:rFonts w:hint="eastAsia" w:ascii="仿宋" w:hAnsi="仿宋" w:eastAsia="仿宋" w:cs="仿宋"/>
                <w:sz w:val="32"/>
                <w:szCs w:val="32"/>
                <w:lang w:eastAsia="zh-CN"/>
              </w:rPr>
            </w:pPr>
          </w:p>
        </w:tc>
        <w:tc>
          <w:tcPr>
            <w:tcW w:w="0" w:type="auto"/>
            <w:vAlign w:val="center"/>
          </w:tcPr>
          <w:p w14:paraId="104C3F8E">
            <w:pPr>
              <w:pStyle w:val="45"/>
              <w:snapToGrid w:val="0"/>
              <w:spacing w:before="65" w:line="240" w:lineRule="auto"/>
              <w:ind w:left="0" w:leftChars="0" w:right="0" w:rightChars="0" w:firstLine="0" w:firstLineChars="0"/>
              <w:jc w:val="left"/>
              <w:rPr>
                <w:rFonts w:hint="eastAsia" w:ascii="仿宋" w:hAnsi="仿宋" w:eastAsia="仿宋" w:cs="仿宋"/>
                <w:sz w:val="32"/>
                <w:szCs w:val="32"/>
                <w:lang w:eastAsia="zh-CN"/>
              </w:rPr>
            </w:pPr>
            <w:r>
              <w:rPr>
                <w:rFonts w:hint="eastAsia" w:ascii="仿宋" w:hAnsi="仿宋" w:eastAsia="仿宋" w:cs="仿宋"/>
                <w:spacing w:val="7"/>
                <w:sz w:val="32"/>
                <w:szCs w:val="32"/>
              </w:rPr>
              <w:t>类似业绩</w:t>
            </w:r>
            <w:r>
              <w:rPr>
                <w:rFonts w:hint="eastAsia" w:ascii="仿宋" w:hAnsi="仿宋" w:eastAsia="仿宋" w:cs="仿宋"/>
                <w:spacing w:val="7"/>
                <w:sz w:val="32"/>
                <w:szCs w:val="32"/>
                <w:lang w:eastAsia="zh-CN"/>
              </w:rPr>
              <w:t>（</w:t>
            </w:r>
            <w:r>
              <w:rPr>
                <w:rFonts w:hint="eastAsia" w:ascii="仿宋" w:hAnsi="仿宋" w:eastAsia="仿宋" w:cs="仿宋"/>
                <w:spacing w:val="7"/>
                <w:sz w:val="32"/>
                <w:szCs w:val="32"/>
                <w:lang w:val="en-US" w:eastAsia="zh-CN"/>
              </w:rPr>
              <w:t>8分</w:t>
            </w:r>
            <w:r>
              <w:rPr>
                <w:rFonts w:hint="eastAsia" w:ascii="仿宋" w:hAnsi="仿宋" w:eastAsia="仿宋" w:cs="仿宋"/>
                <w:spacing w:val="7"/>
                <w:sz w:val="32"/>
                <w:szCs w:val="32"/>
                <w:lang w:eastAsia="zh-CN"/>
              </w:rPr>
              <w:t>）</w:t>
            </w:r>
          </w:p>
        </w:tc>
        <w:tc>
          <w:tcPr>
            <w:tcW w:w="6921" w:type="dxa"/>
            <w:vAlign w:val="center"/>
          </w:tcPr>
          <w:p w14:paraId="3C7DE352">
            <w:pPr>
              <w:pStyle w:val="45"/>
              <w:snapToGrid w:val="0"/>
              <w:spacing w:before="194"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pacing w:val="3"/>
                <w:sz w:val="32"/>
                <w:szCs w:val="32"/>
              </w:rPr>
              <w:t>投标人近三年（2023</w:t>
            </w:r>
            <w:r>
              <w:rPr>
                <w:rFonts w:hint="eastAsia" w:ascii="仿宋" w:hAnsi="仿宋" w:eastAsia="仿宋" w:cs="仿宋"/>
                <w:spacing w:val="-37"/>
                <w:sz w:val="32"/>
                <w:szCs w:val="32"/>
              </w:rPr>
              <w:t xml:space="preserve"> </w:t>
            </w:r>
            <w:r>
              <w:rPr>
                <w:rFonts w:hint="eastAsia" w:ascii="仿宋" w:hAnsi="仿宋" w:eastAsia="仿宋" w:cs="仿宋"/>
                <w:spacing w:val="3"/>
                <w:sz w:val="32"/>
                <w:szCs w:val="32"/>
              </w:rPr>
              <w:t>年</w:t>
            </w:r>
            <w:r>
              <w:rPr>
                <w:rFonts w:hint="eastAsia" w:ascii="仿宋" w:hAnsi="仿宋" w:eastAsia="仿宋" w:cs="仿宋"/>
                <w:spacing w:val="3"/>
                <w:sz w:val="32"/>
                <w:szCs w:val="32"/>
                <w:lang w:val="en-US" w:eastAsia="zh-CN"/>
              </w:rPr>
              <w:t>10</w:t>
            </w:r>
            <w:r>
              <w:rPr>
                <w:rFonts w:hint="eastAsia" w:ascii="仿宋" w:hAnsi="仿宋" w:eastAsia="仿宋" w:cs="仿宋"/>
                <w:spacing w:val="3"/>
                <w:sz w:val="32"/>
                <w:szCs w:val="32"/>
              </w:rPr>
              <w:t>月1日至今）类似</w:t>
            </w:r>
            <w:r>
              <w:rPr>
                <w:rFonts w:hint="eastAsia" w:ascii="仿宋" w:hAnsi="仿宋" w:eastAsia="仿宋" w:cs="仿宋"/>
                <w:spacing w:val="2"/>
                <w:sz w:val="32"/>
                <w:szCs w:val="32"/>
              </w:rPr>
              <w:t>项目业绩，每提供</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份类似项</w:t>
            </w:r>
            <w:r>
              <w:rPr>
                <w:rFonts w:hint="eastAsia" w:ascii="仿宋" w:hAnsi="仿宋" w:eastAsia="仿宋" w:cs="仿宋"/>
                <w:spacing w:val="6"/>
                <w:sz w:val="32"/>
                <w:szCs w:val="32"/>
              </w:rPr>
              <w:t>目业绩得</w:t>
            </w:r>
            <w:r>
              <w:rPr>
                <w:rFonts w:hint="eastAsia" w:ascii="仿宋" w:hAnsi="仿宋" w:eastAsia="仿宋" w:cs="仿宋"/>
                <w:spacing w:val="-28"/>
                <w:sz w:val="32"/>
                <w:szCs w:val="32"/>
                <w:lang w:val="en-US" w:eastAsia="zh-CN"/>
              </w:rPr>
              <w:t>2</w:t>
            </w:r>
            <w:r>
              <w:rPr>
                <w:rFonts w:hint="eastAsia" w:ascii="仿宋" w:hAnsi="仿宋" w:eastAsia="仿宋" w:cs="仿宋"/>
                <w:spacing w:val="6"/>
                <w:sz w:val="32"/>
                <w:szCs w:val="32"/>
              </w:rPr>
              <w:t>分，本项最多得</w:t>
            </w:r>
            <w:r>
              <w:rPr>
                <w:rFonts w:hint="eastAsia" w:ascii="仿宋" w:hAnsi="仿宋" w:eastAsia="仿宋" w:cs="仿宋"/>
                <w:spacing w:val="6"/>
                <w:sz w:val="32"/>
                <w:szCs w:val="32"/>
                <w:lang w:val="en-US" w:eastAsia="zh-CN"/>
              </w:rPr>
              <w:t>8</w:t>
            </w:r>
            <w:r>
              <w:rPr>
                <w:rFonts w:hint="eastAsia" w:ascii="仿宋" w:hAnsi="仿宋" w:eastAsia="仿宋" w:cs="仿宋"/>
                <w:spacing w:val="6"/>
                <w:sz w:val="32"/>
                <w:szCs w:val="32"/>
              </w:rPr>
              <w:t>分。</w:t>
            </w:r>
          </w:p>
          <w:p w14:paraId="507403FD">
            <w:pPr>
              <w:pStyle w:val="45"/>
              <w:snapToGrid w:val="0"/>
              <w:spacing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pacing w:val="9"/>
                <w:sz w:val="32"/>
                <w:szCs w:val="32"/>
              </w:rPr>
              <w:t>业绩证明材料：须提供</w:t>
            </w:r>
            <w:r>
              <w:rPr>
                <w:rFonts w:hint="eastAsia" w:ascii="仿宋" w:hAnsi="仿宋" w:eastAsia="仿宋" w:cs="仿宋"/>
                <w:spacing w:val="9"/>
                <w:sz w:val="32"/>
                <w:szCs w:val="32"/>
                <w:lang w:val="en-US" w:eastAsia="zh-CN"/>
              </w:rPr>
              <w:t>中标/成交通知书扫描件或</w:t>
            </w:r>
            <w:r>
              <w:rPr>
                <w:rFonts w:hint="eastAsia" w:ascii="仿宋" w:hAnsi="仿宋" w:eastAsia="仿宋" w:cs="仿宋"/>
                <w:spacing w:val="9"/>
                <w:sz w:val="32"/>
                <w:szCs w:val="32"/>
              </w:rPr>
              <w:t>服务合同（至少包括合同首页、标的页、签字盖章页、服务内容页）彩色扫描件等</w:t>
            </w:r>
            <w:r>
              <w:rPr>
                <w:rFonts w:hint="eastAsia" w:ascii="仿宋" w:hAnsi="仿宋" w:eastAsia="仿宋" w:cs="仿宋"/>
                <w:spacing w:val="9"/>
                <w:sz w:val="32"/>
                <w:szCs w:val="32"/>
                <w:lang w:val="en-US" w:eastAsia="zh-CN"/>
              </w:rPr>
              <w:t>有效</w:t>
            </w:r>
            <w:r>
              <w:rPr>
                <w:rFonts w:hint="eastAsia" w:ascii="仿宋" w:hAnsi="仿宋" w:eastAsia="仿宋" w:cs="仿宋"/>
                <w:spacing w:val="9"/>
                <w:sz w:val="32"/>
                <w:szCs w:val="32"/>
              </w:rPr>
              <w:t>证明材料</w:t>
            </w:r>
            <w:r>
              <w:rPr>
                <w:rFonts w:hint="eastAsia" w:ascii="仿宋" w:hAnsi="仿宋" w:eastAsia="仿宋" w:cs="仿宋"/>
                <w:spacing w:val="9"/>
                <w:sz w:val="32"/>
                <w:szCs w:val="32"/>
                <w:lang w:eastAsia="zh-CN"/>
              </w:rPr>
              <w:t>，</w:t>
            </w:r>
            <w:r>
              <w:rPr>
                <w:rFonts w:hint="eastAsia" w:ascii="仿宋" w:hAnsi="仿宋" w:eastAsia="仿宋" w:cs="仿宋"/>
                <w:spacing w:val="9"/>
                <w:sz w:val="32"/>
                <w:szCs w:val="32"/>
              </w:rPr>
              <w:t>项目业绩以合同或</w:t>
            </w:r>
            <w:r>
              <w:rPr>
                <w:rFonts w:hint="eastAsia" w:ascii="仿宋" w:hAnsi="仿宋" w:eastAsia="仿宋" w:cs="仿宋"/>
                <w:spacing w:val="9"/>
                <w:sz w:val="32"/>
                <w:szCs w:val="32"/>
                <w:lang w:val="en-US" w:eastAsia="zh-CN"/>
              </w:rPr>
              <w:t>中标/成交</w:t>
            </w:r>
            <w:r>
              <w:rPr>
                <w:rFonts w:hint="eastAsia" w:ascii="仿宋" w:hAnsi="仿宋" w:eastAsia="仿宋" w:cs="仿宋"/>
                <w:spacing w:val="9"/>
                <w:sz w:val="32"/>
                <w:szCs w:val="32"/>
              </w:rPr>
              <w:t>通知书为准，分包、转包或劳务合作项目无效。</w:t>
            </w:r>
          </w:p>
        </w:tc>
      </w:tr>
      <w:tr w14:paraId="6DBB7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continue"/>
            <w:vAlign w:val="center"/>
          </w:tcPr>
          <w:p w14:paraId="5CA34D30">
            <w:pPr>
              <w:pStyle w:val="45"/>
              <w:snapToGrid w:val="0"/>
              <w:spacing w:before="65" w:line="240" w:lineRule="auto"/>
              <w:ind w:left="0" w:leftChars="0" w:right="0" w:rightChars="0" w:firstLine="0" w:firstLineChars="0"/>
              <w:jc w:val="center"/>
              <w:rPr>
                <w:rFonts w:hint="eastAsia" w:ascii="仿宋" w:hAnsi="仿宋" w:eastAsia="仿宋" w:cs="仿宋"/>
                <w:sz w:val="32"/>
                <w:szCs w:val="32"/>
              </w:rPr>
            </w:pPr>
          </w:p>
        </w:tc>
        <w:tc>
          <w:tcPr>
            <w:tcW w:w="0" w:type="auto"/>
            <w:vAlign w:val="center"/>
          </w:tcPr>
          <w:p w14:paraId="6F5414C9">
            <w:pPr>
              <w:snapToGrid w:val="0"/>
              <w:spacing w:line="240" w:lineRule="auto"/>
              <w:ind w:left="0" w:leftChars="0" w:right="0" w:rightChars="0" w:firstLine="0" w:firstLineChars="0"/>
              <w:jc w:val="left"/>
              <w:rPr>
                <w:rFonts w:hint="eastAsia" w:ascii="仿宋" w:hAnsi="仿宋" w:eastAsia="仿宋" w:cs="仿宋"/>
                <w:sz w:val="32"/>
                <w:szCs w:val="32"/>
                <w:lang w:eastAsia="zh-CN"/>
              </w:rPr>
            </w:pPr>
            <w:r>
              <w:rPr>
                <w:rFonts w:hint="eastAsia" w:ascii="仿宋" w:hAnsi="仿宋" w:eastAsia="仿宋" w:cs="仿宋"/>
                <w:sz w:val="32"/>
                <w:szCs w:val="32"/>
              </w:rPr>
              <w:t>人员</w:t>
            </w:r>
            <w:r>
              <w:rPr>
                <w:rFonts w:hint="eastAsia" w:ascii="仿宋" w:hAnsi="仿宋" w:eastAsia="仿宋" w:cs="仿宋"/>
                <w:sz w:val="32"/>
                <w:szCs w:val="32"/>
                <w:lang w:val="en-US" w:eastAsia="zh-CN"/>
              </w:rPr>
              <w:t>资质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12分</w:t>
            </w:r>
            <w:r>
              <w:rPr>
                <w:rFonts w:hint="eastAsia" w:ascii="仿宋" w:hAnsi="仿宋" w:eastAsia="仿宋" w:cs="仿宋"/>
                <w:sz w:val="32"/>
                <w:szCs w:val="32"/>
                <w:lang w:eastAsia="zh-CN"/>
              </w:rPr>
              <w:t>）</w:t>
            </w:r>
          </w:p>
          <w:p w14:paraId="40E3AC6E">
            <w:pPr>
              <w:pStyle w:val="45"/>
              <w:snapToGrid w:val="0"/>
              <w:spacing w:before="65" w:line="240" w:lineRule="auto"/>
              <w:ind w:left="0" w:leftChars="0" w:right="0" w:rightChars="0" w:firstLine="0" w:firstLineChars="0"/>
              <w:jc w:val="left"/>
              <w:rPr>
                <w:rFonts w:hint="eastAsia" w:ascii="仿宋" w:hAnsi="仿宋" w:eastAsia="仿宋" w:cs="仿宋"/>
                <w:sz w:val="32"/>
                <w:szCs w:val="32"/>
              </w:rPr>
            </w:pPr>
          </w:p>
        </w:tc>
        <w:tc>
          <w:tcPr>
            <w:tcW w:w="6921" w:type="dxa"/>
            <w:vAlign w:val="center"/>
          </w:tcPr>
          <w:p w14:paraId="4344FEC4">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拟派本项目服务团队中维护服务人员具备与本项目服务内容相关的技工证书或有效的特种作业操作证证书的1人得3分，不具备不得分，最高得12 分；</w:t>
            </w:r>
          </w:p>
          <w:p w14:paraId="0DB2BC45">
            <w:pPr>
              <w:pStyle w:val="45"/>
              <w:snapToGrid w:val="0"/>
              <w:spacing w:before="1"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z w:val="32"/>
                <w:szCs w:val="32"/>
                <w:lang w:val="en-US" w:eastAsia="zh-CN"/>
              </w:rPr>
              <w:t>提供公司劳动合同或社保、身份证复印件、相关资质证明资料须附证书复印件或扫描件。未提供不得分。以上人员不重复计算。</w:t>
            </w:r>
          </w:p>
        </w:tc>
      </w:tr>
      <w:tr w14:paraId="150EB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continue"/>
            <w:vAlign w:val="center"/>
          </w:tcPr>
          <w:p w14:paraId="04A2F120">
            <w:pPr>
              <w:pStyle w:val="45"/>
              <w:snapToGrid w:val="0"/>
              <w:spacing w:before="65" w:line="240" w:lineRule="auto"/>
              <w:ind w:left="0" w:leftChars="0" w:right="0" w:rightChars="0" w:firstLine="0" w:firstLineChars="0"/>
              <w:jc w:val="center"/>
              <w:rPr>
                <w:rFonts w:hint="eastAsia" w:ascii="仿宋" w:hAnsi="仿宋" w:eastAsia="仿宋" w:cs="仿宋"/>
                <w:sz w:val="32"/>
                <w:szCs w:val="32"/>
              </w:rPr>
            </w:pPr>
          </w:p>
        </w:tc>
        <w:tc>
          <w:tcPr>
            <w:tcW w:w="0" w:type="auto"/>
            <w:vAlign w:val="center"/>
          </w:tcPr>
          <w:p w14:paraId="0CF3D086">
            <w:pPr>
              <w:pStyle w:val="45"/>
              <w:snapToGrid w:val="0"/>
              <w:spacing w:before="65" w:line="240" w:lineRule="auto"/>
              <w:ind w:left="0" w:leftChars="0" w:right="0" w:rightChars="0" w:firstLine="0" w:firstLineChars="0"/>
              <w:jc w:val="center"/>
              <w:rPr>
                <w:rFonts w:hint="eastAsia" w:ascii="仿宋" w:hAnsi="仿宋" w:eastAsia="楷体" w:cs="仿宋"/>
                <w:sz w:val="32"/>
                <w:szCs w:val="32"/>
                <w:lang w:eastAsia="zh-CN"/>
              </w:rPr>
            </w:pPr>
            <w:r>
              <w:rPr>
                <w:rFonts w:hint="eastAsia" w:ascii="仿宋" w:hAnsi="仿宋" w:eastAsia="仿宋" w:cs="仿宋"/>
                <w:sz w:val="32"/>
                <w:szCs w:val="32"/>
                <w:lang w:val="en-US" w:eastAsia="zh-CN"/>
              </w:rPr>
              <w:t>人员配备方案（12分）</w:t>
            </w:r>
          </w:p>
        </w:tc>
        <w:tc>
          <w:tcPr>
            <w:tcW w:w="6921" w:type="dxa"/>
            <w:vAlign w:val="center"/>
          </w:tcPr>
          <w:p w14:paraId="2B6F47ED">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拟投入本项目的服务人员配备情况进行打分，内容包括但不限于 :</w:t>
            </w:r>
          </w:p>
          <w:p w14:paraId="77848636">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1.人员构成配比 :</w:t>
            </w:r>
          </w:p>
          <w:p w14:paraId="7B8746B0">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2.人员缺岗、离岗时的管理方案切实可行 ;</w:t>
            </w:r>
          </w:p>
          <w:p w14:paraId="07ADEF47">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3.拟投入工作人员工作经验丰富 ;</w:t>
            </w:r>
          </w:p>
          <w:p w14:paraId="762A1D3F">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4.拟投入工作人员现场保障能力 。</w:t>
            </w:r>
          </w:p>
          <w:p w14:paraId="48FB1EFB">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完全满足上述要求且符合本项目实际要求的得 12 分 。每缺少一项内容扣 3 分 :每有一项内容错误或不完整或不合理或不符合本项目实际情况的扣 1.5 分，扣完为止。</w:t>
            </w:r>
          </w:p>
          <w:p w14:paraId="15B9D4D6">
            <w:pPr>
              <w:pStyle w:val="45"/>
              <w:snapToGrid w:val="0"/>
              <w:spacing w:before="1" w:line="240" w:lineRule="auto"/>
              <w:ind w:left="0" w:leftChars="0" w:right="0" w:rightChars="0" w:firstLine="0" w:firstLineChars="0"/>
              <w:jc w:val="left"/>
              <w:rPr>
                <w:rFonts w:hint="eastAsia" w:ascii="仿宋" w:hAnsi="仿宋" w:eastAsia="仿宋" w:cs="仿宋"/>
                <w:sz w:val="32"/>
                <w:szCs w:val="32"/>
                <w:lang w:val="en-US" w:eastAsia="zh-CN"/>
              </w:rPr>
            </w:pPr>
            <w:r>
              <w:rPr>
                <w:rFonts w:hint="eastAsia" w:ascii="仿宋" w:hAnsi="仿宋" w:eastAsia="仿宋" w:cs="仿宋"/>
                <w:spacing w:val="7"/>
                <w:sz w:val="32"/>
                <w:szCs w:val="32"/>
                <w:lang w:val="en-US" w:eastAsia="zh-CN"/>
              </w:rPr>
              <w:t>注：以上有错误、不完整、不合理是指，①只有单纯的文件描述，前后内容无法连贯，内容脱离了实际情况，不具备实施的可能性；②套用其他项目方案，前后内容互相矛盾，存在与本项目无关的内容；③内容不满足项目要求、与本项目无关或与本项目不匹配、项目涉及的名称、地点不一致；④不符合采购项目相关的规范及标准任一情形等。</w:t>
            </w:r>
          </w:p>
        </w:tc>
      </w:tr>
      <w:tr w14:paraId="2CC6C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continue"/>
            <w:vAlign w:val="center"/>
          </w:tcPr>
          <w:p w14:paraId="26944AB1">
            <w:pPr>
              <w:pStyle w:val="45"/>
              <w:snapToGrid w:val="0"/>
              <w:spacing w:before="65" w:line="240" w:lineRule="auto"/>
              <w:ind w:left="0" w:leftChars="0" w:right="0" w:rightChars="0" w:firstLine="0" w:firstLineChars="0"/>
              <w:jc w:val="center"/>
              <w:rPr>
                <w:rFonts w:hint="eastAsia" w:ascii="仿宋" w:hAnsi="仿宋" w:eastAsia="仿宋" w:cs="仿宋"/>
                <w:sz w:val="32"/>
                <w:szCs w:val="32"/>
              </w:rPr>
            </w:pPr>
          </w:p>
        </w:tc>
        <w:tc>
          <w:tcPr>
            <w:tcW w:w="0" w:type="auto"/>
            <w:vAlign w:val="center"/>
          </w:tcPr>
          <w:p w14:paraId="076A60CD">
            <w:pPr>
              <w:tabs>
                <w:tab w:val="left" w:pos="360"/>
              </w:tabs>
              <w:kinsoku w:val="0"/>
              <w:overflowPunct w:val="0"/>
              <w:autoSpaceDE w:val="0"/>
              <w:autoSpaceDN w:val="0"/>
              <w:snapToGrid w:val="0"/>
              <w:spacing w:line="240" w:lineRule="auto"/>
              <w:ind w:left="0" w:leftChars="0" w:right="0" w:rightChars="0" w:firstLine="0" w:firstLineChars="0"/>
              <w:jc w:val="left"/>
              <w:rPr>
                <w:rFonts w:hint="eastAsia" w:ascii="仿宋" w:hAnsi="仿宋" w:eastAsia="仿宋" w:cs="仿宋"/>
                <w:sz w:val="32"/>
                <w:szCs w:val="32"/>
                <w:lang w:eastAsia="zh-CN"/>
              </w:rPr>
            </w:pPr>
            <w:r>
              <w:rPr>
                <w:rFonts w:hint="eastAsia" w:ascii="仿宋" w:hAnsi="仿宋" w:eastAsia="仿宋" w:cs="仿宋"/>
                <w:spacing w:val="5"/>
                <w:kern w:val="2"/>
                <w:sz w:val="32"/>
                <w:szCs w:val="32"/>
                <w:lang w:val="en-US" w:eastAsia="en-US" w:bidi="ar-SA"/>
              </w:rPr>
              <w:t>项目整体实施方案</w:t>
            </w:r>
            <w:r>
              <w:rPr>
                <w:rFonts w:hint="eastAsia" w:ascii="仿宋" w:hAnsi="仿宋" w:eastAsia="仿宋" w:cs="仿宋"/>
                <w:spacing w:val="5"/>
                <w:kern w:val="2"/>
                <w:sz w:val="32"/>
                <w:szCs w:val="32"/>
                <w:lang w:val="en-US" w:eastAsia="zh-CN" w:bidi="ar-SA"/>
              </w:rPr>
              <w:t>（20分）</w:t>
            </w:r>
          </w:p>
        </w:tc>
        <w:tc>
          <w:tcPr>
            <w:tcW w:w="6921" w:type="dxa"/>
            <w:vAlign w:val="center"/>
          </w:tcPr>
          <w:p w14:paraId="2F31314A">
            <w:pPr>
              <w:tabs>
                <w:tab w:val="left" w:pos="360"/>
              </w:tabs>
              <w:kinsoku w:val="0"/>
              <w:overflowPunct w:val="0"/>
              <w:autoSpaceDE w:val="0"/>
              <w:autoSpaceDN w:val="0"/>
              <w:snapToGrid w:val="0"/>
              <w:spacing w:line="240" w:lineRule="auto"/>
              <w:ind w:left="0" w:leftChars="0" w:right="0" w:rightChars="0" w:firstLine="0" w:firstLineChars="0"/>
              <w:jc w:val="left"/>
              <w:rPr>
                <w:rFonts w:hint="eastAsia" w:ascii="仿宋" w:hAnsi="仿宋" w:eastAsia="仿宋" w:cs="仿宋"/>
                <w:spacing w:val="6"/>
                <w:kern w:val="2"/>
                <w:sz w:val="32"/>
                <w:szCs w:val="32"/>
                <w:lang w:val="en-US" w:eastAsia="en-US" w:bidi="ar-SA"/>
              </w:rPr>
            </w:pPr>
            <w:r>
              <w:rPr>
                <w:rFonts w:hint="eastAsia" w:ascii="仿宋" w:hAnsi="仿宋" w:eastAsia="仿宋" w:cs="仿宋"/>
                <w:spacing w:val="6"/>
                <w:kern w:val="2"/>
                <w:sz w:val="32"/>
                <w:szCs w:val="32"/>
                <w:lang w:val="en-US" w:eastAsia="en-US" w:bidi="ar-SA"/>
              </w:rPr>
              <w:t>根据响应人提供的项目整体实施方案（包括但不限于①安保②保洁③绿化④</w:t>
            </w:r>
            <w:r>
              <w:rPr>
                <w:rFonts w:hint="eastAsia" w:ascii="仿宋" w:hAnsi="仿宋" w:eastAsia="仿宋" w:cs="仿宋"/>
                <w:spacing w:val="6"/>
                <w:kern w:val="2"/>
                <w:sz w:val="32"/>
                <w:szCs w:val="32"/>
                <w:lang w:val="en-US" w:eastAsia="zh-CN" w:bidi="ar-SA"/>
              </w:rPr>
              <w:t>给排水</w:t>
            </w:r>
            <w:r>
              <w:rPr>
                <w:rFonts w:hint="eastAsia" w:ascii="仿宋" w:hAnsi="仿宋" w:eastAsia="仿宋" w:cs="仿宋"/>
                <w:spacing w:val="6"/>
                <w:kern w:val="2"/>
                <w:sz w:val="32"/>
                <w:szCs w:val="32"/>
                <w:lang w:val="en-US" w:eastAsia="en-US" w:bidi="ar-SA"/>
              </w:rPr>
              <w:t>⑤</w:t>
            </w:r>
            <w:r>
              <w:rPr>
                <w:rFonts w:hint="eastAsia" w:ascii="仿宋" w:hAnsi="仿宋" w:eastAsia="仿宋" w:cs="仿宋"/>
                <w:spacing w:val="6"/>
                <w:kern w:val="2"/>
                <w:sz w:val="32"/>
                <w:szCs w:val="32"/>
                <w:lang w:val="en-US" w:eastAsia="zh-CN" w:bidi="ar-SA"/>
              </w:rPr>
              <w:t>公用设施</w:t>
            </w:r>
            <w:r>
              <w:rPr>
                <w:rFonts w:hint="eastAsia" w:ascii="仿宋" w:hAnsi="仿宋" w:eastAsia="仿宋" w:cs="仿宋"/>
                <w:spacing w:val="6"/>
                <w:kern w:val="2"/>
                <w:sz w:val="32"/>
                <w:szCs w:val="32"/>
                <w:lang w:val="en-US" w:eastAsia="en-US" w:bidi="ar-SA"/>
              </w:rPr>
              <w:t>）进行评审，每项为4分，方案完全切合项目的实际需求，内容完整无缺失，具有很强的针对性，满分20分，每有一项缺项或漏项扣4分；每有一处缺陷扣</w:t>
            </w:r>
            <w:r>
              <w:rPr>
                <w:rFonts w:hint="eastAsia" w:ascii="仿宋" w:hAnsi="仿宋" w:eastAsia="仿宋" w:cs="仿宋"/>
                <w:spacing w:val="6"/>
                <w:kern w:val="2"/>
                <w:sz w:val="32"/>
                <w:szCs w:val="32"/>
                <w:lang w:val="en-US" w:eastAsia="zh-CN" w:bidi="ar-SA"/>
              </w:rPr>
              <w:t>2</w:t>
            </w:r>
            <w:r>
              <w:rPr>
                <w:rFonts w:hint="eastAsia" w:ascii="仿宋" w:hAnsi="仿宋" w:eastAsia="仿宋" w:cs="仿宋"/>
                <w:spacing w:val="6"/>
                <w:kern w:val="2"/>
                <w:sz w:val="32"/>
                <w:szCs w:val="32"/>
                <w:lang w:val="en-US" w:eastAsia="en-US" w:bidi="ar-SA"/>
              </w:rPr>
              <w:t>分，扣完为止；未提供不得分。</w:t>
            </w:r>
          </w:p>
          <w:p w14:paraId="33F9FF60">
            <w:pPr>
              <w:tabs>
                <w:tab w:val="left" w:pos="360"/>
              </w:tabs>
              <w:kinsoku w:val="0"/>
              <w:overflowPunct w:val="0"/>
              <w:autoSpaceDE w:val="0"/>
              <w:autoSpaceDN w:val="0"/>
              <w:snapToGrid w:val="0"/>
              <w:spacing w:line="240" w:lineRule="auto"/>
              <w:ind w:left="0" w:leftChars="0" w:right="0" w:rightChars="0" w:firstLine="0" w:firstLineChars="0"/>
              <w:jc w:val="left"/>
              <w:rPr>
                <w:rFonts w:hint="eastAsia" w:ascii="仿宋" w:hAnsi="仿宋" w:eastAsia="仿宋" w:cs="仿宋"/>
                <w:spacing w:val="6"/>
                <w:kern w:val="2"/>
                <w:sz w:val="32"/>
                <w:szCs w:val="32"/>
                <w:lang w:val="en-US" w:eastAsia="zh-CN" w:bidi="ar-SA"/>
              </w:rPr>
            </w:pPr>
            <w:r>
              <w:rPr>
                <w:rFonts w:hint="eastAsia" w:ascii="仿宋" w:hAnsi="仿宋" w:eastAsia="仿宋" w:cs="仿宋"/>
                <w:spacing w:val="6"/>
                <w:kern w:val="2"/>
                <w:sz w:val="32"/>
                <w:szCs w:val="32"/>
                <w:lang w:val="en-US" w:eastAsia="en-US" w:bidi="ar-SA"/>
              </w:rPr>
              <w:t>缺陷是指：不适用项目实际情况的情形、凭空编造、内容前后不一致、前后逻辑错误、涉及的规范及标准错误、地点区域错误、内容遗漏、复制或套用其他项目内容、照搬采购需求且未作出进一步描述、不符合采购需求等。</w:t>
            </w:r>
          </w:p>
        </w:tc>
      </w:tr>
      <w:tr w14:paraId="517E4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continue"/>
            <w:vAlign w:val="center"/>
          </w:tcPr>
          <w:p w14:paraId="63242372">
            <w:pPr>
              <w:pStyle w:val="45"/>
              <w:snapToGrid w:val="0"/>
              <w:spacing w:before="65" w:line="240" w:lineRule="auto"/>
              <w:ind w:left="0" w:leftChars="0" w:right="0" w:rightChars="0" w:firstLine="0" w:firstLineChars="0"/>
              <w:jc w:val="center"/>
              <w:rPr>
                <w:rFonts w:hint="eastAsia" w:ascii="仿宋" w:hAnsi="仿宋" w:eastAsia="仿宋" w:cs="仿宋"/>
                <w:sz w:val="32"/>
                <w:szCs w:val="32"/>
              </w:rPr>
            </w:pPr>
          </w:p>
        </w:tc>
        <w:tc>
          <w:tcPr>
            <w:tcW w:w="0" w:type="auto"/>
            <w:vAlign w:val="center"/>
          </w:tcPr>
          <w:p w14:paraId="17F2444D">
            <w:pPr>
              <w:pStyle w:val="45"/>
              <w:snapToGrid w:val="0"/>
              <w:spacing w:before="65" w:line="240" w:lineRule="auto"/>
              <w:ind w:left="0" w:leftChars="0" w:right="0" w:rightChars="0" w:firstLine="0" w:firstLineChars="0"/>
              <w:jc w:val="left"/>
              <w:rPr>
                <w:rFonts w:hint="eastAsia" w:ascii="仿宋" w:hAnsi="仿宋" w:eastAsia="仿宋" w:cs="仿宋"/>
                <w:sz w:val="32"/>
                <w:szCs w:val="32"/>
                <w:lang w:eastAsia="zh-CN"/>
              </w:rPr>
            </w:pPr>
            <w:r>
              <w:rPr>
                <w:rFonts w:hint="eastAsia" w:ascii="仿宋" w:hAnsi="仿宋" w:eastAsia="仿宋" w:cs="仿宋"/>
                <w:spacing w:val="5"/>
                <w:kern w:val="2"/>
                <w:sz w:val="32"/>
                <w:szCs w:val="32"/>
                <w:lang w:val="en-US" w:eastAsia="en-US" w:bidi="ar-SA"/>
              </w:rPr>
              <w:t>培训方案</w:t>
            </w:r>
            <w:r>
              <w:rPr>
                <w:rFonts w:hint="eastAsia" w:ascii="仿宋" w:hAnsi="仿宋" w:eastAsia="仿宋" w:cs="仿宋"/>
                <w:spacing w:val="5"/>
                <w:kern w:val="2"/>
                <w:sz w:val="32"/>
                <w:szCs w:val="32"/>
                <w:lang w:val="en-US" w:eastAsia="zh-CN" w:bidi="ar-SA"/>
              </w:rPr>
              <w:t>（10分）</w:t>
            </w:r>
          </w:p>
        </w:tc>
        <w:tc>
          <w:tcPr>
            <w:tcW w:w="6921" w:type="dxa"/>
            <w:vAlign w:val="center"/>
          </w:tcPr>
          <w:p w14:paraId="48A97E00">
            <w:pPr>
              <w:tabs>
                <w:tab w:val="left" w:pos="360"/>
              </w:tabs>
              <w:kinsoku w:val="0"/>
              <w:overflowPunct w:val="0"/>
              <w:autoSpaceDE w:val="0"/>
              <w:autoSpaceDN w:val="0"/>
              <w:snapToGrid w:val="0"/>
              <w:spacing w:line="240" w:lineRule="auto"/>
              <w:ind w:left="0" w:leftChars="0" w:right="0" w:rightChars="0" w:firstLine="0" w:firstLineChars="0"/>
              <w:jc w:val="left"/>
              <w:rPr>
                <w:rFonts w:hint="eastAsia" w:ascii="仿宋" w:hAnsi="仿宋" w:eastAsia="仿宋" w:cs="仿宋"/>
                <w:spacing w:val="6"/>
                <w:kern w:val="2"/>
                <w:sz w:val="32"/>
                <w:szCs w:val="32"/>
                <w:lang w:val="en-US" w:eastAsia="en-US" w:bidi="ar-SA"/>
              </w:rPr>
            </w:pPr>
            <w:bookmarkStart w:id="197" w:name="OLE_LINK3"/>
            <w:r>
              <w:rPr>
                <w:rFonts w:hint="eastAsia" w:ascii="仿宋" w:hAnsi="仿宋" w:eastAsia="仿宋" w:cs="仿宋"/>
                <w:spacing w:val="6"/>
                <w:kern w:val="2"/>
                <w:sz w:val="32"/>
                <w:szCs w:val="32"/>
                <w:lang w:val="en-US" w:eastAsia="en-US" w:bidi="ar-SA"/>
              </w:rPr>
              <w:t>根据响应人提供</w:t>
            </w:r>
            <w:bookmarkEnd w:id="197"/>
            <w:r>
              <w:rPr>
                <w:rFonts w:hint="eastAsia" w:ascii="仿宋" w:hAnsi="仿宋" w:eastAsia="仿宋" w:cs="仿宋"/>
                <w:spacing w:val="6"/>
                <w:kern w:val="2"/>
                <w:sz w:val="32"/>
                <w:szCs w:val="32"/>
                <w:lang w:val="en-US" w:eastAsia="en-US" w:bidi="ar-SA"/>
              </w:rPr>
              <w:t>的培训方案进行进行综合评审（包括但不限于①培训内容②培训计划③培训方式④培训覆盖面⑤预期培训效果方面，进行评审，方案完全切合项目的实际需求，内容完整无缺失，具有很强的针对性，满分1</w:t>
            </w:r>
            <w:r>
              <w:rPr>
                <w:rFonts w:hint="eastAsia" w:ascii="仿宋" w:hAnsi="仿宋" w:eastAsia="仿宋" w:cs="仿宋"/>
                <w:spacing w:val="6"/>
                <w:kern w:val="2"/>
                <w:sz w:val="32"/>
                <w:szCs w:val="32"/>
                <w:lang w:val="en-US" w:eastAsia="zh-CN" w:bidi="ar-SA"/>
              </w:rPr>
              <w:t>0</w:t>
            </w:r>
            <w:r>
              <w:rPr>
                <w:rFonts w:hint="eastAsia" w:ascii="仿宋" w:hAnsi="仿宋" w:eastAsia="仿宋" w:cs="仿宋"/>
                <w:spacing w:val="6"/>
                <w:kern w:val="2"/>
                <w:sz w:val="32"/>
                <w:szCs w:val="32"/>
                <w:lang w:val="en-US" w:eastAsia="en-US" w:bidi="ar-SA"/>
              </w:rPr>
              <w:t>分，每有一项缺项或漏项扣</w:t>
            </w:r>
            <w:r>
              <w:rPr>
                <w:rFonts w:hint="eastAsia" w:ascii="仿宋" w:hAnsi="仿宋" w:eastAsia="仿宋" w:cs="仿宋"/>
                <w:spacing w:val="6"/>
                <w:kern w:val="2"/>
                <w:sz w:val="32"/>
                <w:szCs w:val="32"/>
                <w:lang w:val="en-US" w:eastAsia="zh-CN" w:bidi="ar-SA"/>
              </w:rPr>
              <w:t>2</w:t>
            </w:r>
            <w:r>
              <w:rPr>
                <w:rFonts w:hint="eastAsia" w:ascii="仿宋" w:hAnsi="仿宋" w:eastAsia="仿宋" w:cs="仿宋"/>
                <w:spacing w:val="6"/>
                <w:kern w:val="2"/>
                <w:sz w:val="32"/>
                <w:szCs w:val="32"/>
                <w:lang w:val="en-US" w:eastAsia="en-US" w:bidi="ar-SA"/>
              </w:rPr>
              <w:t>分；每有一处缺陷扣1分，扣完为止；未提供不得分。</w:t>
            </w:r>
          </w:p>
          <w:p w14:paraId="73627F29">
            <w:pPr>
              <w:tabs>
                <w:tab w:val="left" w:pos="360"/>
              </w:tabs>
              <w:kinsoku w:val="0"/>
              <w:overflowPunct w:val="0"/>
              <w:autoSpaceDE w:val="0"/>
              <w:autoSpaceDN w:val="0"/>
              <w:snapToGrid w:val="0"/>
              <w:spacing w:line="240" w:lineRule="auto"/>
              <w:ind w:left="0" w:leftChars="0" w:right="0" w:rightChars="0" w:firstLine="0" w:firstLineChars="0"/>
              <w:jc w:val="left"/>
              <w:rPr>
                <w:rFonts w:hint="eastAsia" w:ascii="仿宋" w:hAnsi="仿宋" w:eastAsia="仿宋" w:cs="仿宋"/>
                <w:spacing w:val="6"/>
                <w:kern w:val="2"/>
                <w:sz w:val="32"/>
                <w:szCs w:val="32"/>
                <w:lang w:val="en-US" w:eastAsia="zh-CN" w:bidi="ar-SA"/>
              </w:rPr>
            </w:pPr>
            <w:r>
              <w:rPr>
                <w:rFonts w:hint="eastAsia" w:ascii="仿宋" w:hAnsi="仿宋" w:eastAsia="仿宋" w:cs="仿宋"/>
                <w:spacing w:val="6"/>
                <w:kern w:val="2"/>
                <w:sz w:val="32"/>
                <w:szCs w:val="32"/>
                <w:lang w:val="en-US" w:eastAsia="en-US" w:bidi="ar-SA"/>
              </w:rPr>
              <w:t>缺陷是指：不适用项目实际情况的情形、凭空编造、内容前后不一致、前后逻辑错误、涉及的规范及标准错误、地点区域错误、内容遗漏、复制或套用其他项目内容、照搬采购需求且未作出进一步描述、不符合采购需求等。</w:t>
            </w:r>
          </w:p>
        </w:tc>
      </w:tr>
      <w:tr w14:paraId="3BC4B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continue"/>
            <w:vAlign w:val="center"/>
          </w:tcPr>
          <w:p w14:paraId="19C060AB">
            <w:pPr>
              <w:pStyle w:val="45"/>
              <w:snapToGrid w:val="0"/>
              <w:spacing w:before="65" w:line="240" w:lineRule="auto"/>
              <w:ind w:left="0" w:leftChars="0" w:right="0" w:rightChars="0" w:firstLine="0" w:firstLineChars="0"/>
              <w:jc w:val="center"/>
              <w:rPr>
                <w:rFonts w:hint="eastAsia" w:ascii="仿宋" w:hAnsi="仿宋" w:eastAsia="仿宋" w:cs="仿宋"/>
                <w:position w:val="1"/>
                <w:sz w:val="32"/>
                <w:szCs w:val="32"/>
                <w:lang w:val="en-US" w:eastAsia="zh-CN"/>
              </w:rPr>
            </w:pPr>
          </w:p>
        </w:tc>
        <w:tc>
          <w:tcPr>
            <w:tcW w:w="0" w:type="auto"/>
            <w:vAlign w:val="center"/>
          </w:tcPr>
          <w:p w14:paraId="7FBCBDC6">
            <w:pPr>
              <w:pStyle w:val="45"/>
              <w:snapToGrid w:val="0"/>
              <w:spacing w:before="120" w:line="240" w:lineRule="auto"/>
              <w:ind w:left="0" w:leftChars="0" w:right="0" w:rightChars="0" w:firstLine="0" w:firstLineChars="0"/>
              <w:jc w:val="left"/>
              <w:rPr>
                <w:rFonts w:hint="eastAsia" w:ascii="仿宋" w:hAnsi="仿宋" w:eastAsia="仿宋" w:cs="仿宋"/>
                <w:spacing w:val="7"/>
                <w:sz w:val="32"/>
                <w:szCs w:val="32"/>
                <w:lang w:val="en-US" w:eastAsia="zh-CN"/>
              </w:rPr>
            </w:pPr>
            <w:r>
              <w:rPr>
                <w:rFonts w:hint="eastAsia" w:ascii="仿宋" w:hAnsi="仿宋" w:eastAsia="仿宋" w:cs="仿宋"/>
                <w:spacing w:val="7"/>
                <w:sz w:val="32"/>
                <w:szCs w:val="32"/>
                <w:lang w:val="en-US" w:eastAsia="zh-CN"/>
              </w:rPr>
              <w:t>各项管理制度（16分）</w:t>
            </w:r>
          </w:p>
        </w:tc>
        <w:tc>
          <w:tcPr>
            <w:tcW w:w="6921" w:type="dxa"/>
            <w:vAlign w:val="center"/>
          </w:tcPr>
          <w:p w14:paraId="6A68A1D7">
            <w:pPr>
              <w:pStyle w:val="45"/>
              <w:snapToGrid w:val="0"/>
              <w:spacing w:before="120" w:line="240" w:lineRule="auto"/>
              <w:ind w:left="0" w:leftChars="0" w:right="0" w:rightChars="0" w:firstLine="0" w:firstLineChars="0"/>
              <w:jc w:val="left"/>
              <w:rPr>
                <w:rFonts w:hint="eastAsia" w:ascii="仿宋" w:hAnsi="仿宋" w:eastAsia="仿宋" w:cs="仿宋"/>
                <w:spacing w:val="7"/>
                <w:sz w:val="32"/>
                <w:szCs w:val="32"/>
                <w:lang w:val="en-US" w:eastAsia="zh-CN"/>
              </w:rPr>
            </w:pPr>
            <w:r>
              <w:rPr>
                <w:rFonts w:hint="eastAsia" w:ascii="仿宋" w:hAnsi="仿宋" w:eastAsia="仿宋" w:cs="仿宋"/>
                <w:spacing w:val="6"/>
                <w:kern w:val="2"/>
                <w:sz w:val="32"/>
                <w:szCs w:val="32"/>
                <w:lang w:val="en-US" w:eastAsia="en-US" w:bidi="ar-SA"/>
              </w:rPr>
              <w:t>根据响应人提供的</w:t>
            </w:r>
            <w:r>
              <w:rPr>
                <w:rFonts w:hint="eastAsia" w:ascii="仿宋" w:hAnsi="仿宋" w:eastAsia="仿宋" w:cs="仿宋"/>
                <w:spacing w:val="7"/>
                <w:sz w:val="32"/>
                <w:szCs w:val="32"/>
                <w:lang w:val="en-US" w:eastAsia="zh-CN"/>
              </w:rPr>
              <w:t>各项管理制度方案</w:t>
            </w:r>
            <w:r>
              <w:rPr>
                <w:rFonts w:hint="eastAsia" w:ascii="仿宋" w:hAnsi="仿宋" w:eastAsia="仿宋" w:cs="仿宋"/>
                <w:spacing w:val="6"/>
                <w:kern w:val="2"/>
                <w:sz w:val="32"/>
                <w:szCs w:val="32"/>
                <w:lang w:val="en-US" w:eastAsia="en-US" w:bidi="ar-SA"/>
              </w:rPr>
              <w:t>进行综合评审（包括但不限于</w:t>
            </w:r>
            <w:r>
              <w:rPr>
                <w:rFonts w:hint="eastAsia" w:ascii="仿宋" w:hAnsi="仿宋" w:eastAsia="仿宋" w:cs="仿宋"/>
                <w:spacing w:val="7"/>
                <w:sz w:val="32"/>
                <w:szCs w:val="32"/>
                <w:lang w:val="en-US" w:eastAsia="zh-CN"/>
              </w:rPr>
              <w:t>1.项目管理机构设置2.工作职能组织运行图3.日常管理制度和考核办法内容4.项目负责人的管理职责、内部管理的职责分工。</w:t>
            </w:r>
          </w:p>
          <w:p w14:paraId="68B5DAA1">
            <w:pPr>
              <w:pStyle w:val="53"/>
              <w:tabs>
                <w:tab w:val="left" w:pos="1701"/>
              </w:tabs>
              <w:snapToGrid w:val="0"/>
              <w:spacing w:line="240" w:lineRule="auto"/>
              <w:ind w:left="0" w:leftChars="0" w:right="0" w:rightChars="0" w:firstLine="0" w:firstLineChars="0"/>
              <w:jc w:val="left"/>
              <w:rPr>
                <w:rFonts w:hint="eastAsia" w:ascii="仿宋" w:hAnsi="仿宋" w:eastAsia="仿宋" w:cs="仿宋"/>
                <w:spacing w:val="7"/>
                <w:sz w:val="32"/>
                <w:szCs w:val="32"/>
                <w:lang w:val="en-US" w:eastAsia="zh-CN"/>
              </w:rPr>
            </w:pPr>
            <w:r>
              <w:rPr>
                <w:rFonts w:hint="eastAsia" w:ascii="仿宋" w:hAnsi="仿宋" w:eastAsia="仿宋" w:cs="仿宋"/>
                <w:spacing w:val="7"/>
                <w:sz w:val="32"/>
                <w:szCs w:val="32"/>
                <w:lang w:val="en-US" w:eastAsia="zh-CN"/>
              </w:rPr>
              <w:t>方案内容完整、完全满足采购人项目且有利于项目实施的得 16 分 ，每有一项内容缺失的扣4 分 ，每有一项内容错误或不完整或不合理或不符合本项目实际情况的扣2 分，扣完为止。未提供的不得分。</w:t>
            </w:r>
          </w:p>
          <w:p w14:paraId="536BAE2E">
            <w:pPr>
              <w:pStyle w:val="53"/>
              <w:tabs>
                <w:tab w:val="left" w:pos="1701"/>
              </w:tabs>
              <w:snapToGrid w:val="0"/>
              <w:spacing w:line="240" w:lineRule="auto"/>
              <w:ind w:left="0" w:leftChars="0" w:right="0" w:rightChars="0" w:firstLine="0" w:firstLineChars="0"/>
              <w:jc w:val="left"/>
              <w:rPr>
                <w:rFonts w:hint="eastAsia" w:ascii="仿宋" w:hAnsi="仿宋" w:eastAsia="仿宋" w:cs="仿宋"/>
                <w:spacing w:val="7"/>
                <w:sz w:val="32"/>
                <w:szCs w:val="32"/>
              </w:rPr>
            </w:pPr>
            <w:r>
              <w:rPr>
                <w:rFonts w:hint="eastAsia" w:ascii="仿宋" w:hAnsi="仿宋" w:eastAsia="仿宋" w:cs="仿宋"/>
                <w:spacing w:val="7"/>
                <w:sz w:val="32"/>
                <w:szCs w:val="32"/>
                <w:lang w:val="en-US" w:eastAsia="zh-CN"/>
              </w:rPr>
              <w:t>注：以上有错误、不完整、不合理是指，①只有单纯的文件描述，前后内容无法连贯，内容脱离了实际情况，不具备实施的可能性；②套用其他项目方案，前后内容互相矛盾，存在与本项目无关的内容；③内容不满足项目要求、与本项目无关或与本项目不匹配、项目涉及的名称、地点不一致；④不符合采购项目相关的规范及标准任一情形等。</w:t>
            </w:r>
          </w:p>
        </w:tc>
      </w:tr>
      <w:tr w14:paraId="3A03A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1540" w:type="dxa"/>
            <w:vMerge w:val="continue"/>
            <w:vAlign w:val="center"/>
          </w:tcPr>
          <w:p w14:paraId="386F75B3">
            <w:pPr>
              <w:pStyle w:val="45"/>
              <w:snapToGrid w:val="0"/>
              <w:spacing w:before="65" w:line="240" w:lineRule="auto"/>
              <w:ind w:left="0" w:leftChars="0" w:right="0" w:rightChars="0" w:firstLine="0" w:firstLineChars="0"/>
              <w:jc w:val="center"/>
              <w:rPr>
                <w:rFonts w:hint="eastAsia" w:ascii="仿宋" w:hAnsi="仿宋" w:eastAsia="仿宋" w:cs="仿宋"/>
                <w:sz w:val="32"/>
                <w:szCs w:val="32"/>
                <w:lang w:eastAsia="zh-CN"/>
              </w:rPr>
            </w:pPr>
          </w:p>
        </w:tc>
        <w:tc>
          <w:tcPr>
            <w:tcW w:w="1393" w:type="dxa"/>
            <w:vAlign w:val="center"/>
          </w:tcPr>
          <w:p w14:paraId="7A8BA8FF">
            <w:pPr>
              <w:pStyle w:val="45"/>
              <w:snapToGrid w:val="0"/>
              <w:spacing w:before="65" w:line="240" w:lineRule="auto"/>
              <w:ind w:left="0" w:leftChars="0" w:right="0" w:rightChars="0" w:firstLine="0" w:firstLineChars="0"/>
              <w:jc w:val="left"/>
              <w:rPr>
                <w:rFonts w:hint="eastAsia" w:ascii="仿宋" w:hAnsi="仿宋" w:eastAsia="仿宋" w:cs="仿宋"/>
                <w:sz w:val="32"/>
                <w:szCs w:val="32"/>
              </w:rPr>
            </w:pPr>
            <w:r>
              <w:rPr>
                <w:rFonts w:hint="eastAsia" w:ascii="仿宋" w:hAnsi="仿宋" w:eastAsia="仿宋" w:cs="仿宋"/>
                <w:sz w:val="32"/>
                <w:szCs w:val="32"/>
                <w:lang w:val="en-US" w:eastAsia="zh-CN"/>
              </w:rPr>
              <w:t>应急方案（12分）</w:t>
            </w:r>
          </w:p>
        </w:tc>
        <w:tc>
          <w:tcPr>
            <w:tcW w:w="6921" w:type="dxa"/>
            <w:vAlign w:val="center"/>
          </w:tcPr>
          <w:p w14:paraId="2D472B65">
            <w:pPr>
              <w:pStyle w:val="45"/>
              <w:snapToGrid w:val="0"/>
              <w:spacing w:line="240" w:lineRule="auto"/>
              <w:ind w:left="0" w:leftChars="0" w:right="0" w:rightChars="0" w:firstLine="0" w:firstLineChars="0"/>
              <w:jc w:val="left"/>
              <w:rPr>
                <w:rFonts w:hint="eastAsia" w:ascii="仿宋" w:hAnsi="仿宋" w:eastAsia="仿宋" w:cs="仿宋"/>
                <w:spacing w:val="5"/>
                <w:sz w:val="32"/>
                <w:szCs w:val="32"/>
                <w:lang w:val="en-US" w:eastAsia="zh-CN"/>
              </w:rPr>
            </w:pPr>
            <w:r>
              <w:rPr>
                <w:rFonts w:hint="eastAsia" w:ascii="仿宋" w:hAnsi="仿宋" w:eastAsia="仿宋" w:cs="仿宋"/>
                <w:spacing w:val="5"/>
                <w:sz w:val="32"/>
                <w:szCs w:val="32"/>
                <w:lang w:val="en-US" w:eastAsia="zh-CN"/>
              </w:rPr>
              <w:t>针对本项目制定的突发事件包括但不限于以下内容：</w:t>
            </w:r>
          </w:p>
          <w:p w14:paraId="2DC48EB0">
            <w:pPr>
              <w:pStyle w:val="45"/>
              <w:snapToGrid w:val="0"/>
              <w:spacing w:line="240" w:lineRule="auto"/>
              <w:ind w:left="0" w:leftChars="0" w:right="0" w:rightChars="0" w:firstLine="0" w:firstLineChars="0"/>
              <w:jc w:val="left"/>
              <w:rPr>
                <w:rFonts w:hint="eastAsia" w:ascii="仿宋" w:hAnsi="仿宋" w:eastAsia="仿宋" w:cs="仿宋"/>
                <w:spacing w:val="5"/>
                <w:sz w:val="32"/>
                <w:szCs w:val="32"/>
              </w:rPr>
            </w:pPr>
            <w:r>
              <w:rPr>
                <w:rFonts w:hint="eastAsia" w:ascii="仿宋" w:hAnsi="仿宋" w:eastAsia="仿宋" w:cs="仿宋"/>
                <w:spacing w:val="5"/>
                <w:sz w:val="32"/>
                <w:szCs w:val="32"/>
                <w:lang w:val="en-US" w:eastAsia="zh-CN"/>
              </w:rPr>
              <w:t>1. 水、电、暖等事故应急措施 2.电梯故障应急措施 3.消防安全管理应急措施 4.重大节假日活动突发事件及突发安全事故应急预案 5.机电设备管理应急措施 6.其他应急预案内容进行评分。供应商提供齐全且与本项目服务相对应能完全满足或优于本项目的服务需求的得 12 分 。供应商每缺少一项未提供扣 2 分，每有一项内容错误或不完整或不满足本项目采购需求但不影响本项目整体实施的扣 1 分，扣完为止。</w:t>
            </w:r>
          </w:p>
        </w:tc>
      </w:tr>
    </w:tbl>
    <w:p w14:paraId="577C124B">
      <w:pPr>
        <w:pStyle w:val="19"/>
        <w:rPr>
          <w:rFonts w:hint="eastAsia"/>
          <w:color w:val="auto"/>
          <w:highlight w:val="none"/>
        </w:rPr>
      </w:pPr>
    </w:p>
    <w:p w14:paraId="07F4202C">
      <w:pPr>
        <w:pStyle w:val="19"/>
        <w:rPr>
          <w:rFonts w:hint="eastAsia"/>
          <w:color w:val="auto"/>
          <w:highlight w:val="none"/>
        </w:rPr>
      </w:pPr>
    </w:p>
    <w:p w14:paraId="3A03F9D0">
      <w:pPr>
        <w:pStyle w:val="4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11、备注</w:t>
      </w:r>
    </w:p>
    <w:p w14:paraId="694A7AE2">
      <w:pPr>
        <w:pStyle w:val="4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11.1根据《政府采购货物和服务招投标管理办法》第87号令第六十条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8564B8E">
      <w:pPr>
        <w:pStyle w:val="44"/>
        <w:keepNext w:val="0"/>
        <w:keepLines w:val="0"/>
        <w:pageBreakBefore w:val="0"/>
        <w:widowControl w:val="0"/>
        <w:kinsoku/>
        <w:wordWrap/>
        <w:overflowPunct/>
        <w:topLinePunct w:val="0"/>
        <w:autoSpaceDE/>
        <w:autoSpaceDN/>
        <w:bidi w:val="0"/>
        <w:adjustRightInd w:val="0"/>
        <w:snapToGrid w:val="0"/>
        <w:spacing w:line="360" w:lineRule="auto"/>
        <w:ind w:firstLine="408"/>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11.2供应商在评标过程中，所进行的力图影响评标结果的不符合招标规则的活动，可能导致其被取消中标（成交）资格。</w:t>
      </w:r>
    </w:p>
    <w:p w14:paraId="10AE38D1">
      <w:pPr>
        <w:pStyle w:val="44"/>
        <w:keepNext w:val="0"/>
        <w:keepLines w:val="0"/>
        <w:pageBreakBefore w:val="0"/>
        <w:widowControl w:val="0"/>
        <w:kinsoku/>
        <w:wordWrap/>
        <w:overflowPunct/>
        <w:topLinePunct w:val="0"/>
        <w:autoSpaceDE/>
        <w:autoSpaceDN/>
        <w:bidi w:val="0"/>
        <w:adjustRightInd w:val="0"/>
        <w:snapToGrid w:val="0"/>
        <w:spacing w:line="360" w:lineRule="auto"/>
        <w:ind w:firstLine="408"/>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11.3与竞争性磋商文件有重大偏离的投标文件将被拒绝。</w:t>
      </w:r>
    </w:p>
    <w:p w14:paraId="631E2971">
      <w:pPr>
        <w:widowControl/>
        <w:shd w:val="clear" w:color="auto" w:fill="auto"/>
        <w:spacing w:line="440" w:lineRule="exact"/>
        <w:ind w:firstLine="480"/>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附：对于商务部分（投标报价）的评分，按以下方法进行：价格分统一采用低价优先法计算，即满足竞争性磋商文件要求且评标价格最低的报价为评标基准价，其价格分为满分。其他投标人的价格分统一按照下列公式计算：投标报价得分=（基准价/投标报价）×10</w:t>
      </w:r>
    </w:p>
    <w:bookmarkEnd w:id="196"/>
    <w:p w14:paraId="5FB18134">
      <w:pPr>
        <w:pStyle w:val="44"/>
        <w:keepNext w:val="0"/>
        <w:keepLines w:val="0"/>
        <w:pageBreakBefore w:val="0"/>
        <w:widowControl w:val="0"/>
        <w:kinsoku/>
        <w:wordWrap/>
        <w:overflowPunct/>
        <w:topLinePunct w:val="0"/>
        <w:autoSpaceDE/>
        <w:autoSpaceDN/>
        <w:bidi w:val="0"/>
        <w:spacing w:line="360" w:lineRule="auto"/>
        <w:ind w:firstLine="42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11.4各评标委员会成员对每个投标人的上述指标的打分（除报价外）的算术平均分，加上经计算的报价得分，即为该投标人的最终综合评估分。评标委员会将按投标人得分顺序由高到低依次排名，得分相同的，按投标报价由低到高顺序排列。得分及报价相同的，按技术指标优劣顺序排列。得分最高的前一名至前三名投标人将成为中标（成交）候选人。</w:t>
      </w:r>
    </w:p>
    <w:p w14:paraId="05EFD9F3">
      <w:pPr>
        <w:pStyle w:val="44"/>
        <w:keepNext w:val="0"/>
        <w:keepLines w:val="0"/>
        <w:pageBreakBefore w:val="0"/>
        <w:widowControl w:val="0"/>
        <w:kinsoku/>
        <w:wordWrap/>
        <w:overflowPunct/>
        <w:topLinePunct w:val="0"/>
        <w:autoSpaceDE/>
        <w:autoSpaceDN/>
        <w:bidi w:val="0"/>
        <w:spacing w:line="360" w:lineRule="auto"/>
        <w:ind w:firstLine="42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11.5最低报价不作为评标的唯一依据。采购人不承诺将合同授予报价最低的投标人。</w:t>
      </w:r>
    </w:p>
    <w:p w14:paraId="12D67F5D">
      <w:pPr>
        <w:pStyle w:val="44"/>
        <w:keepNext w:val="0"/>
        <w:keepLines w:val="0"/>
        <w:pageBreakBefore w:val="0"/>
        <w:widowControl w:val="0"/>
        <w:kinsoku/>
        <w:wordWrap/>
        <w:overflowPunct/>
        <w:topLinePunct w:val="0"/>
        <w:autoSpaceDE/>
        <w:autoSpaceDN/>
        <w:bidi w:val="0"/>
        <w:spacing w:line="360" w:lineRule="auto"/>
        <w:ind w:firstLine="42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11.6经评标委员会评议，认为投标报价过高、超出采购人预算的项目，可以不确立中标（成交）人，做为废标处理。</w:t>
      </w:r>
    </w:p>
    <w:bookmarkEnd w:id="176"/>
    <w:p w14:paraId="7AD6FC62">
      <w:pPr>
        <w:shd w:val="clear" w:color="auto" w:fill="auto"/>
        <w:snapToGrid w:val="0"/>
        <w:spacing w:line="400" w:lineRule="exact"/>
        <w:ind w:firstLine="640"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lang w:val="en-US" w:eastAsia="zh-CN"/>
        </w:rPr>
        <w:t>12、</w:t>
      </w:r>
      <w:r>
        <w:rPr>
          <w:rFonts w:hint="eastAsia" w:ascii="仿宋" w:hAnsi="仿宋" w:eastAsia="仿宋" w:cs="仿宋"/>
          <w:b/>
          <w:color w:val="auto"/>
          <w:sz w:val="32"/>
          <w:szCs w:val="32"/>
          <w:highlight w:val="none"/>
        </w:rPr>
        <w:t>无效投标条款</w:t>
      </w:r>
    </w:p>
    <w:p w14:paraId="336A4059">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.1投标文件有下列情形之一的,其投标文件拒收:</w:t>
      </w:r>
    </w:p>
    <w:p w14:paraId="12D332E9">
      <w:pPr>
        <w:shd w:val="clear" w:color="auto" w:fill="auto"/>
        <w:snapToGrid w:val="0"/>
        <w:spacing w:line="400" w:lineRule="exact"/>
        <w:rPr>
          <w:rFonts w:hint="eastAsia" w:ascii="仿宋" w:hAnsi="仿宋" w:eastAsia="仿宋" w:cs="仿宋"/>
          <w:b/>
          <w:bCs/>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b/>
          <w:bCs/>
          <w:color w:val="auto"/>
          <w:sz w:val="32"/>
          <w:szCs w:val="32"/>
          <w:highlight w:val="none"/>
        </w:rPr>
        <w:t xml:space="preserve"> </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(1) 未在开标截止时间前通过网上招标投标系统递交有效电子投标文件的，开标系统不予接收。</w:t>
      </w:r>
    </w:p>
    <w:p w14:paraId="01FE37E4">
      <w:pPr>
        <w:shd w:val="clear" w:color="auto" w:fill="auto"/>
        <w:snapToGrid w:val="0"/>
        <w:spacing w:line="400" w:lineRule="exact"/>
        <w:ind w:firstLine="640" w:firstLineChars="200"/>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（2）</w:t>
      </w:r>
      <w:r>
        <w:rPr>
          <w:rFonts w:hint="eastAsia" w:ascii="仿宋" w:hAnsi="仿宋" w:eastAsia="仿宋" w:cs="仿宋"/>
          <w:b/>
          <w:color w:val="auto"/>
          <w:sz w:val="32"/>
          <w:szCs w:val="32"/>
          <w:highlight w:val="none"/>
        </w:rPr>
        <w:t>所有投标人应在规定时间里完成投标文件的解密工作</w:t>
      </w:r>
      <w:r>
        <w:rPr>
          <w:rFonts w:hint="eastAsia" w:ascii="仿宋" w:hAnsi="仿宋" w:eastAsia="仿宋" w:cs="仿宋"/>
          <w:b/>
          <w:bCs/>
          <w:color w:val="auto"/>
          <w:sz w:val="32"/>
          <w:szCs w:val="32"/>
          <w:highlight w:val="none"/>
        </w:rPr>
        <w:t>【投标人</w:t>
      </w:r>
      <w:r>
        <w:rPr>
          <w:rFonts w:hint="eastAsia" w:ascii="仿宋" w:hAnsi="仿宋" w:eastAsia="仿宋" w:cs="仿宋"/>
          <w:b/>
          <w:bCs/>
          <w:color w:val="auto"/>
          <w:sz w:val="32"/>
          <w:szCs w:val="32"/>
          <w:highlight w:val="none"/>
          <w:lang w:eastAsia="zh-CN"/>
        </w:rPr>
        <w:t>使用</w:t>
      </w:r>
      <w:r>
        <w:rPr>
          <w:rFonts w:hint="eastAsia" w:ascii="仿宋" w:hAnsi="仿宋" w:eastAsia="仿宋" w:cs="仿宋"/>
          <w:b/>
          <w:bCs/>
          <w:color w:val="auto"/>
          <w:sz w:val="32"/>
          <w:szCs w:val="32"/>
          <w:highlight w:val="none"/>
        </w:rPr>
        <w:t>其有效加密锁（CA锁）</w:t>
      </w:r>
      <w:r>
        <w:rPr>
          <w:rFonts w:hint="eastAsia" w:ascii="仿宋" w:hAnsi="仿宋" w:eastAsia="仿宋" w:cs="仿宋"/>
          <w:b/>
          <w:bCs/>
          <w:color w:val="auto"/>
          <w:sz w:val="32"/>
          <w:szCs w:val="32"/>
          <w:highlight w:val="none"/>
          <w:lang w:eastAsia="zh-CN"/>
        </w:rPr>
        <w:t>进行</w:t>
      </w:r>
      <w:r>
        <w:rPr>
          <w:rFonts w:hint="eastAsia" w:ascii="仿宋" w:hAnsi="仿宋" w:eastAsia="仿宋" w:cs="仿宋"/>
          <w:b/>
          <w:bCs/>
          <w:color w:val="auto"/>
          <w:sz w:val="32"/>
          <w:szCs w:val="32"/>
          <w:highlight w:val="none"/>
        </w:rPr>
        <w:t>解密（因投标人原因未能提供有效CA锁对其投标文件进行解密的，其投标文件按无效标处理），以网上招投标系统解密倒计时为准】</w:t>
      </w:r>
      <w:r>
        <w:rPr>
          <w:rFonts w:hint="eastAsia" w:ascii="仿宋" w:hAnsi="仿宋" w:eastAsia="仿宋" w:cs="仿宋"/>
          <w:b/>
          <w:color w:val="auto"/>
          <w:sz w:val="32"/>
          <w:szCs w:val="32"/>
          <w:highlight w:val="none"/>
        </w:rPr>
        <w:t>，因系统原因未能成功解密的投标文件，可导入</w:t>
      </w:r>
      <w:r>
        <w:rPr>
          <w:rFonts w:hint="eastAsia" w:ascii="仿宋" w:hAnsi="仿宋" w:eastAsia="仿宋" w:cs="仿宋"/>
          <w:b/>
          <w:color w:val="auto"/>
          <w:sz w:val="32"/>
          <w:szCs w:val="32"/>
          <w:highlight w:val="none"/>
          <w:lang w:eastAsia="zh-CN"/>
        </w:rPr>
        <w:t>备份投标文件</w:t>
      </w:r>
      <w:r>
        <w:rPr>
          <w:rFonts w:hint="eastAsia" w:ascii="仿宋" w:hAnsi="仿宋" w:eastAsia="仿宋" w:cs="仿宋"/>
          <w:b/>
          <w:color w:val="auto"/>
          <w:sz w:val="32"/>
          <w:szCs w:val="32"/>
          <w:highlight w:val="none"/>
        </w:rPr>
        <w:t>。</w:t>
      </w:r>
      <w:r>
        <w:rPr>
          <w:rFonts w:hint="eastAsia" w:ascii="仿宋" w:hAnsi="仿宋" w:eastAsia="仿宋" w:cs="仿宋"/>
          <w:b/>
          <w:color w:val="auto"/>
          <w:sz w:val="32"/>
          <w:szCs w:val="32"/>
          <w:highlight w:val="none"/>
          <w:lang w:eastAsia="zh-CN"/>
        </w:rPr>
        <w:t>备份投标文件</w:t>
      </w:r>
      <w:r>
        <w:rPr>
          <w:rFonts w:hint="eastAsia" w:ascii="仿宋" w:hAnsi="仿宋" w:eastAsia="仿宋" w:cs="仿宋"/>
          <w:b/>
          <w:color w:val="auto"/>
          <w:sz w:val="32"/>
          <w:szCs w:val="32"/>
          <w:highlight w:val="none"/>
        </w:rPr>
        <w:t>也无法导入的，则投标文件被否决。</w:t>
      </w:r>
    </w:p>
    <w:p w14:paraId="4F8F5CDA">
      <w:pPr>
        <w:shd w:val="clear" w:color="auto" w:fill="auto"/>
        <w:snapToGrid w:val="0"/>
        <w:spacing w:line="40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.2投标人有下列情形之一的,资格审查后其投标作无效投标处理：</w:t>
      </w:r>
    </w:p>
    <w:p w14:paraId="10F92198">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(1)法定代表人参加开标会议未携带有效的法定代表人身份证明原件和本人身份证的；委托代理人参加开标会议未携带有效的法定代表人授权书和本人身份证；</w:t>
      </w:r>
    </w:p>
    <w:p w14:paraId="5A02A38E">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(2)投标人为本项目提供招标代理服务的；</w:t>
      </w:r>
    </w:p>
    <w:p w14:paraId="5725DE0D">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(3)投标人与在本项目代理机构存在相互任职或工作的；</w:t>
      </w:r>
    </w:p>
    <w:p w14:paraId="29C9EE06">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(4)投标保证金未按规定要求缴纳的；</w:t>
      </w:r>
    </w:p>
    <w:p w14:paraId="2750FBC9">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w:t>
      </w:r>
      <w:r>
        <w:rPr>
          <w:rFonts w:hint="eastAsia" w:ascii="仿宋" w:hAnsi="仿宋" w:eastAsia="仿宋" w:cs="仿宋"/>
          <w:b/>
          <w:bCs/>
          <w:color w:val="auto"/>
          <w:sz w:val="32"/>
          <w:szCs w:val="32"/>
          <w:highlight w:val="none"/>
        </w:rPr>
        <w:t>评标专家无法查看并检验电子标书中相关资料的；</w:t>
      </w:r>
    </w:p>
    <w:p w14:paraId="4E8A178B">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(6)投标人超出营业范围投标的；</w:t>
      </w:r>
    </w:p>
    <w:p w14:paraId="52A84CD2">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(7)联合体投标未提交联合体协议的；</w:t>
      </w:r>
    </w:p>
    <w:p w14:paraId="00B5D5F9">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(8)被暂停营业的；</w:t>
      </w:r>
    </w:p>
    <w:p w14:paraId="0B6A8A2F">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(9)被暂停或取消投标资格的；</w:t>
      </w:r>
    </w:p>
    <w:p w14:paraId="54ABCB6E">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(10)财产被接管或冻结的；</w:t>
      </w:r>
    </w:p>
    <w:p w14:paraId="57488AAB">
      <w:pPr>
        <w:shd w:val="clear" w:color="auto" w:fill="auto"/>
        <w:snapToGrid w:val="0"/>
        <w:spacing w:line="4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(11)投标人单位负责人为同一人或者存在控股、管理关系的不同单位的；</w:t>
      </w:r>
    </w:p>
    <w:p w14:paraId="4844EAFE">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（12）投标人基本资格条件和特定资格条件中有一项及以上不符合要求的；</w:t>
      </w:r>
    </w:p>
    <w:p w14:paraId="14992D7E">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（13）投标人使用相同的MAC地址进行报名的；</w:t>
      </w:r>
    </w:p>
    <w:p w14:paraId="5A4E69DF">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（14）其它情形，经评标委员会委提出按无效投标处理，并经公共资源交易监督部门核准的；</w:t>
      </w:r>
    </w:p>
    <w:p w14:paraId="78F94892">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（15）投标人使用相同IP地址报名的，一经发现，监管部门将进一步核实，查实后按串通投标处理；</w:t>
      </w:r>
    </w:p>
    <w:p w14:paraId="1DA63E0E">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（16）</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规定的其它无效投标情形。</w:t>
      </w:r>
    </w:p>
    <w:p w14:paraId="7ED5DEB2">
      <w:pPr>
        <w:keepNext w:val="0"/>
        <w:keepLines w:val="0"/>
        <w:pageBreakBefore w:val="0"/>
        <w:shd w:val="clear" w:color="auto" w:fill="auto"/>
        <w:kinsoku/>
        <w:wordWrap/>
        <w:overflowPunct/>
        <w:topLinePunct w:val="0"/>
        <w:autoSpaceDE/>
        <w:autoSpaceDN/>
        <w:bidi w:val="0"/>
        <w:adjustRightInd/>
        <w:snapToGrid w:val="0"/>
        <w:spacing w:line="340" w:lineRule="exac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.3 投标人有下列情形之一的,符合性审查后其投标按无效投标处理：</w:t>
      </w:r>
    </w:p>
    <w:p w14:paraId="3B233666">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 投标文件签字、盖章不全，经评标委员会一致认定对开评标内容有实质性影响并经监督部门核准的；</w:t>
      </w:r>
    </w:p>
    <w:p w14:paraId="18DB21B4">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)未按规定的格式填写，实质性内容不全或关键字迹模糊、无法辨认; 经监督部门核准的；</w:t>
      </w:r>
    </w:p>
    <w:p w14:paraId="00200C00">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(4)同一投标人提交两个以上不同的投标文件或者投标报价，但</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规定提交备选方案的除外；</w:t>
      </w:r>
    </w:p>
    <w:p w14:paraId="338E6EC8">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)投标文件没有对</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的实质性要求和条件作出响应;</w:t>
      </w:r>
    </w:p>
    <w:p w14:paraId="68498DB0">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)投标报价超出规定的投标限价或公布的采购预算的；注：投标人的投标报价各项单价均不得高于</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给定的单价最高限价，否则，其投标文件将按无效投标处理。</w:t>
      </w:r>
    </w:p>
    <w:p w14:paraId="310CAE15">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)不按评标委员会要求澄清、说明或补正的，或者评标委员会根据</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的规定对</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的计算错误进行修正后，投标人不接受修正的投标报价的。</w:t>
      </w:r>
    </w:p>
    <w:p w14:paraId="62B43CF1">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）其它情形，经评标委员会委提出按无效投标处理，并经公共资源交易监督部门核准的；</w:t>
      </w:r>
    </w:p>
    <w:p w14:paraId="485B4C1B">
      <w:pPr>
        <w:keepNext w:val="0"/>
        <w:keepLines w:val="0"/>
        <w:pageBreakBefore w:val="0"/>
        <w:widowControl/>
        <w:shd w:val="clear" w:color="auto" w:fill="auto"/>
        <w:kinsoku/>
        <w:wordWrap/>
        <w:overflowPunct/>
        <w:topLinePunct w:val="0"/>
        <w:autoSpaceDE/>
        <w:autoSpaceDN/>
        <w:bidi w:val="0"/>
        <w:adjustRightInd/>
        <w:spacing w:line="34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shd w:val="clear" w:color="auto" w:fill="FFFFFF"/>
          <w:lang w:bidi="ar"/>
        </w:rPr>
        <w:t>未按照</w:t>
      </w:r>
      <w:r>
        <w:rPr>
          <w:rFonts w:hint="eastAsia" w:ascii="仿宋" w:hAnsi="仿宋" w:eastAsia="仿宋" w:cs="仿宋"/>
          <w:color w:val="auto"/>
          <w:kern w:val="0"/>
          <w:sz w:val="32"/>
          <w:szCs w:val="32"/>
          <w:highlight w:val="none"/>
          <w:shd w:val="clear" w:color="auto" w:fill="FFFFFF"/>
          <w:lang w:eastAsia="zh-CN" w:bidi="ar"/>
        </w:rPr>
        <w:t>竞争性磋商文件</w:t>
      </w:r>
      <w:r>
        <w:rPr>
          <w:rFonts w:hint="eastAsia" w:ascii="仿宋" w:hAnsi="仿宋" w:eastAsia="仿宋" w:cs="仿宋"/>
          <w:color w:val="auto"/>
          <w:kern w:val="0"/>
          <w:sz w:val="32"/>
          <w:szCs w:val="32"/>
          <w:highlight w:val="none"/>
          <w:shd w:val="clear" w:color="auto" w:fill="FFFFFF"/>
          <w:lang w:bidi="ar"/>
        </w:rPr>
        <w:t>的规定提交投标保证金的；</w:t>
      </w:r>
    </w:p>
    <w:p w14:paraId="5DEE9037">
      <w:pPr>
        <w:keepNext w:val="0"/>
        <w:keepLines w:val="0"/>
        <w:pageBreakBefore w:val="0"/>
        <w:widowControl/>
        <w:shd w:val="clear" w:color="auto" w:fill="auto"/>
        <w:kinsoku/>
        <w:wordWrap/>
        <w:overflowPunct/>
        <w:topLinePunct w:val="0"/>
        <w:autoSpaceDE/>
        <w:autoSpaceDN/>
        <w:bidi w:val="0"/>
        <w:adjustRightInd/>
        <w:spacing w:line="34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shd w:val="clear" w:color="auto" w:fill="FFFFFF"/>
          <w:lang w:bidi="ar"/>
        </w:rPr>
        <w:t>投标文件含有采购人不能接受的附加条件的;</w:t>
      </w:r>
    </w:p>
    <w:p w14:paraId="11463150">
      <w:pPr>
        <w:keepNext w:val="0"/>
        <w:keepLines w:val="0"/>
        <w:pageBreakBefore w:val="0"/>
        <w:shd w:val="clear" w:color="auto" w:fill="auto"/>
        <w:tabs>
          <w:tab w:val="left" w:pos="1123"/>
        </w:tabs>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规定的其它无效投标情形。</w:t>
      </w:r>
    </w:p>
    <w:p w14:paraId="25D9CD4B">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12</w:t>
      </w:r>
      <w:r>
        <w:rPr>
          <w:rFonts w:hint="eastAsia" w:ascii="仿宋" w:hAnsi="仿宋" w:eastAsia="仿宋" w:cs="仿宋"/>
          <w:color w:val="auto"/>
          <w:sz w:val="32"/>
          <w:szCs w:val="32"/>
          <w:highlight w:val="none"/>
        </w:rPr>
        <w:t>.4 投标人有下列情形之一的, 详细评审后其投标按无效投标处理：</w:t>
      </w:r>
    </w:p>
    <w:p w14:paraId="4A88DA59">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(1)投标产品不符合必须强制执行的国家标准的；</w:t>
      </w:r>
    </w:p>
    <w:p w14:paraId="5D99FEB9">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(2)投标人有串通投标、弄虚作假、行贿等违法行为；</w:t>
      </w:r>
    </w:p>
    <w:p w14:paraId="6803C423">
      <w:pPr>
        <w:keepNext w:val="0"/>
        <w:keepLines w:val="0"/>
        <w:pageBreakBefore w:val="0"/>
        <w:shd w:val="clear" w:color="auto" w:fill="auto"/>
        <w:kinsoku/>
        <w:wordWrap/>
        <w:overflowPunct/>
        <w:topLinePunct w:val="0"/>
        <w:autoSpaceDE/>
        <w:autoSpaceDN/>
        <w:bidi w:val="0"/>
        <w:adjustRightInd/>
        <w:snapToGrid w:val="0"/>
        <w:spacing w:line="34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(3)投标文件含有违反国家法律、法规的内容，或附有招标人不能接受的条件的；</w:t>
      </w:r>
    </w:p>
    <w:p w14:paraId="3C980FFC">
      <w:pPr>
        <w:keepNext w:val="0"/>
        <w:keepLines w:val="0"/>
        <w:pageBreakBefore w:val="0"/>
        <w:shd w:val="clear" w:color="auto" w:fill="auto"/>
        <w:kinsoku/>
        <w:wordWrap/>
        <w:overflowPunct/>
        <w:topLinePunct w:val="0"/>
        <w:autoSpaceDE/>
        <w:autoSpaceDN/>
        <w:bidi w:val="0"/>
        <w:adjustRightInd/>
        <w:spacing w:line="340" w:lineRule="exact"/>
        <w:ind w:firstLine="480" w:firstLineChars="15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（4）在同一项目（或同一标段）中有多个投标人有效投标报价接近最高限价，且评标委员会认为报价出现异常的，可以宣布其投标无效；</w:t>
      </w:r>
    </w:p>
    <w:p w14:paraId="4739A63B">
      <w:pPr>
        <w:keepNext w:val="0"/>
        <w:keepLines w:val="0"/>
        <w:pageBreakBefore w:val="0"/>
        <w:shd w:val="clear" w:color="auto" w:fill="auto"/>
        <w:kinsoku/>
        <w:wordWrap/>
        <w:overflowPunct/>
        <w:topLinePunct w:val="0"/>
        <w:autoSpaceDE/>
        <w:autoSpaceDN/>
        <w:bidi w:val="0"/>
        <w:adjustRightInd/>
        <w:spacing w:line="340" w:lineRule="exact"/>
        <w:ind w:firstLine="480" w:firstLineChars="15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（5）报价明显低于其他投标人，且不能证明报价合理性的投标无效；</w:t>
      </w:r>
    </w:p>
    <w:p w14:paraId="3A9BA7CF">
      <w:pPr>
        <w:keepNext w:val="0"/>
        <w:keepLines w:val="0"/>
        <w:pageBreakBefore w:val="0"/>
        <w:shd w:val="clear" w:color="auto" w:fill="auto"/>
        <w:kinsoku/>
        <w:wordWrap/>
        <w:overflowPunct/>
        <w:topLinePunct w:val="0"/>
        <w:autoSpaceDE/>
        <w:autoSpaceDN/>
        <w:bidi w:val="0"/>
        <w:adjustRightInd/>
        <w:spacing w:line="340" w:lineRule="exact"/>
        <w:ind w:firstLine="480" w:firstLineChars="15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（6）拒不确认评标委员会评审修正的投标无效；</w:t>
      </w:r>
    </w:p>
    <w:p w14:paraId="4CF47266">
      <w:pPr>
        <w:keepNext w:val="0"/>
        <w:keepLines w:val="0"/>
        <w:pageBreakBefore w:val="0"/>
        <w:shd w:val="clear" w:color="auto" w:fill="auto"/>
        <w:kinsoku/>
        <w:wordWrap/>
        <w:overflowPunct/>
        <w:topLinePunct w:val="0"/>
        <w:autoSpaceDE/>
        <w:autoSpaceDN/>
        <w:bidi w:val="0"/>
        <w:adjustRightInd/>
        <w:spacing w:line="340" w:lineRule="exact"/>
        <w:ind w:firstLine="480" w:firstLineChars="15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（7）其它情形，经评标委员会委提出按无效投标处理，并经公共资源交易监督部门核准的；</w:t>
      </w:r>
    </w:p>
    <w:p w14:paraId="1B83303B">
      <w:pPr>
        <w:keepNext w:val="0"/>
        <w:keepLines w:val="0"/>
        <w:pageBreakBefore w:val="0"/>
        <w:shd w:val="clear" w:color="auto" w:fill="auto"/>
        <w:kinsoku/>
        <w:wordWrap/>
        <w:overflowPunct/>
        <w:topLinePunct w:val="0"/>
        <w:autoSpaceDE/>
        <w:autoSpaceDN/>
        <w:bidi w:val="0"/>
        <w:adjustRightInd/>
        <w:spacing w:line="340" w:lineRule="exact"/>
        <w:ind w:firstLine="480" w:firstLineChars="150"/>
        <w:textAlignment w:val="auto"/>
        <w:rPr>
          <w:rFonts w:hint="eastAsia" w:ascii="仿宋" w:hAnsi="仿宋" w:eastAsia="仿宋" w:cs="仿宋"/>
          <w:color w:val="auto"/>
          <w:sz w:val="32"/>
          <w:szCs w:val="32"/>
          <w:highlight w:val="none"/>
        </w:rPr>
        <w:sectPr>
          <w:footerReference r:id="rId5" w:type="default"/>
          <w:pgSz w:w="11906" w:h="16838"/>
          <w:pgMar w:top="1440" w:right="1134" w:bottom="1440" w:left="1134" w:header="851" w:footer="992" w:gutter="0"/>
          <w:pgBorders>
            <w:top w:val="none" w:sz="0" w:space="0"/>
            <w:left w:val="none" w:sz="0" w:space="0"/>
            <w:bottom w:val="none" w:sz="0" w:space="0"/>
            <w:right w:val="none" w:sz="0" w:space="0"/>
          </w:pgBorders>
          <w:pgNumType w:fmt="decimal" w:start="1"/>
          <w:cols w:space="720" w:num="1"/>
          <w:rtlGutter w:val="0"/>
          <w:docGrid w:type="linesAndChars" w:linePitch="312" w:charSpace="0"/>
        </w:sectPr>
      </w:pPr>
      <w:r>
        <w:rPr>
          <w:rFonts w:hint="eastAsia" w:ascii="仿宋" w:hAnsi="仿宋" w:eastAsia="仿宋" w:cs="仿宋"/>
          <w:color w:val="auto"/>
          <w:sz w:val="32"/>
          <w:szCs w:val="32"/>
          <w:highlight w:val="none"/>
        </w:rPr>
        <w:t>（8）</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规定的其它无效投标情形。</w:t>
      </w:r>
      <w:bookmarkStart w:id="198" w:name="OLE_LINK4"/>
    </w:p>
    <w:p w14:paraId="64A6330A">
      <w:pPr>
        <w:pageBreakBefore/>
        <w:numPr>
          <w:ilvl w:val="0"/>
          <w:numId w:val="6"/>
        </w:numPr>
        <w:shd w:val="clear" w:color="auto" w:fill="auto"/>
        <w:spacing w:line="360" w:lineRule="auto"/>
        <w:jc w:val="center"/>
        <w:outlineLvl w:val="0"/>
        <w:rPr>
          <w:rFonts w:hint="eastAsia" w:ascii="宋体"/>
          <w:b/>
          <w:color w:val="auto"/>
          <w:sz w:val="32"/>
          <w:szCs w:val="32"/>
          <w:highlight w:val="none"/>
        </w:rPr>
      </w:pPr>
      <w:r>
        <w:rPr>
          <w:rFonts w:hint="eastAsia" w:ascii="宋体"/>
          <w:b/>
          <w:color w:val="auto"/>
          <w:sz w:val="32"/>
          <w:szCs w:val="32"/>
          <w:highlight w:val="none"/>
        </w:rPr>
        <w:t xml:space="preserve"> </w:t>
      </w:r>
      <w:bookmarkEnd w:id="177"/>
      <w:bookmarkStart w:id="199" w:name="_Toc3465"/>
      <w:r>
        <w:rPr>
          <w:rFonts w:hint="eastAsia" w:ascii="宋体"/>
          <w:b/>
          <w:color w:val="auto"/>
          <w:sz w:val="32"/>
          <w:szCs w:val="32"/>
          <w:highlight w:val="none"/>
          <w:lang w:val="en-US" w:eastAsia="zh-CN"/>
        </w:rPr>
        <w:t>服务</w:t>
      </w:r>
      <w:r>
        <w:rPr>
          <w:rFonts w:hint="eastAsia" w:ascii="宋体"/>
          <w:b/>
          <w:color w:val="auto"/>
          <w:sz w:val="32"/>
          <w:szCs w:val="32"/>
          <w:highlight w:val="none"/>
        </w:rPr>
        <w:t>采购内容</w:t>
      </w:r>
      <w:bookmarkEnd w:id="199"/>
    </w:p>
    <w:p w14:paraId="4457D3AB">
      <w:pPr>
        <w:pStyle w:val="19"/>
        <w:rPr>
          <w:rFonts w:hint="eastAsia"/>
          <w:color w:val="auto"/>
          <w:highlight w:val="none"/>
        </w:rPr>
      </w:pPr>
    </w:p>
    <w:bookmarkEnd w:id="198"/>
    <w:tbl>
      <w:tblPr>
        <w:tblStyle w:val="28"/>
        <w:tblW w:w="88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3"/>
        <w:gridCol w:w="1022"/>
        <w:gridCol w:w="5700"/>
        <w:gridCol w:w="1124"/>
      </w:tblGrid>
      <w:tr w14:paraId="0B2A7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899" w:type="dxa"/>
            <w:gridSpan w:val="4"/>
            <w:tcBorders>
              <w:top w:val="nil"/>
              <w:left w:val="nil"/>
              <w:bottom w:val="single" w:color="auto" w:sz="4" w:space="0"/>
              <w:right w:val="nil"/>
            </w:tcBorders>
            <w:shd w:val="clear" w:color="auto" w:fill="FFFFFF"/>
            <w:noWrap/>
            <w:vAlign w:val="center"/>
          </w:tcPr>
          <w:p w14:paraId="4BD5C257">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4"/>
                <w:szCs w:val="44"/>
                <w:u w:val="none"/>
              </w:rPr>
            </w:pPr>
            <w:bookmarkStart w:id="200" w:name="_Toc31444"/>
            <w:bookmarkStart w:id="201" w:name="_Toc1854"/>
            <w:r>
              <w:rPr>
                <w:rFonts w:hint="eastAsia" w:ascii="仿宋" w:hAnsi="仿宋" w:eastAsia="仿宋" w:cs="仿宋"/>
                <w:i w:val="0"/>
                <w:iCs w:val="0"/>
                <w:color w:val="000000"/>
                <w:kern w:val="0"/>
                <w:sz w:val="32"/>
                <w:szCs w:val="32"/>
                <w:u w:val="none"/>
                <w:lang w:val="en-US" w:eastAsia="zh-CN" w:bidi="ar"/>
              </w:rPr>
              <w:t>克州机关事务管理局梧桐苑小区劳务服务及其他劳务服务采购项目内容及定量指标</w:t>
            </w:r>
          </w:p>
        </w:tc>
      </w:tr>
      <w:tr w14:paraId="34404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0CADF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序号</w:t>
            </w:r>
          </w:p>
        </w:tc>
        <w:tc>
          <w:tcPr>
            <w:tcW w:w="1022"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C6C69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项目内容</w:t>
            </w:r>
          </w:p>
        </w:tc>
        <w:tc>
          <w:tcPr>
            <w:tcW w:w="570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0AE7A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服务标准及要求</w:t>
            </w:r>
          </w:p>
        </w:tc>
        <w:tc>
          <w:tcPr>
            <w:tcW w:w="1124" w:type="dxa"/>
            <w:tcBorders>
              <w:top w:val="single" w:color="auto" w:sz="4" w:space="0"/>
              <w:left w:val="single" w:color="auto" w:sz="4" w:space="0"/>
              <w:bottom w:val="single" w:color="auto" w:sz="4" w:space="0"/>
              <w:right w:val="single" w:color="auto" w:sz="4" w:space="0"/>
            </w:tcBorders>
            <w:shd w:val="clear" w:color="auto" w:fill="FFFFFF"/>
            <w:vAlign w:val="center"/>
          </w:tcPr>
          <w:p w14:paraId="65218198">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备  注</w:t>
            </w:r>
          </w:p>
        </w:tc>
      </w:tr>
      <w:tr w14:paraId="71B6D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tcBorders>
              <w:top w:val="single" w:color="auto" w:sz="4" w:space="0"/>
              <w:left w:val="single" w:color="000000" w:sz="4" w:space="0"/>
              <w:bottom w:val="single" w:color="000000" w:sz="4" w:space="0"/>
              <w:right w:val="single" w:color="000000" w:sz="4" w:space="0"/>
            </w:tcBorders>
            <w:shd w:val="clear" w:color="auto" w:fill="FFFFFF"/>
            <w:vAlign w:val="center"/>
          </w:tcPr>
          <w:p w14:paraId="42E77CF2">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一</w:t>
            </w:r>
          </w:p>
        </w:tc>
        <w:tc>
          <w:tcPr>
            <w:tcW w:w="7846" w:type="dxa"/>
            <w:gridSpan w:val="3"/>
            <w:tcBorders>
              <w:top w:val="single" w:color="auto" w:sz="4" w:space="0"/>
              <w:left w:val="single" w:color="000000" w:sz="4" w:space="0"/>
              <w:bottom w:val="single" w:color="000000" w:sz="4" w:space="0"/>
              <w:right w:val="single" w:color="000000" w:sz="4" w:space="0"/>
            </w:tcBorders>
            <w:shd w:val="clear" w:color="auto" w:fill="FFFFFF"/>
            <w:vAlign w:val="center"/>
          </w:tcPr>
          <w:p w14:paraId="4A40B9AE">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安保秩序服务标准及定量指标公共秩序维护及安全保卫服务</w:t>
            </w:r>
          </w:p>
        </w:tc>
      </w:tr>
      <w:tr w14:paraId="56749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2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1F38A3">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安保服务标准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FF490">
            <w:pPr>
              <w:keepNext w:val="0"/>
              <w:keepLines w:val="0"/>
              <w:widowControl/>
              <w:suppressLineNumbers w:val="0"/>
              <w:jc w:val="left"/>
              <w:textAlignment w:val="center"/>
              <w:rPr>
                <w:rFonts w:hint="default" w:ascii="仿宋" w:hAnsi="仿宋" w:eastAsia="仿宋" w:cs="仿宋"/>
                <w:b/>
                <w:bCs/>
                <w:i w:val="0"/>
                <w:iCs w:val="0"/>
                <w:color w:val="000000"/>
                <w:sz w:val="32"/>
                <w:szCs w:val="32"/>
                <w:u w:val="none"/>
                <w:lang w:val="en-US"/>
              </w:rPr>
            </w:pPr>
            <w:r>
              <w:rPr>
                <w:rFonts w:hint="eastAsia" w:ascii="仿宋" w:hAnsi="仿宋" w:eastAsia="仿宋" w:cs="仿宋"/>
                <w:b/>
                <w:bCs/>
                <w:i w:val="0"/>
                <w:iCs w:val="0"/>
                <w:color w:val="000000"/>
                <w:kern w:val="0"/>
                <w:sz w:val="32"/>
                <w:szCs w:val="32"/>
                <w:u w:val="none"/>
                <w:lang w:val="en-US" w:eastAsia="zh-CN" w:bidi="ar"/>
              </w:rPr>
              <w:t>本项目安保服务参照2025年度自治州本级党政机关集中办公区向市场购买后勤服务预算统计表标准执行，集中办公区院落管控模式核定安保人员数量，所有安保人员全部均需持证上岗。服务人员：4人</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C6E000">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㎡指单位住宅楼(区)内建筑面积。此费用包含由承接主体承担的对讲机、安保服装、照明灯、应急包等材料费和耗材。</w:t>
            </w:r>
          </w:p>
        </w:tc>
      </w:tr>
      <w:tr w14:paraId="5EAD8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F6473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（一）</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310B2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人员要求</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B33B1">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1.工作人员身体健康，品行端正，责任心强，服从日常管理与考核。</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09FA09">
            <w:pPr>
              <w:jc w:val="center"/>
              <w:rPr>
                <w:rFonts w:hint="eastAsia" w:ascii="仿宋" w:hAnsi="仿宋" w:eastAsia="仿宋" w:cs="仿宋"/>
                <w:i w:val="0"/>
                <w:iCs w:val="0"/>
                <w:color w:val="000000"/>
                <w:sz w:val="32"/>
                <w:szCs w:val="32"/>
                <w:u w:val="none"/>
              </w:rPr>
            </w:pPr>
          </w:p>
        </w:tc>
      </w:tr>
      <w:tr w14:paraId="20495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773E9">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22D569">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789D6">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2.熟练掌握安防处置流程，可正确处置各类安全隐患，熟练操作消防，技防，物防，安防器械设备。</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C38D53">
            <w:pPr>
              <w:jc w:val="center"/>
              <w:rPr>
                <w:rFonts w:hint="eastAsia" w:ascii="仿宋" w:hAnsi="仿宋" w:eastAsia="仿宋" w:cs="仿宋"/>
                <w:i w:val="0"/>
                <w:iCs w:val="0"/>
                <w:color w:val="000000"/>
                <w:sz w:val="32"/>
                <w:szCs w:val="32"/>
                <w:u w:val="none"/>
              </w:rPr>
            </w:pPr>
          </w:p>
        </w:tc>
      </w:tr>
      <w:tr w14:paraId="02208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E9D2A">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F1C8E3">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877B6">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3.上岗时佩带统一标识，穿着统一制服，行为规范，举止文明。</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093F3">
            <w:pPr>
              <w:jc w:val="center"/>
              <w:rPr>
                <w:rFonts w:hint="eastAsia" w:ascii="仿宋" w:hAnsi="仿宋" w:eastAsia="仿宋" w:cs="仿宋"/>
                <w:i w:val="0"/>
                <w:iCs w:val="0"/>
                <w:color w:val="000000"/>
                <w:sz w:val="32"/>
                <w:szCs w:val="32"/>
                <w:u w:val="none"/>
              </w:rPr>
            </w:pPr>
          </w:p>
        </w:tc>
      </w:tr>
      <w:tr w14:paraId="2DBF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286DCB">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（二）</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77D0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门岗车辆维护</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84D0A">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1.小区主出入口实行24小时双人值守，有值班记录，对来访人员有登记，对大型物件的进出实行记录。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DEC5E">
            <w:pPr>
              <w:jc w:val="center"/>
              <w:rPr>
                <w:rFonts w:hint="eastAsia" w:ascii="仿宋" w:hAnsi="仿宋" w:eastAsia="仿宋" w:cs="仿宋"/>
                <w:i w:val="0"/>
                <w:iCs w:val="0"/>
                <w:color w:val="000000"/>
                <w:sz w:val="32"/>
                <w:szCs w:val="32"/>
                <w:u w:val="none"/>
              </w:rPr>
            </w:pPr>
          </w:p>
        </w:tc>
      </w:tr>
      <w:tr w14:paraId="7C279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7D416">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DEBBDA">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2A43">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2.车辆出、进有记录，车辆停放有引导，停放有序。停车场、停车位标识规范、清晰，车辆行驶路线设置合理。</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C78AE">
            <w:pPr>
              <w:jc w:val="center"/>
              <w:rPr>
                <w:rFonts w:hint="eastAsia" w:ascii="仿宋" w:hAnsi="仿宋" w:eastAsia="仿宋" w:cs="仿宋"/>
                <w:i w:val="0"/>
                <w:iCs w:val="0"/>
                <w:color w:val="000000"/>
                <w:sz w:val="32"/>
                <w:szCs w:val="32"/>
                <w:u w:val="none"/>
              </w:rPr>
            </w:pPr>
          </w:p>
        </w:tc>
      </w:tr>
      <w:tr w14:paraId="7E96C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98FD6D">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7F891">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712DF">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3.停车场车位平面图、停车收费标准、管理规定、紧急联系电话等公示于显著位置。</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B895D">
            <w:pPr>
              <w:jc w:val="center"/>
              <w:rPr>
                <w:rFonts w:hint="eastAsia" w:ascii="仿宋" w:hAnsi="仿宋" w:eastAsia="仿宋" w:cs="仿宋"/>
                <w:i w:val="0"/>
                <w:iCs w:val="0"/>
                <w:color w:val="000000"/>
                <w:sz w:val="32"/>
                <w:szCs w:val="32"/>
                <w:u w:val="none"/>
              </w:rPr>
            </w:pPr>
          </w:p>
        </w:tc>
      </w:tr>
      <w:tr w14:paraId="583C1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2BF20">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8E2DB">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0F4AD">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4.道闸、立体停车场设施运行良好，专业维护保养单位维修养护及时。</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0AED4">
            <w:pPr>
              <w:jc w:val="center"/>
              <w:rPr>
                <w:rFonts w:hint="eastAsia" w:ascii="仿宋" w:hAnsi="仿宋" w:eastAsia="仿宋" w:cs="仿宋"/>
                <w:i w:val="0"/>
                <w:iCs w:val="0"/>
                <w:color w:val="000000"/>
                <w:sz w:val="32"/>
                <w:szCs w:val="32"/>
                <w:u w:val="none"/>
              </w:rPr>
            </w:pPr>
          </w:p>
        </w:tc>
      </w:tr>
      <w:tr w14:paraId="2DA34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D33B5">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533DDB">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C4767">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5.高峰时段对行车、停车秩序进行引导，发生交通堵塞及时疏导，发生交通事故及时报告有关部门。</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53279">
            <w:pPr>
              <w:jc w:val="center"/>
              <w:rPr>
                <w:rFonts w:hint="eastAsia" w:ascii="仿宋" w:hAnsi="仿宋" w:eastAsia="仿宋" w:cs="仿宋"/>
                <w:i w:val="0"/>
                <w:iCs w:val="0"/>
                <w:color w:val="000000"/>
                <w:sz w:val="32"/>
                <w:szCs w:val="32"/>
                <w:u w:val="none"/>
              </w:rPr>
            </w:pPr>
          </w:p>
        </w:tc>
      </w:tr>
      <w:tr w14:paraId="3205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76FF4">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19C06">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06BE0">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6.非机动车辆摆放整齐，无乱停乱放现象，非机动车充电管理规范，无私拉、乱扯充电现象。</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DDC12">
            <w:pPr>
              <w:jc w:val="center"/>
              <w:rPr>
                <w:rFonts w:hint="eastAsia" w:ascii="仿宋" w:hAnsi="仿宋" w:eastAsia="仿宋" w:cs="仿宋"/>
                <w:i w:val="0"/>
                <w:iCs w:val="0"/>
                <w:color w:val="000000"/>
                <w:sz w:val="32"/>
                <w:szCs w:val="32"/>
                <w:u w:val="none"/>
              </w:rPr>
            </w:pPr>
          </w:p>
        </w:tc>
      </w:tr>
      <w:tr w14:paraId="0F7D0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A0A4D9">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7ADF8">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8AE86">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7.保持出入口环境整洁、有序、道路畅通。</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B00CE">
            <w:pPr>
              <w:jc w:val="center"/>
              <w:rPr>
                <w:rFonts w:hint="eastAsia" w:ascii="仿宋" w:hAnsi="仿宋" w:eastAsia="仿宋" w:cs="仿宋"/>
                <w:i w:val="0"/>
                <w:iCs w:val="0"/>
                <w:color w:val="000000"/>
                <w:sz w:val="32"/>
                <w:szCs w:val="32"/>
                <w:u w:val="none"/>
              </w:rPr>
            </w:pPr>
          </w:p>
        </w:tc>
      </w:tr>
      <w:tr w14:paraId="30E80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23478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（三）</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D3902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日常管理与秩序服务</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D4EEB">
            <w:pPr>
              <w:keepNext w:val="0"/>
              <w:keepLines w:val="0"/>
              <w:widowControl/>
              <w:suppressLineNumbers w:val="0"/>
              <w:jc w:val="both"/>
              <w:textAlignment w:val="center"/>
              <w:rPr>
                <w:rFonts w:hint="eastAsia" w:ascii="仿宋" w:hAnsi="仿宋" w:eastAsia="仿宋" w:cs="仿宋"/>
                <w:i w:val="0"/>
                <w:iCs w:val="0"/>
                <w:color w:val="FF0000"/>
                <w:sz w:val="32"/>
                <w:szCs w:val="32"/>
                <w:u w:val="none"/>
              </w:rPr>
            </w:pPr>
            <w:r>
              <w:rPr>
                <w:rFonts w:hint="eastAsia" w:ascii="仿宋" w:hAnsi="仿宋" w:eastAsia="仿宋" w:cs="仿宋"/>
                <w:i w:val="0"/>
                <w:iCs w:val="0"/>
                <w:color w:val="000000"/>
                <w:kern w:val="0"/>
                <w:sz w:val="32"/>
                <w:szCs w:val="32"/>
                <w:u w:val="none"/>
                <w:lang w:val="en-US" w:eastAsia="zh-CN" w:bidi="ar"/>
              </w:rPr>
              <w:t>1.住宅(区)门卫和日常巡逻、防盗等报警监控运行管理,停车区、院内道路及公共秩序维护,防汛、治安及其它突发事件处理等。</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4CBB2">
            <w:pPr>
              <w:jc w:val="center"/>
              <w:rPr>
                <w:rFonts w:hint="eastAsia" w:ascii="仿宋" w:hAnsi="仿宋" w:eastAsia="仿宋" w:cs="仿宋"/>
                <w:i w:val="0"/>
                <w:iCs w:val="0"/>
                <w:color w:val="000000"/>
                <w:sz w:val="32"/>
                <w:szCs w:val="32"/>
                <w:u w:val="none"/>
              </w:rPr>
            </w:pPr>
          </w:p>
        </w:tc>
      </w:tr>
      <w:tr w14:paraId="15C4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2693CC">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352085">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A5452">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2.秩序维护员具备专业素质，熟知岗位职责、突发事件应急预案，服务规范。</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3C44F8">
            <w:pPr>
              <w:jc w:val="center"/>
              <w:rPr>
                <w:rFonts w:hint="eastAsia" w:ascii="仿宋" w:hAnsi="仿宋" w:eastAsia="仿宋" w:cs="仿宋"/>
                <w:i w:val="0"/>
                <w:iCs w:val="0"/>
                <w:color w:val="000000"/>
                <w:sz w:val="32"/>
                <w:szCs w:val="32"/>
                <w:u w:val="none"/>
              </w:rPr>
            </w:pPr>
          </w:p>
        </w:tc>
      </w:tr>
      <w:tr w14:paraId="6BD7E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EE9DE8">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0A8BC3">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D1CC0">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3.人员配置合理，岗位责任明确，按照规定频次和路线巡查，有巡查记录。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C3130">
            <w:pPr>
              <w:jc w:val="center"/>
              <w:rPr>
                <w:rFonts w:hint="eastAsia" w:ascii="仿宋" w:hAnsi="仿宋" w:eastAsia="仿宋" w:cs="仿宋"/>
                <w:i w:val="0"/>
                <w:iCs w:val="0"/>
                <w:color w:val="000000"/>
                <w:sz w:val="32"/>
                <w:szCs w:val="32"/>
                <w:u w:val="none"/>
              </w:rPr>
            </w:pPr>
          </w:p>
        </w:tc>
      </w:tr>
      <w:tr w14:paraId="274A3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DAF60">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B46B0">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65D8D">
            <w:pPr>
              <w:keepNext w:val="0"/>
              <w:keepLines w:val="0"/>
              <w:widowControl/>
              <w:suppressLineNumbers w:val="0"/>
              <w:jc w:val="both"/>
              <w:textAlignment w:val="center"/>
              <w:rPr>
                <w:rFonts w:hint="eastAsia" w:ascii="仿宋" w:hAnsi="仿宋" w:eastAsia="仿宋" w:cs="仿宋"/>
                <w:i w:val="0"/>
                <w:iCs w:val="0"/>
                <w:color w:val="FF0000"/>
                <w:sz w:val="32"/>
                <w:szCs w:val="32"/>
                <w:u w:val="none"/>
              </w:rPr>
            </w:pPr>
            <w:r>
              <w:rPr>
                <w:rFonts w:hint="eastAsia" w:ascii="仿宋" w:hAnsi="仿宋" w:eastAsia="仿宋" w:cs="仿宋"/>
                <w:i w:val="0"/>
                <w:iCs w:val="0"/>
                <w:color w:val="000000"/>
                <w:kern w:val="0"/>
                <w:sz w:val="32"/>
                <w:szCs w:val="32"/>
                <w:u w:val="none"/>
                <w:lang w:val="en-US" w:eastAsia="zh-CN" w:bidi="ar"/>
              </w:rPr>
              <w:t>4.安全监控室、防盗等报警监控运行管理、主出入口及关键岗位实行24小时值班，值班及交接班记录完整。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AC1A75">
            <w:pPr>
              <w:jc w:val="center"/>
              <w:rPr>
                <w:rFonts w:hint="eastAsia" w:ascii="仿宋" w:hAnsi="仿宋" w:eastAsia="仿宋" w:cs="仿宋"/>
                <w:i w:val="0"/>
                <w:iCs w:val="0"/>
                <w:color w:val="000000"/>
                <w:sz w:val="32"/>
                <w:szCs w:val="32"/>
                <w:u w:val="none"/>
              </w:rPr>
            </w:pPr>
          </w:p>
        </w:tc>
      </w:tr>
      <w:tr w14:paraId="235F1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F447AB">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7A4222">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85CFF">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5.安全标识设置合理，对可能危及人身安全的地点和设施设备，有明显警示标识和防范措施。</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53B9E8">
            <w:pPr>
              <w:jc w:val="center"/>
              <w:rPr>
                <w:rFonts w:hint="eastAsia" w:ascii="仿宋" w:hAnsi="仿宋" w:eastAsia="仿宋" w:cs="仿宋"/>
                <w:i w:val="0"/>
                <w:iCs w:val="0"/>
                <w:color w:val="000000"/>
                <w:sz w:val="32"/>
                <w:szCs w:val="32"/>
                <w:u w:val="none"/>
              </w:rPr>
            </w:pPr>
          </w:p>
        </w:tc>
      </w:tr>
      <w:tr w14:paraId="04F0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63F3F1">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8FA13A">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FB7EF">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6.安防系统定期进行巡视检查，记录完整。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5A5A6">
            <w:pPr>
              <w:jc w:val="center"/>
              <w:rPr>
                <w:rFonts w:hint="eastAsia" w:ascii="仿宋" w:hAnsi="仿宋" w:eastAsia="仿宋" w:cs="仿宋"/>
                <w:i w:val="0"/>
                <w:iCs w:val="0"/>
                <w:color w:val="000000"/>
                <w:sz w:val="32"/>
                <w:szCs w:val="32"/>
                <w:u w:val="none"/>
              </w:rPr>
            </w:pPr>
          </w:p>
        </w:tc>
      </w:tr>
      <w:tr w14:paraId="5B0C7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8B1ED">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5E6B9">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BFC8B">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7.对住宅区区域火灾、治安、公共卫生等突发事什有紧急预案，事发时及时汇报上级和有关部门，并协助采取相应措施。</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6775B">
            <w:pPr>
              <w:jc w:val="center"/>
              <w:rPr>
                <w:rFonts w:hint="eastAsia" w:ascii="仿宋" w:hAnsi="仿宋" w:eastAsia="仿宋" w:cs="仿宋"/>
                <w:i w:val="0"/>
                <w:iCs w:val="0"/>
                <w:color w:val="000000"/>
                <w:sz w:val="32"/>
                <w:szCs w:val="32"/>
                <w:u w:val="none"/>
              </w:rPr>
            </w:pPr>
          </w:p>
        </w:tc>
      </w:tr>
      <w:tr w14:paraId="01403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37820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（四）</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406C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巡逻岗</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5090A">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1.白天每两小时巡逻一次，夜间每三小时巡逻一次，重点部位有明确的巡逻要求，并有巡查记录。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25C23">
            <w:pPr>
              <w:jc w:val="center"/>
              <w:rPr>
                <w:rFonts w:hint="eastAsia" w:ascii="仿宋" w:hAnsi="仿宋" w:eastAsia="仿宋" w:cs="仿宋"/>
                <w:i w:val="0"/>
                <w:iCs w:val="0"/>
                <w:color w:val="000000"/>
                <w:sz w:val="32"/>
                <w:szCs w:val="32"/>
                <w:u w:val="none"/>
              </w:rPr>
            </w:pPr>
          </w:p>
        </w:tc>
      </w:tr>
      <w:tr w14:paraId="0330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828D1">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E4AFE">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FBD5C">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2.首次接到火警、警情后3分钟内赶到现场，协助保护现场，采取应对措施，并及时汇报上级和相关部门。</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6D6AF">
            <w:pPr>
              <w:jc w:val="center"/>
              <w:rPr>
                <w:rFonts w:hint="eastAsia" w:ascii="仿宋" w:hAnsi="仿宋" w:eastAsia="仿宋" w:cs="仿宋"/>
                <w:i w:val="0"/>
                <w:iCs w:val="0"/>
                <w:color w:val="000000"/>
                <w:sz w:val="32"/>
                <w:szCs w:val="32"/>
                <w:u w:val="none"/>
              </w:rPr>
            </w:pPr>
          </w:p>
        </w:tc>
      </w:tr>
      <w:tr w14:paraId="404BA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236C4">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9B086">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2F5C">
            <w:pPr>
              <w:keepNext w:val="0"/>
              <w:keepLines w:val="0"/>
              <w:widowControl/>
              <w:suppressLineNumbers w:val="0"/>
              <w:jc w:val="both"/>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3.在遇到异常情况、突发事件时，采取积极应对措施，并及时汇报上级和相关部门。</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C06ED">
            <w:pPr>
              <w:jc w:val="center"/>
              <w:rPr>
                <w:rFonts w:hint="eastAsia" w:ascii="仿宋" w:hAnsi="仿宋" w:eastAsia="仿宋" w:cs="仿宋"/>
                <w:i w:val="0"/>
                <w:iCs w:val="0"/>
                <w:color w:val="000000"/>
                <w:sz w:val="32"/>
                <w:szCs w:val="32"/>
                <w:u w:val="none"/>
              </w:rPr>
            </w:pPr>
          </w:p>
        </w:tc>
      </w:tr>
      <w:tr w14:paraId="3FC58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1533C">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二</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70D16">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保洁服务标准及定量指标</w:t>
            </w:r>
          </w:p>
        </w:tc>
      </w:tr>
      <w:tr w14:paraId="46E93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8F17B4">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楼栋公共区域保洁服务标准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5EEDC">
            <w:pPr>
              <w:keepNext w:val="0"/>
              <w:keepLines w:val="0"/>
              <w:widowControl/>
              <w:suppressLineNumbers w:val="0"/>
              <w:jc w:val="left"/>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保洁面积2000㎡/人，保洁面积在1000-2000㎡之间的配备1名保洁。服务面积：1260㎡</w:t>
            </w:r>
            <w:r>
              <w:rPr>
                <w:rFonts w:hint="eastAsia" w:ascii="仿宋" w:hAnsi="仿宋" w:eastAsia="仿宋" w:cs="仿宋"/>
                <w:b/>
                <w:bCs/>
                <w:i w:val="0"/>
                <w:iCs w:val="0"/>
                <w:color w:val="000000"/>
                <w:kern w:val="0"/>
                <w:sz w:val="32"/>
                <w:szCs w:val="32"/>
                <w:u w:val="none"/>
                <w:lang w:val="en-US" w:eastAsia="zh-CN" w:bidi="ar"/>
              </w:rPr>
              <w:t>（具体人数按照四舍五入的原则进行化整）</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902EE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㎡指单位住宅楼(区) 内的建筑物中发生保洁服务活动的区域面积。此费用包含由承接主体承担的人工费用和清洁药剂、清洁工具、洗手液、卫生纸等低值易耗品费。</w:t>
            </w:r>
          </w:p>
        </w:tc>
      </w:tr>
      <w:tr w14:paraId="7B75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D248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（一）</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97E38">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垃圾收集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1F0EC">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生活垃圾日产日清，定点归集，规范转运，垃圾桶，垃圾点位定期清洁，无散落垃圾，无异味，无污水堆积，全程做到干净，整洁，规范，有序。</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A14F8">
            <w:pPr>
              <w:jc w:val="center"/>
              <w:rPr>
                <w:rFonts w:hint="eastAsia" w:ascii="仿宋" w:hAnsi="仿宋" w:eastAsia="仿宋" w:cs="仿宋"/>
                <w:i w:val="0"/>
                <w:iCs w:val="0"/>
                <w:color w:val="000000"/>
                <w:sz w:val="32"/>
                <w:szCs w:val="32"/>
                <w:u w:val="none"/>
              </w:rPr>
            </w:pPr>
          </w:p>
        </w:tc>
      </w:tr>
      <w:tr w14:paraId="49CFA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551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（二）</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FBDC6">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楼道，通道，楼梯扶手公共窗台、消防栓箱</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8331D">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对住宅楼楼道，楼梯，扶手，门厅，走廊公共区域每日清扫2次，公共窗台、消防栓箱每周清洁1次，保持干净、无灰尘。</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62BFD">
            <w:pPr>
              <w:jc w:val="center"/>
              <w:rPr>
                <w:rFonts w:hint="eastAsia" w:ascii="仿宋" w:hAnsi="仿宋" w:eastAsia="仿宋" w:cs="仿宋"/>
                <w:i w:val="0"/>
                <w:iCs w:val="0"/>
                <w:color w:val="000000"/>
                <w:sz w:val="32"/>
                <w:szCs w:val="32"/>
                <w:u w:val="none"/>
              </w:rPr>
            </w:pPr>
          </w:p>
        </w:tc>
      </w:tr>
      <w:tr w14:paraId="0345A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0A26C">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（三）</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B3C1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公共玻璃窗、雨阳棚、屋面天台</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EC2F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制定计划卫生时间表，保持清洁、无垃圾，清洁记录完整。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6981E">
            <w:pPr>
              <w:jc w:val="center"/>
              <w:rPr>
                <w:rFonts w:hint="eastAsia" w:ascii="仿宋" w:hAnsi="仿宋" w:eastAsia="仿宋" w:cs="仿宋"/>
                <w:i w:val="0"/>
                <w:iCs w:val="0"/>
                <w:color w:val="000000"/>
                <w:sz w:val="32"/>
                <w:szCs w:val="32"/>
                <w:u w:val="none"/>
              </w:rPr>
            </w:pPr>
          </w:p>
        </w:tc>
      </w:tr>
      <w:tr w14:paraId="335D0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992D9">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（四）</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55296">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天花板、楼道灯</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897BC">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制定计划卫生时间表，每月清洁1次，目视干净，无蜘蛛网，清洁记录完整。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D054F">
            <w:pPr>
              <w:jc w:val="center"/>
              <w:rPr>
                <w:rFonts w:hint="eastAsia" w:ascii="仿宋" w:hAnsi="仿宋" w:eastAsia="仿宋" w:cs="仿宋"/>
                <w:i w:val="0"/>
                <w:iCs w:val="0"/>
                <w:color w:val="000000"/>
                <w:sz w:val="32"/>
                <w:szCs w:val="32"/>
                <w:u w:val="none"/>
              </w:rPr>
            </w:pPr>
          </w:p>
        </w:tc>
      </w:tr>
      <w:tr w14:paraId="1F06D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4AAA6">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（五）</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0C97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电梯轿箱</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7B245">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按照操作流程要求，每天清洁1次，不锈钢材料装饰的轿厢每周上1次保护液，表面光亮，无污迹，清洁记录完整。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E83D8">
            <w:pPr>
              <w:jc w:val="center"/>
              <w:rPr>
                <w:rFonts w:hint="eastAsia" w:ascii="仿宋" w:hAnsi="仿宋" w:eastAsia="仿宋" w:cs="仿宋"/>
                <w:i w:val="0"/>
                <w:iCs w:val="0"/>
                <w:color w:val="000000"/>
                <w:sz w:val="32"/>
                <w:szCs w:val="32"/>
                <w:u w:val="none"/>
              </w:rPr>
            </w:pPr>
          </w:p>
        </w:tc>
      </w:tr>
      <w:tr w14:paraId="43A70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E032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（六）</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AA52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房屋门亭外墙</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8EBCA">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按照操作流程要求，目视洁净无污垢，视情况进行外墙清洁，清洁记录完整。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1FA68">
            <w:pPr>
              <w:jc w:val="center"/>
              <w:rPr>
                <w:rFonts w:hint="eastAsia" w:ascii="仿宋" w:hAnsi="仿宋" w:eastAsia="仿宋" w:cs="仿宋"/>
                <w:i w:val="0"/>
                <w:iCs w:val="0"/>
                <w:color w:val="000000"/>
                <w:sz w:val="32"/>
                <w:szCs w:val="32"/>
                <w:u w:val="none"/>
              </w:rPr>
            </w:pPr>
          </w:p>
        </w:tc>
      </w:tr>
      <w:tr w14:paraId="0D65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04134F">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小区室外公共区域保洁服务标准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429B1">
            <w:pPr>
              <w:keepNext w:val="0"/>
              <w:keepLines w:val="0"/>
              <w:widowControl/>
              <w:suppressLineNumbers w:val="0"/>
              <w:jc w:val="left"/>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室外保洁服务标准，保洁面积在3000-10000㎡之间的配备1名保洁，小于3000㎡的不配备保洁人员，可由本单位干部职工及安保人员进行定期保洁。服务面积：9000㎡</w:t>
            </w:r>
            <w:r>
              <w:rPr>
                <w:rFonts w:hint="eastAsia" w:ascii="仿宋" w:hAnsi="仿宋" w:eastAsia="仿宋" w:cs="仿宋"/>
                <w:b/>
                <w:bCs/>
                <w:i w:val="0"/>
                <w:iCs w:val="0"/>
                <w:color w:val="000000"/>
                <w:kern w:val="0"/>
                <w:sz w:val="32"/>
                <w:szCs w:val="32"/>
                <w:u w:val="none"/>
                <w:lang w:val="en-US" w:eastAsia="zh-CN" w:bidi="ar"/>
              </w:rPr>
              <w:t>（具体人数按照四舍五入的原则进行化整）</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F021E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br w:type="textWrapping"/>
            </w:r>
            <w:r>
              <w:rPr>
                <w:rFonts w:hint="eastAsia" w:ascii="仿宋" w:hAnsi="仿宋" w:eastAsia="仿宋" w:cs="仿宋"/>
                <w:i w:val="0"/>
                <w:iCs w:val="0"/>
                <w:color w:val="000000"/>
                <w:kern w:val="0"/>
                <w:sz w:val="32"/>
                <w:szCs w:val="32"/>
                <w:u w:val="none"/>
                <w:lang w:val="en-US" w:eastAsia="zh-CN" w:bidi="ar"/>
              </w:rPr>
              <w:t>㎡指单位庭院中发生保洁服务活动的区域面积（含绿化带面积）。此费用包含由承接主体承担的人工费用和清洁药剂、清洁工具、洗手液、卫生纸等低值易耗品。</w:t>
            </w:r>
          </w:p>
        </w:tc>
      </w:tr>
      <w:tr w14:paraId="3C843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8348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（一）</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DF55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道路、地面保洁</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CA98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至少每天清扫2次，每天必须在9：40前清扫完备，保证工作人员上班无灰尘，保持随脏随洁。下雨天及时清扫路面，确保无积水，发现路面有油污有、口香糖等杂物应及时清洁，保洁标准每100平方米，可视垃圾不超过2处（如烟蒂，纸屑及其他杂物），并做好保洁纪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CB479">
            <w:pPr>
              <w:jc w:val="center"/>
              <w:rPr>
                <w:rFonts w:hint="eastAsia" w:ascii="仿宋" w:hAnsi="仿宋" w:eastAsia="仿宋" w:cs="仿宋"/>
                <w:i w:val="0"/>
                <w:iCs w:val="0"/>
                <w:color w:val="000000"/>
                <w:sz w:val="32"/>
                <w:szCs w:val="32"/>
                <w:u w:val="none"/>
              </w:rPr>
            </w:pPr>
          </w:p>
        </w:tc>
      </w:tr>
      <w:tr w14:paraId="4A9FB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10A4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（二）</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145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绿化带保洁</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75FF2">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用扫把及时清扫绿化带上的果皮、纸屑、石块、树叶等垃圾，每周清理1次，并视检查情况及时保洁，随脏随扫，清洁记录完整。对烟头、棉签等不能用扫把扫的杂物，用钳子捡起放置垃圾箱内，绿化带应保洁干净整洁。</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FBBFDA">
            <w:pPr>
              <w:jc w:val="center"/>
              <w:rPr>
                <w:rFonts w:hint="eastAsia" w:ascii="仿宋" w:hAnsi="仿宋" w:eastAsia="仿宋" w:cs="仿宋"/>
                <w:i w:val="0"/>
                <w:iCs w:val="0"/>
                <w:color w:val="000000"/>
                <w:sz w:val="32"/>
                <w:szCs w:val="32"/>
                <w:u w:val="none"/>
              </w:rPr>
            </w:pPr>
          </w:p>
        </w:tc>
      </w:tr>
      <w:tr w14:paraId="63C8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0284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（三）</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F182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果皮箱、路灯杆、垃圾桶、悬挂饰品，小物品等置物</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ECAD2">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按照操作流程要求，每周擦洗1次、每天清掏1次，发现异常及时清掏，垃圾箱内外保持干净，无污物粘合，并有检查和清理记录。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0848B">
            <w:pPr>
              <w:jc w:val="center"/>
              <w:rPr>
                <w:rFonts w:hint="eastAsia" w:ascii="仿宋" w:hAnsi="仿宋" w:eastAsia="仿宋" w:cs="仿宋"/>
                <w:i w:val="0"/>
                <w:iCs w:val="0"/>
                <w:color w:val="000000"/>
                <w:sz w:val="32"/>
                <w:szCs w:val="32"/>
                <w:u w:val="none"/>
              </w:rPr>
            </w:pPr>
          </w:p>
        </w:tc>
      </w:tr>
      <w:tr w14:paraId="0EDC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EDDF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（四）</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154C0">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消毒灭害</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2C4B8">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按照操作流程要求，公共环境每季度消杀2次，夏季每月消杀1次，每半年灭鼠1次，遇有特殊情况要及时进行消杀或按有关部门的布置进行消杀，消杀记录完整。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CD9FD">
            <w:pPr>
              <w:jc w:val="center"/>
              <w:rPr>
                <w:rFonts w:hint="eastAsia" w:ascii="仿宋" w:hAnsi="仿宋" w:eastAsia="仿宋" w:cs="仿宋"/>
                <w:i w:val="0"/>
                <w:iCs w:val="0"/>
                <w:color w:val="000000"/>
                <w:sz w:val="32"/>
                <w:szCs w:val="32"/>
                <w:u w:val="none"/>
              </w:rPr>
            </w:pPr>
          </w:p>
        </w:tc>
      </w:tr>
      <w:tr w14:paraId="20952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D88F6">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三</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94B37">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绿化养护服务</w:t>
            </w:r>
          </w:p>
        </w:tc>
      </w:tr>
      <w:tr w14:paraId="68AE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2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7DB0B2">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绿化维护服务标准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30D6">
            <w:pPr>
              <w:keepNext w:val="0"/>
              <w:keepLines w:val="0"/>
              <w:widowControl/>
              <w:suppressLineNumbers w:val="0"/>
              <w:jc w:val="left"/>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绿化维护服务，维护面积5000㎡/人，绿化维护面积在2000-5000㎡之间的配备1名绿化工，小于2000㎡的不配备绿化工，可由本单位干部职工及安保人员进行定期维护。服务面积：10000㎡</w:t>
            </w:r>
            <w:r>
              <w:rPr>
                <w:rFonts w:hint="eastAsia" w:ascii="仿宋" w:hAnsi="仿宋" w:eastAsia="仿宋" w:cs="仿宋"/>
                <w:b/>
                <w:bCs/>
                <w:i w:val="0"/>
                <w:iCs w:val="0"/>
                <w:color w:val="000000"/>
                <w:kern w:val="0"/>
                <w:sz w:val="32"/>
                <w:szCs w:val="32"/>
                <w:u w:val="none"/>
                <w:lang w:val="en-US" w:eastAsia="zh-CN" w:bidi="ar"/>
              </w:rPr>
              <w:t>（具体人数按照四舍五入的原则进行化整）</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EAE7C9">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指单位住宅楼(区)庭院绿化服务区域面积。此费用包含由承接主体承担的除草机、修剪机、杀虫药剂等。此费用包含由承接主体承担的单次500元以下的单个维修零配件材料费及人工费，单次超过500元由购买主体提供材料，承接主体提供人工。</w:t>
            </w:r>
          </w:p>
        </w:tc>
      </w:tr>
      <w:tr w14:paraId="3409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5431F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（一）</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AB898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人员要求</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F7668">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有专业或兼职人员实施绿化的养护管理，绿化养护管理实行外包的应有协议书和监督检查记录。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A4533">
            <w:pPr>
              <w:jc w:val="center"/>
              <w:rPr>
                <w:rFonts w:hint="eastAsia" w:ascii="仿宋" w:hAnsi="仿宋" w:eastAsia="仿宋" w:cs="仿宋"/>
                <w:i w:val="0"/>
                <w:iCs w:val="0"/>
                <w:color w:val="000000"/>
                <w:sz w:val="32"/>
                <w:szCs w:val="32"/>
                <w:u w:val="none"/>
              </w:rPr>
            </w:pPr>
          </w:p>
        </w:tc>
      </w:tr>
      <w:tr w14:paraId="6F22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FDDE6">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513AD">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87445">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做好绿化养护管理的日常记录。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9BBA58">
            <w:pPr>
              <w:jc w:val="center"/>
              <w:rPr>
                <w:rFonts w:hint="eastAsia" w:ascii="仿宋" w:hAnsi="仿宋" w:eastAsia="仿宋" w:cs="仿宋"/>
                <w:i w:val="0"/>
                <w:iCs w:val="0"/>
                <w:color w:val="000000"/>
                <w:sz w:val="32"/>
                <w:szCs w:val="32"/>
                <w:u w:val="none"/>
              </w:rPr>
            </w:pPr>
          </w:p>
        </w:tc>
      </w:tr>
      <w:tr w14:paraId="748DE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EFF9D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（二）</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B1D67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日常服务</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AA4E0">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住宅楼(区)室外各类植株进行整形修剪、土壤、水肥管理和病虫害综合治理等日常养护,绿化带、盆株的日常清洁和绿化生产垃圾的清运,办公楼(区)门前规定区域绿地的养护管理等。</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A3495">
            <w:pPr>
              <w:jc w:val="center"/>
              <w:rPr>
                <w:rFonts w:hint="eastAsia" w:ascii="仿宋" w:hAnsi="仿宋" w:eastAsia="仿宋" w:cs="仿宋"/>
                <w:i w:val="0"/>
                <w:iCs w:val="0"/>
                <w:color w:val="000000"/>
                <w:sz w:val="32"/>
                <w:szCs w:val="32"/>
                <w:u w:val="none"/>
              </w:rPr>
            </w:pPr>
          </w:p>
        </w:tc>
      </w:tr>
      <w:tr w14:paraId="7C6F5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8934E">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659C0B">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02EC0">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针对植物的生长习性对草坪、花卉、绿篱、树木等定期进行修剪（含造型修剪）、浇水、施肥、补栽补种等养护，保持应有的观赏效果。</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153EA">
            <w:pPr>
              <w:jc w:val="center"/>
              <w:rPr>
                <w:rFonts w:hint="eastAsia" w:ascii="仿宋" w:hAnsi="仿宋" w:eastAsia="仿宋" w:cs="仿宋"/>
                <w:i w:val="0"/>
                <w:iCs w:val="0"/>
                <w:color w:val="000000"/>
                <w:sz w:val="32"/>
                <w:szCs w:val="32"/>
                <w:u w:val="none"/>
              </w:rPr>
            </w:pPr>
          </w:p>
        </w:tc>
      </w:tr>
      <w:tr w14:paraId="44630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C6CE1D">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E17A3A">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5404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定期清理绿地杂草、杂物：定期清除室内盆景绿色植物的叶面灰尘。</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ED5389">
            <w:pPr>
              <w:jc w:val="center"/>
              <w:rPr>
                <w:rFonts w:hint="eastAsia" w:ascii="仿宋" w:hAnsi="仿宋" w:eastAsia="仿宋" w:cs="仿宋"/>
                <w:i w:val="0"/>
                <w:iCs w:val="0"/>
                <w:color w:val="000000"/>
                <w:sz w:val="32"/>
                <w:szCs w:val="32"/>
                <w:u w:val="none"/>
              </w:rPr>
            </w:pPr>
          </w:p>
        </w:tc>
      </w:tr>
      <w:tr w14:paraId="730E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FBE28">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EBFF0">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E1D16">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绿化总体良好，草地无大面积的斑秃，花卉、绿篱、树木等无枯死现象。</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AA67E">
            <w:pPr>
              <w:jc w:val="center"/>
              <w:rPr>
                <w:rFonts w:hint="eastAsia" w:ascii="仿宋" w:hAnsi="仿宋" w:eastAsia="仿宋" w:cs="仿宋"/>
                <w:i w:val="0"/>
                <w:iCs w:val="0"/>
                <w:color w:val="000000"/>
                <w:sz w:val="32"/>
                <w:szCs w:val="32"/>
                <w:u w:val="none"/>
              </w:rPr>
            </w:pPr>
          </w:p>
        </w:tc>
      </w:tr>
      <w:tr w14:paraId="2537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A3704">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1F29AC">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8EB4D">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园林景观维护管理良好。</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38C5F">
            <w:pPr>
              <w:jc w:val="center"/>
              <w:rPr>
                <w:rFonts w:hint="eastAsia" w:ascii="仿宋" w:hAnsi="仿宋" w:eastAsia="仿宋" w:cs="仿宋"/>
                <w:i w:val="0"/>
                <w:iCs w:val="0"/>
                <w:color w:val="000000"/>
                <w:sz w:val="32"/>
                <w:szCs w:val="32"/>
                <w:u w:val="none"/>
              </w:rPr>
            </w:pPr>
          </w:p>
        </w:tc>
      </w:tr>
      <w:tr w14:paraId="50F2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235B7">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B8D83">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4C0CF">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根据季节和气候状况，对花草、树木等进行病虫害防治。</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736E66">
            <w:pPr>
              <w:jc w:val="center"/>
              <w:rPr>
                <w:rFonts w:hint="eastAsia" w:ascii="仿宋" w:hAnsi="仿宋" w:eastAsia="仿宋" w:cs="仿宋"/>
                <w:i w:val="0"/>
                <w:iCs w:val="0"/>
                <w:color w:val="000000"/>
                <w:sz w:val="32"/>
                <w:szCs w:val="32"/>
                <w:u w:val="none"/>
              </w:rPr>
            </w:pPr>
          </w:p>
        </w:tc>
      </w:tr>
      <w:tr w14:paraId="18C5A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49D406">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B88AE">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DF832">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其他（含绿化区供水系统的维修）</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A0D85">
            <w:pPr>
              <w:jc w:val="center"/>
              <w:rPr>
                <w:rFonts w:hint="eastAsia" w:ascii="仿宋" w:hAnsi="仿宋" w:eastAsia="仿宋" w:cs="仿宋"/>
                <w:i w:val="0"/>
                <w:iCs w:val="0"/>
                <w:color w:val="000000"/>
                <w:sz w:val="32"/>
                <w:szCs w:val="32"/>
                <w:u w:val="none"/>
              </w:rPr>
            </w:pPr>
          </w:p>
        </w:tc>
      </w:tr>
      <w:tr w14:paraId="14D0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AFC39">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四</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22CD6">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给排水设备运行维护服务</w:t>
            </w:r>
          </w:p>
        </w:tc>
      </w:tr>
      <w:tr w14:paraId="7D048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2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23D828">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给排水服务标准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3545A">
            <w:pPr>
              <w:keepNext w:val="0"/>
              <w:keepLines w:val="0"/>
              <w:widowControl/>
              <w:suppressLineNumbers w:val="0"/>
              <w:jc w:val="left"/>
              <w:textAlignment w:val="center"/>
              <w:rPr>
                <w:rFonts w:hint="eastAsia" w:ascii="仿宋" w:hAnsi="仿宋" w:eastAsia="仿宋" w:cs="仿宋"/>
                <w:b/>
                <w:bCs/>
                <w:i w:val="0"/>
                <w:iCs w:val="0"/>
                <w:color w:val="FF0000"/>
                <w:sz w:val="32"/>
                <w:szCs w:val="32"/>
                <w:u w:val="none"/>
              </w:rPr>
            </w:pPr>
            <w:r>
              <w:rPr>
                <w:rStyle w:val="50"/>
                <w:rFonts w:hint="eastAsia" w:ascii="仿宋" w:hAnsi="仿宋" w:eastAsia="仿宋" w:cs="仿宋"/>
                <w:i w:val="0"/>
                <w:iCs w:val="0"/>
                <w:color w:val="000000"/>
                <w:sz w:val="32"/>
                <w:szCs w:val="32"/>
                <w:lang w:val="en-US" w:eastAsia="zh-CN" w:bidi="ar"/>
              </w:rPr>
              <w:t>住宅楼(区)房屋内外给排水系统的水质监测，及蓄水池、供水管路、排水管、消火栓、隔油池等设备设施的日常养护维修。</w:t>
            </w:r>
            <w:r>
              <w:rPr>
                <w:rStyle w:val="50"/>
                <w:rFonts w:hint="eastAsia" w:ascii="仿宋" w:hAnsi="仿宋" w:eastAsia="仿宋" w:cs="仿宋"/>
                <w:sz w:val="32"/>
                <w:szCs w:val="32"/>
                <w:lang w:val="en-US" w:eastAsia="zh-CN" w:bidi="ar"/>
              </w:rPr>
              <w:t>供排水系统20000㎡/人，面积不足20000㎡的配备1人</w:t>
            </w:r>
            <w:r>
              <w:rPr>
                <w:rStyle w:val="50"/>
                <w:rFonts w:hint="eastAsia" w:ascii="仿宋" w:hAnsi="仿宋" w:eastAsia="仿宋" w:cs="仿宋"/>
                <w:i w:val="0"/>
                <w:iCs w:val="0"/>
                <w:color w:val="000000"/>
                <w:sz w:val="32"/>
                <w:szCs w:val="32"/>
                <w:lang w:val="en-US" w:eastAsia="zh-CN" w:bidi="ar"/>
              </w:rPr>
              <w:t>。服务面积：20000㎡（具体人数按照四舍五</w:t>
            </w:r>
            <w:r>
              <w:rPr>
                <w:rStyle w:val="50"/>
                <w:rFonts w:hint="eastAsia" w:ascii="仿宋" w:hAnsi="仿宋" w:eastAsia="仿宋" w:cs="仿宋"/>
                <w:sz w:val="32"/>
                <w:szCs w:val="32"/>
                <w:lang w:val="en-US" w:eastAsia="zh-CN" w:bidi="ar"/>
              </w:rPr>
              <w:t>入的原则进行化整）</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347A0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br w:type="textWrapping"/>
            </w:r>
            <w:r>
              <w:rPr>
                <w:rFonts w:hint="eastAsia" w:ascii="仿宋" w:hAnsi="仿宋" w:eastAsia="仿宋" w:cs="仿宋"/>
                <w:i w:val="0"/>
                <w:iCs w:val="0"/>
                <w:color w:val="000000"/>
                <w:kern w:val="0"/>
                <w:sz w:val="32"/>
                <w:szCs w:val="32"/>
                <w:u w:val="none"/>
                <w:lang w:val="en-US" w:eastAsia="zh-CN" w:bidi="ar"/>
              </w:rPr>
              <w:t>㎡指单位住宅楼(区)内建筑面积。此费用包含由承接主体承担的单次</w:t>
            </w:r>
            <w:r>
              <w:rPr>
                <w:rStyle w:val="51"/>
                <w:rFonts w:hint="eastAsia" w:ascii="仿宋" w:hAnsi="仿宋" w:eastAsia="仿宋" w:cs="仿宋"/>
                <w:sz w:val="32"/>
                <w:szCs w:val="32"/>
                <w:lang w:val="en-US" w:eastAsia="zh-CN" w:bidi="ar"/>
              </w:rPr>
              <w:t>500元以下的单个维修零配件材料费</w:t>
            </w:r>
            <w:r>
              <w:rPr>
                <w:rStyle w:val="51"/>
                <w:rFonts w:hint="eastAsia" w:ascii="仿宋" w:hAnsi="仿宋" w:eastAsia="仿宋" w:cs="仿宋"/>
                <w:i w:val="0"/>
                <w:iCs w:val="0"/>
                <w:color w:val="000000"/>
                <w:sz w:val="32"/>
                <w:szCs w:val="32"/>
                <w:lang w:val="en-US" w:eastAsia="zh-CN" w:bidi="ar"/>
              </w:rPr>
              <w:t>及人工费；单次超过500元由购买主体提供材料，承接主体提供人工。</w:t>
            </w:r>
          </w:p>
        </w:tc>
      </w:tr>
      <w:tr w14:paraId="14E70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5BC4C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（一）</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3D92D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人员要求</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A8B5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配备专职机电维修人员负责设备设施的日常管理与维修保养，维修保养记录齐全。设备夜间运行有专人值班。</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E6C8B">
            <w:pPr>
              <w:jc w:val="center"/>
              <w:rPr>
                <w:rFonts w:hint="eastAsia" w:ascii="仿宋" w:hAnsi="仿宋" w:eastAsia="仿宋" w:cs="仿宋"/>
                <w:i w:val="0"/>
                <w:iCs w:val="0"/>
                <w:color w:val="000000"/>
                <w:sz w:val="32"/>
                <w:szCs w:val="32"/>
                <w:u w:val="none"/>
              </w:rPr>
            </w:pPr>
          </w:p>
        </w:tc>
      </w:tr>
      <w:tr w14:paraId="4F08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A5058">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2C687">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81AD8">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每天1次巡视设备设施，并有记录。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138AFD">
            <w:pPr>
              <w:jc w:val="center"/>
              <w:rPr>
                <w:rFonts w:hint="eastAsia" w:ascii="仿宋" w:hAnsi="仿宋" w:eastAsia="仿宋" w:cs="仿宋"/>
                <w:i w:val="0"/>
                <w:iCs w:val="0"/>
                <w:color w:val="000000"/>
                <w:sz w:val="32"/>
                <w:szCs w:val="32"/>
                <w:u w:val="none"/>
              </w:rPr>
            </w:pPr>
          </w:p>
        </w:tc>
      </w:tr>
      <w:tr w14:paraId="0EE27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A42B11">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E7980B">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C1A19">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专业技术人员取得相关资质，需持证上岗。</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DD8AA">
            <w:pPr>
              <w:jc w:val="center"/>
              <w:rPr>
                <w:rFonts w:hint="eastAsia" w:ascii="仿宋" w:hAnsi="仿宋" w:eastAsia="仿宋" w:cs="仿宋"/>
                <w:i w:val="0"/>
                <w:iCs w:val="0"/>
                <w:color w:val="000000"/>
                <w:sz w:val="32"/>
                <w:szCs w:val="32"/>
                <w:u w:val="none"/>
              </w:rPr>
            </w:pPr>
          </w:p>
        </w:tc>
      </w:tr>
      <w:tr w14:paraId="04D9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62EC86">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（二）</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43A30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给水系统</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54A06">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每周对供水设备检查3次以上，每季对水泵润滑点加油。每季1次对泵房、管道等进行除锈、油漆，每年保养1次水泵，保证二次供水正常，泵房整洁。</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CC1CD">
            <w:pPr>
              <w:jc w:val="center"/>
              <w:rPr>
                <w:rFonts w:hint="eastAsia" w:ascii="仿宋" w:hAnsi="仿宋" w:eastAsia="仿宋" w:cs="仿宋"/>
                <w:i w:val="0"/>
                <w:iCs w:val="0"/>
                <w:color w:val="000000"/>
                <w:sz w:val="32"/>
                <w:szCs w:val="32"/>
                <w:u w:val="none"/>
              </w:rPr>
            </w:pPr>
          </w:p>
        </w:tc>
      </w:tr>
      <w:tr w14:paraId="75F5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2D9E6">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2F9CCD">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D08D4">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每年定期2次清洗水箱、蓄水池，二次供水的水质符合国家规定的生活用水标准。</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7BB2F">
            <w:pPr>
              <w:jc w:val="center"/>
              <w:rPr>
                <w:rFonts w:hint="eastAsia" w:ascii="仿宋" w:hAnsi="仿宋" w:eastAsia="仿宋" w:cs="仿宋"/>
                <w:i w:val="0"/>
                <w:iCs w:val="0"/>
                <w:color w:val="000000"/>
                <w:sz w:val="32"/>
                <w:szCs w:val="32"/>
                <w:u w:val="none"/>
              </w:rPr>
            </w:pPr>
          </w:p>
        </w:tc>
      </w:tr>
      <w:tr w14:paraId="503AC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19CD6">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7C052">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12E11">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高层房屋每年2次对减压阀进行测压并做好记录。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58060">
            <w:pPr>
              <w:jc w:val="center"/>
              <w:rPr>
                <w:rFonts w:hint="eastAsia" w:ascii="仿宋" w:hAnsi="仿宋" w:eastAsia="仿宋" w:cs="仿宋"/>
                <w:i w:val="0"/>
                <w:iCs w:val="0"/>
                <w:color w:val="000000"/>
                <w:sz w:val="32"/>
                <w:szCs w:val="32"/>
                <w:u w:val="none"/>
              </w:rPr>
            </w:pPr>
          </w:p>
        </w:tc>
      </w:tr>
      <w:tr w14:paraId="4AC2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8C45C">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2D04B5">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20A96">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水箱、蓄水池盖板保持完好并加锁；溢流管口必须安装金属防护网并完好。每年秋、冬季对暴露水管进行防冻保养。</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AE88A">
            <w:pPr>
              <w:jc w:val="center"/>
              <w:rPr>
                <w:rFonts w:hint="eastAsia" w:ascii="仿宋" w:hAnsi="仿宋" w:eastAsia="仿宋" w:cs="仿宋"/>
                <w:i w:val="0"/>
                <w:iCs w:val="0"/>
                <w:color w:val="000000"/>
                <w:sz w:val="32"/>
                <w:szCs w:val="32"/>
                <w:u w:val="none"/>
              </w:rPr>
            </w:pPr>
          </w:p>
        </w:tc>
      </w:tr>
      <w:tr w14:paraId="485C2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E34ED">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84B80">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AC580">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检查和维修记录完整。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B88D7">
            <w:pPr>
              <w:jc w:val="center"/>
              <w:rPr>
                <w:rFonts w:hint="eastAsia" w:ascii="仿宋" w:hAnsi="仿宋" w:eastAsia="仿宋" w:cs="仿宋"/>
                <w:i w:val="0"/>
                <w:iCs w:val="0"/>
                <w:color w:val="000000"/>
                <w:sz w:val="32"/>
                <w:szCs w:val="32"/>
                <w:u w:val="none"/>
              </w:rPr>
            </w:pPr>
          </w:p>
        </w:tc>
      </w:tr>
      <w:tr w14:paraId="73360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3AF55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（三）</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18720">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排水系统(二级生化处理）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18096">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每天2次检查污水泵、提升泵、排出泵，每季1次润滑加油。</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7A5EB">
            <w:pPr>
              <w:jc w:val="center"/>
              <w:rPr>
                <w:rFonts w:hint="eastAsia" w:ascii="仿宋" w:hAnsi="仿宋" w:eastAsia="仿宋" w:cs="仿宋"/>
                <w:i w:val="0"/>
                <w:iCs w:val="0"/>
                <w:color w:val="000000"/>
                <w:sz w:val="32"/>
                <w:szCs w:val="32"/>
                <w:u w:val="none"/>
              </w:rPr>
            </w:pPr>
          </w:p>
        </w:tc>
      </w:tr>
      <w:tr w14:paraId="19726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10619">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DAF0AD">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4271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每年2次对污水处理系统进行全面维护。</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2B21DA">
            <w:pPr>
              <w:jc w:val="center"/>
              <w:rPr>
                <w:rFonts w:hint="eastAsia" w:ascii="仿宋" w:hAnsi="仿宋" w:eastAsia="仿宋" w:cs="仿宋"/>
                <w:i w:val="0"/>
                <w:iCs w:val="0"/>
                <w:color w:val="000000"/>
                <w:sz w:val="32"/>
                <w:szCs w:val="32"/>
                <w:u w:val="none"/>
              </w:rPr>
            </w:pPr>
          </w:p>
        </w:tc>
      </w:tr>
      <w:tr w14:paraId="2C26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1163A">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8D001B">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2E09B">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污水处理系统正常运行，周边基本无异味和明显噪声，过滤格栅无堵塞，污水排放符合环保要求。</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83129">
            <w:pPr>
              <w:jc w:val="center"/>
              <w:rPr>
                <w:rFonts w:hint="eastAsia" w:ascii="仿宋" w:hAnsi="仿宋" w:eastAsia="仿宋" w:cs="仿宋"/>
                <w:i w:val="0"/>
                <w:iCs w:val="0"/>
                <w:color w:val="000000"/>
                <w:sz w:val="32"/>
                <w:szCs w:val="32"/>
                <w:u w:val="none"/>
              </w:rPr>
            </w:pPr>
          </w:p>
        </w:tc>
      </w:tr>
      <w:tr w14:paraId="3003B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AAD39">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BA4F5">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E1C73">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检查和维修记录完整。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E87A8">
            <w:pPr>
              <w:jc w:val="center"/>
              <w:rPr>
                <w:rFonts w:hint="eastAsia" w:ascii="仿宋" w:hAnsi="仿宋" w:eastAsia="仿宋" w:cs="仿宋"/>
                <w:i w:val="0"/>
                <w:iCs w:val="0"/>
                <w:color w:val="000000"/>
                <w:sz w:val="32"/>
                <w:szCs w:val="32"/>
                <w:u w:val="none"/>
              </w:rPr>
            </w:pPr>
          </w:p>
        </w:tc>
      </w:tr>
      <w:tr w14:paraId="7CE4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271817">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（四）</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D02E5C">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雨水、污水井污水管道</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F09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按照操作流程要求，至少每季度疏通1次，汛期增加巡视频次，视情况随时疏通，清洁疏通记录完整。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2C49E">
            <w:pPr>
              <w:jc w:val="center"/>
              <w:rPr>
                <w:rFonts w:hint="eastAsia" w:ascii="仿宋" w:hAnsi="仿宋" w:eastAsia="仿宋" w:cs="仿宋"/>
                <w:i w:val="0"/>
                <w:iCs w:val="0"/>
                <w:color w:val="000000"/>
                <w:sz w:val="32"/>
                <w:szCs w:val="32"/>
                <w:u w:val="none"/>
              </w:rPr>
            </w:pPr>
          </w:p>
        </w:tc>
      </w:tr>
      <w:tr w14:paraId="3BE44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F21C21">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2EE65F">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E32CB">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按照操作流程要求，每季度检查清理1次，并视检查情况及时清掏，清洁疏通记录完整。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D7FA8B">
            <w:pPr>
              <w:jc w:val="center"/>
              <w:rPr>
                <w:rFonts w:hint="eastAsia" w:ascii="仿宋" w:hAnsi="仿宋" w:eastAsia="仿宋" w:cs="仿宋"/>
                <w:i w:val="0"/>
                <w:iCs w:val="0"/>
                <w:color w:val="000000"/>
                <w:sz w:val="32"/>
                <w:szCs w:val="32"/>
                <w:u w:val="none"/>
              </w:rPr>
            </w:pPr>
          </w:p>
        </w:tc>
      </w:tr>
      <w:tr w14:paraId="059E7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8ED7A">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（五）</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E558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化粪池</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82A2C">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按照操作流程要求，每季度检查1次、每年清掏1次，发现异常及时清掏；化粪池无溢满，并有检查和清理记录。设置警示标志，清洁疏通记录完整。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D5ADE">
            <w:pPr>
              <w:jc w:val="center"/>
              <w:rPr>
                <w:rFonts w:hint="eastAsia" w:ascii="仿宋" w:hAnsi="仿宋" w:eastAsia="仿宋" w:cs="仿宋"/>
                <w:i w:val="0"/>
                <w:iCs w:val="0"/>
                <w:color w:val="000000"/>
                <w:sz w:val="32"/>
                <w:szCs w:val="32"/>
                <w:u w:val="none"/>
              </w:rPr>
            </w:pPr>
          </w:p>
        </w:tc>
      </w:tr>
      <w:tr w14:paraId="5252C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63DE9">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（六）</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8B7F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消毒灭害</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C78BA">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按照操作流程要求，公共环境每季度消杀2次，夏季每月消杀1次，每半年灭鼠1次，遇有特殊情况要及时进行消杀或按有关部门的布置进行消杀，消杀记录完整。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5B1E1">
            <w:pPr>
              <w:jc w:val="center"/>
              <w:rPr>
                <w:rFonts w:hint="eastAsia" w:ascii="仿宋" w:hAnsi="仿宋" w:eastAsia="仿宋" w:cs="仿宋"/>
                <w:i w:val="0"/>
                <w:iCs w:val="0"/>
                <w:color w:val="000000"/>
                <w:sz w:val="32"/>
                <w:szCs w:val="32"/>
                <w:u w:val="none"/>
              </w:rPr>
            </w:pPr>
          </w:p>
        </w:tc>
      </w:tr>
      <w:tr w14:paraId="0C1F3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5FC2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（七）</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1508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其他</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833D5">
            <w:pPr>
              <w:keepNext w:val="0"/>
              <w:keepLines w:val="0"/>
              <w:widowControl/>
              <w:suppressLineNumbers w:val="0"/>
              <w:jc w:val="left"/>
              <w:textAlignment w:val="center"/>
              <w:rPr>
                <w:rFonts w:hint="eastAsia" w:ascii="仿宋" w:hAnsi="仿宋" w:eastAsia="仿宋" w:cs="仿宋"/>
                <w:i w:val="0"/>
                <w:iCs w:val="0"/>
                <w:color w:val="FF0000"/>
                <w:sz w:val="32"/>
                <w:szCs w:val="32"/>
                <w:u w:val="none"/>
              </w:rPr>
            </w:pPr>
            <w:r>
              <w:rPr>
                <w:rFonts w:hint="eastAsia" w:ascii="仿宋" w:hAnsi="仿宋" w:eastAsia="仿宋" w:cs="仿宋"/>
                <w:i w:val="0"/>
                <w:iCs w:val="0"/>
                <w:color w:val="000000"/>
                <w:kern w:val="0"/>
                <w:sz w:val="32"/>
                <w:szCs w:val="32"/>
                <w:u w:val="none"/>
                <w:lang w:val="en-US" w:eastAsia="zh-CN" w:bidi="ar"/>
              </w:rPr>
              <w:t>包括水龙头更换、阀门更换等。</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58EDF">
            <w:pPr>
              <w:jc w:val="center"/>
              <w:rPr>
                <w:rFonts w:hint="eastAsia" w:ascii="仿宋" w:hAnsi="仿宋" w:eastAsia="仿宋" w:cs="仿宋"/>
                <w:i w:val="0"/>
                <w:iCs w:val="0"/>
                <w:color w:val="000000"/>
                <w:sz w:val="32"/>
                <w:szCs w:val="32"/>
                <w:u w:val="none"/>
              </w:rPr>
            </w:pPr>
          </w:p>
        </w:tc>
      </w:tr>
      <w:tr w14:paraId="1CE9F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97F7ED">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五</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00A99">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公用设施设备维护服务</w:t>
            </w:r>
          </w:p>
        </w:tc>
      </w:tr>
      <w:tr w14:paraId="2476E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075"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669EDF">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公用设施设备服务标准</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CB251">
            <w:pPr>
              <w:keepNext w:val="0"/>
              <w:keepLines w:val="0"/>
              <w:widowControl/>
              <w:suppressLineNumbers w:val="0"/>
              <w:jc w:val="left"/>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电梯维护包含检测和保险费，消防维保包含检测费和维保费，电梯、消防、中央空调、备用电源及供电系统按照国家、自治区和自治州市场信息协商相关费用，费用应持平或者低于阿图什市平均市场价。</w:t>
            </w:r>
            <w:bookmarkStart w:id="363" w:name="_GoBack"/>
            <w:bookmarkEnd w:id="363"/>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F9372F">
            <w:pPr>
              <w:keepNext w:val="0"/>
              <w:keepLines w:val="0"/>
              <w:widowControl/>
              <w:suppressLineNumbers w:val="0"/>
              <w:jc w:val="center"/>
              <w:textAlignment w:val="center"/>
              <w:rPr>
                <w:rFonts w:hint="eastAsia" w:ascii="仿宋" w:hAnsi="仿宋" w:eastAsia="仿宋" w:cs="仿宋"/>
                <w:i w:val="0"/>
                <w:iCs w:val="0"/>
                <w:color w:val="FF0000"/>
                <w:sz w:val="32"/>
                <w:szCs w:val="32"/>
                <w:u w:val="none"/>
              </w:rPr>
            </w:pPr>
            <w:r>
              <w:rPr>
                <w:rFonts w:hint="eastAsia" w:ascii="仿宋" w:hAnsi="仿宋" w:eastAsia="仿宋" w:cs="仿宋"/>
                <w:i w:val="0"/>
                <w:iCs w:val="0"/>
                <w:color w:val="000000"/>
                <w:kern w:val="0"/>
                <w:sz w:val="32"/>
                <w:szCs w:val="32"/>
                <w:u w:val="none"/>
                <w:lang w:val="en-US" w:eastAsia="zh-CN" w:bidi="ar"/>
              </w:rPr>
              <w:t>单次500元以下的单个维修零配件材料费人工费由承接主体承担；单次超</w:t>
            </w:r>
            <w:r>
              <w:rPr>
                <w:rStyle w:val="49"/>
                <w:rFonts w:hint="eastAsia" w:ascii="仿宋" w:hAnsi="仿宋" w:eastAsia="仿宋" w:cs="仿宋"/>
                <w:sz w:val="32"/>
                <w:szCs w:val="32"/>
                <w:lang w:val="en-US" w:eastAsia="zh-CN" w:bidi="ar"/>
              </w:rPr>
              <w:t>过500元由购买主体提供材料，承接主体提供人工。</w:t>
            </w:r>
          </w:p>
        </w:tc>
      </w:tr>
      <w:tr w14:paraId="54062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A42BF2">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（一)</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FF4B7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电梯维保检测服务</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7BD15">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电梯维护保养必须要取得资质的维保公司开展，并有固定持证维保人员，严格按照《电梯维护保养规则（TSG T5002-2017）》安全技术规范开展。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90BCE">
            <w:pPr>
              <w:jc w:val="center"/>
              <w:rPr>
                <w:rFonts w:hint="eastAsia" w:ascii="仿宋" w:hAnsi="仿宋" w:eastAsia="仿宋" w:cs="仿宋"/>
                <w:i w:val="0"/>
                <w:iCs w:val="0"/>
                <w:color w:val="FF0000"/>
                <w:sz w:val="32"/>
                <w:szCs w:val="32"/>
                <w:u w:val="none"/>
              </w:rPr>
            </w:pPr>
          </w:p>
        </w:tc>
      </w:tr>
      <w:tr w14:paraId="11933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CEDF3">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F4328">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8B4B2">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住宅楼(区)电梯年检等运行管理,及对机房设备、井道系统、轿厢设备等的日常养护维修。</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83170D">
            <w:pPr>
              <w:jc w:val="center"/>
              <w:rPr>
                <w:rFonts w:hint="eastAsia" w:ascii="仿宋" w:hAnsi="仿宋" w:eastAsia="仿宋" w:cs="仿宋"/>
                <w:i w:val="0"/>
                <w:iCs w:val="0"/>
                <w:color w:val="FF0000"/>
                <w:sz w:val="32"/>
                <w:szCs w:val="32"/>
                <w:u w:val="none"/>
              </w:rPr>
            </w:pPr>
          </w:p>
        </w:tc>
      </w:tr>
      <w:tr w14:paraId="4DCF5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566C6">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74E7D">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EBE3">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保证住宅楼(区)电梯24小时运行，轿厢内按钮，灯具等配件保持完好，轿厢整洁。</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D576D1">
            <w:pPr>
              <w:jc w:val="center"/>
              <w:rPr>
                <w:rFonts w:hint="eastAsia" w:ascii="仿宋" w:hAnsi="仿宋" w:eastAsia="仿宋" w:cs="仿宋"/>
                <w:i w:val="0"/>
                <w:iCs w:val="0"/>
                <w:color w:val="FF0000"/>
                <w:sz w:val="32"/>
                <w:szCs w:val="32"/>
                <w:u w:val="none"/>
              </w:rPr>
            </w:pPr>
          </w:p>
        </w:tc>
      </w:tr>
      <w:tr w14:paraId="312D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9"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95557">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EC1C51">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C3B03">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按照特种设备安全技术规范，委托专业维保单位进行定期保养，每年定期进行1次检测：物业公司应有专人对电梯保养进行监督，并对电梯运行进行管理。</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23546">
            <w:pPr>
              <w:jc w:val="center"/>
              <w:rPr>
                <w:rFonts w:hint="eastAsia" w:ascii="仿宋" w:hAnsi="仿宋" w:eastAsia="仿宋" w:cs="仿宋"/>
                <w:i w:val="0"/>
                <w:iCs w:val="0"/>
                <w:color w:val="FF0000"/>
                <w:sz w:val="32"/>
                <w:szCs w:val="32"/>
                <w:u w:val="none"/>
              </w:rPr>
            </w:pPr>
          </w:p>
        </w:tc>
      </w:tr>
      <w:tr w14:paraId="47C80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E1F92">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A1EB3">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DAFBF">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电梯发生一般故障，专业维修人员1小时内到达现场修理，一般故障维修停机不超过2小时；发生电梯困人或其它重大事件时，物业管理人员须在5分钟之内到现场应急处理，专业维修人员应在20分钟内到现场进行救助。</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8A9B8">
            <w:pPr>
              <w:jc w:val="center"/>
              <w:rPr>
                <w:rFonts w:hint="eastAsia" w:ascii="仿宋" w:hAnsi="仿宋" w:eastAsia="仿宋" w:cs="仿宋"/>
                <w:i w:val="0"/>
                <w:iCs w:val="0"/>
                <w:color w:val="FF0000"/>
                <w:sz w:val="32"/>
                <w:szCs w:val="32"/>
                <w:u w:val="none"/>
              </w:rPr>
            </w:pPr>
          </w:p>
        </w:tc>
      </w:tr>
      <w:tr w14:paraId="74C7C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9336E">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D4C22">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583AA">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检查和维修记录完整。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D0321">
            <w:pPr>
              <w:jc w:val="center"/>
              <w:rPr>
                <w:rFonts w:hint="eastAsia" w:ascii="仿宋" w:hAnsi="仿宋" w:eastAsia="仿宋" w:cs="仿宋"/>
                <w:i w:val="0"/>
                <w:iCs w:val="0"/>
                <w:color w:val="FF0000"/>
                <w:sz w:val="32"/>
                <w:szCs w:val="32"/>
                <w:u w:val="none"/>
              </w:rPr>
            </w:pPr>
          </w:p>
        </w:tc>
      </w:tr>
      <w:tr w14:paraId="19C4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C50A87">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（二）</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315D4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备用电源系统维护</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C5C8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按规定周期维护应急发电设备，确保随时应急启用，包含测试、检测、更换防冻液、润滑、加油等工作。</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CA02CE">
            <w:pPr>
              <w:keepNext w:val="0"/>
              <w:keepLines w:val="0"/>
              <w:widowControl/>
              <w:suppressLineNumbers w:val="0"/>
              <w:jc w:val="center"/>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包含由承接主体承担的单次300元以下的单个维修零配件材料费及人工；单次超过300元由购买主体提供材料，承接主体提供人工。</w:t>
            </w:r>
          </w:p>
        </w:tc>
      </w:tr>
      <w:tr w14:paraId="36E6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075F2">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AFC3A">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778F9">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检查和维修记录完整。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D0F9E">
            <w:pPr>
              <w:jc w:val="center"/>
              <w:rPr>
                <w:rFonts w:hint="eastAsia" w:ascii="仿宋" w:hAnsi="仿宋" w:eastAsia="仿宋" w:cs="仿宋"/>
                <w:i w:val="0"/>
                <w:iCs w:val="0"/>
                <w:color w:val="000000"/>
                <w:kern w:val="0"/>
                <w:sz w:val="32"/>
                <w:szCs w:val="32"/>
                <w:u w:val="none"/>
                <w:lang w:val="en-US" w:eastAsia="zh-CN" w:bidi="ar"/>
              </w:rPr>
            </w:pPr>
          </w:p>
        </w:tc>
      </w:tr>
      <w:tr w14:paraId="6D56C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0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09537">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（三）</w:t>
            </w:r>
          </w:p>
        </w:tc>
        <w:tc>
          <w:tcPr>
            <w:tcW w:w="10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02ADE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消防系统维保检测及控制室值班服务</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C4F8D">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制定并实施管理区域的消防安全制度、操作规程和消防档案管理制度，实施消防安全责任制，组织物业服务企业员工消防安全培训，定期开展消防宣传教育。</w:t>
            </w:r>
          </w:p>
        </w:tc>
        <w:tc>
          <w:tcPr>
            <w:tcW w:w="11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80EAAB">
            <w:pPr>
              <w:keepNext w:val="0"/>
              <w:keepLines w:val="0"/>
              <w:widowControl/>
              <w:suppressLineNumbers w:val="0"/>
              <w:jc w:val="center"/>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㎡指单位住宅楼(区)内建筑面积，单次500元以下的单个维修零配件材料费及人工费；单次超过500元由购买主体提供材料，承接主体提供人工。</w:t>
            </w:r>
          </w:p>
        </w:tc>
      </w:tr>
      <w:tr w14:paraId="72C7A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ABE1B">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3F379">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81B2A">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每日对管理区域内共用部位进行防火巡查，每月至少进行一次防火检查，消除火灾隐患，保障疏散通道、安全出口、消防车通道畅通，消防车登高操作场地不被占用。设立消防疏散示意图，照明设备、引路标志完好。</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4126C">
            <w:pPr>
              <w:jc w:val="center"/>
              <w:rPr>
                <w:rFonts w:hint="eastAsia" w:ascii="仿宋" w:hAnsi="仿宋" w:eastAsia="仿宋" w:cs="仿宋"/>
                <w:i w:val="0"/>
                <w:iCs w:val="0"/>
                <w:color w:val="000000"/>
                <w:sz w:val="32"/>
                <w:szCs w:val="32"/>
                <w:u w:val="none"/>
              </w:rPr>
            </w:pPr>
          </w:p>
        </w:tc>
      </w:tr>
      <w:tr w14:paraId="09D3F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92510">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62B18">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1C864">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定期对管理区域内共用消防设施器材及消防安全标志和疏散通道、安全出口、消防车通道进行维护管理，对消防车通道及消防车登高操作场地实施划线管理。按照有关规定和约定落实资金予以修复，确保完好有效。</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2DAA7">
            <w:pPr>
              <w:jc w:val="center"/>
              <w:rPr>
                <w:rFonts w:hint="eastAsia" w:ascii="仿宋" w:hAnsi="仿宋" w:eastAsia="仿宋" w:cs="仿宋"/>
                <w:i w:val="0"/>
                <w:iCs w:val="0"/>
                <w:color w:val="000000"/>
                <w:sz w:val="32"/>
                <w:szCs w:val="32"/>
                <w:u w:val="none"/>
              </w:rPr>
            </w:pPr>
          </w:p>
        </w:tc>
      </w:tr>
      <w:tr w14:paraId="1784E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F1F7F">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F07E54">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30E01">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及时劝阻和制止占用、堵塞、封闭疏散通道、安全出口、消防车通道等地方停放车辆、电动自行车、电动摩托车及充电等火灾隐患或者消防安全违法行为，并做好相关记录。</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49E56">
            <w:pPr>
              <w:jc w:val="center"/>
              <w:rPr>
                <w:rFonts w:hint="eastAsia" w:ascii="仿宋" w:hAnsi="仿宋" w:eastAsia="仿宋" w:cs="仿宋"/>
                <w:i w:val="0"/>
                <w:iCs w:val="0"/>
                <w:color w:val="000000"/>
                <w:sz w:val="32"/>
                <w:szCs w:val="32"/>
                <w:u w:val="none"/>
              </w:rPr>
            </w:pPr>
          </w:p>
        </w:tc>
      </w:tr>
      <w:tr w14:paraId="6FEC5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735F2">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49CC45">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43FFC">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在消防等部门所指导下制定灭火和应急疏散预案，每年组织业主、物业使用人至少进行一次消防设施和器材使用、灭火及安全疏散为重点的消防演练。</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569E3">
            <w:pPr>
              <w:jc w:val="center"/>
              <w:rPr>
                <w:rFonts w:hint="eastAsia" w:ascii="仿宋" w:hAnsi="仿宋" w:eastAsia="仿宋" w:cs="仿宋"/>
                <w:i w:val="0"/>
                <w:iCs w:val="0"/>
                <w:color w:val="000000"/>
                <w:sz w:val="32"/>
                <w:szCs w:val="32"/>
                <w:u w:val="none"/>
              </w:rPr>
            </w:pPr>
          </w:p>
        </w:tc>
      </w:tr>
      <w:tr w14:paraId="33E8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00307">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6337B">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37495">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落实消防控制室管理制度，发现火灾及时报警，组织安全疏散，实施初起火灾扑救，并保护火灾现场，协助火灾事故调查。（针对提供消防控制室值班服务的项目）</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356DE8">
            <w:pPr>
              <w:jc w:val="center"/>
              <w:rPr>
                <w:rFonts w:hint="eastAsia" w:ascii="仿宋" w:hAnsi="仿宋" w:eastAsia="仿宋" w:cs="仿宋"/>
                <w:i w:val="0"/>
                <w:iCs w:val="0"/>
                <w:color w:val="000000"/>
                <w:sz w:val="32"/>
                <w:szCs w:val="32"/>
                <w:u w:val="none"/>
              </w:rPr>
            </w:pPr>
          </w:p>
        </w:tc>
      </w:tr>
      <w:tr w14:paraId="5182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69620">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37BA2">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0D992">
            <w:pPr>
              <w:keepNext w:val="0"/>
              <w:keepLines w:val="0"/>
              <w:widowControl/>
              <w:suppressLineNumbers w:val="0"/>
              <w:jc w:val="left"/>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办公楼(区)灭火器与自动报警系统、自动喷淋系统、安全疏散系统及红外线报警器等日常管理养护。</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5E8BEE">
            <w:pPr>
              <w:jc w:val="center"/>
              <w:rPr>
                <w:rFonts w:hint="eastAsia" w:ascii="仿宋" w:hAnsi="仿宋" w:eastAsia="仿宋" w:cs="仿宋"/>
                <w:i w:val="0"/>
                <w:iCs w:val="0"/>
                <w:color w:val="000000"/>
                <w:sz w:val="32"/>
                <w:szCs w:val="32"/>
                <w:u w:val="none"/>
              </w:rPr>
            </w:pPr>
          </w:p>
        </w:tc>
      </w:tr>
      <w:tr w14:paraId="2BF80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1A1D5">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F4C1A">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CBC22">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消防设备设施至少每一个半月运行保养一次，设备设施完好，随时可投人使用。消防加压水泵每月启动1次并作记录，每年保养一次，保证其运行正常。消防栓每月巡查1次，消防栓箱内各种配件完好。</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56BAB7">
            <w:pPr>
              <w:jc w:val="center"/>
              <w:rPr>
                <w:rFonts w:hint="eastAsia" w:ascii="仿宋" w:hAnsi="仿宋" w:eastAsia="仿宋" w:cs="仿宋"/>
                <w:i w:val="0"/>
                <w:iCs w:val="0"/>
                <w:color w:val="000000"/>
                <w:sz w:val="32"/>
                <w:szCs w:val="32"/>
                <w:u w:val="none"/>
              </w:rPr>
            </w:pPr>
          </w:p>
        </w:tc>
      </w:tr>
      <w:tr w14:paraId="7861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54B2F">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CFE1C">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FB6DD">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每半月检查火警功能、报警功能是否正常。每月试验1次，烟感、温感、探测器，并对全部控制装置进行1次试验；火灾探测器投入运行两年后，应每隔三年全部清洗1次，不合格的应更换。</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746B3">
            <w:pPr>
              <w:jc w:val="center"/>
              <w:rPr>
                <w:rFonts w:hint="eastAsia" w:ascii="仿宋" w:hAnsi="仿宋" w:eastAsia="仿宋" w:cs="仿宋"/>
                <w:i w:val="0"/>
                <w:iCs w:val="0"/>
                <w:color w:val="000000"/>
                <w:sz w:val="32"/>
                <w:szCs w:val="32"/>
                <w:u w:val="none"/>
              </w:rPr>
            </w:pPr>
          </w:p>
        </w:tc>
      </w:tr>
      <w:tr w14:paraId="04B7B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D8AB8">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BCA3A">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F6B77">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每月检查1次消防水带、水枪、阀杆处加注润滑油并作1次放水检查。</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AE70B">
            <w:pPr>
              <w:jc w:val="center"/>
              <w:rPr>
                <w:rFonts w:hint="eastAsia" w:ascii="仿宋" w:hAnsi="仿宋" w:eastAsia="仿宋" w:cs="仿宋"/>
                <w:i w:val="0"/>
                <w:iCs w:val="0"/>
                <w:color w:val="000000"/>
                <w:sz w:val="32"/>
                <w:szCs w:val="32"/>
                <w:u w:val="none"/>
              </w:rPr>
            </w:pPr>
          </w:p>
        </w:tc>
      </w:tr>
      <w:tr w14:paraId="7D05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23248">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2856D">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8A42B">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每月检查1次灭火器，临近失效立即更新或充压。</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768853">
            <w:pPr>
              <w:jc w:val="center"/>
              <w:rPr>
                <w:rFonts w:hint="eastAsia" w:ascii="仿宋" w:hAnsi="仿宋" w:eastAsia="仿宋" w:cs="仿宋"/>
                <w:i w:val="0"/>
                <w:iCs w:val="0"/>
                <w:color w:val="000000"/>
                <w:sz w:val="32"/>
                <w:szCs w:val="32"/>
                <w:u w:val="none"/>
              </w:rPr>
            </w:pPr>
          </w:p>
        </w:tc>
      </w:tr>
      <w:tr w14:paraId="0877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3BF0D">
            <w:pPr>
              <w:jc w:val="center"/>
              <w:rPr>
                <w:rFonts w:hint="eastAsia" w:ascii="仿宋" w:hAnsi="仿宋" w:eastAsia="仿宋" w:cs="仿宋"/>
                <w:i w:val="0"/>
                <w:iCs w:val="0"/>
                <w:color w:val="000000"/>
                <w:sz w:val="32"/>
                <w:szCs w:val="32"/>
                <w:u w:val="none"/>
              </w:rPr>
            </w:pPr>
          </w:p>
        </w:tc>
        <w:tc>
          <w:tcPr>
            <w:tcW w:w="10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C7478">
            <w:pPr>
              <w:jc w:val="center"/>
              <w:rPr>
                <w:rFonts w:hint="eastAsia" w:ascii="仿宋" w:hAnsi="仿宋" w:eastAsia="仿宋" w:cs="仿宋"/>
                <w:i w:val="0"/>
                <w:iCs w:val="0"/>
                <w:color w:val="000000"/>
                <w:sz w:val="32"/>
                <w:szCs w:val="32"/>
                <w:u w:val="none"/>
              </w:rPr>
            </w:pP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1C63D">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检查和维修记录完整。</w:t>
            </w:r>
          </w:p>
        </w:tc>
        <w:tc>
          <w:tcPr>
            <w:tcW w:w="11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3C57D">
            <w:pPr>
              <w:jc w:val="center"/>
              <w:rPr>
                <w:rFonts w:hint="eastAsia" w:ascii="仿宋" w:hAnsi="仿宋" w:eastAsia="仿宋" w:cs="仿宋"/>
                <w:i w:val="0"/>
                <w:iCs w:val="0"/>
                <w:color w:val="000000"/>
                <w:sz w:val="32"/>
                <w:szCs w:val="32"/>
                <w:u w:val="none"/>
              </w:rPr>
            </w:pPr>
          </w:p>
        </w:tc>
      </w:tr>
      <w:tr w14:paraId="4FBC1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0"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D258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（四）</w:t>
            </w:r>
          </w:p>
        </w:tc>
        <w:tc>
          <w:tcPr>
            <w:tcW w:w="1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2C2B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供电设备及监控维护</w:t>
            </w:r>
          </w:p>
        </w:tc>
        <w:tc>
          <w:tcPr>
            <w:tcW w:w="57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D6D73">
            <w:pPr>
              <w:keepNext w:val="0"/>
              <w:keepLines w:val="0"/>
              <w:widowControl/>
              <w:suppressLineNumbers w:val="0"/>
              <w:jc w:val="left"/>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住宅楼(区)供电系统、高低压电器设备、电线电缆、电器照明装置等的日常管理和养护维修及避雷检测、安全巡检、计量登记等工作。</w:t>
            </w:r>
          </w:p>
        </w:tc>
        <w:tc>
          <w:tcPr>
            <w:tcW w:w="11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9204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㎡指单位住宅楼(区)内建筑面积，单次500元以下的单个维修零配件材料费及人工费；单次超过500元由购买主体提供材料，承接主体提供人工。</w:t>
            </w:r>
          </w:p>
        </w:tc>
      </w:tr>
      <w:tr w14:paraId="43AD1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23A44">
            <w:pPr>
              <w:keepNext w:val="0"/>
              <w:keepLines w:val="0"/>
              <w:widowControl/>
              <w:suppressLineNumbers w:val="0"/>
              <w:jc w:val="center"/>
              <w:textAlignment w:val="center"/>
              <w:rPr>
                <w:rFonts w:hint="default" w:ascii="仿宋" w:hAnsi="仿宋" w:eastAsia="仿宋" w:cs="仿宋"/>
                <w:i w:val="0"/>
                <w:iCs w:val="0"/>
                <w:color w:val="000000"/>
                <w:kern w:val="0"/>
                <w:sz w:val="32"/>
                <w:szCs w:val="32"/>
                <w:u w:val="none"/>
                <w:lang w:val="en-US" w:eastAsia="zh-CN" w:bidi="ar"/>
              </w:rPr>
            </w:pPr>
            <w:r>
              <w:rPr>
                <w:rFonts w:hint="eastAsia" w:ascii="仿宋" w:hAnsi="仿宋" w:eastAsia="仿宋" w:cs="仿宋"/>
                <w:b/>
                <w:bCs/>
                <w:i w:val="0"/>
                <w:iCs w:val="0"/>
                <w:color w:val="000000"/>
                <w:kern w:val="0"/>
                <w:sz w:val="32"/>
                <w:szCs w:val="32"/>
                <w:u w:val="none"/>
                <w:lang w:val="en-US" w:eastAsia="zh-CN" w:bidi="ar"/>
              </w:rPr>
              <w:t>六</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4DFCC4">
            <w:pPr>
              <w:keepNext w:val="0"/>
              <w:keepLines w:val="0"/>
              <w:widowControl/>
              <w:suppressLineNumbers w:val="0"/>
              <w:jc w:val="center"/>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b/>
                <w:bCs/>
                <w:i w:val="0"/>
                <w:iCs w:val="0"/>
                <w:color w:val="000000"/>
                <w:kern w:val="0"/>
                <w:sz w:val="32"/>
                <w:szCs w:val="32"/>
                <w:u w:val="none"/>
                <w:lang w:val="en-US" w:eastAsia="zh-CN" w:bidi="ar"/>
              </w:rPr>
              <w:t>其他劳务服务</w:t>
            </w:r>
          </w:p>
        </w:tc>
      </w:tr>
      <w:tr w14:paraId="16F40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E483D">
            <w:pPr>
              <w:keepNext w:val="0"/>
              <w:keepLines w:val="0"/>
              <w:widowControl/>
              <w:suppressLineNumbers w:val="0"/>
              <w:jc w:val="center"/>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（一）</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EE2EF1">
            <w:pPr>
              <w:keepNext w:val="0"/>
              <w:keepLines w:val="0"/>
              <w:widowControl/>
              <w:suppressLineNumbers w:val="0"/>
              <w:jc w:val="center"/>
              <w:textAlignment w:val="center"/>
              <w:rPr>
                <w:rFonts w:hint="default"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车辆管理人员2人</w:t>
            </w:r>
          </w:p>
        </w:tc>
      </w:tr>
      <w:tr w14:paraId="59043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06422">
            <w:pPr>
              <w:keepNext w:val="0"/>
              <w:keepLines w:val="0"/>
              <w:widowControl/>
              <w:suppressLineNumbers w:val="0"/>
              <w:jc w:val="center"/>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（二）</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06135D">
            <w:pPr>
              <w:keepNext w:val="0"/>
              <w:keepLines w:val="0"/>
              <w:widowControl/>
              <w:suppressLineNumbers w:val="0"/>
              <w:jc w:val="center"/>
              <w:textAlignment w:val="center"/>
              <w:rPr>
                <w:rFonts w:hint="default"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监控管理人员1人</w:t>
            </w:r>
          </w:p>
        </w:tc>
      </w:tr>
      <w:tr w14:paraId="18C2F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05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B6226">
            <w:pPr>
              <w:keepNext w:val="0"/>
              <w:keepLines w:val="0"/>
              <w:widowControl/>
              <w:suppressLineNumbers w:val="0"/>
              <w:jc w:val="center"/>
              <w:textAlignment w:val="center"/>
              <w:rPr>
                <w:rFonts w:hint="eastAsia"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（三）</w:t>
            </w:r>
          </w:p>
        </w:tc>
        <w:tc>
          <w:tcPr>
            <w:tcW w:w="78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6A5883">
            <w:pPr>
              <w:keepNext w:val="0"/>
              <w:keepLines w:val="0"/>
              <w:widowControl/>
              <w:suppressLineNumbers w:val="0"/>
              <w:jc w:val="center"/>
              <w:textAlignment w:val="center"/>
              <w:rPr>
                <w:rFonts w:hint="default" w:ascii="仿宋" w:hAnsi="仿宋" w:eastAsia="仿宋" w:cs="仿宋"/>
                <w:i w:val="0"/>
                <w:iCs w:val="0"/>
                <w:color w:val="000000"/>
                <w:kern w:val="0"/>
                <w:sz w:val="32"/>
                <w:szCs w:val="32"/>
                <w:u w:val="none"/>
                <w:lang w:val="en-US" w:eastAsia="zh-CN" w:bidi="ar"/>
              </w:rPr>
            </w:pPr>
            <w:r>
              <w:rPr>
                <w:rFonts w:hint="eastAsia" w:ascii="仿宋" w:hAnsi="仿宋" w:eastAsia="仿宋" w:cs="仿宋"/>
                <w:i w:val="0"/>
                <w:iCs w:val="0"/>
                <w:color w:val="000000"/>
                <w:kern w:val="0"/>
                <w:sz w:val="32"/>
                <w:szCs w:val="32"/>
                <w:u w:val="none"/>
                <w:lang w:val="en-US" w:eastAsia="zh-CN" w:bidi="ar"/>
              </w:rPr>
              <w:t>协助管理绿化人员2人</w:t>
            </w:r>
          </w:p>
        </w:tc>
      </w:tr>
    </w:tbl>
    <w:p w14:paraId="05C185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left"/>
        <w:textAlignment w:val="auto"/>
        <w:outlineLvl w:val="0"/>
        <w:rPr>
          <w:rFonts w:hint="default" w:ascii="宋体"/>
          <w:b/>
          <w:color w:val="auto"/>
          <w:sz w:val="30"/>
          <w:szCs w:val="30"/>
          <w:highlight w:val="none"/>
          <w:lang w:val="en-US" w:eastAsia="zh-CN"/>
        </w:rPr>
      </w:pPr>
    </w:p>
    <w:p w14:paraId="65DD6B36">
      <w:pPr>
        <w:pStyle w:val="3"/>
        <w:numPr>
          <w:ilvl w:val="1"/>
          <w:numId w:val="0"/>
        </w:numPr>
        <w:ind w:left="431" w:leftChars="0"/>
        <w:rPr>
          <w:rFonts w:hint="eastAsia"/>
          <w:lang w:eastAsia="zh-CN"/>
        </w:rPr>
      </w:pPr>
    </w:p>
    <w:p w14:paraId="63D0086D">
      <w:pPr>
        <w:rPr>
          <w:rFonts w:hint="eastAsia" w:ascii="宋体"/>
          <w:b/>
          <w:color w:val="auto"/>
          <w:sz w:val="30"/>
          <w:szCs w:val="30"/>
          <w:highlight w:val="none"/>
          <w:lang w:eastAsia="zh-CN"/>
        </w:rPr>
      </w:pPr>
    </w:p>
    <w:p w14:paraId="0C6CE9FD">
      <w:pPr>
        <w:rPr>
          <w:rFonts w:hint="eastAsia" w:ascii="宋体"/>
          <w:b/>
          <w:color w:val="auto"/>
          <w:sz w:val="30"/>
          <w:szCs w:val="30"/>
          <w:highlight w:val="none"/>
          <w:lang w:eastAsia="zh-CN"/>
        </w:rPr>
      </w:pPr>
    </w:p>
    <w:p w14:paraId="0555CBE2">
      <w:pPr>
        <w:rPr>
          <w:rFonts w:hint="eastAsia" w:ascii="宋体"/>
          <w:b/>
          <w:color w:val="auto"/>
          <w:sz w:val="30"/>
          <w:szCs w:val="30"/>
          <w:highlight w:val="none"/>
          <w:lang w:eastAsia="zh-CN"/>
        </w:rPr>
      </w:pPr>
    </w:p>
    <w:p w14:paraId="691230AF">
      <w:pPr>
        <w:rPr>
          <w:rFonts w:hint="eastAsia" w:ascii="宋体"/>
          <w:b/>
          <w:color w:val="auto"/>
          <w:sz w:val="30"/>
          <w:szCs w:val="30"/>
          <w:highlight w:val="none"/>
          <w:lang w:eastAsia="zh-CN"/>
        </w:rPr>
      </w:pPr>
    </w:p>
    <w:p w14:paraId="16AFA902">
      <w:pPr>
        <w:rPr>
          <w:rFonts w:hint="eastAsia" w:ascii="宋体"/>
          <w:b/>
          <w:color w:val="auto"/>
          <w:sz w:val="30"/>
          <w:szCs w:val="30"/>
          <w:highlight w:val="none"/>
          <w:lang w:eastAsia="zh-CN"/>
        </w:rPr>
      </w:pPr>
    </w:p>
    <w:p w14:paraId="55F8014A">
      <w:pPr>
        <w:rPr>
          <w:rFonts w:hint="eastAsia" w:ascii="宋体"/>
          <w:b/>
          <w:color w:val="auto"/>
          <w:sz w:val="30"/>
          <w:szCs w:val="30"/>
          <w:highlight w:val="none"/>
          <w:lang w:eastAsia="zh-CN"/>
        </w:rPr>
      </w:pPr>
    </w:p>
    <w:p w14:paraId="71B67FD8">
      <w:pPr>
        <w:rPr>
          <w:rFonts w:hint="eastAsia" w:ascii="宋体"/>
          <w:b/>
          <w:color w:val="auto"/>
          <w:sz w:val="30"/>
          <w:szCs w:val="30"/>
          <w:highlight w:val="none"/>
          <w:lang w:eastAsia="zh-CN"/>
        </w:rPr>
      </w:pPr>
    </w:p>
    <w:p w14:paraId="4D010192">
      <w:pPr>
        <w:rPr>
          <w:rFonts w:hint="eastAsia" w:ascii="宋体"/>
          <w:b/>
          <w:color w:val="auto"/>
          <w:sz w:val="30"/>
          <w:szCs w:val="30"/>
          <w:highlight w:val="none"/>
          <w:lang w:eastAsia="zh-CN"/>
        </w:rPr>
      </w:pPr>
    </w:p>
    <w:p w14:paraId="2B47B992">
      <w:pPr>
        <w:rPr>
          <w:rFonts w:hint="eastAsia" w:ascii="宋体"/>
          <w:b/>
          <w:color w:val="auto"/>
          <w:sz w:val="30"/>
          <w:szCs w:val="30"/>
          <w:highlight w:val="none"/>
          <w:lang w:eastAsia="zh-CN"/>
        </w:rPr>
      </w:pPr>
    </w:p>
    <w:p w14:paraId="4DE3D851">
      <w:pPr>
        <w:rPr>
          <w:rFonts w:hint="eastAsia" w:ascii="宋体"/>
          <w:b/>
          <w:color w:val="auto"/>
          <w:sz w:val="30"/>
          <w:szCs w:val="30"/>
          <w:highlight w:val="none"/>
          <w:lang w:eastAsia="zh-CN"/>
        </w:rPr>
      </w:pPr>
    </w:p>
    <w:p w14:paraId="5FCB5B15">
      <w:pPr>
        <w:rPr>
          <w:rFonts w:hint="eastAsia" w:ascii="宋体"/>
          <w:b/>
          <w:color w:val="auto"/>
          <w:sz w:val="30"/>
          <w:szCs w:val="30"/>
          <w:highlight w:val="none"/>
          <w:lang w:eastAsia="zh-CN"/>
        </w:rPr>
      </w:pPr>
    </w:p>
    <w:p w14:paraId="6DC46342">
      <w:pPr>
        <w:rPr>
          <w:rFonts w:hint="eastAsia" w:ascii="宋体"/>
          <w:b/>
          <w:color w:val="auto"/>
          <w:sz w:val="30"/>
          <w:szCs w:val="30"/>
          <w:highlight w:val="none"/>
          <w:lang w:eastAsia="zh-CN"/>
        </w:rPr>
      </w:pPr>
    </w:p>
    <w:p w14:paraId="7F2703EE">
      <w:pPr>
        <w:rPr>
          <w:rFonts w:hint="eastAsia" w:ascii="宋体"/>
          <w:b/>
          <w:color w:val="auto"/>
          <w:sz w:val="30"/>
          <w:szCs w:val="30"/>
          <w:highlight w:val="none"/>
          <w:lang w:eastAsia="zh-CN"/>
        </w:rPr>
      </w:pPr>
    </w:p>
    <w:p w14:paraId="5479C523">
      <w:pPr>
        <w:rPr>
          <w:rFonts w:hint="eastAsia" w:ascii="宋体"/>
          <w:b/>
          <w:color w:val="auto"/>
          <w:sz w:val="30"/>
          <w:szCs w:val="30"/>
          <w:highlight w:val="none"/>
          <w:lang w:eastAsia="zh-CN"/>
        </w:rPr>
      </w:pPr>
    </w:p>
    <w:p w14:paraId="3B3F9DE4">
      <w:pPr>
        <w:rPr>
          <w:rFonts w:hint="eastAsia" w:ascii="宋体"/>
          <w:b/>
          <w:color w:val="auto"/>
          <w:sz w:val="30"/>
          <w:szCs w:val="30"/>
          <w:highlight w:val="none"/>
          <w:lang w:eastAsia="zh-CN"/>
        </w:rPr>
      </w:pPr>
    </w:p>
    <w:p w14:paraId="1DF78D9F">
      <w:pPr>
        <w:rPr>
          <w:rFonts w:hint="eastAsia" w:ascii="宋体"/>
          <w:b/>
          <w:color w:val="auto"/>
          <w:sz w:val="30"/>
          <w:szCs w:val="30"/>
          <w:highlight w:val="none"/>
          <w:lang w:eastAsia="zh-CN"/>
        </w:rPr>
      </w:pPr>
    </w:p>
    <w:p w14:paraId="787B13F2">
      <w:pPr>
        <w:rPr>
          <w:rFonts w:hint="eastAsia" w:ascii="宋体"/>
          <w:b/>
          <w:color w:val="auto"/>
          <w:sz w:val="30"/>
          <w:szCs w:val="30"/>
          <w:highlight w:val="none"/>
          <w:lang w:eastAsia="zh-CN"/>
        </w:rPr>
      </w:pPr>
    </w:p>
    <w:p w14:paraId="2D6A282E">
      <w:pPr>
        <w:rPr>
          <w:rFonts w:hint="eastAsia" w:ascii="宋体"/>
          <w:b/>
          <w:color w:val="auto"/>
          <w:sz w:val="30"/>
          <w:szCs w:val="30"/>
          <w:highlight w:val="none"/>
          <w:lang w:eastAsia="zh-CN"/>
        </w:rPr>
      </w:pPr>
    </w:p>
    <w:p w14:paraId="66DE6CF9">
      <w:pPr>
        <w:rPr>
          <w:rFonts w:hint="eastAsia"/>
          <w:lang w:eastAsia="zh-CN"/>
        </w:rPr>
      </w:pPr>
    </w:p>
    <w:p w14:paraId="73306D78">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0"/>
        <w:rPr>
          <w:rFonts w:hint="eastAsia" w:ascii="仿宋" w:hAnsi="仿宋" w:eastAsia="仿宋" w:cs="仿宋"/>
          <w:b/>
          <w:color w:val="auto"/>
          <w:sz w:val="36"/>
          <w:szCs w:val="36"/>
          <w:highlight w:val="none"/>
        </w:rPr>
      </w:pPr>
      <w:bookmarkStart w:id="202" w:name="_Toc3767"/>
      <w:bookmarkStart w:id="203" w:name="_Toc10352"/>
      <w:r>
        <w:rPr>
          <w:rFonts w:hint="eastAsia" w:ascii="仿宋" w:hAnsi="仿宋" w:eastAsia="仿宋" w:cs="仿宋"/>
          <w:b/>
          <w:color w:val="auto"/>
          <w:sz w:val="36"/>
          <w:szCs w:val="36"/>
          <w:highlight w:val="none"/>
          <w:lang w:eastAsia="zh-CN"/>
        </w:rPr>
        <w:t>第五章</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 xml:space="preserve"> 合同条款及格式</w:t>
      </w:r>
      <w:bookmarkEnd w:id="200"/>
      <w:bookmarkEnd w:id="201"/>
      <w:bookmarkEnd w:id="202"/>
      <w:bookmarkEnd w:id="203"/>
      <w:bookmarkStart w:id="204" w:name="_Toc20669"/>
    </w:p>
    <w:p w14:paraId="11DC4A6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center"/>
        <w:textAlignment w:val="auto"/>
        <w:outlineLvl w:val="1"/>
        <w:rPr>
          <w:rFonts w:hint="eastAsia" w:ascii="仿宋" w:hAnsi="仿宋" w:eastAsia="仿宋" w:cs="仿宋"/>
          <w:color w:val="auto"/>
          <w:sz w:val="32"/>
          <w:szCs w:val="32"/>
          <w:highlight w:val="none"/>
        </w:rPr>
      </w:pPr>
      <w:bookmarkStart w:id="205" w:name="_Toc8499"/>
      <w:bookmarkStart w:id="206" w:name="_Toc28877"/>
      <w:bookmarkStart w:id="207" w:name="_Toc27521"/>
      <w:bookmarkStart w:id="208" w:name="_Toc8485"/>
      <w:bookmarkStart w:id="209" w:name="_Toc26214"/>
      <w:bookmarkStart w:id="210" w:name="_Toc21570"/>
      <w:bookmarkStart w:id="211" w:name="_Toc1200"/>
      <w:bookmarkStart w:id="212" w:name="_Toc14438"/>
      <w:bookmarkStart w:id="213" w:name="_Toc23630"/>
      <w:r>
        <w:rPr>
          <w:rFonts w:hint="eastAsia" w:ascii="仿宋" w:hAnsi="仿宋" w:eastAsia="仿宋" w:cs="仿宋"/>
          <w:color w:val="auto"/>
          <w:sz w:val="32"/>
          <w:szCs w:val="32"/>
          <w:highlight w:val="none"/>
        </w:rPr>
        <w:t>（本合同为合同样稿，最终稿由供需双方协商后确定）</w:t>
      </w:r>
      <w:bookmarkEnd w:id="204"/>
      <w:bookmarkEnd w:id="205"/>
      <w:bookmarkEnd w:id="206"/>
      <w:bookmarkEnd w:id="207"/>
      <w:bookmarkEnd w:id="208"/>
      <w:bookmarkEnd w:id="209"/>
      <w:bookmarkEnd w:id="210"/>
      <w:bookmarkEnd w:id="211"/>
      <w:bookmarkEnd w:id="212"/>
      <w:bookmarkEnd w:id="213"/>
    </w:p>
    <w:p w14:paraId="34861751">
      <w:pPr>
        <w:widowControl/>
        <w:numPr>
          <w:ilvl w:val="0"/>
          <w:numId w:val="0"/>
        </w:numPr>
        <w:shd w:val="clear" w:color="auto" w:fill="auto"/>
        <w:spacing w:line="600" w:lineRule="exact"/>
        <w:ind w:leftChars="0"/>
        <w:jc w:val="center"/>
        <w:textAlignment w:val="baseline"/>
        <w:outlineLvl w:val="1"/>
        <w:rPr>
          <w:rFonts w:hint="eastAsia" w:ascii="仿宋" w:hAnsi="仿宋" w:eastAsia="仿宋" w:cs="仿宋"/>
          <w:b/>
          <w:color w:val="auto"/>
          <w:sz w:val="32"/>
          <w:szCs w:val="32"/>
          <w:highlight w:val="none"/>
        </w:rPr>
      </w:pPr>
      <w:bookmarkStart w:id="214" w:name="_Toc6033"/>
      <w:bookmarkStart w:id="215" w:name="_Toc17316"/>
      <w:bookmarkStart w:id="216" w:name="_Toc13719"/>
      <w:bookmarkStart w:id="217" w:name="_Toc5234"/>
      <w:bookmarkStart w:id="218" w:name="_Toc29892"/>
      <w:r>
        <w:rPr>
          <w:rFonts w:hint="eastAsia" w:ascii="仿宋" w:hAnsi="仿宋" w:eastAsia="仿宋" w:cs="仿宋"/>
          <w:b/>
          <w:color w:val="auto"/>
          <w:sz w:val="32"/>
          <w:szCs w:val="32"/>
          <w:highlight w:val="none"/>
          <w:lang w:eastAsia="zh-CN"/>
        </w:rPr>
        <w:t>一、</w:t>
      </w:r>
      <w:r>
        <w:rPr>
          <w:rFonts w:hint="eastAsia" w:ascii="仿宋" w:hAnsi="仿宋" w:eastAsia="仿宋" w:cs="仿宋"/>
          <w:b/>
          <w:color w:val="auto"/>
          <w:sz w:val="32"/>
          <w:szCs w:val="32"/>
          <w:highlight w:val="none"/>
        </w:rPr>
        <w:t>合同协议书</w:t>
      </w:r>
      <w:bookmarkEnd w:id="214"/>
      <w:bookmarkEnd w:id="215"/>
      <w:bookmarkEnd w:id="216"/>
      <w:bookmarkEnd w:id="217"/>
      <w:bookmarkEnd w:id="218"/>
    </w:p>
    <w:p w14:paraId="249A3A20">
      <w:pPr>
        <w:shd w:val="clear" w:color="auto" w:fill="auto"/>
        <w:spacing w:line="360" w:lineRule="auto"/>
        <w:ind w:firstLine="2715" w:firstLineChars="845"/>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rPr>
        <w:t xml:space="preserve">合同名称   </w:t>
      </w:r>
      <w:r>
        <w:rPr>
          <w:rFonts w:hint="eastAsia" w:ascii="仿宋" w:hAnsi="仿宋" w:eastAsia="仿宋" w:cs="仿宋"/>
          <w:color w:val="auto"/>
          <w:sz w:val="32"/>
          <w:szCs w:val="32"/>
          <w:highlight w:val="none"/>
        </w:rPr>
        <w:t xml:space="preserve">          编号</w:t>
      </w:r>
    </w:p>
    <w:p w14:paraId="63DBB298">
      <w:pPr>
        <w:shd w:val="clear" w:color="auto" w:fill="auto"/>
        <w:spacing w:line="420" w:lineRule="exact"/>
        <w:ind w:firstLine="640" w:firstLineChars="200"/>
        <w:rPr>
          <w:rFonts w:hint="eastAsia" w:ascii="仿宋" w:hAnsi="仿宋" w:eastAsia="仿宋" w:cs="仿宋"/>
          <w:color w:val="auto"/>
          <w:sz w:val="32"/>
          <w:szCs w:val="32"/>
          <w:highlight w:val="none"/>
        </w:rPr>
      </w:pPr>
      <w:bookmarkStart w:id="219" w:name="_Toc296602498"/>
      <w:bookmarkStart w:id="220" w:name="_Toc144974578"/>
      <w:bookmarkStart w:id="221" w:name="_Toc246996253"/>
      <w:bookmarkStart w:id="222" w:name="_Toc152042388"/>
      <w:bookmarkStart w:id="223" w:name="_Toc152045610"/>
      <w:bookmarkStart w:id="224" w:name="_Toc247085768"/>
      <w:bookmarkStart w:id="225" w:name="_Toc179632628"/>
      <w:bookmarkStart w:id="226" w:name="_Toc246996996"/>
      <w:r>
        <w:rPr>
          <w:rFonts w:hint="eastAsia" w:ascii="仿宋" w:hAnsi="仿宋" w:eastAsia="仿宋" w:cs="仿宋"/>
          <w:color w:val="auto"/>
          <w:sz w:val="32"/>
          <w:szCs w:val="32"/>
          <w:highlight w:val="none"/>
          <w:lang w:eastAsia="zh-CN"/>
        </w:rPr>
        <w:t>甲</w:t>
      </w:r>
      <w:r>
        <w:rPr>
          <w:rFonts w:hint="eastAsia" w:ascii="仿宋" w:hAnsi="仿宋" w:eastAsia="仿宋" w:cs="仿宋"/>
          <w:color w:val="auto"/>
          <w:sz w:val="32"/>
          <w:szCs w:val="32"/>
          <w:highlight w:val="none"/>
        </w:rPr>
        <w:t xml:space="preserve">    方：                 </w:t>
      </w:r>
      <w:r>
        <w:rPr>
          <w:rFonts w:hint="eastAsia" w:ascii="仿宋" w:hAnsi="仿宋" w:eastAsia="仿宋" w:cs="仿宋"/>
          <w:color w:val="auto"/>
          <w:sz w:val="32"/>
          <w:szCs w:val="32"/>
          <w:highlight w:val="none"/>
          <w:lang w:eastAsia="zh-CN"/>
        </w:rPr>
        <w:t>乙</w:t>
      </w:r>
      <w:r>
        <w:rPr>
          <w:rFonts w:hint="eastAsia" w:ascii="仿宋" w:hAnsi="仿宋" w:eastAsia="仿宋" w:cs="仿宋"/>
          <w:color w:val="auto"/>
          <w:sz w:val="32"/>
          <w:szCs w:val="32"/>
          <w:highlight w:val="none"/>
        </w:rPr>
        <w:t xml:space="preserve">    方：</w:t>
      </w:r>
    </w:p>
    <w:p w14:paraId="3F5B8D1A">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电    话：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电    话：</w:t>
      </w:r>
    </w:p>
    <w:p w14:paraId="74D7D242">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住    所：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住    所：                       </w:t>
      </w:r>
    </w:p>
    <w:p w14:paraId="0025C998">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single"/>
        </w:rPr>
        <w:t>（买方）</w:t>
      </w:r>
      <w:r>
        <w:rPr>
          <w:rFonts w:hint="eastAsia" w:ascii="仿宋" w:hAnsi="仿宋" w:eastAsia="仿宋" w:cs="仿宋"/>
          <w:color w:val="auto"/>
          <w:sz w:val="32"/>
          <w:szCs w:val="32"/>
          <w:highlight w:val="none"/>
        </w:rPr>
        <w:t>的</w:t>
      </w:r>
      <w:r>
        <w:rPr>
          <w:rFonts w:hint="eastAsia" w:ascii="仿宋" w:hAnsi="仿宋" w:eastAsia="仿宋" w:cs="仿宋"/>
          <w:color w:val="auto"/>
          <w:sz w:val="32"/>
          <w:szCs w:val="32"/>
          <w:highlight w:val="none"/>
          <w:u w:val="single"/>
        </w:rPr>
        <w:t>（项目名称）</w:t>
      </w:r>
      <w:r>
        <w:rPr>
          <w:rFonts w:hint="eastAsia" w:ascii="仿宋" w:hAnsi="仿宋" w:eastAsia="仿宋" w:cs="仿宋"/>
          <w:color w:val="auto"/>
          <w:sz w:val="32"/>
          <w:szCs w:val="32"/>
          <w:highlight w:val="none"/>
        </w:rPr>
        <w:t>中所需</w:t>
      </w:r>
      <w:r>
        <w:rPr>
          <w:rFonts w:hint="eastAsia" w:ascii="仿宋" w:hAnsi="仿宋" w:eastAsia="仿宋" w:cs="仿宋"/>
          <w:color w:val="auto"/>
          <w:sz w:val="32"/>
          <w:szCs w:val="32"/>
          <w:highlight w:val="none"/>
          <w:u w:val="single"/>
        </w:rPr>
        <w:t>（产品名称）</w:t>
      </w:r>
      <w:r>
        <w:rPr>
          <w:rFonts w:hint="eastAsia" w:ascii="仿宋" w:hAnsi="仿宋" w:eastAsia="仿宋" w:cs="仿宋"/>
          <w:color w:val="auto"/>
          <w:sz w:val="32"/>
          <w:szCs w:val="32"/>
          <w:highlight w:val="none"/>
        </w:rPr>
        <w:t xml:space="preserve"> 经公开招标，确定</w:t>
      </w:r>
      <w:r>
        <w:rPr>
          <w:rFonts w:hint="eastAsia" w:ascii="仿宋" w:hAnsi="仿宋" w:eastAsia="仿宋" w:cs="仿宋"/>
          <w:color w:val="auto"/>
          <w:sz w:val="32"/>
          <w:szCs w:val="32"/>
          <w:highlight w:val="none"/>
          <w:u w:val="single"/>
        </w:rPr>
        <w:t>（卖方）</w:t>
      </w:r>
      <w:r>
        <w:rPr>
          <w:rFonts w:hint="eastAsia" w:ascii="仿宋" w:hAnsi="仿宋" w:eastAsia="仿宋" w:cs="仿宋"/>
          <w:color w:val="auto"/>
          <w:sz w:val="32"/>
          <w:szCs w:val="32"/>
          <w:highlight w:val="none"/>
        </w:rPr>
        <w:t>为中标人。按照中华人民共和国</w:t>
      </w:r>
      <w:r>
        <w:rPr>
          <w:rFonts w:hint="eastAsia" w:ascii="仿宋" w:hAnsi="仿宋" w:eastAsia="仿宋" w:cs="仿宋"/>
          <w:color w:val="auto"/>
          <w:sz w:val="32"/>
          <w:szCs w:val="32"/>
          <w:highlight w:val="none"/>
          <w:lang w:eastAsia="zh-CN"/>
        </w:rPr>
        <w:t>民法典</w:t>
      </w:r>
      <w:r>
        <w:rPr>
          <w:rFonts w:hint="eastAsia" w:ascii="仿宋" w:hAnsi="仿宋" w:eastAsia="仿宋" w:cs="仿宋"/>
          <w:color w:val="auto"/>
          <w:sz w:val="32"/>
          <w:szCs w:val="32"/>
          <w:highlight w:val="none"/>
        </w:rPr>
        <w:t>的规定，买卖双方同意按照下述的条款和条件，签署本合同。</w:t>
      </w:r>
    </w:p>
    <w:p w14:paraId="045C9DE5">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1、本合同文件</w:t>
      </w:r>
    </w:p>
    <w:p w14:paraId="2152598B">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下列每一文件均应作为合同的组成部分进行阅读和解释：</w:t>
      </w:r>
    </w:p>
    <w:p w14:paraId="67DCF40A">
      <w:pPr>
        <w:numPr>
          <w:ilvl w:val="0"/>
          <w:numId w:val="7"/>
        </w:numPr>
        <w:shd w:val="clear" w:color="auto" w:fill="auto"/>
        <w:spacing w:line="420" w:lineRule="exact"/>
        <w:ind w:left="-10" w:leftChars="0" w:firstLine="640" w:firstLineChars="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竞争性磋商文件</w:t>
      </w:r>
    </w:p>
    <w:p w14:paraId="153EECB3">
      <w:pPr>
        <w:numPr>
          <w:ilvl w:val="0"/>
          <w:numId w:val="7"/>
        </w:numPr>
        <w:shd w:val="clear" w:color="auto" w:fill="auto"/>
        <w:spacing w:line="420" w:lineRule="exact"/>
        <w:ind w:left="-10" w:leftChars="0" w:firstLine="640" w:firstLine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投标文件</w:t>
      </w:r>
    </w:p>
    <w:p w14:paraId="35CF4CFB">
      <w:pPr>
        <w:numPr>
          <w:ilvl w:val="0"/>
          <w:numId w:val="0"/>
        </w:numPr>
        <w:shd w:val="clear" w:color="auto" w:fill="auto"/>
        <w:spacing w:line="420" w:lineRule="exact"/>
        <w:ind w:left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w:t>
      </w:r>
      <w:r>
        <w:rPr>
          <w:rFonts w:hint="eastAsia" w:ascii="仿宋" w:hAnsi="仿宋" w:eastAsia="仿宋" w:cs="仿宋"/>
          <w:color w:val="auto"/>
          <w:sz w:val="32"/>
          <w:szCs w:val="32"/>
          <w:highlight w:val="none"/>
          <w:lang w:eastAsia="zh-CN"/>
        </w:rPr>
        <w:t>成交</w:t>
      </w:r>
      <w:r>
        <w:rPr>
          <w:rFonts w:hint="eastAsia" w:ascii="仿宋" w:hAnsi="仿宋" w:eastAsia="仿宋" w:cs="仿宋"/>
          <w:color w:val="auto"/>
          <w:sz w:val="32"/>
          <w:szCs w:val="32"/>
          <w:highlight w:val="none"/>
        </w:rPr>
        <w:t>通知书</w:t>
      </w:r>
    </w:p>
    <w:p w14:paraId="687188D9">
      <w:pPr>
        <w:shd w:val="clear" w:color="auto" w:fill="auto"/>
        <w:spacing w:line="440" w:lineRule="exact"/>
        <w:ind w:firstLine="320" w:firstLineChars="1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（4）经双方确认进入合同的其它文件、补充条款或说明</w:t>
      </w:r>
    </w:p>
    <w:p w14:paraId="7481B903">
      <w:pPr>
        <w:shd w:val="clear" w:color="auto" w:fill="auto"/>
        <w:spacing w:line="440" w:lineRule="exact"/>
        <w:ind w:firstLine="640" w:firstLineChars="200"/>
        <w:jc w:val="lef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2、采购标的、数量、</w:t>
      </w:r>
      <w:r>
        <w:rPr>
          <w:rFonts w:hint="eastAsia" w:ascii="仿宋" w:hAnsi="仿宋" w:eastAsia="仿宋" w:cs="仿宋"/>
          <w:color w:val="auto"/>
          <w:sz w:val="32"/>
          <w:szCs w:val="32"/>
          <w:highlight w:val="none"/>
          <w:lang w:eastAsia="zh-CN"/>
        </w:rPr>
        <w:t>服务</w:t>
      </w:r>
      <w:r>
        <w:rPr>
          <w:rFonts w:hint="eastAsia" w:ascii="仿宋" w:hAnsi="仿宋" w:eastAsia="仿宋" w:cs="仿宋"/>
          <w:color w:val="auto"/>
          <w:sz w:val="32"/>
          <w:szCs w:val="32"/>
          <w:highlight w:val="none"/>
        </w:rPr>
        <w:t>要求</w:t>
      </w:r>
    </w:p>
    <w:p w14:paraId="16552729">
      <w:pPr>
        <w:shd w:val="clear" w:color="auto" w:fill="auto"/>
        <w:spacing w:line="440" w:lineRule="exact"/>
        <w:ind w:firstLine="640" w:firstLineChars="20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3、</w:t>
      </w:r>
      <w:r>
        <w:rPr>
          <w:rFonts w:hint="eastAsia" w:ascii="仿宋" w:hAnsi="仿宋" w:eastAsia="仿宋" w:cs="仿宋"/>
          <w:color w:val="auto"/>
          <w:sz w:val="32"/>
          <w:szCs w:val="32"/>
          <w:highlight w:val="none"/>
          <w:lang w:val="en-US" w:eastAsia="zh-CN"/>
        </w:rPr>
        <w:t>合同价款及付款方式</w:t>
      </w:r>
    </w:p>
    <w:p w14:paraId="2F5F600A">
      <w:pPr>
        <w:shd w:val="clear" w:color="auto" w:fill="auto"/>
        <w:spacing w:line="440" w:lineRule="exact"/>
        <w:ind w:firstLine="640" w:firstLineChars="200"/>
        <w:jc w:val="left"/>
        <w:rPr>
          <w:rFonts w:hint="eastAsia" w:ascii="仿宋" w:hAnsi="仿宋" w:eastAsia="仿宋" w:cs="仿宋"/>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3.1合同价款：总</w:t>
      </w:r>
      <w:r>
        <w:rPr>
          <w:rFonts w:hint="eastAsia" w:ascii="仿宋" w:hAnsi="仿宋" w:eastAsia="仿宋" w:cs="仿宋"/>
          <w:bCs/>
          <w:color w:val="auto"/>
          <w:sz w:val="32"/>
          <w:szCs w:val="32"/>
          <w:highlight w:val="none"/>
          <w:lang w:val="en-US" w:eastAsia="zh-CN"/>
        </w:rPr>
        <w:t>额为￥   元(大写：     )。</w:t>
      </w:r>
    </w:p>
    <w:p w14:paraId="19D03933">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3.2支付方式和期限：</w:t>
      </w:r>
    </w:p>
    <w:p w14:paraId="2F291B23">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3.3发票要求：甲方向乙方支付项目款之前，乙方按照正规等额开具增值税发票。</w:t>
      </w:r>
    </w:p>
    <w:p w14:paraId="6F737CB3">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3.4 汇款方式：甲方通过银行电汇的方式将款项支付至乙方指定账户：</w:t>
      </w:r>
    </w:p>
    <w:p w14:paraId="314771D6">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乙方账户信息：</w:t>
      </w:r>
    </w:p>
    <w:p w14:paraId="3529D2A8">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账号：</w:t>
      </w:r>
    </w:p>
    <w:p w14:paraId="33669EEA">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户名：</w:t>
      </w:r>
    </w:p>
    <w:p w14:paraId="14A14090">
      <w:pPr>
        <w:shd w:val="clear" w:color="auto" w:fill="auto"/>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lang w:val="en-US" w:eastAsia="zh-CN"/>
        </w:rPr>
        <w:t>开户行：</w:t>
      </w:r>
    </w:p>
    <w:p w14:paraId="4C430AD9">
      <w:pPr>
        <w:shd w:val="clear" w:color="auto" w:fill="auto"/>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、合同供货（服务）期限及地点和方式</w:t>
      </w:r>
    </w:p>
    <w:p w14:paraId="009AE281">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、违约责任</w:t>
      </w:r>
    </w:p>
    <w:p w14:paraId="5DD53155">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本合同生效后，甲乙双方均应当全面履行合同义务。任何一方违约，均应当按照约定承担违约责任。其中：</w:t>
      </w:r>
    </w:p>
    <w:p w14:paraId="32673FDD">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5.1 甲方逾期付款责任</w:t>
      </w:r>
    </w:p>
    <w:p w14:paraId="3EA09B88">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5.1.1 甲方逾期付款在（15）日内的，每逾期一日，甲方应当向乙方支付逾期应付款项1‰的违约金，但违约金额不得超过合同总价款的10%。 （具体以甲乙双方签订合同为准）</w:t>
      </w:r>
    </w:p>
    <w:p w14:paraId="33F0CADE">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5.1.2 逾期付款超过（30）日的，视为甲方不履行，乙方有权要求甲方继续履行或解除合同。</w:t>
      </w:r>
    </w:p>
    <w:p w14:paraId="485648C0">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注：乙方要求继续履行合同，应该在履行期限届满后30日内提出，甲方应当继续履行合同，并向乙方支付相当于合同价款的3%违约金。乙方要求解除合同，甲方应当向乙支付等额合同价款的10%的违约金。）具体以甲乙双方签订合同为准</w:t>
      </w:r>
    </w:p>
    <w:p w14:paraId="5752D0EE">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5.2.乙方逾期履约或不履约责任</w:t>
      </w:r>
    </w:p>
    <w:p w14:paraId="32F0F1E8">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5.2.1 乙方不履行合同约定的义务，甲方有权要求乙方继续履行或解除合同。</w:t>
      </w:r>
    </w:p>
    <w:p w14:paraId="11D5C712">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（注：甲方要求继续履行合同，应该在履行期限届满后30日内提出，乙方应当继续履行合同，并向甲方支付相当于合同价款的3%违约金。甲方要求解除合同，乙方应当向甲方支付等额合同价款的10%的违约金。）</w:t>
      </w:r>
    </w:p>
    <w:p w14:paraId="10FE4D04">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5.3 服务质量瑕疵责任</w:t>
      </w:r>
    </w:p>
    <w:p w14:paraId="71E1FF8C">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如因乙方人为因素导致甲方数据损坏、丢失或造成其他损失的，乙方应当赔偿因乙方原因给甲方造成的直接损失。</w:t>
      </w:r>
    </w:p>
    <w:p w14:paraId="75CBA8AD">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5.4 违反保密义务责任</w:t>
      </w:r>
    </w:p>
    <w:p w14:paraId="2A0EC4FE">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任何一方违反本合同所约定的保密义务，违约方应当赔偿给对方造成的直接损失。涉及触犯国家法律法规的承担相应的法律责任。</w:t>
      </w:r>
    </w:p>
    <w:p w14:paraId="2FCF1E9F">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5.5其他违约责任</w:t>
      </w:r>
    </w:p>
    <w:p w14:paraId="4D7B0AA1">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驻场服务人员如收到客户投诉（须书面文件）超过2次以上，乙方负责更换驻场服务人员。如乙方在12个月以内更换人员超过3次，甲方有权终止合同。</w:t>
      </w:r>
    </w:p>
    <w:p w14:paraId="7481D44F">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6、 不可抗力</w:t>
      </w:r>
    </w:p>
    <w:p w14:paraId="5E428C8D">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6.1 本合同所称不可抗力，是指地震、台风、严重水灾、火灾、战争等不可抗力的影响而不能执行合同时，履行合同的期限应予以延长，则延长的期限应相当于不可抗力所影响的时间。不可抗力系指买卖双方在签订合同期内所不能预见的，并且它的发生及其后果无法避免和无法克服的影响。</w:t>
      </w:r>
    </w:p>
    <w:p w14:paraId="5CBD4DB2">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6.2 因不可抗力不能履行合同的，根据不可抗力的影响，受影响方部分或全部免除责任，但法律另有规定的除外。</w:t>
      </w:r>
    </w:p>
    <w:p w14:paraId="57A026DB">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 保密责任</w:t>
      </w:r>
    </w:p>
    <w:p w14:paraId="41401031">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7.1保密内容：本合同的内容、本合同双方因协商，签署和履行本合同而知晓的对方单位与公共安全的信息或获得的对方的单位与公共安全的资料。</w:t>
      </w:r>
    </w:p>
    <w:p w14:paraId="4DCADE29">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7.2保密义务：</w:t>
      </w:r>
    </w:p>
    <w:p w14:paraId="33EE4C77">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7.2.1乙方工作人员必须学习有关保密法律法规制度，知悉应当承担的保密义务和法律责任。乙方庄重承诺：</w:t>
      </w:r>
    </w:p>
    <w:p w14:paraId="473A95E4">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7.2.2认真遵守国家保密法律、法规和规章制度，履行保密义务；</w:t>
      </w:r>
    </w:p>
    <w:p w14:paraId="374F448D">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7.2.3不提供虚假的个人信息，自愿接受保密审查；</w:t>
      </w:r>
    </w:p>
    <w:p w14:paraId="66CCB30E">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7.2.4不违规记录、存储、复制、传播未经甲方允许的秘密信息；</w:t>
      </w:r>
    </w:p>
    <w:p w14:paraId="4BB932BC">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7.2.5不把涉密计算机、涉密存储设备接入互联网及其他非涉密公共信息网络；</w:t>
      </w:r>
    </w:p>
    <w:p w14:paraId="646C7690">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7.2.6不在涉密计算机和非涉密计算机之间交叉使用移动存储介质；</w:t>
      </w:r>
    </w:p>
    <w:p w14:paraId="10FFE1AD">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7.2.7不以任何方式泄露所接触和知悉的甲方数据及国家秘密；</w:t>
      </w:r>
    </w:p>
    <w:p w14:paraId="08D136DE">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7.2.8未经甲方审查批准，不擅自发表涉及未公开工作内容的文章、著述。违反上述承诺，自愿承担相关责任和处罚。</w:t>
      </w:r>
    </w:p>
    <w:p w14:paraId="455B6A9C">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7.2.9如有必要，甲方有权要求乙方返还或销毁（返还、销毁均指不能做任何形式的保存）相关资料。</w:t>
      </w:r>
    </w:p>
    <w:p w14:paraId="077D00DB">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8、 合同终止</w:t>
      </w:r>
    </w:p>
    <w:p w14:paraId="18359926">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8.1 任何一方提前解除本合同的，需提前30天书面通知另一方，本合同另有规定的除外。</w:t>
      </w:r>
    </w:p>
    <w:p w14:paraId="6A13595B">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8.2如甲方因自身原因提前解除本合同的，应依据约定的标准先付清乙方已提供服务的费用。</w:t>
      </w:r>
    </w:p>
    <w:p w14:paraId="6AE876FC">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lang w:val="en-US" w:eastAsia="zh-CN"/>
        </w:rPr>
        <w:t>8.3如因乙方原因提前解除本合同的，则甲方无需支付解除合同之后的未提供服务的费用。</w:t>
      </w:r>
    </w:p>
    <w:p w14:paraId="6F3C2350">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9、合同生效及其它</w:t>
      </w:r>
    </w:p>
    <w:p w14:paraId="3D1A7EEE">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9.1 在本合同履行中,若发生争议,双方应本着友好协商的原则先协商解决，协商不成的，任意一方均可向甲方所在地有管辖权的人民法院提起诉讼解决。</w:t>
      </w:r>
    </w:p>
    <w:p w14:paraId="3E81AD6C">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9.2 本合同自双方法定代表人或授权代表人签字并加盖公章或合同章后生效。本合同一式肆份，甲乙双方各执贰份，具有同等法律效力。</w:t>
      </w:r>
    </w:p>
    <w:p w14:paraId="3E4BD3F1">
      <w:pPr>
        <w:keepNext w:val="0"/>
        <w:keepLines w:val="0"/>
        <w:pageBreakBefore w:val="0"/>
        <w:widowControl w:val="0"/>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bCs/>
          <w:color w:val="auto"/>
          <w:sz w:val="32"/>
          <w:szCs w:val="32"/>
          <w:highlight w:val="none"/>
          <w:lang w:val="en-US" w:eastAsia="zh-CN"/>
        </w:rPr>
      </w:pPr>
      <w:r>
        <w:rPr>
          <w:rFonts w:hint="eastAsia" w:ascii="仿宋" w:hAnsi="仿宋" w:eastAsia="仿宋" w:cs="仿宋"/>
          <w:bCs/>
          <w:color w:val="auto"/>
          <w:sz w:val="32"/>
          <w:szCs w:val="32"/>
          <w:highlight w:val="none"/>
          <w:lang w:val="en-US" w:eastAsia="zh-CN"/>
        </w:rPr>
        <w:t>9.3 本合同未尽事宜，经双方协商后签订补充协议说明（具有同等法律效益）。</w:t>
      </w:r>
    </w:p>
    <w:p w14:paraId="3B7BA0D7">
      <w:pPr>
        <w:shd w:val="clear" w:color="auto" w:fill="auto"/>
        <w:spacing w:line="42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lang w:val="en-US" w:eastAsia="zh-CN"/>
        </w:rPr>
        <w:t>本合同另附《本项目采购需求技术规格及参数》为附件。</w:t>
      </w:r>
    </w:p>
    <w:p w14:paraId="5D373BFA">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甲  方：                      乙  方：</w:t>
      </w:r>
    </w:p>
    <w:p w14:paraId="017124DD">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名  称：（盖章）              名  称：（盖章）</w:t>
      </w:r>
    </w:p>
    <w:p w14:paraId="7E92FC9F">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法定代表人（或委托代理人）：  法定代表人（或委托代理人）：</w:t>
      </w:r>
    </w:p>
    <w:p w14:paraId="1BCD19E4">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（签字）                        （签字）</w:t>
      </w:r>
    </w:p>
    <w:p w14:paraId="011178BF">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地    址：                     地    址：</w:t>
      </w:r>
    </w:p>
    <w:p w14:paraId="078FF21F">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邮政编码：                     邮政编码：</w:t>
      </w:r>
    </w:p>
    <w:p w14:paraId="1E3FB3E4">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电    话：                     电    话：</w:t>
      </w:r>
    </w:p>
    <w:p w14:paraId="0C7E59BB">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开户银行：                     开户银行：</w:t>
      </w:r>
    </w:p>
    <w:p w14:paraId="5D1E8A11">
      <w:pPr>
        <w:pStyle w:val="10"/>
        <w:keepNext w:val="0"/>
        <w:keepLines w:val="0"/>
        <w:pageBreakBefore w:val="0"/>
        <w:widowControl w:val="0"/>
        <w:shd w:val="clear" w:color="auto" w:fill="auto"/>
        <w:kinsoku/>
        <w:wordWrap/>
        <w:overflowPunct/>
        <w:topLinePunct w:val="0"/>
        <w:autoSpaceDE/>
        <w:autoSpaceDN/>
        <w:bidi w:val="0"/>
        <w:adjustRightInd/>
        <w:snapToGrid/>
        <w:spacing w:after="0" w:line="400" w:lineRule="exact"/>
        <w:ind w:left="0" w:leftChars="0" w:firstLine="640" w:firstLineChars="200"/>
        <w:textAlignment w:val="auto"/>
        <w:rPr>
          <w:rFonts w:hint="eastAsia" w:ascii="仿宋" w:hAnsi="仿宋" w:eastAsia="仿宋" w:cs="仿宋"/>
          <w:bCs/>
          <w:color w:val="auto"/>
          <w:kern w:val="2"/>
          <w:sz w:val="32"/>
          <w:szCs w:val="32"/>
          <w:highlight w:val="none"/>
          <w:lang w:val="en-US" w:eastAsia="zh-CN" w:bidi="ar-SA"/>
        </w:rPr>
      </w:pPr>
      <w:r>
        <w:rPr>
          <w:rFonts w:hint="eastAsia" w:ascii="仿宋" w:hAnsi="仿宋" w:eastAsia="仿宋" w:cs="仿宋"/>
          <w:bCs/>
          <w:color w:val="auto"/>
          <w:kern w:val="2"/>
          <w:sz w:val="32"/>
          <w:szCs w:val="32"/>
          <w:highlight w:val="none"/>
          <w:lang w:val="en-US" w:eastAsia="zh-CN" w:bidi="ar-SA"/>
        </w:rPr>
        <w:t>帐    号：                     帐    号：</w:t>
      </w:r>
    </w:p>
    <w:p w14:paraId="58A5E805">
      <w:pPr>
        <w:shd w:val="clear" w:color="auto" w:fill="auto"/>
        <w:spacing w:line="600" w:lineRule="exact"/>
        <w:jc w:val="center"/>
        <w:outlineLvl w:val="1"/>
        <w:rPr>
          <w:rFonts w:hint="eastAsia" w:ascii="仿宋" w:hAnsi="仿宋" w:eastAsia="仿宋" w:cs="仿宋"/>
          <w:b/>
          <w:color w:val="auto"/>
          <w:sz w:val="32"/>
          <w:szCs w:val="32"/>
          <w:highlight w:val="none"/>
        </w:rPr>
      </w:pPr>
      <w:bookmarkStart w:id="227" w:name="_Toc28999"/>
      <w:bookmarkStart w:id="228" w:name="_Toc15805"/>
      <w:bookmarkStart w:id="229" w:name="_Toc28404"/>
    </w:p>
    <w:p w14:paraId="7D557E95">
      <w:pPr>
        <w:shd w:val="clear" w:color="auto" w:fill="auto"/>
        <w:spacing w:line="600" w:lineRule="exact"/>
        <w:jc w:val="center"/>
        <w:outlineLvl w:val="1"/>
        <w:rPr>
          <w:rFonts w:hint="eastAsia" w:ascii="仿宋" w:hAnsi="仿宋" w:eastAsia="仿宋" w:cs="仿宋"/>
          <w:b/>
          <w:color w:val="auto"/>
          <w:sz w:val="32"/>
          <w:szCs w:val="32"/>
          <w:highlight w:val="none"/>
        </w:rPr>
      </w:pPr>
    </w:p>
    <w:p w14:paraId="6321150A">
      <w:pPr>
        <w:shd w:val="clear" w:color="auto" w:fill="auto"/>
        <w:spacing w:line="600" w:lineRule="exact"/>
        <w:jc w:val="center"/>
        <w:outlineLvl w:val="1"/>
        <w:rPr>
          <w:rFonts w:hint="eastAsia" w:ascii="仿宋" w:hAnsi="仿宋" w:eastAsia="仿宋" w:cs="仿宋"/>
          <w:b/>
          <w:color w:val="auto"/>
          <w:sz w:val="32"/>
          <w:szCs w:val="32"/>
          <w:highlight w:val="none"/>
        </w:rPr>
      </w:pPr>
      <w:bookmarkStart w:id="230" w:name="_Toc13903"/>
      <w:bookmarkStart w:id="231" w:name="_Toc13559"/>
      <w:r>
        <w:rPr>
          <w:rFonts w:hint="eastAsia" w:ascii="仿宋" w:hAnsi="仿宋" w:eastAsia="仿宋" w:cs="仿宋"/>
          <w:b/>
          <w:color w:val="auto"/>
          <w:sz w:val="32"/>
          <w:szCs w:val="32"/>
          <w:highlight w:val="none"/>
        </w:rPr>
        <w:t>二</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合同条款</w:t>
      </w:r>
      <w:bookmarkEnd w:id="219"/>
      <w:bookmarkEnd w:id="220"/>
      <w:bookmarkEnd w:id="221"/>
      <w:bookmarkEnd w:id="222"/>
      <w:bookmarkEnd w:id="223"/>
      <w:bookmarkEnd w:id="224"/>
      <w:bookmarkEnd w:id="225"/>
      <w:bookmarkEnd w:id="226"/>
      <w:bookmarkEnd w:id="227"/>
      <w:bookmarkEnd w:id="228"/>
      <w:bookmarkEnd w:id="229"/>
      <w:bookmarkEnd w:id="230"/>
      <w:bookmarkEnd w:id="231"/>
    </w:p>
    <w:p w14:paraId="59C0A16C">
      <w:pPr>
        <w:shd w:val="clear" w:color="auto" w:fill="auto"/>
        <w:spacing w:line="440" w:lineRule="exact"/>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 xml:space="preserve"> 合同文件</w:t>
      </w:r>
    </w:p>
    <w:p w14:paraId="5A25B066">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1、合同文件适用法律</w:t>
      </w:r>
    </w:p>
    <w:p w14:paraId="7FF62813">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适用于合同文件的法律是中华人民共和国现行法律、法规及招标人所在地的地方性法规。</w:t>
      </w:r>
    </w:p>
    <w:p w14:paraId="5F752315">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2、合同文件组成和解释顺序</w:t>
      </w:r>
    </w:p>
    <w:p w14:paraId="7AF52946">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(1)合同文件的组成和解释顺序如下：</w:t>
      </w:r>
    </w:p>
    <w:p w14:paraId="0AC6FA23">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&lt;1&gt;合同的主要条款；</w:t>
      </w:r>
    </w:p>
    <w:p w14:paraId="4D412E2F">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&lt;2&gt;合同的一般性条款；</w:t>
      </w:r>
    </w:p>
    <w:p w14:paraId="7188B1A4">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&lt;3&gt;洽商、变更等明确双方权利义务的纪要、协议；</w:t>
      </w:r>
    </w:p>
    <w:p w14:paraId="1ABB9D19">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&lt;4&gt;中标通知书、投标文件和</w:t>
      </w:r>
      <w:r>
        <w:rPr>
          <w:rFonts w:hint="eastAsia" w:ascii="仿宋" w:hAnsi="仿宋" w:eastAsia="仿宋" w:cs="仿宋"/>
          <w:color w:val="auto"/>
          <w:sz w:val="32"/>
          <w:szCs w:val="32"/>
          <w:highlight w:val="none"/>
          <w:lang w:eastAsia="zh-CN"/>
        </w:rPr>
        <w:t>竞争性磋商文件</w:t>
      </w:r>
      <w:r>
        <w:rPr>
          <w:rFonts w:hint="eastAsia" w:ascii="仿宋" w:hAnsi="仿宋" w:eastAsia="仿宋" w:cs="仿宋"/>
          <w:color w:val="auto"/>
          <w:sz w:val="32"/>
          <w:szCs w:val="32"/>
          <w:highlight w:val="none"/>
        </w:rPr>
        <w:t>；</w:t>
      </w:r>
    </w:p>
    <w:p w14:paraId="43347043">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&lt;5&gt;有关图纸、标准、规范和其它有关技术资料、技术要求。</w:t>
      </w:r>
    </w:p>
    <w:p w14:paraId="082270D7">
      <w:pPr>
        <w:shd w:val="clear" w:color="auto" w:fill="auto"/>
        <w:spacing w:line="440" w:lineRule="exact"/>
        <w:ind w:firstLine="800" w:firstLineChars="25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&lt;6&gt;合同的主要条款的效力优于合同的一般性条款的效力。</w:t>
      </w:r>
    </w:p>
    <w:p w14:paraId="397A92B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3、合同文件使用文字</w:t>
      </w:r>
    </w:p>
    <w:p w14:paraId="3BAC2061">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(1)合同文件使用中文书写、解释和说明。</w:t>
      </w:r>
    </w:p>
    <w:p w14:paraId="0C9EDE3A">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 xml:space="preserve">(2)合同文件使用技术性条款约定的为国家标准和规范；国家没有相应标准、规范时，可使用行业标准、规范。非标货物应按约定的技术性条款的标准和规范。 </w:t>
      </w:r>
    </w:p>
    <w:p w14:paraId="410AC1FA">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标的物的一般条款</w:t>
      </w:r>
    </w:p>
    <w:p w14:paraId="0EC90914">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4、完整物权</w:t>
      </w:r>
    </w:p>
    <w:p w14:paraId="561D61C6">
      <w:pPr>
        <w:shd w:val="clear" w:color="auto" w:fill="auto"/>
        <w:tabs>
          <w:tab w:val="left" w:pos="660"/>
        </w:tabs>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对于出卖的标的物，卖方应当拥有完整物权，并且卖方负有保证第三人不得向买方主张任何权利（包括知识产权）的义务。</w:t>
      </w:r>
    </w:p>
    <w:p w14:paraId="08B54535">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5、质量保证</w:t>
      </w:r>
    </w:p>
    <w:p w14:paraId="39F92C43">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59451C96">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11B27DF">
      <w:pPr>
        <w:pStyle w:val="6"/>
        <w:shd w:val="clear" w:color="auto" w:fill="auto"/>
        <w:tabs>
          <w:tab w:val="left" w:pos="900"/>
        </w:tabs>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6FEF311F">
      <w:pPr>
        <w:shd w:val="clear" w:color="auto" w:fill="auto"/>
        <w:spacing w:line="44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6、包装</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如有</w:t>
      </w:r>
      <w:r>
        <w:rPr>
          <w:rFonts w:hint="eastAsia" w:ascii="仿宋" w:hAnsi="仿宋" w:eastAsia="仿宋" w:cs="仿宋"/>
          <w:color w:val="auto"/>
          <w:sz w:val="32"/>
          <w:szCs w:val="32"/>
          <w:highlight w:val="none"/>
          <w:lang w:eastAsia="zh-CN"/>
        </w:rPr>
        <w:t>）</w:t>
      </w:r>
    </w:p>
    <w:p w14:paraId="2D6AAEA6">
      <w:pPr>
        <w:pStyle w:val="6"/>
        <w:shd w:val="clear" w:color="auto" w:fill="auto"/>
        <w:tabs>
          <w:tab w:val="left" w:pos="900"/>
        </w:tabs>
        <w:spacing w:line="440" w:lineRule="exact"/>
        <w:ind w:firstLine="720" w:firstLineChars="225"/>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4339EBBB">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7、伴随服务</w:t>
      </w:r>
    </w:p>
    <w:p w14:paraId="42D82207">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(1)卖方除应履行按期按量交付合格标的物的义务之外，还应提供下列服务：</w:t>
      </w:r>
    </w:p>
    <w:p w14:paraId="01C1B193">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&lt;1&gt;标的物的现场安装或指导安装、启动、调试、监督（如果必须安装、调试的话）；</w:t>
      </w:r>
    </w:p>
    <w:p w14:paraId="750DAACD">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&lt;2&gt;提供标的物组装和一般维修所必须的工具；</w:t>
      </w:r>
    </w:p>
    <w:p w14:paraId="6F8E34B0">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&lt;3&gt;在合同规定的期限内对所提供标的物实行运行监督、维修服务的前提条件是该服务并不能免除卖方在质量保证期内所承担的义务；</w:t>
      </w:r>
    </w:p>
    <w:p w14:paraId="3380D076">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&lt;4&gt;对买方技术人员的技术指导或培训。</w:t>
      </w:r>
    </w:p>
    <w:p w14:paraId="12447C63">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(2)除合同另有规定之外，伴随服务的费用均已含在合同价款中，买方不再另行进行支付。</w:t>
      </w:r>
    </w:p>
    <w:p w14:paraId="2595403C">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标的物的交付、检验和验收</w:t>
      </w:r>
    </w:p>
    <w:p w14:paraId="192CE6D8">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8、标的物的交付</w:t>
      </w:r>
    </w:p>
    <w:p w14:paraId="2F4916D3">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(1)标的物的所有权自标的物交付时转移。</w:t>
      </w:r>
    </w:p>
    <w:p w14:paraId="36B06805">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(2)卖方应当按照约定的期限和约定的地点交付符合</w:t>
      </w:r>
      <w:r>
        <w:rPr>
          <w:rFonts w:hint="eastAsia" w:ascii="仿宋" w:hAnsi="仿宋" w:eastAsia="仿宋" w:cs="仿宋"/>
          <w:color w:val="auto"/>
          <w:sz w:val="32"/>
          <w:szCs w:val="32"/>
          <w:highlight w:val="none"/>
          <w:u w:val="none" w:color="000000"/>
          <w:lang w:eastAsia="zh-CN"/>
        </w:rPr>
        <w:t>竞争性磋商文件</w:t>
      </w:r>
      <w:r>
        <w:rPr>
          <w:rFonts w:hint="eastAsia" w:ascii="仿宋" w:hAnsi="仿宋" w:eastAsia="仿宋" w:cs="仿宋"/>
          <w:color w:val="auto"/>
          <w:sz w:val="32"/>
          <w:szCs w:val="32"/>
          <w:highlight w:val="none"/>
          <w:u w:val="none" w:color="000000"/>
        </w:rPr>
        <w:t>要求的标的物。</w:t>
      </w:r>
    </w:p>
    <w:p w14:paraId="3C04F86C">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(3)卖方应当按照约定或者交易习惯向招标人交付提取标的物单证以外的有关单证和资料。</w:t>
      </w:r>
    </w:p>
    <w:p w14:paraId="2C252112">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9、检验和验收</w:t>
      </w:r>
    </w:p>
    <w:p w14:paraId="70CFA000">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02552483">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(2)买方根据合同规定的内容和验收标准进行验收，经检验无误后出具验收合格证明，该证明作为最终付款所需文件的组成部分。</w:t>
      </w:r>
    </w:p>
    <w:p w14:paraId="6A1856A2">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(3)验收期限自标的物交付之日起三十天内。特殊情况需延长的，双方应在合同条款中约定。</w:t>
      </w:r>
    </w:p>
    <w:p w14:paraId="267BF0B3">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对标的物提出异议的时间和办法</w:t>
      </w:r>
    </w:p>
    <w:p w14:paraId="314BF79C">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10、对标的物提出异议的时间和办法 </w:t>
      </w:r>
    </w:p>
    <w:p w14:paraId="69E61E33">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(1)买方在验收过程中，应当于双方约定的检验期间内将标的物的数量或质量不符合约定的情形及处理方式以书面形式通知卖方。</w:t>
      </w:r>
    </w:p>
    <w:p w14:paraId="706219E1">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(2)如买方在验收期满后既不出具验收合格证明又未提出书面异议的视为卖方所交标的物符合合同规定。</w:t>
      </w:r>
    </w:p>
    <w:p w14:paraId="4586874C">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(3)卖方应在收到买方书面异议后七天内负责处理问题，否则将视为默认买方提出的异议和处理意见。</w:t>
      </w:r>
    </w:p>
    <w:p w14:paraId="7C3D5C94">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五</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合同价款和支付</w:t>
      </w:r>
    </w:p>
    <w:p w14:paraId="4476E46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11、合同价款和支付</w:t>
      </w:r>
    </w:p>
    <w:p w14:paraId="3ED91F0F">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(1)本合同的结算货币为人民币，单位元。</w:t>
      </w:r>
    </w:p>
    <w:p w14:paraId="6ABC7729">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(2)卖方应按照双方签订的合同规定交货并在合同主要条款规定的期限内持下列单据结算货款：</w:t>
      </w:r>
    </w:p>
    <w:p w14:paraId="38540C27">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&lt;1&gt;合格的销售发票；</w:t>
      </w:r>
    </w:p>
    <w:p w14:paraId="09DFA517">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&lt;2&gt;买方盖章签收后的送货回单和验收合格证明。</w:t>
      </w:r>
    </w:p>
    <w:p w14:paraId="57D33851">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(3)买方应按合同主要条款规定的期限和方式付款。</w:t>
      </w:r>
    </w:p>
    <w:p w14:paraId="6209F89C">
      <w:pPr>
        <w:pStyle w:val="6"/>
        <w:shd w:val="clear" w:color="auto" w:fill="auto"/>
        <w:tabs>
          <w:tab w:val="left" w:pos="540"/>
        </w:tabs>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(4)根据现行税法对买方征收的与本合同有关的一切税费均由买方承担；根据现行税法对卖方征收的与本合同有关的一切税费均由卖方承担。</w:t>
      </w:r>
    </w:p>
    <w:p w14:paraId="4BFFF9B1">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违约责任</w:t>
      </w:r>
    </w:p>
    <w:p w14:paraId="19897A36">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12、违约责任</w:t>
      </w:r>
    </w:p>
    <w:p w14:paraId="0478C1F4">
      <w:pPr>
        <w:pStyle w:val="6"/>
        <w:shd w:val="clear" w:color="auto" w:fill="auto"/>
        <w:spacing w:line="440" w:lineRule="exact"/>
        <w:ind w:firstLine="720" w:firstLineChars="225"/>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合同一方不履行合同义务或者履行合同义务不符合约定的，应当承担继续履行、采取补救措施或者赔偿损失等违约责任。</w:t>
      </w:r>
    </w:p>
    <w:p w14:paraId="39F8DD52">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13、买方违约责任</w:t>
      </w:r>
    </w:p>
    <w:p w14:paraId="3954AB09">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(1)在合同生效后，买方要求退货的，应向卖方偿付合同总价款的5%，作为违约金，违约金不足以补偿损失的，卖方有权要求甲方补足。</w:t>
      </w:r>
    </w:p>
    <w:p w14:paraId="62E40E9F">
      <w:pPr>
        <w:pStyle w:val="6"/>
        <w:shd w:val="clear" w:color="auto" w:fill="auto"/>
        <w:overflowPunct w:val="0"/>
        <w:spacing w:line="440" w:lineRule="exact"/>
        <w:ind w:right="-334" w:rightChars="-159"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(2)买方逾期付款的应按照逾期付款金额的每天万分之四支付逾期付款违约金。</w:t>
      </w:r>
    </w:p>
    <w:p w14:paraId="22969D55">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(3)买方违反合同规定，拒绝接收卖方交付的符合</w:t>
      </w:r>
      <w:r>
        <w:rPr>
          <w:rFonts w:hint="eastAsia" w:ascii="仿宋" w:hAnsi="仿宋" w:eastAsia="仿宋" w:cs="仿宋"/>
          <w:color w:val="auto"/>
          <w:sz w:val="32"/>
          <w:szCs w:val="32"/>
          <w:highlight w:val="none"/>
          <w:u w:val="none" w:color="000000"/>
          <w:lang w:eastAsia="zh-CN"/>
        </w:rPr>
        <w:t>竞争性磋商文件</w:t>
      </w:r>
      <w:r>
        <w:rPr>
          <w:rFonts w:hint="eastAsia" w:ascii="仿宋" w:hAnsi="仿宋" w:eastAsia="仿宋" w:cs="仿宋"/>
          <w:color w:val="auto"/>
          <w:sz w:val="32"/>
          <w:szCs w:val="32"/>
          <w:highlight w:val="none"/>
          <w:u w:val="none" w:color="000000"/>
        </w:rPr>
        <w:t>要求的合格标的物，应当承担卖方由此造成的损失。</w:t>
      </w:r>
    </w:p>
    <w:p w14:paraId="148EB929">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14、卖方违约责任</w:t>
      </w:r>
    </w:p>
    <w:p w14:paraId="464F1CD9">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(1)卖方不能交货（逾期超过五天视为不能交货），或交货不合格从而影响买方按期正常使用的，应向买方偿付合同总价款5%的违约金，违约金不足以补偿损失的，买方有权要求卖方补足。</w:t>
      </w:r>
    </w:p>
    <w:p w14:paraId="122E3CDE">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09CBBBBF">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15、不可抗力</w:t>
      </w:r>
    </w:p>
    <w:p w14:paraId="201D7B95">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(1)因水灾、火灾、地震、战争等不可抗力不能履行合同的，根据不可抗力的影响，部分或者全部免除责任。但合同一方迟延履行后发生不可抗力的，不能免除责任。</w:t>
      </w:r>
    </w:p>
    <w:p w14:paraId="62C1ED86">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(2)合同一方因不可抗力不能履行合同的，应当及时通知对方，以减轻可能给对方造成的损失，并应当在合理期限内提供证明。</w:t>
      </w:r>
    </w:p>
    <w:p w14:paraId="7914A6C3">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七</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索赔</w:t>
      </w:r>
    </w:p>
    <w:p w14:paraId="7D7ACFAA">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16、索赔</w:t>
      </w:r>
    </w:p>
    <w:p w14:paraId="5AF1CF8B">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(1)买方有权根据当地产品质量检验机构或其它有权威部门出具的检验证书向卖方提出索赔。</w:t>
      </w:r>
    </w:p>
    <w:p w14:paraId="691ED04F">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(2)在本合同规定的检验期和质量保证期内，如果卖方对买方提出的索赔或差异有责任，则卖方应按买方同意的下列一种或多种方式解决索赔事宜：</w:t>
      </w:r>
    </w:p>
    <w:p w14:paraId="03471FA6">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4A010613">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&lt;2&gt;根据标的物的低劣程度、损坏程度以及甲方遭受损失的数额，经双方协商确定降低标的物的价格；</w:t>
      </w:r>
    </w:p>
    <w:p w14:paraId="46A11C11">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1D7B9E1B">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8E5EC42">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(4)买方提出索赔的书面材料应报当地政府采购管理部门备案。卖方同意的索赔方案应报当地政府采购管理部门审核。</w:t>
      </w:r>
    </w:p>
    <w:p w14:paraId="6E436725">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八</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履约保证金</w:t>
      </w:r>
    </w:p>
    <w:p w14:paraId="45F8CD51">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17、履约保证金</w:t>
      </w:r>
    </w:p>
    <w:p w14:paraId="1BADBB29">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(1)卖方应在本合同签订时，按</w:t>
      </w:r>
      <w:r>
        <w:rPr>
          <w:rFonts w:hint="eastAsia" w:ascii="仿宋" w:hAnsi="仿宋" w:eastAsia="仿宋" w:cs="仿宋"/>
          <w:color w:val="auto"/>
          <w:sz w:val="32"/>
          <w:szCs w:val="32"/>
          <w:highlight w:val="none"/>
          <w:u w:val="none" w:color="000000"/>
          <w:lang w:eastAsia="zh-CN"/>
        </w:rPr>
        <w:t>竞争性磋商文件</w:t>
      </w:r>
      <w:r>
        <w:rPr>
          <w:rFonts w:hint="eastAsia" w:ascii="仿宋" w:hAnsi="仿宋" w:eastAsia="仿宋" w:cs="仿宋"/>
          <w:color w:val="auto"/>
          <w:sz w:val="32"/>
          <w:szCs w:val="32"/>
          <w:highlight w:val="none"/>
          <w:u w:val="none" w:color="000000"/>
        </w:rPr>
        <w:t>的约定提供相应的履约保证金，保证金的有效期应不低于合同有效期。</w:t>
      </w:r>
    </w:p>
    <w:p w14:paraId="4A87BF17">
      <w:pPr>
        <w:pStyle w:val="6"/>
        <w:shd w:val="clear" w:color="auto" w:fill="auto"/>
        <w:overflowPunct w:val="0"/>
        <w:spacing w:line="440" w:lineRule="exact"/>
        <w:ind w:right="-334" w:rightChars="-159"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(2)如果卖方未能履行合同规定的任何义务，买方有权从履约保证金中取得补偿。</w:t>
      </w:r>
    </w:p>
    <w:p w14:paraId="5828A49A">
      <w:pPr>
        <w:pStyle w:val="6"/>
        <w:shd w:val="clear" w:color="auto" w:fill="auto"/>
        <w:overflowPunct w:val="0"/>
        <w:spacing w:line="440" w:lineRule="exact"/>
        <w:ind w:right="-874" w:rightChars="-416"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(3)履约保证金（无息）将在卖方履行完合同义务，买方支付合同价款的五天内</w:t>
      </w:r>
    </w:p>
    <w:p w14:paraId="47FC456E">
      <w:pPr>
        <w:pStyle w:val="6"/>
        <w:shd w:val="clear" w:color="auto" w:fill="auto"/>
        <w:overflowPunct w:val="0"/>
        <w:spacing w:line="440" w:lineRule="exact"/>
        <w:ind w:right="-874" w:rightChars="-416" w:firstLine="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退回。</w:t>
      </w:r>
    </w:p>
    <w:p w14:paraId="73CAA361">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九</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合同的解除和转让</w:t>
      </w:r>
    </w:p>
    <w:p w14:paraId="33F10481">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18、合同的解除</w:t>
      </w:r>
    </w:p>
    <w:p w14:paraId="6FFA2D8C">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(1)买方和卖方协商一致，可以解除合同。</w:t>
      </w:r>
    </w:p>
    <w:p w14:paraId="7B6B2283">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(2)有下列情形之一，合同一方可以解除合同：</w:t>
      </w:r>
    </w:p>
    <w:p w14:paraId="593CE515">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&lt;1&gt;因不可抗力致使不能实现合同目的，未受不可抗力影响的一方有权解除合同；</w:t>
      </w:r>
    </w:p>
    <w:p w14:paraId="0E973A2A">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&lt;2&gt;因合同一方违约导致合同不能履行，另一方有权解除合同。</w:t>
      </w:r>
    </w:p>
    <w:p w14:paraId="4D60BDEA">
      <w:pPr>
        <w:pStyle w:val="6"/>
        <w:shd w:val="clear" w:color="auto" w:fill="auto"/>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(3)有权解除合同的一方，应当在违约事实或不可抗力发生之后三十天内书面通知对方以主张解除合同，合同在书面通知到达对方时解除。</w:t>
      </w:r>
    </w:p>
    <w:p w14:paraId="6D5278E1">
      <w:pPr>
        <w:shd w:val="clear" w:color="auto" w:fill="auto"/>
        <w:spacing w:line="44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19、合同的转让</w:t>
      </w:r>
    </w:p>
    <w:p w14:paraId="322E57ED">
      <w:pPr>
        <w:shd w:val="clear" w:color="auto" w:fill="auto"/>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合同的部分和全部都不得转让。</w:t>
      </w:r>
    </w:p>
    <w:p w14:paraId="1358C0A7">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十</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合同的生效</w:t>
      </w:r>
    </w:p>
    <w:p w14:paraId="64AAD716">
      <w:pPr>
        <w:shd w:val="clear" w:color="auto" w:fill="auto"/>
        <w:spacing w:line="440" w:lineRule="exact"/>
        <w:ind w:firstLine="960" w:firstLineChars="3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20、合同的生效</w:t>
      </w:r>
    </w:p>
    <w:p w14:paraId="7B674E8F">
      <w:pPr>
        <w:shd w:val="clear" w:color="auto" w:fill="auto"/>
        <w:spacing w:line="440" w:lineRule="exact"/>
        <w:ind w:firstLine="886" w:firstLineChars="277"/>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本合同在双方签字盖章并在招标人收到中标人提交的履约保证金后，经招标采购管理部门备案后生效。</w:t>
      </w:r>
    </w:p>
    <w:p w14:paraId="6C939E6B">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十一</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争议解决</w:t>
      </w:r>
    </w:p>
    <w:p w14:paraId="29A6D8BC">
      <w:pPr>
        <w:shd w:val="clear" w:color="auto" w:fill="auto"/>
        <w:spacing w:line="440" w:lineRule="exact"/>
        <w:ind w:firstLine="960" w:firstLineChars="3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21、争议解决</w:t>
      </w:r>
    </w:p>
    <w:p w14:paraId="7F3FFFBC">
      <w:pPr>
        <w:pStyle w:val="6"/>
        <w:shd w:val="clear" w:color="auto" w:fill="auto"/>
        <w:overflowPunct w:val="0"/>
        <w:spacing w:line="440" w:lineRule="exact"/>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 xml:space="preserve"> 买卖双方因合同发生争议，进行调解，协商不成，可选择：</w:t>
      </w:r>
    </w:p>
    <w:p w14:paraId="6178FF6B">
      <w:pPr>
        <w:pStyle w:val="6"/>
        <w:shd w:val="clear" w:color="auto" w:fill="auto"/>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(1)双方同时申请仲裁；</w:t>
      </w:r>
    </w:p>
    <w:p w14:paraId="51BC67D8">
      <w:pPr>
        <w:pStyle w:val="6"/>
        <w:shd w:val="clear" w:color="auto" w:fill="auto"/>
        <w:tabs>
          <w:tab w:val="left" w:pos="900"/>
        </w:tabs>
        <w:overflowPunct w:val="0"/>
        <w:spacing w:line="440" w:lineRule="exact"/>
        <w:ind w:firstLine="800" w:firstLineChars="250"/>
        <w:rPr>
          <w:rFonts w:hint="eastAsia" w:ascii="仿宋" w:hAnsi="仿宋" w:eastAsia="仿宋" w:cs="仿宋"/>
          <w:color w:val="auto"/>
          <w:sz w:val="32"/>
          <w:szCs w:val="32"/>
          <w:highlight w:val="none"/>
          <w:u w:val="none" w:color="000000"/>
        </w:rPr>
      </w:pPr>
      <w:r>
        <w:rPr>
          <w:rFonts w:hint="eastAsia" w:ascii="仿宋" w:hAnsi="仿宋" w:eastAsia="仿宋" w:cs="仿宋"/>
          <w:color w:val="auto"/>
          <w:sz w:val="32"/>
          <w:szCs w:val="32"/>
          <w:highlight w:val="none"/>
          <w:u w:val="none" w:color="000000"/>
        </w:rPr>
        <w:t>(2)向买方所在地人民法院提起诉讼。</w:t>
      </w:r>
    </w:p>
    <w:p w14:paraId="50706AC1">
      <w:pPr>
        <w:shd w:val="clear" w:color="auto" w:fill="auto"/>
        <w:spacing w:line="440" w:lineRule="exact"/>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十二</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rPr>
        <w:t>附则</w:t>
      </w:r>
    </w:p>
    <w:p w14:paraId="3D188266">
      <w:pPr>
        <w:shd w:val="clear" w:color="auto" w:fill="auto"/>
        <w:spacing w:line="440" w:lineRule="exact"/>
        <w:ind w:firstLine="960" w:firstLineChars="3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22、合同份数。</w:t>
      </w:r>
    </w:p>
    <w:p w14:paraId="5A89922E">
      <w:pPr>
        <w:shd w:val="clear" w:color="auto" w:fill="auto"/>
        <w:spacing w:line="440" w:lineRule="exac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t xml:space="preserve">  本合同一式陆份，买卖双方各执二份，招标代理机构一份，招标采购管理部门一份。</w:t>
      </w:r>
    </w:p>
    <w:p w14:paraId="23CAE798">
      <w:pPr>
        <w:shd w:val="clear" w:color="auto" w:fill="auto"/>
        <w:spacing w:line="440" w:lineRule="exact"/>
        <w:ind w:firstLine="960" w:firstLineChars="3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23、未尽事宜</w:t>
      </w:r>
    </w:p>
    <w:p w14:paraId="6EB2903D">
      <w:pPr>
        <w:shd w:val="clear" w:color="auto" w:fill="auto"/>
        <w:spacing w:line="440" w:lineRule="exact"/>
        <w:ind w:firstLine="800" w:firstLineChars="250"/>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rPr>
        <w:t>本合同未尽事宜应按《中华人民共和国政府采购法》、《中华人民共和国</w:t>
      </w:r>
      <w:r>
        <w:rPr>
          <w:rFonts w:hint="eastAsia" w:ascii="仿宋" w:hAnsi="仿宋" w:eastAsia="仿宋" w:cs="仿宋"/>
          <w:color w:val="auto"/>
          <w:sz w:val="32"/>
          <w:szCs w:val="32"/>
          <w:highlight w:val="none"/>
          <w:lang w:eastAsia="zh-CN"/>
        </w:rPr>
        <w:t>民法典</w:t>
      </w:r>
      <w:r>
        <w:rPr>
          <w:rFonts w:hint="eastAsia" w:ascii="仿宋" w:hAnsi="仿宋" w:eastAsia="仿宋" w:cs="仿宋"/>
          <w:color w:val="auto"/>
          <w:sz w:val="32"/>
          <w:szCs w:val="32"/>
          <w:highlight w:val="none"/>
        </w:rPr>
        <w:t>》、《中华人民共和国产品质量法》之规定解释。</w:t>
      </w:r>
      <w:bookmarkStart w:id="232" w:name="_Toc22119"/>
      <w:bookmarkStart w:id="233" w:name="_Toc17287"/>
    </w:p>
    <w:p w14:paraId="35F63C20">
      <w:pPr>
        <w:pageBreakBefore/>
        <w:numPr>
          <w:ilvl w:val="0"/>
          <w:numId w:val="0"/>
        </w:numPr>
        <w:shd w:val="clear" w:color="auto" w:fill="auto"/>
        <w:ind w:leftChars="0"/>
        <w:jc w:val="center"/>
        <w:outlineLvl w:val="0"/>
        <w:rPr>
          <w:rFonts w:hint="eastAsia" w:ascii="宋体"/>
          <w:b/>
          <w:color w:val="auto"/>
          <w:sz w:val="36"/>
          <w:szCs w:val="36"/>
          <w:highlight w:val="none"/>
        </w:rPr>
      </w:pPr>
      <w:bookmarkStart w:id="234" w:name="_Toc6790"/>
      <w:r>
        <w:rPr>
          <w:rFonts w:hint="eastAsia" w:ascii="宋体"/>
          <w:b/>
          <w:color w:val="auto"/>
          <w:sz w:val="36"/>
          <w:szCs w:val="36"/>
          <w:highlight w:val="none"/>
          <w:lang w:val="en-US" w:eastAsia="zh-CN"/>
        </w:rPr>
        <w:t>第六章</w:t>
      </w:r>
      <w:r>
        <w:rPr>
          <w:rFonts w:hint="eastAsia" w:ascii="宋体"/>
          <w:b/>
          <w:color w:val="auto"/>
          <w:sz w:val="36"/>
          <w:szCs w:val="36"/>
          <w:highlight w:val="none"/>
        </w:rPr>
        <w:t xml:space="preserve"> 投标文件格式</w:t>
      </w:r>
      <w:bookmarkEnd w:id="232"/>
      <w:bookmarkEnd w:id="233"/>
      <w:bookmarkEnd w:id="234"/>
    </w:p>
    <w:p w14:paraId="73E92B61">
      <w:pPr>
        <w:pStyle w:val="19"/>
        <w:rPr>
          <w:rFonts w:hint="eastAsia" w:ascii="宋体"/>
          <w:b/>
          <w:color w:val="auto"/>
          <w:sz w:val="36"/>
          <w:szCs w:val="36"/>
          <w:highlight w:val="none"/>
        </w:rPr>
      </w:pPr>
    </w:p>
    <w:p w14:paraId="0C54E10F">
      <w:pPr>
        <w:pStyle w:val="19"/>
        <w:rPr>
          <w:rFonts w:hint="eastAsia" w:ascii="宋体"/>
          <w:b/>
          <w:color w:val="auto"/>
          <w:sz w:val="30"/>
          <w:szCs w:val="30"/>
          <w:highlight w:val="none"/>
        </w:rPr>
      </w:pPr>
    </w:p>
    <w:p w14:paraId="7B8658D7">
      <w:pPr>
        <w:adjustRightInd w:val="0"/>
        <w:snapToGrid w:val="0"/>
        <w:spacing w:line="360" w:lineRule="auto"/>
        <w:jc w:val="center"/>
        <w:rPr>
          <w:rFonts w:hint="eastAsia" w:ascii="仿宋" w:hAnsi="仿宋" w:eastAsia="仿宋" w:cs="仿宋"/>
          <w:bCs/>
          <w:color w:val="auto"/>
          <w:sz w:val="36"/>
          <w:szCs w:val="36"/>
          <w:highlight w:val="none"/>
        </w:rPr>
      </w:pPr>
      <w:r>
        <w:rPr>
          <w:rFonts w:hint="eastAsia" w:ascii="仿宋" w:hAnsi="仿宋" w:eastAsia="仿宋" w:cs="仿宋"/>
          <w:b/>
          <w:caps/>
          <w:color w:val="auto"/>
          <w:sz w:val="36"/>
          <w:szCs w:val="36"/>
          <w:highlight w:val="none"/>
        </w:rPr>
        <w:t>（项目名称）</w:t>
      </w:r>
    </w:p>
    <w:p w14:paraId="7294FCF4">
      <w:pPr>
        <w:adjustRightInd w:val="0"/>
        <w:snapToGrid w:val="0"/>
        <w:spacing w:line="360" w:lineRule="auto"/>
        <w:jc w:val="both"/>
        <w:rPr>
          <w:rFonts w:hint="eastAsia" w:ascii="仿宋" w:hAnsi="仿宋" w:eastAsia="仿宋" w:cs="仿宋"/>
          <w:bCs/>
          <w:color w:val="auto"/>
          <w:sz w:val="32"/>
          <w:szCs w:val="32"/>
          <w:highlight w:val="none"/>
        </w:rPr>
      </w:pPr>
    </w:p>
    <w:p w14:paraId="6AA294C1">
      <w:pPr>
        <w:adjustRightInd w:val="0"/>
        <w:snapToGrid w:val="0"/>
        <w:spacing w:line="360" w:lineRule="auto"/>
        <w:jc w:val="center"/>
        <w:rPr>
          <w:rFonts w:hint="eastAsia" w:ascii="仿宋" w:hAnsi="仿宋" w:eastAsia="仿宋" w:cs="仿宋"/>
          <w:bCs/>
          <w:color w:val="auto"/>
          <w:sz w:val="32"/>
          <w:szCs w:val="32"/>
          <w:highlight w:val="none"/>
        </w:rPr>
      </w:pPr>
    </w:p>
    <w:p w14:paraId="4AA3BF5F">
      <w:pPr>
        <w:adjustRightInd w:val="0"/>
        <w:snapToGrid w:val="0"/>
        <w:spacing w:line="360" w:lineRule="auto"/>
        <w:jc w:val="center"/>
        <w:rPr>
          <w:rFonts w:hint="eastAsia" w:ascii="宋体" w:hAnsi="宋体" w:eastAsia="宋体" w:cs="宋体"/>
          <w:bCs/>
          <w:color w:val="auto"/>
          <w:sz w:val="32"/>
          <w:szCs w:val="32"/>
          <w:highlight w:val="none"/>
          <w:lang w:eastAsia="zh-CN"/>
        </w:rPr>
      </w:pPr>
      <w:r>
        <w:rPr>
          <w:rFonts w:hint="eastAsia" w:ascii="宋体" w:hAnsi="宋体" w:eastAsia="宋体" w:cs="宋体"/>
          <w:b/>
          <w:bCs/>
          <w:color w:val="auto"/>
          <w:sz w:val="44"/>
          <w:szCs w:val="44"/>
          <w:highlight w:val="none"/>
          <w:lang w:eastAsia="zh-CN"/>
        </w:rPr>
        <w:t>投标文件</w:t>
      </w:r>
    </w:p>
    <w:p w14:paraId="44D2A7FA">
      <w:pPr>
        <w:adjustRightInd w:val="0"/>
        <w:snapToGrid w:val="0"/>
        <w:spacing w:line="360" w:lineRule="auto"/>
        <w:jc w:val="center"/>
        <w:rPr>
          <w:rFonts w:hint="eastAsia" w:ascii="仿宋" w:hAnsi="仿宋" w:eastAsia="仿宋" w:cs="仿宋"/>
          <w:bCs/>
          <w:color w:val="auto"/>
          <w:sz w:val="32"/>
          <w:szCs w:val="32"/>
          <w:highlight w:val="none"/>
        </w:rPr>
      </w:pPr>
    </w:p>
    <w:p w14:paraId="22FC2D37">
      <w:pPr>
        <w:adjustRightInd w:val="0"/>
        <w:snapToGrid w:val="0"/>
        <w:spacing w:line="360" w:lineRule="auto"/>
        <w:jc w:val="both"/>
        <w:rPr>
          <w:rFonts w:hint="eastAsia" w:ascii="仿宋" w:hAnsi="仿宋" w:eastAsia="仿宋" w:cs="仿宋"/>
          <w:bCs/>
          <w:color w:val="auto"/>
          <w:sz w:val="32"/>
          <w:szCs w:val="32"/>
          <w:highlight w:val="none"/>
        </w:rPr>
      </w:pPr>
    </w:p>
    <w:p w14:paraId="716196F4">
      <w:pPr>
        <w:adjustRightInd w:val="0"/>
        <w:snapToGrid w:val="0"/>
        <w:spacing w:line="360" w:lineRule="auto"/>
        <w:ind w:right="-134" w:rightChars="-64"/>
        <w:rPr>
          <w:rFonts w:hint="eastAsia" w:ascii="宋体" w:hAnsi="宋体" w:eastAsia="宋体" w:cs="宋体"/>
          <w:b/>
          <w:caps/>
          <w:color w:val="auto"/>
          <w:sz w:val="28"/>
          <w:szCs w:val="28"/>
          <w:highlight w:val="none"/>
        </w:rPr>
      </w:pPr>
      <w:r>
        <w:rPr>
          <w:rFonts w:hint="eastAsia" w:ascii="宋体" w:hAnsi="宋体" w:cs="宋体"/>
          <w:b/>
          <w:caps/>
          <w:color w:val="auto"/>
          <w:spacing w:val="0"/>
          <w:kern w:val="0"/>
          <w:sz w:val="28"/>
          <w:szCs w:val="28"/>
          <w:highlight w:val="none"/>
          <w:fitText w:val="2810" w:id="608051863"/>
          <w:lang w:val="en-US" w:eastAsia="zh-CN"/>
        </w:rPr>
        <w:t>投标人</w:t>
      </w:r>
      <w:r>
        <w:rPr>
          <w:rFonts w:hint="eastAsia" w:ascii="宋体" w:hAnsi="宋体" w:eastAsia="宋体" w:cs="宋体"/>
          <w:b/>
          <w:caps/>
          <w:color w:val="auto"/>
          <w:spacing w:val="0"/>
          <w:kern w:val="0"/>
          <w:sz w:val="28"/>
          <w:szCs w:val="28"/>
          <w:highlight w:val="none"/>
          <w:fitText w:val="2810" w:id="608051863"/>
        </w:rPr>
        <w:t>名称（公章）：</w:t>
      </w:r>
    </w:p>
    <w:p w14:paraId="1472AE75">
      <w:pPr>
        <w:adjustRightInd w:val="0"/>
        <w:snapToGrid w:val="0"/>
        <w:spacing w:line="360" w:lineRule="auto"/>
        <w:ind w:right="-134" w:rightChars="-64"/>
        <w:rPr>
          <w:rFonts w:hint="eastAsia" w:ascii="宋体" w:hAnsi="宋体" w:eastAsia="宋体" w:cs="宋体"/>
          <w:b/>
          <w:caps/>
          <w:color w:val="auto"/>
          <w:sz w:val="28"/>
          <w:szCs w:val="28"/>
          <w:highlight w:val="none"/>
        </w:rPr>
      </w:pPr>
    </w:p>
    <w:p w14:paraId="36858BC9">
      <w:pPr>
        <w:adjustRightInd w:val="0"/>
        <w:snapToGrid w:val="0"/>
        <w:spacing w:line="360" w:lineRule="auto"/>
        <w:ind w:right="-134" w:rightChars="-64"/>
        <w:rPr>
          <w:rFonts w:hint="eastAsia" w:ascii="宋体" w:hAnsi="宋体" w:eastAsia="宋体" w:cs="宋体"/>
          <w:b/>
          <w:caps/>
          <w:color w:val="auto"/>
          <w:sz w:val="28"/>
          <w:szCs w:val="28"/>
          <w:highlight w:val="none"/>
        </w:rPr>
      </w:pPr>
      <w:r>
        <w:rPr>
          <w:rFonts w:hint="eastAsia" w:ascii="宋体" w:hAnsi="宋体" w:eastAsia="宋体" w:cs="宋体"/>
          <w:b/>
          <w:caps/>
          <w:color w:val="auto"/>
          <w:spacing w:val="0"/>
          <w:w w:val="77"/>
          <w:kern w:val="0"/>
          <w:sz w:val="28"/>
          <w:szCs w:val="28"/>
          <w:highlight w:val="none"/>
          <w:fitText w:val="2810" w:id="422278163"/>
        </w:rPr>
        <w:t>法定代表人（</w:t>
      </w:r>
      <w:r>
        <w:rPr>
          <w:rFonts w:hint="eastAsia" w:ascii="宋体" w:hAnsi="宋体" w:eastAsia="宋体" w:cs="宋体"/>
          <w:b/>
          <w:caps/>
          <w:color w:val="auto"/>
          <w:spacing w:val="0"/>
          <w:w w:val="77"/>
          <w:kern w:val="0"/>
          <w:sz w:val="28"/>
          <w:szCs w:val="28"/>
          <w:highlight w:val="none"/>
          <w:fitText w:val="2810" w:id="422278163"/>
          <w:lang w:eastAsia="zh-CN"/>
        </w:rPr>
        <w:t>签章</w:t>
      </w:r>
      <w:r>
        <w:rPr>
          <w:rFonts w:hint="eastAsia" w:ascii="宋体" w:hAnsi="宋体" w:eastAsia="宋体" w:cs="宋体"/>
          <w:b/>
          <w:caps/>
          <w:color w:val="auto"/>
          <w:spacing w:val="0"/>
          <w:w w:val="77"/>
          <w:kern w:val="0"/>
          <w:sz w:val="28"/>
          <w:szCs w:val="28"/>
          <w:highlight w:val="none"/>
          <w:fitText w:val="2810" w:id="422278163"/>
        </w:rPr>
        <w:t>或盖章）</w:t>
      </w:r>
      <w:r>
        <w:rPr>
          <w:rFonts w:hint="eastAsia" w:ascii="宋体" w:hAnsi="宋体" w:eastAsia="宋体" w:cs="宋体"/>
          <w:b/>
          <w:caps/>
          <w:color w:val="auto"/>
          <w:spacing w:val="-1"/>
          <w:w w:val="77"/>
          <w:kern w:val="0"/>
          <w:sz w:val="28"/>
          <w:szCs w:val="28"/>
          <w:highlight w:val="none"/>
          <w:fitText w:val="2810" w:id="422278163"/>
        </w:rPr>
        <w:t>：</w:t>
      </w:r>
    </w:p>
    <w:p w14:paraId="1A0C3D40">
      <w:pPr>
        <w:adjustRightInd w:val="0"/>
        <w:snapToGrid w:val="0"/>
        <w:spacing w:line="360" w:lineRule="auto"/>
        <w:ind w:right="-134" w:rightChars="-64"/>
        <w:rPr>
          <w:rFonts w:hint="eastAsia" w:ascii="宋体" w:hAnsi="宋体" w:eastAsia="宋体" w:cs="宋体"/>
          <w:b/>
          <w:caps/>
          <w:color w:val="auto"/>
          <w:sz w:val="28"/>
          <w:szCs w:val="28"/>
          <w:highlight w:val="none"/>
        </w:rPr>
      </w:pPr>
    </w:p>
    <w:p w14:paraId="7342C431">
      <w:pPr>
        <w:adjustRightInd w:val="0"/>
        <w:snapToGrid w:val="0"/>
        <w:spacing w:line="360" w:lineRule="auto"/>
        <w:ind w:right="-134" w:rightChars="-64"/>
        <w:rPr>
          <w:rFonts w:hint="eastAsia" w:ascii="宋体" w:hAnsi="宋体" w:eastAsia="宋体" w:cs="宋体"/>
          <w:b/>
          <w:caps/>
          <w:color w:val="auto"/>
          <w:kern w:val="0"/>
          <w:sz w:val="28"/>
          <w:szCs w:val="28"/>
          <w:highlight w:val="none"/>
        </w:rPr>
      </w:pPr>
      <w:r>
        <w:rPr>
          <w:rFonts w:hint="eastAsia" w:ascii="宋体" w:hAnsi="宋体" w:cs="宋体"/>
          <w:b/>
          <w:caps/>
          <w:color w:val="auto"/>
          <w:kern w:val="0"/>
          <w:sz w:val="28"/>
          <w:szCs w:val="28"/>
          <w:highlight w:val="none"/>
          <w:lang w:val="en-US" w:eastAsia="zh-CN"/>
        </w:rPr>
        <w:t>投标人地址</w:t>
      </w:r>
      <w:r>
        <w:rPr>
          <w:rFonts w:hint="eastAsia" w:ascii="宋体" w:hAnsi="宋体" w:eastAsia="宋体" w:cs="宋体"/>
          <w:b/>
          <w:caps/>
          <w:color w:val="auto"/>
          <w:spacing w:val="1265"/>
          <w:kern w:val="0"/>
          <w:sz w:val="28"/>
          <w:szCs w:val="28"/>
          <w:highlight w:val="none"/>
          <w:fitText w:val="2810" w:id="858092363"/>
        </w:rPr>
        <w:t>：</w:t>
      </w:r>
    </w:p>
    <w:p w14:paraId="707772DB">
      <w:pPr>
        <w:pStyle w:val="4"/>
        <w:rPr>
          <w:rFonts w:hint="eastAsia" w:ascii="宋体" w:hAnsi="宋体" w:cs="宋体"/>
          <w:b/>
          <w:caps/>
          <w:color w:val="auto"/>
          <w:kern w:val="0"/>
          <w:sz w:val="28"/>
          <w:szCs w:val="28"/>
          <w:highlight w:val="none"/>
          <w:lang w:val="en-US" w:eastAsia="zh-CN"/>
        </w:rPr>
      </w:pPr>
      <w:bookmarkStart w:id="235" w:name="_Toc32562"/>
      <w:bookmarkStart w:id="236" w:name="_Toc18965"/>
      <w:r>
        <w:rPr>
          <w:rFonts w:hint="eastAsia" w:ascii="宋体" w:hAnsi="宋体" w:cs="宋体"/>
          <w:b/>
          <w:caps/>
          <w:color w:val="auto"/>
          <w:kern w:val="0"/>
          <w:sz w:val="28"/>
          <w:szCs w:val="28"/>
          <w:highlight w:val="none"/>
          <w:lang w:val="en-US" w:eastAsia="zh-CN"/>
        </w:rPr>
        <w:t>联系人：</w:t>
      </w:r>
      <w:bookmarkEnd w:id="235"/>
      <w:bookmarkEnd w:id="236"/>
    </w:p>
    <w:p w14:paraId="34A2C057">
      <w:pPr>
        <w:pStyle w:val="4"/>
        <w:rPr>
          <w:rFonts w:hint="default" w:ascii="宋体" w:hAnsi="宋体" w:eastAsia="宋体" w:cs="宋体"/>
          <w:b/>
          <w:caps/>
          <w:color w:val="auto"/>
          <w:sz w:val="28"/>
          <w:szCs w:val="28"/>
          <w:highlight w:val="none"/>
          <w:lang w:val="en-US"/>
        </w:rPr>
      </w:pPr>
      <w:bookmarkStart w:id="237" w:name="_Toc4888"/>
      <w:bookmarkStart w:id="238" w:name="_Toc2900"/>
      <w:r>
        <w:rPr>
          <w:rFonts w:hint="eastAsia" w:ascii="宋体" w:hAnsi="宋体" w:cs="宋体"/>
          <w:b/>
          <w:caps/>
          <w:color w:val="auto"/>
          <w:kern w:val="0"/>
          <w:sz w:val="28"/>
          <w:szCs w:val="28"/>
          <w:highlight w:val="none"/>
          <w:lang w:val="en-US" w:eastAsia="zh-CN"/>
        </w:rPr>
        <w:t>联系电话：</w:t>
      </w:r>
      <w:bookmarkEnd w:id="237"/>
      <w:bookmarkEnd w:id="238"/>
    </w:p>
    <w:p w14:paraId="1387F2A4">
      <w:pPr>
        <w:adjustRightInd w:val="0"/>
        <w:snapToGrid w:val="0"/>
        <w:spacing w:line="360" w:lineRule="auto"/>
        <w:jc w:val="center"/>
        <w:rPr>
          <w:rFonts w:hint="eastAsia" w:ascii="宋体" w:hAnsi="宋体" w:eastAsia="宋体" w:cs="宋体"/>
          <w:b/>
          <w:caps/>
          <w:color w:val="auto"/>
          <w:sz w:val="28"/>
          <w:szCs w:val="28"/>
          <w:highlight w:val="none"/>
        </w:rPr>
      </w:pPr>
    </w:p>
    <w:p w14:paraId="01A606C2">
      <w:pP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年</w:t>
      </w:r>
      <w:r>
        <w:rPr>
          <w:rFonts w:hint="eastAsia" w:ascii="宋体" w:hAnsi="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月</w:t>
      </w:r>
      <w:r>
        <w:rPr>
          <w:rFonts w:hint="eastAsia" w:ascii="宋体" w:hAnsi="宋体" w:cs="宋体"/>
          <w:b/>
          <w:color w:val="auto"/>
          <w:sz w:val="28"/>
          <w:szCs w:val="28"/>
          <w:highlight w:val="none"/>
          <w:u w:val="single"/>
          <w:lang w:val="en-US" w:eastAsia="zh-CN"/>
        </w:rPr>
        <w:t xml:space="preserve">       </w:t>
      </w:r>
      <w:r>
        <w:rPr>
          <w:rFonts w:hint="eastAsia" w:ascii="宋体" w:hAnsi="宋体" w:eastAsia="宋体" w:cs="宋体"/>
          <w:b/>
          <w:color w:val="auto"/>
          <w:sz w:val="28"/>
          <w:szCs w:val="28"/>
          <w:highlight w:val="none"/>
        </w:rPr>
        <w:t>日</w:t>
      </w:r>
    </w:p>
    <w:p w14:paraId="169E6CBB">
      <w:pPr>
        <w:pStyle w:val="19"/>
        <w:rPr>
          <w:rFonts w:hint="eastAsia" w:ascii="宋体" w:hAnsi="宋体" w:eastAsia="宋体" w:cs="宋体"/>
          <w:b/>
          <w:color w:val="auto"/>
          <w:sz w:val="28"/>
          <w:szCs w:val="28"/>
          <w:highlight w:val="none"/>
        </w:rPr>
      </w:pPr>
    </w:p>
    <w:p w14:paraId="3BC93AF6">
      <w:pPr>
        <w:pStyle w:val="19"/>
        <w:rPr>
          <w:rFonts w:hint="eastAsia" w:ascii="宋体" w:hAnsi="宋体" w:eastAsia="宋体" w:cs="宋体"/>
          <w:b/>
          <w:color w:val="auto"/>
          <w:sz w:val="28"/>
          <w:szCs w:val="28"/>
          <w:highlight w:val="none"/>
        </w:rPr>
      </w:pPr>
    </w:p>
    <w:p w14:paraId="39E9AB55">
      <w:pPr>
        <w:pStyle w:val="19"/>
        <w:rPr>
          <w:rFonts w:hint="eastAsia" w:ascii="宋体" w:hAnsi="宋体" w:eastAsia="宋体" w:cs="宋体"/>
          <w:b/>
          <w:color w:val="auto"/>
          <w:sz w:val="28"/>
          <w:szCs w:val="28"/>
          <w:highlight w:val="none"/>
        </w:rPr>
      </w:pPr>
    </w:p>
    <w:p w14:paraId="750C3A57">
      <w:pPr>
        <w:pStyle w:val="19"/>
        <w:rPr>
          <w:rFonts w:hint="eastAsia" w:ascii="宋体" w:hAnsi="宋体" w:eastAsia="宋体" w:cs="宋体"/>
          <w:b/>
          <w:color w:val="auto"/>
          <w:sz w:val="28"/>
          <w:szCs w:val="28"/>
          <w:highlight w:val="none"/>
        </w:rPr>
      </w:pPr>
    </w:p>
    <w:p w14:paraId="168B9BA2">
      <w:pPr>
        <w:pStyle w:val="19"/>
        <w:rPr>
          <w:rFonts w:hint="eastAsia" w:ascii="宋体" w:hAnsi="宋体" w:eastAsia="宋体" w:cs="宋体"/>
          <w:b/>
          <w:color w:val="auto"/>
          <w:sz w:val="28"/>
          <w:szCs w:val="28"/>
          <w:highlight w:val="none"/>
        </w:rPr>
      </w:pPr>
    </w:p>
    <w:p w14:paraId="1BEF1CAE">
      <w:pPr>
        <w:pStyle w:val="19"/>
        <w:rPr>
          <w:rFonts w:hint="eastAsia" w:ascii="宋体" w:hAnsi="宋体" w:eastAsia="宋体" w:cs="宋体"/>
          <w:b/>
          <w:color w:val="auto"/>
          <w:sz w:val="28"/>
          <w:szCs w:val="28"/>
          <w:highlight w:val="none"/>
        </w:rPr>
      </w:pPr>
    </w:p>
    <w:p w14:paraId="34FE5C01">
      <w:pPr>
        <w:pStyle w:val="19"/>
        <w:numPr>
          <w:ilvl w:val="0"/>
          <w:numId w:val="0"/>
        </w:numPr>
        <w:ind w:leftChars="0"/>
        <w:rPr>
          <w:rFonts w:hint="eastAsia"/>
          <w:color w:val="auto"/>
          <w:highlight w:val="none"/>
        </w:rPr>
      </w:pPr>
    </w:p>
    <w:p w14:paraId="170EC1F6">
      <w:pPr>
        <w:shd w:val="clear" w:color="auto" w:fill="auto"/>
        <w:spacing w:line="240" w:lineRule="atLeast"/>
        <w:ind w:left="735" w:leftChars="350" w:firstLine="120" w:firstLineChars="50"/>
        <w:rPr>
          <w:rFonts w:hint="eastAsia" w:ascii="仿宋" w:hAnsi="仿宋" w:eastAsia="仿宋" w:cs="仿宋"/>
          <w:color w:val="auto"/>
          <w:sz w:val="24"/>
          <w:highlight w:val="none"/>
        </w:rPr>
      </w:pPr>
    </w:p>
    <w:p w14:paraId="0E90EAD8">
      <w:pPr>
        <w:pStyle w:val="3"/>
        <w:numPr>
          <w:ilvl w:val="0"/>
          <w:numId w:val="0"/>
        </w:numPr>
        <w:shd w:val="clear" w:color="auto" w:fill="auto"/>
        <w:spacing w:before="0" w:line="240" w:lineRule="atLeast"/>
        <w:jc w:val="center"/>
        <w:rPr>
          <w:rFonts w:hint="eastAsia" w:ascii="仿宋" w:hAnsi="仿宋" w:eastAsia="仿宋" w:cs="仿宋"/>
          <w:color w:val="auto"/>
          <w:sz w:val="36"/>
          <w:szCs w:val="36"/>
          <w:highlight w:val="none"/>
        </w:rPr>
      </w:pPr>
      <w:bookmarkStart w:id="239" w:name="_Toc8919"/>
      <w:bookmarkStart w:id="240" w:name="_Toc29109"/>
      <w:bookmarkStart w:id="241" w:name="_Toc9595"/>
      <w:bookmarkStart w:id="242" w:name="_Toc2540"/>
      <w:bookmarkStart w:id="243" w:name="_Toc855"/>
      <w:bookmarkStart w:id="244" w:name="_Toc18694"/>
      <w:bookmarkStart w:id="245" w:name="_Toc18974"/>
      <w:bookmarkStart w:id="246" w:name="_Toc515647803"/>
      <w:r>
        <w:rPr>
          <w:rFonts w:hint="eastAsia" w:ascii="仿宋" w:hAnsi="仿宋" w:eastAsia="仿宋" w:cs="仿宋"/>
          <w:b/>
          <w:bCs/>
          <w:color w:val="auto"/>
          <w:sz w:val="36"/>
          <w:szCs w:val="36"/>
          <w:highlight w:val="none"/>
          <w:lang w:eastAsia="zh-CN"/>
        </w:rPr>
        <w:t>一、</w:t>
      </w:r>
      <w:r>
        <w:rPr>
          <w:rFonts w:hint="eastAsia" w:ascii="仿宋" w:hAnsi="仿宋" w:eastAsia="仿宋" w:cs="仿宋"/>
          <w:b/>
          <w:bCs/>
          <w:color w:val="auto"/>
          <w:sz w:val="36"/>
          <w:szCs w:val="36"/>
          <w:highlight w:val="none"/>
        </w:rPr>
        <w:t>资格证明文件</w:t>
      </w:r>
      <w:bookmarkEnd w:id="239"/>
      <w:bookmarkEnd w:id="240"/>
      <w:bookmarkEnd w:id="241"/>
      <w:bookmarkEnd w:id="242"/>
      <w:bookmarkEnd w:id="243"/>
      <w:bookmarkEnd w:id="244"/>
      <w:bookmarkEnd w:id="245"/>
      <w:bookmarkEnd w:id="246"/>
    </w:p>
    <w:p w14:paraId="4B4088CA">
      <w:pPr>
        <w:shd w:val="clear" w:color="auto" w:fill="auto"/>
        <w:spacing w:line="240" w:lineRule="atLeast"/>
        <w:ind w:left="708" w:hanging="944" w:hangingChars="295"/>
        <w:jc w:val="center"/>
        <w:rPr>
          <w:rFonts w:hint="eastAsia" w:ascii="仿宋" w:hAnsi="仿宋" w:eastAsia="仿宋" w:cs="仿宋"/>
          <w:color w:val="auto"/>
          <w:sz w:val="32"/>
          <w:szCs w:val="32"/>
          <w:highlight w:val="none"/>
        </w:rPr>
      </w:pPr>
    </w:p>
    <w:p w14:paraId="51DAB0F3">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（1）具备合格的三证合一营业执照副本；</w:t>
      </w:r>
    </w:p>
    <w:p w14:paraId="05125687">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（2）法定代表人投标需提供法定代表人资格证明书，委托代理人投标需提供法定代表人授权委托书；</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3784C4F1">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（3）投标人须提供（被授权在职人员）近6个月内任意1个月社保证明；</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180FEB7A">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72F6690B">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（5）投标人须具备行政主管部门颁发的有效的《保安服务许可证》；</w:t>
      </w:r>
    </w:p>
    <w:p w14:paraId="24D67926">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r>
        <w:rPr>
          <w:rFonts w:hint="eastAsia" w:ascii="仿宋" w:hAnsi="仿宋" w:eastAsia="仿宋" w:cs="仿宋"/>
          <w:i w:val="0"/>
          <w:caps w:val="0"/>
          <w:color w:val="auto"/>
          <w:spacing w:val="0"/>
          <w:kern w:val="0"/>
          <w:sz w:val="32"/>
          <w:szCs w:val="32"/>
          <w:highlight w:val="none"/>
          <w:lang w:val="en-US" w:eastAsia="zh-CN"/>
        </w:rPr>
        <w:t>（6）联合体协议书（若有）。</w:t>
      </w:r>
    </w:p>
    <w:p w14:paraId="6FABADEF">
      <w:pPr>
        <w:snapToGrid w:val="0"/>
        <w:spacing w:line="240" w:lineRule="auto"/>
        <w:ind w:left="0" w:leftChars="0" w:right="0" w:rightChars="0" w:firstLine="0" w:firstLineChars="0"/>
        <w:jc w:val="left"/>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（7）投标保证金汇款凭证或投标担保函；</w:t>
      </w:r>
    </w:p>
    <w:p w14:paraId="04DDD5DF">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（8）供应商须提供《中小企业声明函》；  </w:t>
      </w:r>
    </w:p>
    <w:p w14:paraId="6D13786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（9）投标人须知资料表要求的其他资格证明文件。</w:t>
      </w:r>
    </w:p>
    <w:p w14:paraId="5683507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b/>
          <w:bCs/>
          <w:i w:val="0"/>
          <w:caps w:val="0"/>
          <w:color w:val="auto"/>
          <w:spacing w:val="0"/>
          <w:kern w:val="0"/>
          <w:sz w:val="32"/>
          <w:szCs w:val="32"/>
          <w:highlight w:val="none"/>
          <w:lang w:val="en-US" w:eastAsia="zh-CN"/>
        </w:rPr>
      </w:pPr>
      <w:r>
        <w:rPr>
          <w:rFonts w:hint="eastAsia" w:ascii="仿宋" w:hAnsi="仿宋" w:eastAsia="仿宋" w:cs="仿宋"/>
          <w:b/>
          <w:bCs/>
          <w:i w:val="0"/>
          <w:caps w:val="0"/>
          <w:color w:val="auto"/>
          <w:spacing w:val="0"/>
          <w:kern w:val="0"/>
          <w:sz w:val="32"/>
          <w:szCs w:val="32"/>
          <w:highlight w:val="none"/>
          <w:lang w:val="en-US" w:eastAsia="zh-CN"/>
        </w:rPr>
        <w:t>（联合体成员均需提供上述（1）、（4）、（8）审查资料）</w:t>
      </w:r>
    </w:p>
    <w:p w14:paraId="49388E5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FF0000"/>
          <w:sz w:val="32"/>
          <w:szCs w:val="32"/>
          <w:highlight w:val="none"/>
        </w:rPr>
      </w:pPr>
    </w:p>
    <w:p w14:paraId="6E1582B7">
      <w:pPr>
        <w:pStyle w:val="27"/>
        <w:rPr>
          <w:rFonts w:hint="eastAsia"/>
          <w:color w:val="auto"/>
          <w:highlight w:val="none"/>
        </w:rPr>
      </w:pPr>
    </w:p>
    <w:p w14:paraId="33D13744">
      <w:pPr>
        <w:pStyle w:val="9"/>
        <w:rPr>
          <w:rFonts w:hint="eastAsia"/>
          <w:color w:val="auto"/>
          <w:highlight w:val="none"/>
        </w:rPr>
      </w:pPr>
    </w:p>
    <w:p w14:paraId="617402A6">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1067D50D">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3DBD1FB2">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71C4E19A">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11D42DCC">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3D246C54">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459532DB">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47076ED2">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6E8B1560">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07945DF0">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437956E8">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4A5067C2">
      <w:pPr>
        <w:pStyle w:val="33"/>
        <w:rPr>
          <w:rFonts w:hint="eastAsia" w:ascii="宋体" w:hAnsi="宋体" w:eastAsia="宋体" w:cs="宋体"/>
          <w:color w:val="auto"/>
          <w:sz w:val="24"/>
          <w:highlight w:val="none"/>
        </w:rPr>
      </w:pPr>
    </w:p>
    <w:p w14:paraId="0CF6D9BC">
      <w:pPr>
        <w:pStyle w:val="33"/>
        <w:rPr>
          <w:rFonts w:hint="eastAsia" w:ascii="宋体" w:hAnsi="宋体" w:eastAsia="宋体" w:cs="宋体"/>
          <w:color w:val="auto"/>
          <w:sz w:val="24"/>
          <w:highlight w:val="none"/>
        </w:rPr>
      </w:pPr>
    </w:p>
    <w:p w14:paraId="632F453E">
      <w:pPr>
        <w:pStyle w:val="33"/>
        <w:rPr>
          <w:rFonts w:hint="eastAsia" w:ascii="宋体" w:hAnsi="宋体" w:eastAsia="宋体" w:cs="宋体"/>
          <w:color w:val="auto"/>
          <w:sz w:val="24"/>
          <w:highlight w:val="none"/>
        </w:rPr>
      </w:pPr>
    </w:p>
    <w:p w14:paraId="538E6512">
      <w:pPr>
        <w:pStyle w:val="33"/>
        <w:rPr>
          <w:rFonts w:hint="eastAsia" w:ascii="宋体" w:hAnsi="宋体" w:eastAsia="宋体" w:cs="宋体"/>
          <w:color w:val="auto"/>
          <w:sz w:val="24"/>
          <w:highlight w:val="none"/>
        </w:rPr>
      </w:pPr>
    </w:p>
    <w:p w14:paraId="48D43AF0">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02089EDA">
      <w:pPr>
        <w:rPr>
          <w:rFonts w:hint="eastAsia"/>
          <w:color w:val="auto"/>
          <w:highlight w:val="none"/>
        </w:rPr>
      </w:pPr>
    </w:p>
    <w:p w14:paraId="63291EA6">
      <w:pPr>
        <w:shd w:val="clear" w:color="auto" w:fill="auto"/>
        <w:tabs>
          <w:tab w:val="left" w:pos="5580"/>
        </w:tabs>
        <w:spacing w:line="240" w:lineRule="atLeast"/>
        <w:ind w:left="1" w:firstLine="564" w:firstLineChars="235"/>
        <w:rPr>
          <w:rFonts w:hint="eastAsia" w:ascii="宋体" w:hAnsi="宋体" w:eastAsia="宋体" w:cs="宋体"/>
          <w:color w:val="auto"/>
          <w:sz w:val="24"/>
          <w:highlight w:val="none"/>
        </w:rPr>
      </w:pPr>
    </w:p>
    <w:p w14:paraId="7C1EAA71">
      <w:pPr>
        <w:pStyle w:val="12"/>
        <w:pageBreakBefore w:val="0"/>
        <w:widowControl w:val="0"/>
        <w:shd w:val="clear" w:color="auto" w:fill="auto"/>
        <w:tabs>
          <w:tab w:val="left" w:pos="5580"/>
        </w:tabs>
        <w:kinsoku/>
        <w:wordWrap/>
        <w:overflowPunct/>
        <w:topLinePunct w:val="0"/>
        <w:autoSpaceDE/>
        <w:autoSpaceDN/>
        <w:bidi w:val="0"/>
        <w:snapToGrid/>
        <w:spacing w:line="400" w:lineRule="exact"/>
        <w:jc w:val="both"/>
        <w:rPr>
          <w:rFonts w:hint="eastAsia" w:ascii="宋体" w:hAnsi="宋体" w:eastAsia="宋体" w:cs="宋体"/>
          <w:b/>
          <w:bCs/>
          <w:color w:val="auto"/>
          <w:sz w:val="24"/>
          <w:highlight w:val="none"/>
        </w:rPr>
      </w:pPr>
      <w:bookmarkStart w:id="247" w:name="_Toc216582813"/>
      <w:bookmarkStart w:id="248" w:name="_Ref467988698"/>
      <w:bookmarkStart w:id="249" w:name="_Toc480942349"/>
      <w:bookmarkStart w:id="250" w:name="_Toc520356217"/>
      <w:r>
        <w:rPr>
          <w:rFonts w:hint="eastAsia" w:ascii="仿宋" w:hAnsi="仿宋" w:eastAsia="仿宋" w:cs="仿宋"/>
          <w:b/>
          <w:bCs/>
          <w:color w:val="auto"/>
          <w:sz w:val="32"/>
          <w:szCs w:val="32"/>
          <w:highlight w:val="none"/>
          <w:lang w:val="en-US" w:eastAsia="zh-CN"/>
        </w:rPr>
        <w:t>（1）具备合格的三证合一营业执照副本；</w:t>
      </w:r>
    </w:p>
    <w:p w14:paraId="11CFDE25">
      <w:pPr>
        <w:spacing w:line="440" w:lineRule="exact"/>
        <w:rPr>
          <w:rFonts w:hint="eastAsia" w:ascii="仿宋" w:hAnsi="仿宋" w:eastAsia="仿宋" w:cs="仿宋"/>
          <w:sz w:val="32"/>
          <w:szCs w:val="32"/>
          <w:lang w:eastAsia="zh-CN"/>
        </w:rPr>
      </w:pPr>
      <w:r>
        <w:rPr>
          <w:rFonts w:hint="eastAsia" w:ascii="仿宋" w:hAnsi="仿宋" w:eastAsia="仿宋" w:cs="仿宋"/>
          <w:spacing w:val="13"/>
          <w:sz w:val="32"/>
          <w:szCs w:val="32"/>
          <w:lang w:eastAsia="zh-CN"/>
        </w:rPr>
        <w:t>说明：</w:t>
      </w:r>
      <w:r>
        <w:rPr>
          <w:rFonts w:hint="eastAsia" w:ascii="仿宋" w:hAnsi="仿宋" w:eastAsia="仿宋" w:cs="仿宋"/>
          <w:spacing w:val="-40"/>
          <w:sz w:val="32"/>
          <w:szCs w:val="32"/>
          <w:lang w:eastAsia="zh-CN"/>
        </w:rPr>
        <w:t xml:space="preserve"> </w:t>
      </w:r>
      <w:r>
        <w:rPr>
          <w:rFonts w:hint="eastAsia" w:ascii="仿宋" w:hAnsi="仿宋" w:eastAsia="仿宋" w:cs="仿宋"/>
          <w:spacing w:val="13"/>
          <w:sz w:val="32"/>
          <w:szCs w:val="32"/>
          <w:lang w:eastAsia="zh-CN"/>
        </w:rPr>
        <w:t>1.提供有效的营业执照等证明文件原件扫描件，原件扫描件上应加盖本单位</w:t>
      </w:r>
      <w:r>
        <w:rPr>
          <w:rFonts w:hint="eastAsia" w:ascii="仿宋" w:hAnsi="仿宋" w:eastAsia="仿宋" w:cs="仿宋"/>
          <w:spacing w:val="2"/>
          <w:sz w:val="32"/>
          <w:szCs w:val="32"/>
          <w:lang w:eastAsia="zh-CN"/>
        </w:rPr>
        <w:t>电子公章。</w:t>
      </w:r>
    </w:p>
    <w:p w14:paraId="66ADA6AA">
      <w:pPr>
        <w:numPr>
          <w:ilvl w:val="0"/>
          <w:numId w:val="8"/>
        </w:numPr>
        <w:spacing w:line="440" w:lineRule="exact"/>
        <w:ind w:firstLine="684" w:firstLineChars="200"/>
        <w:rPr>
          <w:rFonts w:hint="eastAsia" w:ascii="仿宋" w:hAnsi="仿宋" w:eastAsia="仿宋" w:cs="仿宋"/>
          <w:spacing w:val="11"/>
          <w:sz w:val="32"/>
          <w:szCs w:val="32"/>
          <w:lang w:eastAsia="zh-CN"/>
        </w:rPr>
      </w:pPr>
      <w:r>
        <w:rPr>
          <w:rFonts w:hint="eastAsia" w:ascii="仿宋" w:hAnsi="仿宋" w:eastAsia="仿宋" w:cs="仿宋"/>
          <w:spacing w:val="11"/>
          <w:sz w:val="32"/>
          <w:szCs w:val="32"/>
          <w:lang w:eastAsia="zh-CN"/>
        </w:rPr>
        <w:t>投标人为自然人的，应提供身份证明的原件扫描件。</w:t>
      </w:r>
      <w:bookmarkStart w:id="251" w:name="_Toc515647807"/>
      <w:bookmarkStart w:id="252" w:name="_Toc23503"/>
      <w:bookmarkStart w:id="253" w:name="_Toc22472"/>
      <w:bookmarkStart w:id="254" w:name="_Toc1083"/>
      <w:bookmarkStart w:id="255" w:name="_Toc32520"/>
      <w:bookmarkStart w:id="256" w:name="_Toc515647808"/>
      <w:bookmarkStart w:id="257" w:name="_Toc7039"/>
    </w:p>
    <w:p w14:paraId="3B6DA1DC">
      <w:pPr>
        <w:numPr>
          <w:ilvl w:val="0"/>
          <w:numId w:val="8"/>
        </w:numPr>
        <w:spacing w:line="440" w:lineRule="exact"/>
        <w:ind w:firstLine="684" w:firstLineChars="200"/>
        <w:rPr>
          <w:rFonts w:hint="eastAsia" w:ascii="仿宋" w:hAnsi="仿宋" w:eastAsia="仿宋" w:cs="仿宋"/>
          <w:spacing w:val="11"/>
          <w:sz w:val="32"/>
          <w:szCs w:val="32"/>
          <w:lang w:val="en-US" w:eastAsia="zh-CN"/>
        </w:rPr>
      </w:pPr>
      <w:r>
        <w:rPr>
          <w:rFonts w:hint="eastAsia" w:ascii="仿宋" w:hAnsi="仿宋" w:eastAsia="仿宋" w:cs="仿宋"/>
          <w:spacing w:val="11"/>
          <w:sz w:val="32"/>
          <w:szCs w:val="32"/>
          <w:lang w:val="en-US" w:eastAsia="zh-CN"/>
        </w:rPr>
        <w:t>联合体应提供联合体各方满足以上要求的证明文件。</w:t>
      </w:r>
    </w:p>
    <w:p w14:paraId="6E66A5DE">
      <w:pPr>
        <w:numPr>
          <w:ilvl w:val="0"/>
          <w:numId w:val="0"/>
        </w:numPr>
        <w:spacing w:line="440" w:lineRule="exact"/>
        <w:rPr>
          <w:rFonts w:hint="eastAsia" w:ascii="仿宋" w:hAnsi="仿宋" w:eastAsia="仿宋" w:cs="仿宋"/>
          <w:spacing w:val="11"/>
          <w:sz w:val="32"/>
          <w:szCs w:val="32"/>
          <w:lang w:eastAsia="zh-CN"/>
        </w:rPr>
      </w:pPr>
    </w:p>
    <w:p w14:paraId="5DB381F8">
      <w:pPr>
        <w:pStyle w:val="42"/>
        <w:shd w:val="clear" w:color="auto" w:fill="auto"/>
        <w:rPr>
          <w:rFonts w:hint="eastAsia" w:ascii="宋体" w:hAnsi="宋体" w:eastAsia="宋体" w:cs="宋体"/>
          <w:color w:val="auto"/>
          <w:sz w:val="24"/>
          <w:highlight w:val="none"/>
        </w:rPr>
      </w:pPr>
    </w:p>
    <w:p w14:paraId="2635EEDD">
      <w:pPr>
        <w:pStyle w:val="42"/>
        <w:shd w:val="clear" w:color="auto" w:fill="auto"/>
        <w:rPr>
          <w:rFonts w:hint="eastAsia" w:ascii="宋体" w:hAnsi="宋体" w:eastAsia="宋体" w:cs="宋体"/>
          <w:color w:val="auto"/>
          <w:sz w:val="24"/>
          <w:highlight w:val="none"/>
        </w:rPr>
      </w:pPr>
    </w:p>
    <w:p w14:paraId="37D97063">
      <w:pPr>
        <w:pStyle w:val="42"/>
        <w:shd w:val="clear" w:color="auto" w:fill="auto"/>
        <w:rPr>
          <w:rFonts w:hint="eastAsia" w:ascii="宋体" w:hAnsi="宋体" w:eastAsia="宋体" w:cs="宋体"/>
          <w:color w:val="auto"/>
          <w:sz w:val="24"/>
          <w:highlight w:val="none"/>
        </w:rPr>
      </w:pPr>
    </w:p>
    <w:p w14:paraId="448F120A">
      <w:pPr>
        <w:pStyle w:val="42"/>
        <w:shd w:val="clear" w:color="auto" w:fill="auto"/>
        <w:rPr>
          <w:rFonts w:hint="eastAsia" w:ascii="宋体" w:hAnsi="宋体" w:eastAsia="宋体" w:cs="宋体"/>
          <w:color w:val="auto"/>
          <w:sz w:val="24"/>
          <w:highlight w:val="none"/>
        </w:rPr>
      </w:pPr>
    </w:p>
    <w:p w14:paraId="67E12675">
      <w:pPr>
        <w:pStyle w:val="42"/>
        <w:shd w:val="clear" w:color="auto" w:fill="auto"/>
        <w:rPr>
          <w:rFonts w:hint="eastAsia" w:ascii="宋体" w:hAnsi="宋体" w:eastAsia="宋体" w:cs="宋体"/>
          <w:color w:val="auto"/>
          <w:sz w:val="24"/>
          <w:highlight w:val="none"/>
        </w:rPr>
      </w:pPr>
    </w:p>
    <w:p w14:paraId="00EC2768">
      <w:pPr>
        <w:pStyle w:val="42"/>
        <w:shd w:val="clear" w:color="auto" w:fill="auto"/>
        <w:rPr>
          <w:rFonts w:hint="eastAsia" w:ascii="宋体" w:hAnsi="宋体" w:eastAsia="宋体" w:cs="宋体"/>
          <w:color w:val="auto"/>
          <w:sz w:val="24"/>
          <w:highlight w:val="none"/>
        </w:rPr>
      </w:pPr>
    </w:p>
    <w:p w14:paraId="5574C771">
      <w:pPr>
        <w:pStyle w:val="42"/>
        <w:shd w:val="clear" w:color="auto" w:fill="auto"/>
        <w:rPr>
          <w:rFonts w:hint="eastAsia" w:ascii="宋体" w:hAnsi="宋体" w:eastAsia="宋体" w:cs="宋体"/>
          <w:color w:val="auto"/>
          <w:sz w:val="24"/>
          <w:highlight w:val="none"/>
        </w:rPr>
      </w:pPr>
    </w:p>
    <w:p w14:paraId="1BFEFDB0">
      <w:pPr>
        <w:pStyle w:val="42"/>
        <w:shd w:val="clear" w:color="auto" w:fill="auto"/>
        <w:rPr>
          <w:rFonts w:hint="eastAsia" w:ascii="宋体" w:hAnsi="宋体" w:eastAsia="宋体" w:cs="宋体"/>
          <w:color w:val="auto"/>
          <w:sz w:val="24"/>
          <w:highlight w:val="none"/>
        </w:rPr>
      </w:pPr>
    </w:p>
    <w:p w14:paraId="306B031F">
      <w:pPr>
        <w:pStyle w:val="42"/>
        <w:shd w:val="clear" w:color="auto" w:fill="auto"/>
        <w:rPr>
          <w:rFonts w:hint="eastAsia" w:ascii="宋体" w:hAnsi="宋体" w:eastAsia="宋体" w:cs="宋体"/>
          <w:color w:val="auto"/>
          <w:sz w:val="24"/>
          <w:highlight w:val="none"/>
        </w:rPr>
      </w:pPr>
    </w:p>
    <w:p w14:paraId="1E5CCACD">
      <w:pPr>
        <w:pStyle w:val="42"/>
        <w:shd w:val="clear" w:color="auto" w:fill="auto"/>
        <w:rPr>
          <w:rFonts w:hint="eastAsia" w:ascii="宋体" w:hAnsi="宋体" w:eastAsia="宋体" w:cs="宋体"/>
          <w:color w:val="auto"/>
          <w:sz w:val="24"/>
          <w:highlight w:val="none"/>
        </w:rPr>
      </w:pPr>
    </w:p>
    <w:p w14:paraId="42B9E9AE">
      <w:pPr>
        <w:pStyle w:val="42"/>
        <w:shd w:val="clear" w:color="auto" w:fill="auto"/>
        <w:rPr>
          <w:rFonts w:hint="eastAsia" w:ascii="宋体" w:hAnsi="宋体" w:eastAsia="宋体" w:cs="宋体"/>
          <w:color w:val="auto"/>
          <w:sz w:val="24"/>
          <w:highlight w:val="none"/>
        </w:rPr>
      </w:pPr>
    </w:p>
    <w:p w14:paraId="685D83D7">
      <w:pPr>
        <w:pStyle w:val="42"/>
        <w:shd w:val="clear" w:color="auto" w:fill="auto"/>
        <w:rPr>
          <w:rFonts w:hint="eastAsia" w:ascii="宋体" w:hAnsi="宋体" w:eastAsia="宋体" w:cs="宋体"/>
          <w:color w:val="auto"/>
          <w:sz w:val="24"/>
          <w:highlight w:val="none"/>
        </w:rPr>
      </w:pPr>
    </w:p>
    <w:p w14:paraId="293DE17A">
      <w:pPr>
        <w:pStyle w:val="42"/>
        <w:shd w:val="clear" w:color="auto" w:fill="auto"/>
        <w:rPr>
          <w:rFonts w:hint="eastAsia" w:ascii="宋体" w:hAnsi="宋体" w:eastAsia="宋体" w:cs="宋体"/>
          <w:color w:val="auto"/>
          <w:sz w:val="24"/>
          <w:highlight w:val="none"/>
        </w:rPr>
      </w:pPr>
    </w:p>
    <w:p w14:paraId="1178A997">
      <w:pPr>
        <w:pStyle w:val="42"/>
        <w:shd w:val="clear" w:color="auto" w:fill="auto"/>
        <w:rPr>
          <w:rFonts w:hint="eastAsia" w:ascii="宋体" w:hAnsi="宋体" w:eastAsia="宋体" w:cs="宋体"/>
          <w:color w:val="auto"/>
          <w:sz w:val="24"/>
          <w:highlight w:val="none"/>
        </w:rPr>
      </w:pPr>
    </w:p>
    <w:p w14:paraId="28DE45F9">
      <w:pPr>
        <w:pStyle w:val="42"/>
        <w:shd w:val="clear" w:color="auto" w:fill="auto"/>
        <w:rPr>
          <w:rFonts w:hint="eastAsia" w:ascii="宋体" w:hAnsi="宋体" w:eastAsia="宋体" w:cs="宋体"/>
          <w:color w:val="auto"/>
          <w:sz w:val="24"/>
          <w:highlight w:val="none"/>
        </w:rPr>
      </w:pPr>
    </w:p>
    <w:p w14:paraId="336F22DA">
      <w:pPr>
        <w:pStyle w:val="42"/>
        <w:shd w:val="clear" w:color="auto" w:fill="auto"/>
        <w:rPr>
          <w:rFonts w:hint="eastAsia" w:ascii="宋体" w:hAnsi="宋体" w:eastAsia="宋体" w:cs="宋体"/>
          <w:color w:val="auto"/>
          <w:sz w:val="24"/>
          <w:highlight w:val="none"/>
        </w:rPr>
      </w:pPr>
    </w:p>
    <w:p w14:paraId="504111A6">
      <w:pPr>
        <w:pStyle w:val="42"/>
        <w:shd w:val="clear" w:color="auto" w:fill="auto"/>
        <w:rPr>
          <w:rFonts w:hint="eastAsia" w:ascii="宋体" w:hAnsi="宋体" w:eastAsia="宋体" w:cs="宋体"/>
          <w:color w:val="auto"/>
          <w:sz w:val="24"/>
          <w:highlight w:val="none"/>
        </w:rPr>
      </w:pPr>
    </w:p>
    <w:p w14:paraId="53D1F12D">
      <w:pPr>
        <w:pStyle w:val="42"/>
        <w:shd w:val="clear" w:color="auto" w:fill="auto"/>
        <w:rPr>
          <w:rFonts w:hint="eastAsia" w:ascii="宋体" w:hAnsi="宋体" w:eastAsia="宋体" w:cs="宋体"/>
          <w:color w:val="auto"/>
          <w:sz w:val="24"/>
          <w:highlight w:val="none"/>
        </w:rPr>
      </w:pPr>
    </w:p>
    <w:p w14:paraId="38FEF65D">
      <w:pPr>
        <w:pStyle w:val="42"/>
        <w:shd w:val="clear" w:color="auto" w:fill="auto"/>
        <w:rPr>
          <w:rFonts w:hint="eastAsia" w:ascii="宋体" w:hAnsi="宋体" w:eastAsia="宋体" w:cs="宋体"/>
          <w:color w:val="auto"/>
          <w:sz w:val="24"/>
          <w:highlight w:val="none"/>
        </w:rPr>
      </w:pPr>
    </w:p>
    <w:p w14:paraId="00EACC33">
      <w:pPr>
        <w:pStyle w:val="42"/>
        <w:shd w:val="clear" w:color="auto" w:fill="auto"/>
        <w:rPr>
          <w:rFonts w:hint="eastAsia" w:ascii="宋体" w:hAnsi="宋体" w:eastAsia="宋体" w:cs="宋体"/>
          <w:color w:val="auto"/>
          <w:sz w:val="24"/>
          <w:highlight w:val="none"/>
        </w:rPr>
      </w:pPr>
    </w:p>
    <w:p w14:paraId="7AD3DA17">
      <w:pPr>
        <w:pStyle w:val="42"/>
        <w:shd w:val="clear" w:color="auto" w:fill="auto"/>
        <w:rPr>
          <w:rFonts w:hint="eastAsia" w:ascii="宋体" w:hAnsi="宋体" w:eastAsia="宋体" w:cs="宋体"/>
          <w:color w:val="auto"/>
          <w:sz w:val="24"/>
          <w:highlight w:val="none"/>
        </w:rPr>
      </w:pPr>
    </w:p>
    <w:p w14:paraId="1CBE62B4">
      <w:pPr>
        <w:pStyle w:val="42"/>
        <w:shd w:val="clear" w:color="auto" w:fill="auto"/>
        <w:rPr>
          <w:rFonts w:hint="eastAsia" w:ascii="宋体" w:hAnsi="宋体" w:eastAsia="宋体" w:cs="宋体"/>
          <w:color w:val="auto"/>
          <w:sz w:val="24"/>
          <w:highlight w:val="none"/>
        </w:rPr>
      </w:pPr>
    </w:p>
    <w:p w14:paraId="0CEC8C6E">
      <w:pPr>
        <w:pStyle w:val="42"/>
        <w:shd w:val="clear" w:color="auto" w:fill="auto"/>
        <w:rPr>
          <w:rFonts w:hint="eastAsia" w:ascii="宋体" w:hAnsi="宋体" w:eastAsia="宋体" w:cs="宋体"/>
          <w:color w:val="auto"/>
          <w:sz w:val="24"/>
          <w:highlight w:val="none"/>
        </w:rPr>
      </w:pPr>
    </w:p>
    <w:p w14:paraId="292A3E51">
      <w:pPr>
        <w:pStyle w:val="42"/>
        <w:shd w:val="clear" w:color="auto" w:fill="auto"/>
        <w:rPr>
          <w:rFonts w:hint="eastAsia" w:ascii="宋体" w:hAnsi="宋体" w:eastAsia="宋体" w:cs="宋体"/>
          <w:color w:val="auto"/>
          <w:sz w:val="24"/>
          <w:highlight w:val="none"/>
        </w:rPr>
      </w:pPr>
    </w:p>
    <w:p w14:paraId="4EF8C4E1">
      <w:pPr>
        <w:pStyle w:val="42"/>
        <w:shd w:val="clear" w:color="auto" w:fill="auto"/>
        <w:ind w:left="0" w:leftChars="0" w:firstLine="0" w:firstLineChars="0"/>
        <w:rPr>
          <w:rFonts w:hint="eastAsia" w:ascii="宋体" w:hAnsi="宋体" w:eastAsia="宋体" w:cs="宋体"/>
          <w:color w:val="auto"/>
          <w:sz w:val="24"/>
          <w:highlight w:val="none"/>
        </w:rPr>
      </w:pPr>
    </w:p>
    <w:bookmarkEnd w:id="251"/>
    <w:bookmarkEnd w:id="252"/>
    <w:bookmarkEnd w:id="253"/>
    <w:bookmarkEnd w:id="254"/>
    <w:p w14:paraId="49E3EB47">
      <w:pPr>
        <w:spacing w:line="440" w:lineRule="exact"/>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法定代表人投标需提供法定代表人资格证明书，委托代理人投标需提供法定代表人授权委托书；</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38930EEC">
      <w:pPr>
        <w:spacing w:line="440" w:lineRule="exact"/>
        <w:ind w:firstLine="628" w:firstLineChars="200"/>
        <w:jc w:val="center"/>
        <w:rPr>
          <w:rFonts w:hint="eastAsia" w:ascii="仿宋" w:hAnsi="仿宋" w:eastAsia="仿宋" w:cs="仿宋"/>
          <w:sz w:val="32"/>
          <w:szCs w:val="32"/>
          <w:lang w:eastAsia="zh-CN"/>
        </w:rPr>
      </w:pPr>
      <w:bookmarkStart w:id="258" w:name="_Toc221750880"/>
      <w:r>
        <w:rPr>
          <w:rFonts w:hint="eastAsia" w:ascii="仿宋" w:hAnsi="仿宋" w:eastAsia="仿宋" w:cs="仿宋"/>
          <w:spacing w:val="-3"/>
          <w:sz w:val="32"/>
          <w:szCs w:val="32"/>
          <w:lang w:eastAsia="zh-CN"/>
        </w:rPr>
        <w:t>2-1</w:t>
      </w:r>
      <w:r>
        <w:rPr>
          <w:rFonts w:hint="eastAsia" w:ascii="仿宋" w:hAnsi="仿宋" w:eastAsia="仿宋" w:cs="仿宋"/>
          <w:spacing w:val="39"/>
          <w:sz w:val="32"/>
          <w:szCs w:val="32"/>
          <w:lang w:val="en-US" w:eastAsia="zh-CN"/>
        </w:rPr>
        <w:t xml:space="preserve"> </w:t>
      </w:r>
      <w:r>
        <w:rPr>
          <w:rFonts w:hint="eastAsia" w:ascii="仿宋" w:hAnsi="仿宋" w:eastAsia="仿宋" w:cs="仿宋"/>
          <w:b/>
          <w:bCs/>
          <w:spacing w:val="-3"/>
          <w:sz w:val="32"/>
          <w:szCs w:val="32"/>
          <w:lang w:eastAsia="zh-CN"/>
        </w:rPr>
        <w:t>法定代表人资格证明书</w:t>
      </w:r>
      <w:bookmarkEnd w:id="258"/>
    </w:p>
    <w:p w14:paraId="34D674A0">
      <w:pPr>
        <w:pStyle w:val="9"/>
        <w:spacing w:line="440" w:lineRule="exact"/>
        <w:ind w:firstLine="640" w:firstLineChars="200"/>
        <w:rPr>
          <w:rFonts w:hint="eastAsia" w:ascii="仿宋" w:hAnsi="仿宋" w:eastAsia="仿宋" w:cs="仿宋"/>
          <w:sz w:val="32"/>
          <w:szCs w:val="32"/>
          <w:lang w:eastAsia="zh-CN"/>
        </w:rPr>
      </w:pPr>
    </w:p>
    <w:p w14:paraId="20D731F0">
      <w:pPr>
        <w:spacing w:line="440" w:lineRule="exact"/>
        <w:ind w:firstLine="624" w:firstLineChars="200"/>
        <w:rPr>
          <w:rFonts w:hint="eastAsia" w:ascii="仿宋" w:hAnsi="仿宋" w:eastAsia="仿宋" w:cs="仿宋"/>
          <w:sz w:val="32"/>
          <w:szCs w:val="32"/>
          <w:lang w:eastAsia="zh-CN"/>
        </w:rPr>
      </w:pPr>
      <w:r>
        <w:rPr>
          <w:rFonts w:hint="eastAsia" w:ascii="仿宋" w:hAnsi="仿宋" w:eastAsia="仿宋" w:cs="仿宋"/>
          <w:spacing w:val="-4"/>
          <w:sz w:val="32"/>
          <w:szCs w:val="32"/>
          <w:lang w:eastAsia="zh-CN"/>
        </w:rPr>
        <w:t>致：</w:t>
      </w:r>
    </w:p>
    <w:p w14:paraId="4F01DC48">
      <w:pPr>
        <w:pStyle w:val="9"/>
        <w:spacing w:line="440" w:lineRule="exact"/>
        <w:ind w:firstLine="640" w:firstLineChars="200"/>
        <w:rPr>
          <w:rFonts w:hint="eastAsia" w:ascii="仿宋" w:hAnsi="仿宋" w:eastAsia="仿宋" w:cs="仿宋"/>
          <w:sz w:val="32"/>
          <w:szCs w:val="32"/>
          <w:lang w:eastAsia="zh-CN"/>
        </w:rPr>
      </w:pPr>
    </w:p>
    <w:p w14:paraId="1EDC77DF">
      <w:pPr>
        <w:tabs>
          <w:tab w:val="left" w:pos="1610"/>
        </w:tabs>
        <w:spacing w:line="44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u w:val="single"/>
          <w:lang w:eastAsia="zh-CN"/>
        </w:rPr>
        <w:tab/>
      </w:r>
      <w:r>
        <w:rPr>
          <w:rFonts w:hint="eastAsia" w:ascii="仿宋" w:hAnsi="仿宋" w:eastAsia="仿宋" w:cs="仿宋"/>
          <w:spacing w:val="-60"/>
          <w:sz w:val="32"/>
          <w:szCs w:val="32"/>
          <w:lang w:eastAsia="zh-CN"/>
        </w:rPr>
        <w:t xml:space="preserve"> </w:t>
      </w:r>
      <w:r>
        <w:rPr>
          <w:rFonts w:hint="eastAsia" w:ascii="仿宋" w:hAnsi="仿宋" w:eastAsia="仿宋" w:cs="仿宋"/>
          <w:spacing w:val="9"/>
          <w:sz w:val="32"/>
          <w:szCs w:val="32"/>
          <w:lang w:eastAsia="zh-CN"/>
        </w:rPr>
        <w:t>同志，现任我单位</w:t>
      </w:r>
      <w:r>
        <w:rPr>
          <w:rFonts w:hint="eastAsia" w:ascii="仿宋" w:hAnsi="仿宋" w:eastAsia="仿宋" w:cs="仿宋"/>
          <w:spacing w:val="-98"/>
          <w:sz w:val="32"/>
          <w:szCs w:val="32"/>
          <w:lang w:eastAsia="zh-CN"/>
        </w:rPr>
        <w:t xml:space="preserve"> </w:t>
      </w:r>
      <w:r>
        <w:rPr>
          <w:rFonts w:hint="eastAsia" w:ascii="仿宋" w:hAnsi="仿宋" w:eastAsia="仿宋" w:cs="仿宋"/>
          <w:spacing w:val="6"/>
          <w:sz w:val="32"/>
          <w:szCs w:val="32"/>
          <w:u w:val="single"/>
          <w:lang w:eastAsia="zh-CN"/>
        </w:rPr>
        <w:t xml:space="preserve">          </w:t>
      </w:r>
      <w:r>
        <w:rPr>
          <w:rFonts w:hint="eastAsia" w:ascii="仿宋" w:hAnsi="仿宋" w:eastAsia="仿宋" w:cs="仿宋"/>
          <w:spacing w:val="-81"/>
          <w:sz w:val="32"/>
          <w:szCs w:val="32"/>
          <w:lang w:eastAsia="zh-CN"/>
        </w:rPr>
        <w:t xml:space="preserve"> </w:t>
      </w:r>
      <w:r>
        <w:rPr>
          <w:rFonts w:hint="eastAsia" w:ascii="仿宋" w:hAnsi="仿宋" w:eastAsia="仿宋" w:cs="仿宋"/>
          <w:spacing w:val="9"/>
          <w:sz w:val="32"/>
          <w:szCs w:val="32"/>
          <w:lang w:eastAsia="zh-CN"/>
        </w:rPr>
        <w:t>职务，为法定代表人，特此证明。</w:t>
      </w:r>
      <w:r>
        <w:rPr>
          <w:rFonts w:hint="eastAsia" w:ascii="仿宋" w:hAnsi="仿宋" w:eastAsia="仿宋" w:cs="仿宋"/>
          <w:spacing w:val="-4"/>
          <w:sz w:val="32"/>
          <w:szCs w:val="32"/>
          <w:lang w:eastAsia="zh-CN"/>
        </w:rPr>
        <w:t>签发</w:t>
      </w:r>
      <w:r>
        <w:rPr>
          <w:rFonts w:hint="eastAsia" w:ascii="仿宋" w:hAnsi="仿宋" w:eastAsia="仿宋" w:cs="仿宋"/>
          <w:spacing w:val="-36"/>
          <w:sz w:val="32"/>
          <w:szCs w:val="32"/>
          <w:lang w:eastAsia="zh-CN"/>
        </w:rPr>
        <w:t xml:space="preserve"> </w:t>
      </w:r>
      <w:r>
        <w:rPr>
          <w:rFonts w:hint="eastAsia" w:ascii="仿宋" w:hAnsi="仿宋" w:eastAsia="仿宋" w:cs="仿宋"/>
          <w:spacing w:val="-4"/>
          <w:sz w:val="32"/>
          <w:szCs w:val="32"/>
          <w:lang w:eastAsia="zh-CN"/>
        </w:rPr>
        <w:t>日期：</w:t>
      </w:r>
      <w:r>
        <w:rPr>
          <w:rFonts w:hint="eastAsia" w:ascii="仿宋" w:hAnsi="仿宋" w:eastAsia="仿宋" w:cs="仿宋"/>
          <w:spacing w:val="2"/>
          <w:sz w:val="32"/>
          <w:szCs w:val="32"/>
          <w:lang w:eastAsia="zh-CN"/>
        </w:rPr>
        <w:t xml:space="preserve">                   </w:t>
      </w:r>
      <w:r>
        <w:rPr>
          <w:rFonts w:hint="eastAsia" w:ascii="仿宋" w:hAnsi="仿宋" w:eastAsia="仿宋" w:cs="仿宋"/>
          <w:spacing w:val="-4"/>
          <w:sz w:val="32"/>
          <w:szCs w:val="32"/>
          <w:lang w:eastAsia="zh-CN"/>
        </w:rPr>
        <w:t>单位：</w:t>
      </w:r>
    </w:p>
    <w:p w14:paraId="78F83C69">
      <w:pPr>
        <w:spacing w:line="440" w:lineRule="exact"/>
        <w:ind w:firstLine="664" w:firstLineChars="200"/>
        <w:rPr>
          <w:rFonts w:hint="eastAsia" w:ascii="仿宋" w:hAnsi="仿宋" w:eastAsia="仿宋" w:cs="仿宋"/>
          <w:sz w:val="32"/>
          <w:szCs w:val="32"/>
          <w:lang w:eastAsia="zh-CN"/>
        </w:rPr>
      </w:pPr>
      <w:r>
        <w:rPr>
          <w:rFonts w:hint="eastAsia" w:ascii="仿宋" w:hAnsi="仿宋" w:eastAsia="仿宋" w:cs="仿宋"/>
          <w:spacing w:val="6"/>
          <w:sz w:val="32"/>
          <w:szCs w:val="32"/>
          <w:lang w:eastAsia="zh-CN"/>
        </w:rPr>
        <w:t>附：代表人性别：</w:t>
      </w:r>
      <w:r>
        <w:rPr>
          <w:rFonts w:hint="eastAsia" w:ascii="仿宋" w:hAnsi="仿宋" w:eastAsia="仿宋" w:cs="仿宋"/>
          <w:spacing w:val="2"/>
          <w:sz w:val="32"/>
          <w:szCs w:val="32"/>
          <w:lang w:eastAsia="zh-CN"/>
        </w:rPr>
        <w:t xml:space="preserve">             </w:t>
      </w:r>
      <w:r>
        <w:rPr>
          <w:rFonts w:hint="eastAsia" w:ascii="仿宋" w:hAnsi="仿宋" w:eastAsia="仿宋" w:cs="仿宋"/>
          <w:spacing w:val="6"/>
          <w:sz w:val="32"/>
          <w:szCs w:val="32"/>
          <w:lang w:eastAsia="zh-CN"/>
        </w:rPr>
        <w:t>年龄：</w:t>
      </w:r>
      <w:r>
        <w:rPr>
          <w:rFonts w:hint="eastAsia" w:ascii="仿宋" w:hAnsi="仿宋" w:eastAsia="仿宋" w:cs="仿宋"/>
          <w:sz w:val="32"/>
          <w:szCs w:val="32"/>
          <w:lang w:eastAsia="zh-CN"/>
        </w:rPr>
        <w:t xml:space="preserve">    </w:t>
      </w:r>
      <w:r>
        <w:rPr>
          <w:rFonts w:hint="eastAsia" w:ascii="仿宋" w:hAnsi="仿宋" w:eastAsia="仿宋" w:cs="仿宋"/>
          <w:spacing w:val="6"/>
          <w:sz w:val="32"/>
          <w:szCs w:val="32"/>
          <w:lang w:eastAsia="zh-CN"/>
        </w:rPr>
        <w:t>身份证号码：</w:t>
      </w:r>
    </w:p>
    <w:p w14:paraId="1368E656">
      <w:pPr>
        <w:spacing w:line="440" w:lineRule="exact"/>
        <w:ind w:firstLine="668" w:firstLineChars="200"/>
        <w:rPr>
          <w:rFonts w:hint="eastAsia" w:ascii="仿宋" w:hAnsi="仿宋" w:eastAsia="仿宋" w:cs="仿宋"/>
          <w:sz w:val="32"/>
          <w:szCs w:val="32"/>
          <w:lang w:eastAsia="zh-CN"/>
        </w:rPr>
      </w:pPr>
      <w:r>
        <w:rPr>
          <w:rFonts w:hint="eastAsia" w:ascii="仿宋" w:hAnsi="仿宋" w:eastAsia="仿宋" w:cs="仿宋"/>
          <w:spacing w:val="7"/>
          <w:sz w:val="32"/>
          <w:szCs w:val="32"/>
          <w:lang w:eastAsia="zh-CN"/>
        </w:rPr>
        <w:t>联系电话：</w:t>
      </w:r>
    </w:p>
    <w:p w14:paraId="14004FF4">
      <w:pPr>
        <w:spacing w:line="440" w:lineRule="exact"/>
        <w:ind w:firstLine="668" w:firstLineChars="200"/>
        <w:rPr>
          <w:rFonts w:hint="eastAsia" w:ascii="仿宋" w:hAnsi="仿宋" w:eastAsia="仿宋" w:cs="仿宋"/>
          <w:sz w:val="32"/>
          <w:szCs w:val="32"/>
          <w:lang w:eastAsia="zh-CN"/>
        </w:rPr>
      </w:pPr>
      <w:r>
        <w:rPr>
          <w:rFonts w:hint="eastAsia" w:ascii="仿宋" w:hAnsi="仿宋" w:eastAsia="仿宋" w:cs="仿宋"/>
          <w:spacing w:val="7"/>
          <w:sz w:val="32"/>
          <w:szCs w:val="32"/>
          <w:lang w:eastAsia="zh-CN"/>
        </w:rPr>
        <w:t>营业执照号码：</w:t>
      </w:r>
      <w:r>
        <w:rPr>
          <w:rFonts w:hint="eastAsia" w:ascii="仿宋" w:hAnsi="仿宋" w:eastAsia="仿宋" w:cs="仿宋"/>
          <w:spacing w:val="1"/>
          <w:sz w:val="32"/>
          <w:szCs w:val="32"/>
          <w:lang w:eastAsia="zh-CN"/>
        </w:rPr>
        <w:t xml:space="preserve">               </w:t>
      </w:r>
      <w:r>
        <w:rPr>
          <w:rFonts w:hint="eastAsia" w:ascii="仿宋" w:hAnsi="仿宋" w:eastAsia="仿宋" w:cs="仿宋"/>
          <w:spacing w:val="7"/>
          <w:sz w:val="32"/>
          <w:szCs w:val="32"/>
          <w:lang w:eastAsia="zh-CN"/>
        </w:rPr>
        <w:t>经济性质：</w:t>
      </w:r>
    </w:p>
    <w:p w14:paraId="33BA7934">
      <w:pPr>
        <w:spacing w:line="440" w:lineRule="exact"/>
        <w:ind w:firstLine="648" w:firstLineChars="200"/>
        <w:rPr>
          <w:rFonts w:hint="eastAsia" w:ascii="仿宋" w:hAnsi="仿宋" w:eastAsia="仿宋" w:cs="仿宋"/>
          <w:sz w:val="32"/>
          <w:szCs w:val="32"/>
          <w:lang w:eastAsia="zh-CN"/>
        </w:rPr>
      </w:pPr>
      <w:r>
        <w:rPr>
          <w:rFonts w:hint="eastAsia" w:ascii="仿宋" w:hAnsi="仿宋" w:eastAsia="仿宋" w:cs="仿宋"/>
          <w:spacing w:val="2"/>
          <w:sz w:val="32"/>
          <w:szCs w:val="32"/>
          <w:lang w:eastAsia="zh-CN"/>
        </w:rPr>
        <w:t>说明：</w:t>
      </w:r>
    </w:p>
    <w:p w14:paraId="2F1ABC53">
      <w:pPr>
        <w:spacing w:line="440" w:lineRule="exact"/>
        <w:ind w:firstLine="680" w:firstLineChars="200"/>
        <w:rPr>
          <w:rFonts w:hint="eastAsia" w:ascii="仿宋" w:hAnsi="仿宋" w:eastAsia="仿宋" w:cs="仿宋"/>
          <w:sz w:val="32"/>
          <w:szCs w:val="32"/>
          <w:lang w:eastAsia="zh-CN"/>
        </w:rPr>
      </w:pPr>
      <w:r>
        <w:rPr>
          <w:rFonts w:hint="eastAsia" w:ascii="仿宋" w:hAnsi="仿宋" w:eastAsia="仿宋" w:cs="仿宋"/>
          <w:spacing w:val="10"/>
          <w:sz w:val="32"/>
          <w:szCs w:val="32"/>
          <w:lang w:eastAsia="zh-CN"/>
        </w:rPr>
        <w:t>1、法定代表人为企业事业单位、</w:t>
      </w:r>
      <w:r>
        <w:rPr>
          <w:rFonts w:hint="eastAsia" w:ascii="仿宋" w:hAnsi="仿宋" w:eastAsia="仿宋" w:cs="仿宋"/>
          <w:spacing w:val="-46"/>
          <w:sz w:val="32"/>
          <w:szCs w:val="32"/>
          <w:lang w:eastAsia="zh-CN"/>
        </w:rPr>
        <w:t xml:space="preserve"> </w:t>
      </w:r>
      <w:r>
        <w:rPr>
          <w:rFonts w:hint="eastAsia" w:ascii="仿宋" w:hAnsi="仿宋" w:eastAsia="仿宋" w:cs="仿宋"/>
          <w:spacing w:val="10"/>
          <w:sz w:val="32"/>
          <w:szCs w:val="32"/>
          <w:lang w:eastAsia="zh-CN"/>
        </w:rPr>
        <w:t>国家机关、社会团体的主要行政负责人。</w:t>
      </w:r>
    </w:p>
    <w:p w14:paraId="0C4EFC6E">
      <w:pPr>
        <w:spacing w:line="440" w:lineRule="exact"/>
        <w:ind w:firstLine="676" w:firstLineChars="200"/>
        <w:rPr>
          <w:rFonts w:hint="eastAsia" w:ascii="仿宋" w:hAnsi="仿宋" w:eastAsia="仿宋" w:cs="仿宋"/>
          <w:sz w:val="32"/>
          <w:szCs w:val="32"/>
          <w:lang w:eastAsia="zh-CN"/>
        </w:rPr>
      </w:pPr>
      <w:r>
        <w:rPr>
          <w:rFonts w:hint="eastAsia" w:ascii="仿宋" w:hAnsi="仿宋" w:eastAsia="仿宋" w:cs="仿宋"/>
          <w:spacing w:val="9"/>
          <w:sz w:val="32"/>
          <w:szCs w:val="32"/>
          <w:lang w:eastAsia="zh-CN"/>
        </w:rPr>
        <w:t>2、</w:t>
      </w:r>
      <w:r>
        <w:rPr>
          <w:rFonts w:hint="eastAsia" w:ascii="仿宋" w:hAnsi="仿宋" w:eastAsia="仿宋" w:cs="仿宋"/>
          <w:spacing w:val="-34"/>
          <w:sz w:val="32"/>
          <w:szCs w:val="32"/>
          <w:lang w:eastAsia="zh-CN"/>
        </w:rPr>
        <w:t xml:space="preserve"> </w:t>
      </w:r>
      <w:r>
        <w:rPr>
          <w:rFonts w:hint="eastAsia" w:ascii="仿宋" w:hAnsi="仿宋" w:eastAsia="仿宋" w:cs="仿宋"/>
          <w:spacing w:val="9"/>
          <w:sz w:val="32"/>
          <w:szCs w:val="32"/>
          <w:lang w:eastAsia="zh-CN"/>
        </w:rPr>
        <w:t>内容必须填写真实、清楚、涂改无效，不得转让。</w:t>
      </w:r>
    </w:p>
    <w:p w14:paraId="722A2833">
      <w:pPr>
        <w:spacing w:line="440" w:lineRule="exact"/>
        <w:ind w:firstLine="684" w:firstLineChars="200"/>
        <w:rPr>
          <w:rFonts w:hint="eastAsia" w:ascii="仿宋" w:hAnsi="仿宋" w:eastAsia="仿宋" w:cs="仿宋"/>
          <w:sz w:val="32"/>
          <w:szCs w:val="32"/>
          <w:lang w:eastAsia="zh-CN"/>
        </w:rPr>
      </w:pPr>
      <w:r>
        <w:rPr>
          <w:rFonts w:hint="eastAsia" w:ascii="仿宋" w:hAnsi="仿宋" w:eastAsia="仿宋" w:cs="仿宋"/>
          <w:spacing w:val="11"/>
          <w:sz w:val="32"/>
          <w:szCs w:val="32"/>
          <w:lang w:eastAsia="zh-CN"/>
        </w:rPr>
        <w:t>3、将此证明书原件提交采购代理机构作为投标文件附件。</w:t>
      </w:r>
    </w:p>
    <w:p w14:paraId="0A147253">
      <w:pPr>
        <w:spacing w:line="440" w:lineRule="exact"/>
        <w:ind w:firstLine="680" w:firstLineChars="200"/>
        <w:rPr>
          <w:rFonts w:hint="eastAsia" w:ascii="仿宋" w:hAnsi="仿宋" w:eastAsia="仿宋" w:cs="仿宋"/>
          <w:sz w:val="32"/>
          <w:szCs w:val="32"/>
          <w:lang w:eastAsia="zh-CN"/>
        </w:rPr>
      </w:pPr>
      <w:r>
        <w:rPr>
          <w:rFonts w:hint="eastAsia" w:ascii="仿宋" w:hAnsi="仿宋" w:eastAsia="仿宋" w:cs="仿宋"/>
          <w:spacing w:val="10"/>
          <w:sz w:val="32"/>
          <w:szCs w:val="32"/>
          <w:lang w:eastAsia="zh-CN"/>
        </w:rPr>
        <w:t>(为避免废标，请投标人务必提供本附件)</w:t>
      </w:r>
    </w:p>
    <w:p w14:paraId="60BF42C8">
      <w:pPr>
        <w:pStyle w:val="9"/>
        <w:spacing w:line="287" w:lineRule="auto"/>
        <w:rPr>
          <w:rFonts w:hint="eastAsia" w:ascii="仿宋" w:hAnsi="仿宋" w:eastAsia="仿宋" w:cs="仿宋"/>
          <w:sz w:val="24"/>
          <w:szCs w:val="24"/>
          <w:lang w:eastAsia="zh-CN"/>
        </w:rPr>
      </w:pPr>
    </w:p>
    <w:p w14:paraId="54193D08">
      <w:pPr>
        <w:pStyle w:val="9"/>
        <w:numPr>
          <w:ilvl w:val="0"/>
          <w:numId w:val="0"/>
        </w:numPr>
        <w:kinsoku w:val="0"/>
        <w:overflowPunct w:val="0"/>
        <w:spacing w:line="200" w:lineRule="atLeast"/>
        <w:ind w:right="0" w:rightChars="0"/>
        <w:rPr>
          <w:rFonts w:hint="eastAsia" w:ascii="仿宋" w:hAnsi="仿宋" w:eastAsia="仿宋" w:cs="仿宋"/>
          <w:sz w:val="24"/>
          <w:szCs w:val="24"/>
        </w:rPr>
      </w:pPr>
      <w:r>
        <w:rPr>
          <w:rFonts w:hint="eastAsia" w:ascii="宋体" w:hAnsi="宋体" w:eastAsia="宋体" w:cs="宋体"/>
          <w:color w:val="auto"/>
          <w:sz w:val="20"/>
          <w:szCs w:val="20"/>
          <w:highlight w:val="none"/>
        </w:rPr>
        <mc:AlternateContent>
          <mc:Choice Requires="wpg">
            <w:drawing>
              <wp:anchor distT="0" distB="0" distL="114300" distR="114300" simplePos="0" relativeHeight="251660288" behindDoc="1" locked="0" layoutInCell="1" allowOverlap="1">
                <wp:simplePos x="0" y="0"/>
                <wp:positionH relativeFrom="column">
                  <wp:posOffset>455930</wp:posOffset>
                </wp:positionH>
                <wp:positionV relativeFrom="paragraph">
                  <wp:posOffset>77470</wp:posOffset>
                </wp:positionV>
                <wp:extent cx="5136515" cy="1458595"/>
                <wp:effectExtent l="0" t="0" r="8255" b="9525"/>
                <wp:wrapThrough wrapText="bothSides">
                  <wp:wrapPolygon>
                    <wp:start x="5" y="19"/>
                    <wp:lineTo x="5" y="21177"/>
                    <wp:lineTo x="51" y="21177"/>
                    <wp:lineTo x="51" y="21412"/>
                    <wp:lineTo x="21547" y="21412"/>
                    <wp:lineTo x="21547" y="179"/>
                    <wp:lineTo x="21474" y="179"/>
                    <wp:lineTo x="21474" y="19"/>
                    <wp:lineTo x="5" y="19"/>
                  </wp:wrapPolygon>
                </wp:wrapThrough>
                <wp:docPr id="9" name="组合 9"/>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a:effectLst/>
                      </wpg:grpSpPr>
                      <wps:wsp>
                        <wps:cNvPr id="10" name="任意多边形 1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6" name="任意多边形 1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12" name="任意多边形 16"/>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13" name="任意多边形 17"/>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4" name="任意多边形 19"/>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a:effectLst/>
                        </wps:spPr>
                        <wps:bodyPr upright="1"/>
                      </wps:wsp>
                      <wps:wsp>
                        <wps:cNvPr id="18" name="任意多边形 20"/>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a:effectLst/>
                        </wps:spPr>
                        <wps:bodyPr upright="1"/>
                      </wps:wsp>
                      <wps:wsp>
                        <wps:cNvPr id="19" name="任意多边形 21"/>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0" name="任意多边形 22"/>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1" name="任意多边形 23"/>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26" name="任意多边形 24"/>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a:effectLst/>
                        </wps:spPr>
                        <wps:bodyPr upright="1"/>
                      </wps:wsp>
                      <wps:wsp>
                        <wps:cNvPr id="28" name="文本框 27"/>
                        <wps:cNvSpPr txBox="1"/>
                        <wps:spPr>
                          <a:xfrm>
                            <a:off x="19" y="19"/>
                            <a:ext cx="4025" cy="2258"/>
                          </a:xfrm>
                          <a:prstGeom prst="rect">
                            <a:avLst/>
                          </a:prstGeom>
                          <a:noFill/>
                          <a:ln>
                            <a:noFill/>
                          </a:ln>
                          <a:effectLst/>
                        </wps:spPr>
                        <wps:txbx>
                          <w:txbxContent>
                            <w:p w14:paraId="07B77FCD">
                              <w:pPr>
                                <w:pStyle w:val="9"/>
                                <w:numPr>
                                  <w:ilvl w:val="0"/>
                                  <w:numId w:val="0"/>
                                </w:numPr>
                                <w:kinsoku w:val="0"/>
                                <w:overflowPunct w:val="0"/>
                                <w:spacing w:before="13"/>
                                <w:ind w:leftChars="0" w:right="0" w:rightChars="0"/>
                                <w:jc w:val="center"/>
                                <w:rPr>
                                  <w:rFonts w:hint="eastAsia"/>
                                  <w:sz w:val="28"/>
                                  <w:szCs w:val="28"/>
                                </w:rPr>
                              </w:pPr>
                            </w:p>
                            <w:p w14:paraId="137708B9">
                              <w:pPr>
                                <w:pStyle w:val="9"/>
                                <w:numPr>
                                  <w:ilvl w:val="0"/>
                                  <w:numId w:val="0"/>
                                </w:numPr>
                                <w:kinsoku w:val="0"/>
                                <w:overflowPunct w:val="0"/>
                                <w:ind w:right="0" w:rightChars="0"/>
                                <w:jc w:val="center"/>
                              </w:pPr>
                              <w:r>
                                <w:rPr>
                                  <w:rFonts w:hint="eastAsia"/>
                                </w:rPr>
                                <w:t>法定代表人身份证复印件（正面）</w:t>
                              </w:r>
                            </w:p>
                          </w:txbxContent>
                        </wps:txbx>
                        <wps:bodyPr lIns="0" tIns="0" rIns="0" bIns="0" upright="1"/>
                      </wps:wsp>
                      <wps:wsp>
                        <wps:cNvPr id="22" name="文本框 32"/>
                        <wps:cNvSpPr txBox="1"/>
                        <wps:spPr>
                          <a:xfrm>
                            <a:off x="4044" y="19"/>
                            <a:ext cx="4025" cy="2258"/>
                          </a:xfrm>
                          <a:prstGeom prst="rect">
                            <a:avLst/>
                          </a:prstGeom>
                          <a:noFill/>
                          <a:ln>
                            <a:noFill/>
                          </a:ln>
                          <a:effectLst/>
                        </wps:spPr>
                        <wps:txbx>
                          <w:txbxContent>
                            <w:p w14:paraId="1800762D">
                              <w:pPr>
                                <w:pStyle w:val="9"/>
                                <w:numPr>
                                  <w:ilvl w:val="0"/>
                                  <w:numId w:val="0"/>
                                </w:numPr>
                                <w:kinsoku w:val="0"/>
                                <w:overflowPunct w:val="0"/>
                                <w:spacing w:before="13"/>
                                <w:ind w:leftChars="0" w:right="0" w:rightChars="0"/>
                                <w:rPr>
                                  <w:rFonts w:hint="eastAsia" w:ascii="宋体" w:hAnsi="宋体" w:eastAsia="宋体" w:cs="宋体"/>
                                  <w:sz w:val="28"/>
                                  <w:szCs w:val="28"/>
                                </w:rPr>
                              </w:pPr>
                            </w:p>
                            <w:p w14:paraId="2A959BB6">
                              <w:pPr>
                                <w:pStyle w:val="9"/>
                                <w:numPr>
                                  <w:ilvl w:val="0"/>
                                  <w:numId w:val="0"/>
                                </w:numPr>
                                <w:kinsoku w:val="0"/>
                                <w:overflowPunct w:val="0"/>
                                <w:ind w:right="0" w:rightChars="0"/>
                                <w:jc w:val="center"/>
                                <w:rPr>
                                  <w:rFonts w:hint="eastAsia" w:ascii="宋体" w:hAnsi="宋体" w:eastAsia="宋体" w:cs="宋体"/>
                                </w:rPr>
                              </w:pPr>
                              <w:r>
                                <w:rPr>
                                  <w:rFonts w:hint="eastAsia" w:ascii="宋体" w:hAnsi="宋体" w:eastAsia="宋体" w:cs="宋体"/>
                                </w:rPr>
                                <w:t>法定代表人身份证复印件（反面）</w:t>
                              </w:r>
                            </w:p>
                          </w:txbxContent>
                        </wps:txbx>
                        <wps:bodyPr lIns="0" tIns="0" rIns="0" bIns="0" upright="1"/>
                      </wps:wsp>
                    </wpg:wgp>
                  </a:graphicData>
                </a:graphic>
              </wp:anchor>
            </w:drawing>
          </mc:Choice>
          <mc:Fallback>
            <w:pict>
              <v:group id="_x0000_s1026" o:spid="_x0000_s1026" o:spt="203" style="position:absolute;left:0pt;margin-left:35.9pt;margin-top:6.1pt;height:114.85pt;width:404.45pt;mso-wrap-distance-left:9pt;mso-wrap-distance-right:9pt;z-index:-251656192;mso-width-relative:page;mso-height-relative:page;" coordsize="8089,2297" wrapcoords="5 19 5 21177 51 21177 51 21412 21547 21412 21547 179 21474 179 21474 19 5 19" o:gfxdata="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">
                <o:lock v:ext="edit" rotation="t" aspectratio="f"/>
                <v:shape id="任意多边形 14" o:spid="_x0000_s1026" o:spt="100" style="position:absolute;left:4;top:9;height:20;width:8079;" filled="f" stroked="t" coordsize="8079,20" o:gfxdata="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pSLG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15" o:spid="_x0000_s1026" o:spt="100" style="position:absolute;left:24;top:28;height:20;width:8041;" filled="f" stroked="t" coordsize="8041,20" o:gfxdata="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Pmo5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16" o:spid="_x0000_s1026" o:spt="100" style="position:absolute;left:24;top:2267;height:20;width:8041;" filled="f" stroked="t" coordsize="8041,20" o:gfxdata="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BWw6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17" o:spid="_x0000_s1026" o:spt="100" style="position:absolute;left:4;top:2286;height:20;width:8079;" filled="f" stroked="t" coordsize="8079,20" o:gfxdata="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d7yxugAAANsA&#10;AAAPAAAAAAAAAAEAIAAAACIAAABkcnMvZG93bnJldi54bWxQSwECFAAUAAAACACHTuJAMy8FnjsA&#10;AAA5AAAAEAAAAAAAAAABACAAAAAJAQAAZHJzL3NoYXBleG1sLnhtbFBLBQYAAAAABgAGAFsBAACz&#10;AwAAAAA=&#10;" path="m0,0l8078,0e">
                  <v:fill on="f" focussize="0,0"/>
                  <v:stroke weight="0.48pt" color="#000000" joinstyle="round"/>
                  <v:imagedata o:title=""/>
                  <o:lock v:ext="edit" aspectratio="f"/>
                </v:shape>
                <v:shape id="任意多边形 19" o:spid="_x0000_s1026" o:spt="100" style="position:absolute;left:9;top:4;height:2287;width:20;" filled="f" stroked="t" coordsize="20,2287" o:gfxdata="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EPBXugAAANsA&#10;AAAPAAAAAAAAAAEAIAAAACIAAABkcnMvZG93bnJldi54bWxQSwECFAAUAAAACACHTuJAMy8FnjsA&#10;AAA5AAAAEAAAAAAAAAABACAAAAAJAQAAZHJzL3NoYXBleG1sLnhtbFBLBQYAAAAABgAGAFsBAACz&#10;AwAAAAA=&#10;" path="m0,0l0,2286e">
                  <v:fill on="f" focussize="0,0"/>
                  <v:stroke weight="0.48pt" color="#000000" joinstyle="round"/>
                  <v:imagedata o:title=""/>
                  <o:lock v:ext="edit" aspectratio="f"/>
                </v:shape>
                <v:shape id="任意多边形 20" o:spid="_x0000_s1026" o:spt="100" style="position:absolute;left:28;top:24;height:2249;width:20;" filled="f" stroked="t" coordsize="20,2249" o:gfxdata="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LtKI&#10;wAAAANsAAAAPAAAAAAAAAAEAIAAAACIAAABkcnMvZG93bnJldi54bWxQSwECFAAUAAAACACHTuJA&#10;My8FnjsAAAA5AAAAEAAAAAAAAAABACAAAAAPAQAAZHJzL3NoYXBleG1sLnhtbFBLBQYAAAAABgAG&#10;AFsBAAC5AwAAAAA=&#10;" path="m0,0l0,2248e">
                  <v:fill on="f" focussize="0,0"/>
                  <v:stroke weight="0.48pt" color="#000000" joinstyle="round"/>
                  <v:imagedata o:title=""/>
                  <o:lock v:ext="edit" aspectratio="f"/>
                </v:shape>
                <v:shape id="任意多边形 21" o:spid="_x0000_s1026" o:spt="100" style="position:absolute;left:4034;top:24;height:2239;width:20;" filled="f" stroked="t" coordsize="20,2239" o:gfxdata="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NQkFrgAAADbAAAA&#10;DwAAAAAAAAABACAAAAAiAAAAZHJzL2Rvd25yZXYueG1sUEsBAhQAFAAAAAgAh07iQDMvBZ47AAAA&#10;OQAAABAAAAAAAAAAAQAgAAAABwEAAGRycy9zaGFwZXhtbC54bWxQSwUGAAAAAAYABgBbAQAAsQMA&#10;AAAA&#10;" path="m0,0l0,2238e">
                  <v:fill on="f" focussize="0,0"/>
                  <v:stroke weight="0.48pt" color="#000000" joinstyle="round"/>
                  <v:imagedata o:title=""/>
                  <o:lock v:ext="edit" aspectratio="f"/>
                </v:shape>
                <v:shape id="任意多边形 22" o:spid="_x0000_s1026" o:spt="100" style="position:absolute;left:4053;top:24;height:2239;width:20;" filled="f" stroked="t" coordsize="20,2239" o:gfxdata="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uCRza2AAAA2wAAAA8A&#10;AAAAAAAAAQAgAAAAIgAAAGRycy9kb3ducmV2LnhtbFBLAQIUABQAAAAIAIdO4kAzLwWeOwAAADkA&#10;AAAQAAAAAAAAAAEAIAAAAAUBAABkcnMvc2hhcGV4bWwueG1sUEsFBgAAAAAGAAYAWwEAAK8DAAAA&#10;AA==&#10;" path="m0,0l0,2238e">
                  <v:fill on="f" focussize="0,0"/>
                  <v:stroke weight="0.48pt" color="#000000" joinstyle="round"/>
                  <v:imagedata o:title=""/>
                  <o:lock v:ext="edit" aspectratio="f"/>
                </v:shape>
                <v:shape id="任意多边形 23" o:spid="_x0000_s1026" o:spt="100" style="position:absolute;left:8059;top:33;height:2239;width:20;" filled="f" stroked="t" coordsize="20,2239" o:gfxdata="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M7irbsAAADb&#10;AAAADwAAAAAAAAABACAAAAAiAAAAZHJzL2Rvd25yZXYueG1sUEsBAhQAFAAAAAgAh07iQDMvBZ47&#10;AAAAOQAAABAAAAAAAAAAAQAgAAAACgEAAGRycy9zaGFwZXhtbC54bWxQSwUGAAAAAAYABgBbAQAA&#10;tAMAAAAA&#10;" path="m0,0l0,2238e">
                  <v:fill on="f" focussize="0,0"/>
                  <v:stroke weight="0.48pt" color="#000000" joinstyle="round"/>
                  <v:imagedata o:title=""/>
                  <o:lock v:ext="edit" aspectratio="f"/>
                </v:shape>
                <v:shape id="任意多边形 24" o:spid="_x0000_s1026" o:spt="100" style="position:absolute;left:8078;top:14;height:2278;width:20;" filled="f" stroked="t" coordsize="20,2278" o:gfxdata="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mdfXvQAA&#10;ANsAAAAPAAAAAAAAAAEAIAAAACIAAABkcnMvZG93bnJldi54bWxQSwECFAAUAAAACACHTuJAMy8F&#10;njsAAAA5AAAAEAAAAAAAAAABACAAAAAMAQAAZHJzL3NoYXBleG1sLnhtbFBLBQYAAAAABgAGAFsB&#10;AAC2AwAAAAA=&#10;" path="m0,0l0,2277e">
                  <v:fill on="f" focussize="0,0"/>
                  <v:stroke weight="0.48pt" color="#000000" joinstyle="round"/>
                  <v:imagedata o:title=""/>
                  <o:lock v:ext="edit" aspectratio="f"/>
                </v:shape>
                <v:shape id="文本框 27" o:spid="_x0000_s1026" o:spt="202" type="#_x0000_t202" style="position:absolute;left:19;top:19;height:2258;width:4025;"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07B77FCD">
                        <w:pPr>
                          <w:pStyle w:val="9"/>
                          <w:numPr>
                            <w:ilvl w:val="0"/>
                            <w:numId w:val="0"/>
                          </w:numPr>
                          <w:kinsoku w:val="0"/>
                          <w:overflowPunct w:val="0"/>
                          <w:spacing w:before="13"/>
                          <w:ind w:leftChars="0" w:right="0" w:rightChars="0"/>
                          <w:jc w:val="center"/>
                          <w:rPr>
                            <w:rFonts w:hint="eastAsia"/>
                            <w:sz w:val="28"/>
                            <w:szCs w:val="28"/>
                          </w:rPr>
                        </w:pPr>
                      </w:p>
                      <w:p w14:paraId="137708B9">
                        <w:pPr>
                          <w:pStyle w:val="9"/>
                          <w:numPr>
                            <w:ilvl w:val="0"/>
                            <w:numId w:val="0"/>
                          </w:numPr>
                          <w:kinsoku w:val="0"/>
                          <w:overflowPunct w:val="0"/>
                          <w:ind w:right="0" w:rightChars="0"/>
                          <w:jc w:val="center"/>
                        </w:pPr>
                        <w:r>
                          <w:rPr>
                            <w:rFonts w:hint="eastAsia"/>
                          </w:rPr>
                          <w:t>法定代表人身份证复印件（正面）</w:t>
                        </w:r>
                      </w:p>
                    </w:txbxContent>
                  </v:textbox>
                </v:shape>
                <v:shape id="文本框 32" o:spid="_x0000_s1026" o:spt="202" type="#_x0000_t202" style="position:absolute;left:4044;top:19;height:2258;width:4025;"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800762D">
                        <w:pPr>
                          <w:pStyle w:val="9"/>
                          <w:numPr>
                            <w:ilvl w:val="0"/>
                            <w:numId w:val="0"/>
                          </w:numPr>
                          <w:kinsoku w:val="0"/>
                          <w:overflowPunct w:val="0"/>
                          <w:spacing w:before="13"/>
                          <w:ind w:leftChars="0" w:right="0" w:rightChars="0"/>
                          <w:rPr>
                            <w:rFonts w:hint="eastAsia" w:ascii="宋体" w:hAnsi="宋体" w:eastAsia="宋体" w:cs="宋体"/>
                            <w:sz w:val="28"/>
                            <w:szCs w:val="28"/>
                          </w:rPr>
                        </w:pPr>
                      </w:p>
                      <w:p w14:paraId="2A959BB6">
                        <w:pPr>
                          <w:pStyle w:val="9"/>
                          <w:numPr>
                            <w:ilvl w:val="0"/>
                            <w:numId w:val="0"/>
                          </w:numPr>
                          <w:kinsoku w:val="0"/>
                          <w:overflowPunct w:val="0"/>
                          <w:ind w:right="0" w:rightChars="0"/>
                          <w:jc w:val="center"/>
                          <w:rPr>
                            <w:rFonts w:hint="eastAsia" w:ascii="宋体" w:hAnsi="宋体" w:eastAsia="宋体" w:cs="宋体"/>
                          </w:rPr>
                        </w:pPr>
                        <w:r>
                          <w:rPr>
                            <w:rFonts w:hint="eastAsia" w:ascii="宋体" w:hAnsi="宋体" w:eastAsia="宋体" w:cs="宋体"/>
                          </w:rPr>
                          <w:t>法定代表人身份证复印件（反面）</w:t>
                        </w:r>
                      </w:p>
                    </w:txbxContent>
                  </v:textbox>
                </v:shape>
                <w10:wrap type="through"/>
              </v:group>
            </w:pict>
          </mc:Fallback>
        </mc:AlternateContent>
      </w:r>
    </w:p>
    <w:p w14:paraId="617FCA05">
      <w:pPr>
        <w:spacing w:before="78" w:line="252" w:lineRule="auto"/>
        <w:ind w:left="522" w:right="2564" w:hanging="8"/>
        <w:rPr>
          <w:rFonts w:hint="eastAsia" w:ascii="仿宋" w:hAnsi="仿宋" w:eastAsia="仿宋" w:cs="仿宋"/>
          <w:spacing w:val="1"/>
          <w:sz w:val="32"/>
          <w:szCs w:val="32"/>
          <w:u w:val="single"/>
          <w:lang w:eastAsia="zh-CN"/>
        </w:rPr>
      </w:pPr>
      <w:r>
        <w:rPr>
          <w:rFonts w:hint="eastAsia" w:ascii="仿宋" w:hAnsi="仿宋" w:eastAsia="仿宋" w:cs="仿宋"/>
          <w:spacing w:val="1"/>
          <w:sz w:val="32"/>
          <w:szCs w:val="32"/>
          <w:lang w:eastAsia="zh-CN"/>
        </w:rPr>
        <w:t>投标人（盖单位章）</w:t>
      </w:r>
      <w:r>
        <w:rPr>
          <w:rFonts w:hint="eastAsia" w:ascii="仿宋" w:hAnsi="仿宋" w:eastAsia="仿宋" w:cs="仿宋"/>
          <w:spacing w:val="7"/>
          <w:sz w:val="32"/>
          <w:szCs w:val="32"/>
          <w:lang w:eastAsia="zh-CN"/>
        </w:rPr>
        <w:t>：</w:t>
      </w:r>
      <w:r>
        <w:rPr>
          <w:rFonts w:hint="eastAsia" w:ascii="仿宋" w:hAnsi="仿宋" w:eastAsia="仿宋" w:cs="仿宋"/>
          <w:spacing w:val="1"/>
          <w:sz w:val="32"/>
          <w:szCs w:val="32"/>
          <w:u w:val="single"/>
          <w:lang w:eastAsia="zh-CN"/>
        </w:rPr>
        <w:t xml:space="preserve">         </w:t>
      </w:r>
    </w:p>
    <w:p w14:paraId="6F1E263A">
      <w:pPr>
        <w:spacing w:before="78" w:line="252" w:lineRule="auto"/>
        <w:ind w:left="522" w:right="2564" w:hanging="8"/>
        <w:rPr>
          <w:rFonts w:hint="eastAsia" w:ascii="仿宋" w:hAnsi="仿宋" w:eastAsia="仿宋" w:cs="仿宋"/>
          <w:sz w:val="32"/>
          <w:szCs w:val="32"/>
          <w:lang w:eastAsia="zh-CN"/>
        </w:rPr>
      </w:pPr>
      <w:r>
        <w:rPr>
          <w:rFonts w:hint="eastAsia" w:ascii="仿宋" w:hAnsi="仿宋" w:eastAsia="仿宋" w:cs="仿宋"/>
          <w:sz w:val="32"/>
          <w:szCs w:val="32"/>
          <w:lang w:eastAsia="zh-CN"/>
        </w:rPr>
        <w:t>法定代表人（签字或签章</w:t>
      </w:r>
      <w:r>
        <w:rPr>
          <w:rFonts w:hint="eastAsia" w:ascii="仿宋" w:hAnsi="仿宋" w:eastAsia="仿宋" w:cs="仿宋"/>
          <w:spacing w:val="7"/>
          <w:sz w:val="32"/>
          <w:szCs w:val="32"/>
          <w:lang w:eastAsia="zh-CN"/>
        </w:rPr>
        <w:t>）：</w:t>
      </w:r>
      <w:r>
        <w:rPr>
          <w:rFonts w:hint="eastAsia" w:ascii="仿宋" w:hAnsi="仿宋" w:eastAsia="仿宋" w:cs="仿宋"/>
          <w:sz w:val="32"/>
          <w:szCs w:val="32"/>
          <w:u w:val="single"/>
          <w:lang w:eastAsia="zh-CN"/>
        </w:rPr>
        <w:t xml:space="preserve">                      </w:t>
      </w:r>
    </w:p>
    <w:p w14:paraId="08AC8057">
      <w:pPr>
        <w:spacing w:before="77" w:line="222" w:lineRule="auto"/>
        <w:ind w:left="519"/>
        <w:rPr>
          <w:rFonts w:hint="eastAsia" w:ascii="仿宋" w:hAnsi="仿宋" w:eastAsia="仿宋" w:cs="仿宋"/>
          <w:sz w:val="32"/>
          <w:szCs w:val="32"/>
          <w:lang w:eastAsia="zh-CN"/>
        </w:rPr>
      </w:pPr>
      <w:r>
        <w:rPr>
          <w:rFonts w:hint="eastAsia" w:ascii="仿宋" w:hAnsi="仿宋" w:eastAsia="仿宋" w:cs="仿宋"/>
          <w:spacing w:val="-16"/>
          <w:sz w:val="32"/>
          <w:szCs w:val="32"/>
          <w:lang w:eastAsia="zh-CN"/>
        </w:rPr>
        <w:t>年</w:t>
      </w:r>
      <w:r>
        <w:rPr>
          <w:rFonts w:hint="eastAsia" w:ascii="仿宋" w:hAnsi="仿宋" w:eastAsia="仿宋" w:cs="仿宋"/>
          <w:spacing w:val="11"/>
          <w:sz w:val="32"/>
          <w:szCs w:val="32"/>
          <w:lang w:eastAsia="zh-CN"/>
        </w:rPr>
        <w:t xml:space="preserve">   </w:t>
      </w:r>
      <w:r>
        <w:rPr>
          <w:rFonts w:hint="eastAsia" w:ascii="仿宋" w:hAnsi="仿宋" w:eastAsia="仿宋" w:cs="仿宋"/>
          <w:spacing w:val="-16"/>
          <w:sz w:val="32"/>
          <w:szCs w:val="32"/>
          <w:lang w:eastAsia="zh-CN"/>
        </w:rPr>
        <w:t>月</w:t>
      </w:r>
      <w:r>
        <w:rPr>
          <w:rFonts w:hint="eastAsia" w:ascii="仿宋" w:hAnsi="仿宋" w:eastAsia="仿宋" w:cs="仿宋"/>
          <w:spacing w:val="24"/>
          <w:sz w:val="32"/>
          <w:szCs w:val="32"/>
          <w:lang w:eastAsia="zh-CN"/>
        </w:rPr>
        <w:t xml:space="preserve">   </w:t>
      </w:r>
      <w:r>
        <w:rPr>
          <w:rFonts w:hint="eastAsia" w:ascii="仿宋" w:hAnsi="仿宋" w:eastAsia="仿宋" w:cs="仿宋"/>
          <w:spacing w:val="-16"/>
          <w:sz w:val="32"/>
          <w:szCs w:val="32"/>
          <w:lang w:eastAsia="zh-CN"/>
        </w:rPr>
        <w:t>日</w:t>
      </w:r>
    </w:p>
    <w:p w14:paraId="6B7F8A1E">
      <w:pPr>
        <w:spacing w:line="222" w:lineRule="auto"/>
        <w:rPr>
          <w:rFonts w:hint="eastAsia" w:ascii="仿宋" w:hAnsi="仿宋" w:eastAsia="仿宋" w:cs="仿宋"/>
          <w:sz w:val="32"/>
          <w:szCs w:val="32"/>
          <w:lang w:eastAsia="zh-CN"/>
        </w:rPr>
        <w:sectPr>
          <w:headerReference r:id="rId6" w:type="default"/>
          <w:footerReference r:id="rId7" w:type="default"/>
          <w:pgSz w:w="11905" w:h="16839"/>
          <w:pgMar w:top="1090" w:right="1344" w:bottom="1362" w:left="1785" w:header="1075" w:footer="1200" w:gutter="0"/>
          <w:pgNumType w:fmt="decimal"/>
          <w:cols w:space="720" w:num="1"/>
        </w:sectPr>
      </w:pPr>
    </w:p>
    <w:p w14:paraId="0E8E1633">
      <w:pPr>
        <w:spacing w:before="78" w:line="222" w:lineRule="auto"/>
        <w:jc w:val="center"/>
        <w:outlineLvl w:val="1"/>
        <w:rPr>
          <w:rFonts w:hint="eastAsia" w:ascii="仿宋" w:hAnsi="仿宋" w:eastAsia="仿宋" w:cs="仿宋"/>
          <w:sz w:val="32"/>
          <w:szCs w:val="32"/>
          <w:lang w:eastAsia="zh-CN"/>
        </w:rPr>
      </w:pPr>
      <w:bookmarkStart w:id="259" w:name="_Toc221750881"/>
      <w:r>
        <w:rPr>
          <w:rFonts w:hint="eastAsia" w:ascii="仿宋" w:hAnsi="仿宋" w:eastAsia="仿宋" w:cs="仿宋"/>
          <w:b/>
          <w:bCs/>
          <w:spacing w:val="-4"/>
          <w:sz w:val="32"/>
          <w:szCs w:val="32"/>
          <w:lang w:eastAsia="zh-CN"/>
        </w:rPr>
        <w:t>2-2</w:t>
      </w:r>
      <w:r>
        <w:rPr>
          <w:rFonts w:hint="eastAsia" w:ascii="仿宋" w:hAnsi="仿宋" w:eastAsia="仿宋" w:cs="仿宋"/>
          <w:b/>
          <w:bCs/>
          <w:spacing w:val="-4"/>
          <w:sz w:val="32"/>
          <w:szCs w:val="32"/>
          <w:lang w:val="en-US" w:eastAsia="zh-CN"/>
        </w:rPr>
        <w:t xml:space="preserve">  </w:t>
      </w:r>
      <w:r>
        <w:rPr>
          <w:rFonts w:hint="eastAsia" w:ascii="仿宋" w:hAnsi="仿宋" w:eastAsia="仿宋" w:cs="仿宋"/>
          <w:b/>
          <w:bCs/>
          <w:spacing w:val="-4"/>
          <w:sz w:val="32"/>
          <w:szCs w:val="32"/>
          <w:lang w:eastAsia="zh-CN"/>
        </w:rPr>
        <w:t>法定代表人授权委托书</w:t>
      </w:r>
      <w:bookmarkEnd w:id="259"/>
    </w:p>
    <w:p w14:paraId="1C32EC59">
      <w:pPr>
        <w:pStyle w:val="9"/>
        <w:spacing w:line="350" w:lineRule="auto"/>
        <w:rPr>
          <w:rFonts w:hint="eastAsia" w:ascii="仿宋" w:hAnsi="仿宋" w:eastAsia="仿宋" w:cs="仿宋"/>
          <w:sz w:val="32"/>
          <w:szCs w:val="32"/>
          <w:lang w:eastAsia="zh-CN"/>
        </w:rPr>
      </w:pPr>
    </w:p>
    <w:p w14:paraId="292DC447">
      <w:pPr>
        <w:spacing w:before="72" w:line="409" w:lineRule="auto"/>
        <w:ind w:left="44" w:right="374" w:firstLine="486"/>
        <w:jc w:val="both"/>
        <w:rPr>
          <w:rFonts w:hint="eastAsia" w:ascii="仿宋" w:hAnsi="仿宋" w:eastAsia="仿宋" w:cs="仿宋"/>
          <w:sz w:val="32"/>
          <w:szCs w:val="32"/>
          <w:lang w:eastAsia="zh-CN"/>
        </w:rPr>
      </w:pPr>
      <w:r>
        <w:rPr>
          <w:rFonts w:hint="eastAsia" w:ascii="仿宋" w:hAnsi="仿宋" w:eastAsia="仿宋" w:cs="仿宋"/>
          <w:sz w:val="32"/>
          <w:szCs w:val="32"/>
          <w:lang w:eastAsia="zh-CN"/>
        </w:rPr>
        <w:t>本授权书声明：注册于</w:t>
      </w:r>
      <w:r>
        <w:rPr>
          <w:rFonts w:hint="eastAsia" w:ascii="仿宋" w:hAnsi="仿宋" w:eastAsia="仿宋" w:cs="仿宋"/>
          <w:sz w:val="32"/>
          <w:szCs w:val="32"/>
          <w:u w:val="single"/>
          <w:lang w:eastAsia="zh-CN"/>
        </w:rPr>
        <w:t>（国家或地区的名称）</w:t>
      </w:r>
      <w:r>
        <w:rPr>
          <w:rFonts w:hint="eastAsia" w:ascii="仿宋" w:hAnsi="仿宋" w:eastAsia="仿宋" w:cs="仿宋"/>
          <w:sz w:val="32"/>
          <w:szCs w:val="32"/>
          <w:lang w:eastAsia="zh-CN"/>
        </w:rPr>
        <w:t>的（</w:t>
      </w:r>
      <w:r>
        <w:rPr>
          <w:rFonts w:hint="eastAsia" w:ascii="仿宋" w:hAnsi="仿宋" w:eastAsia="仿宋" w:cs="仿宋"/>
          <w:spacing w:val="-61"/>
          <w:sz w:val="32"/>
          <w:szCs w:val="32"/>
          <w:lang w:eastAsia="zh-CN"/>
        </w:rPr>
        <w:t xml:space="preserve"> </w:t>
      </w:r>
      <w:r>
        <w:rPr>
          <w:rFonts w:hint="eastAsia" w:ascii="仿宋" w:hAnsi="仿宋" w:eastAsia="仿宋" w:cs="仿宋"/>
          <w:sz w:val="32"/>
          <w:szCs w:val="32"/>
          <w:u w:val="single"/>
          <w:lang w:eastAsia="zh-CN"/>
        </w:rPr>
        <w:t>投标人</w:t>
      </w:r>
      <w:r>
        <w:rPr>
          <w:rFonts w:hint="eastAsia" w:ascii="仿宋" w:hAnsi="仿宋" w:eastAsia="仿宋" w:cs="仿宋"/>
          <w:sz w:val="32"/>
          <w:szCs w:val="32"/>
          <w:lang w:eastAsia="zh-CN"/>
        </w:rPr>
        <w:t>）的在下面签字的（</w:t>
      </w:r>
      <w:r>
        <w:rPr>
          <w:rFonts w:hint="eastAsia" w:ascii="仿宋" w:hAnsi="仿宋" w:eastAsia="仿宋" w:cs="仿宋"/>
          <w:spacing w:val="-74"/>
          <w:sz w:val="32"/>
          <w:szCs w:val="32"/>
          <w:lang w:eastAsia="zh-CN"/>
        </w:rPr>
        <w:t xml:space="preserve"> </w:t>
      </w:r>
      <w:r>
        <w:rPr>
          <w:rFonts w:hint="eastAsia" w:ascii="仿宋" w:hAnsi="仿宋" w:eastAsia="仿宋" w:cs="仿宋"/>
          <w:spacing w:val="-88"/>
          <w:sz w:val="32"/>
          <w:szCs w:val="32"/>
          <w:u w:val="single"/>
          <w:lang w:eastAsia="zh-CN"/>
        </w:rPr>
        <w:t xml:space="preserve"> </w:t>
      </w:r>
      <w:r>
        <w:rPr>
          <w:rFonts w:hint="eastAsia" w:ascii="仿宋" w:hAnsi="仿宋" w:eastAsia="仿宋" w:cs="仿宋"/>
          <w:sz w:val="32"/>
          <w:szCs w:val="32"/>
          <w:u w:val="single"/>
          <w:lang w:eastAsia="zh-CN"/>
        </w:rPr>
        <w:t>法人代表姓名、职务</w:t>
      </w:r>
      <w:r>
        <w:rPr>
          <w:rFonts w:hint="eastAsia" w:ascii="仿宋" w:hAnsi="仿宋" w:eastAsia="仿宋" w:cs="仿宋"/>
          <w:sz w:val="32"/>
          <w:szCs w:val="32"/>
          <w:lang w:eastAsia="zh-CN"/>
        </w:rPr>
        <w:t>）代表我单位授权（</w:t>
      </w:r>
      <w:r>
        <w:rPr>
          <w:rFonts w:hint="eastAsia" w:ascii="仿宋" w:hAnsi="仿宋" w:eastAsia="仿宋" w:cs="仿宋"/>
          <w:sz w:val="32"/>
          <w:szCs w:val="32"/>
          <w:u w:val="single"/>
          <w:lang w:eastAsia="zh-CN"/>
        </w:rPr>
        <w:t>单位名称</w:t>
      </w:r>
      <w:r>
        <w:rPr>
          <w:rFonts w:hint="eastAsia" w:ascii="仿宋" w:hAnsi="仿宋" w:eastAsia="仿宋" w:cs="仿宋"/>
          <w:sz w:val="32"/>
          <w:szCs w:val="32"/>
          <w:lang w:eastAsia="zh-CN"/>
        </w:rPr>
        <w:t>）的在下面签字的（</w:t>
      </w:r>
      <w:r>
        <w:rPr>
          <w:rFonts w:hint="eastAsia" w:ascii="仿宋" w:hAnsi="仿宋" w:eastAsia="仿宋" w:cs="仿宋"/>
          <w:sz w:val="32"/>
          <w:szCs w:val="32"/>
          <w:u w:val="single"/>
          <w:lang w:eastAsia="zh-CN"/>
        </w:rPr>
        <w:t>被授权人的姓名、</w:t>
      </w:r>
      <w:r>
        <w:rPr>
          <w:rFonts w:hint="eastAsia" w:ascii="仿宋" w:hAnsi="仿宋" w:eastAsia="仿宋" w:cs="仿宋"/>
          <w:spacing w:val="3"/>
          <w:sz w:val="32"/>
          <w:szCs w:val="32"/>
          <w:u w:val="single"/>
          <w:lang w:eastAsia="zh-CN"/>
        </w:rPr>
        <w:t>职务</w:t>
      </w:r>
      <w:r>
        <w:rPr>
          <w:rFonts w:hint="eastAsia" w:ascii="仿宋" w:hAnsi="仿宋" w:eastAsia="仿宋" w:cs="仿宋"/>
          <w:spacing w:val="3"/>
          <w:sz w:val="32"/>
          <w:szCs w:val="32"/>
          <w:lang w:eastAsia="zh-CN"/>
        </w:rPr>
        <w:t>）为我单位的合法代理人，就（</w:t>
      </w:r>
      <w:r>
        <w:rPr>
          <w:rFonts w:hint="eastAsia" w:ascii="仿宋" w:hAnsi="仿宋" w:eastAsia="仿宋" w:cs="仿宋"/>
          <w:spacing w:val="-76"/>
          <w:sz w:val="32"/>
          <w:szCs w:val="32"/>
          <w:lang w:eastAsia="zh-CN"/>
        </w:rPr>
        <w:t xml:space="preserve"> </w:t>
      </w:r>
      <w:r>
        <w:rPr>
          <w:rFonts w:hint="eastAsia" w:ascii="仿宋" w:hAnsi="仿宋" w:eastAsia="仿宋" w:cs="仿宋"/>
          <w:spacing w:val="-95"/>
          <w:sz w:val="32"/>
          <w:szCs w:val="32"/>
          <w:u w:val="single"/>
          <w:lang w:eastAsia="zh-CN"/>
        </w:rPr>
        <w:t xml:space="preserve"> </w:t>
      </w:r>
      <w:r>
        <w:rPr>
          <w:rFonts w:hint="eastAsia" w:ascii="仿宋" w:hAnsi="仿宋" w:eastAsia="仿宋" w:cs="仿宋"/>
          <w:spacing w:val="3"/>
          <w:sz w:val="32"/>
          <w:szCs w:val="32"/>
          <w:u w:val="single"/>
          <w:lang w:eastAsia="zh-CN"/>
        </w:rPr>
        <w:t>项目名称</w:t>
      </w:r>
      <w:r>
        <w:rPr>
          <w:rFonts w:hint="eastAsia" w:ascii="仿宋" w:hAnsi="仿宋" w:eastAsia="仿宋" w:cs="仿宋"/>
          <w:spacing w:val="3"/>
          <w:sz w:val="32"/>
          <w:szCs w:val="32"/>
          <w:lang w:eastAsia="zh-CN"/>
        </w:rPr>
        <w:t>）投标，以我单位名义</w:t>
      </w:r>
      <w:r>
        <w:rPr>
          <w:rFonts w:hint="eastAsia" w:ascii="仿宋" w:hAnsi="仿宋" w:eastAsia="仿宋" w:cs="仿宋"/>
          <w:spacing w:val="2"/>
          <w:sz w:val="32"/>
          <w:szCs w:val="32"/>
          <w:lang w:eastAsia="zh-CN"/>
        </w:rPr>
        <w:t>处理一切与之有</w:t>
      </w:r>
      <w:r>
        <w:rPr>
          <w:rFonts w:hint="eastAsia" w:ascii="仿宋" w:hAnsi="仿宋" w:eastAsia="仿宋" w:cs="仿宋"/>
          <w:spacing w:val="-1"/>
          <w:sz w:val="32"/>
          <w:szCs w:val="32"/>
          <w:lang w:eastAsia="zh-CN"/>
        </w:rPr>
        <w:t>关的事务。</w:t>
      </w:r>
    </w:p>
    <w:p w14:paraId="1AEEFA83">
      <w:pPr>
        <w:spacing w:line="223" w:lineRule="auto"/>
        <w:ind w:left="491"/>
        <w:rPr>
          <w:rFonts w:hint="eastAsia" w:ascii="仿宋" w:hAnsi="仿宋" w:eastAsia="仿宋" w:cs="仿宋"/>
          <w:sz w:val="32"/>
          <w:szCs w:val="32"/>
          <w:lang w:eastAsia="zh-CN"/>
        </w:rPr>
      </w:pPr>
      <w:r>
        <w:rPr>
          <w:rFonts w:hint="eastAsia" w:ascii="仿宋" w:hAnsi="仿宋" w:eastAsia="仿宋" w:cs="仿宋"/>
          <w:spacing w:val="-2"/>
          <w:sz w:val="32"/>
          <w:szCs w:val="32"/>
          <w:lang w:eastAsia="zh-CN"/>
        </w:rPr>
        <w:t>本授权书于</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年</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月</w:t>
      </w:r>
      <w:r>
        <w:rPr>
          <w:rFonts w:hint="eastAsia" w:ascii="仿宋" w:hAnsi="仿宋" w:eastAsia="仿宋" w:cs="仿宋"/>
          <w:spacing w:val="-2"/>
          <w:sz w:val="32"/>
          <w:szCs w:val="32"/>
          <w:lang w:val="en-US" w:eastAsia="zh-CN"/>
        </w:rPr>
        <w:t xml:space="preserve"> </w:t>
      </w:r>
      <w:r>
        <w:rPr>
          <w:rFonts w:hint="eastAsia" w:ascii="仿宋" w:hAnsi="仿宋" w:eastAsia="仿宋" w:cs="仿宋"/>
          <w:spacing w:val="-2"/>
          <w:sz w:val="32"/>
          <w:szCs w:val="32"/>
          <w:lang w:eastAsia="zh-CN"/>
        </w:rPr>
        <w:t>日签字生效,</w:t>
      </w:r>
      <w:r>
        <w:rPr>
          <w:rFonts w:hint="eastAsia" w:ascii="仿宋" w:hAnsi="仿宋" w:eastAsia="仿宋" w:cs="仿宋"/>
          <w:spacing w:val="-3"/>
          <w:sz w:val="32"/>
          <w:szCs w:val="32"/>
          <w:lang w:eastAsia="zh-CN"/>
        </w:rPr>
        <w:t>特此声明。</w:t>
      </w:r>
    </w:p>
    <w:p w14:paraId="5550059C">
      <w:pPr>
        <w:spacing w:before="34"/>
        <w:rPr>
          <w:rFonts w:hint="eastAsia" w:ascii="仿宋" w:hAnsi="仿宋" w:eastAsia="仿宋" w:cs="仿宋"/>
          <w:sz w:val="24"/>
          <w:szCs w:val="24"/>
          <w:lang w:eastAsia="zh-CN"/>
        </w:rPr>
      </w:pPr>
    </w:p>
    <w:p w14:paraId="46396E40">
      <w:pPr>
        <w:spacing w:before="34"/>
        <w:rPr>
          <w:rFonts w:hint="eastAsia" w:ascii="仿宋" w:hAnsi="仿宋" w:eastAsia="仿宋" w:cs="仿宋"/>
          <w:sz w:val="24"/>
          <w:szCs w:val="24"/>
          <w:lang w:eastAsia="zh-CN"/>
        </w:rPr>
      </w:pPr>
    </w:p>
    <w:p w14:paraId="5A86AC03">
      <w:pPr>
        <w:pStyle w:val="9"/>
        <w:numPr>
          <w:ilvl w:val="0"/>
          <w:numId w:val="0"/>
        </w:numPr>
        <w:kinsoku w:val="0"/>
        <w:overflowPunct w:val="0"/>
        <w:adjustRightInd w:val="0"/>
        <w:snapToGrid w:val="0"/>
        <w:spacing w:line="200" w:lineRule="atLeast"/>
        <w:ind w:right="1669" w:rightChars="795"/>
        <w:jc w:val="center"/>
        <w:rPr>
          <w:rFonts w:hint="eastAsia" w:ascii="宋体" w:hAnsi="宋体" w:eastAsia="宋体" w:cs="宋体"/>
          <w:color w:val="auto"/>
          <w:sz w:val="18"/>
          <w:szCs w:val="20"/>
          <w:highlight w:val="none"/>
        </w:rPr>
      </w:pPr>
      <w:r>
        <w:rPr>
          <w:rFonts w:hint="eastAsia" w:ascii="宋体" w:hAnsi="宋体" w:eastAsia="宋体" w:cs="宋体"/>
          <w:color w:val="auto"/>
          <w:sz w:val="18"/>
          <w:szCs w:val="20"/>
          <w:highlight w:val="none"/>
        </w:rPr>
        <mc:AlternateContent>
          <mc:Choice Requires="wpg">
            <w:drawing>
              <wp:inline distT="0" distB="0" distL="114300" distR="114300">
                <wp:extent cx="5136515" cy="1458595"/>
                <wp:effectExtent l="0" t="0" r="8255" b="9525"/>
                <wp:docPr id="35" name="组合 35"/>
                <wp:cNvGraphicFramePr/>
                <a:graphic xmlns:a="http://schemas.openxmlformats.org/drawingml/2006/main">
                  <a:graphicData uri="http://schemas.microsoft.com/office/word/2010/wordprocessingGroup">
                    <wpg:wgp>
                      <wpg:cNvGrpSpPr>
                        <a:grpSpLocks noRot="1"/>
                      </wpg:cNvGrpSpPr>
                      <wpg:grpSpPr>
                        <a:xfrm>
                          <a:off x="0" y="0"/>
                          <a:ext cx="5136515" cy="1458595"/>
                          <a:chOff x="0" y="0"/>
                          <a:chExt cx="8089" cy="2297"/>
                        </a:xfrm>
                        <a:effectLst/>
                      </wpg:grpSpPr>
                      <wps:wsp>
                        <wps:cNvPr id="30" name="任意多边形 1"/>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31" name="任意多边形 2"/>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2" name="任意多边形 3"/>
                        <wps:cNvSpPr/>
                        <wps:spPr>
                          <a:xfrm>
                            <a:off x="24" y="2267"/>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3" name="任意多边形 4"/>
                        <wps:cNvSpPr/>
                        <wps:spPr>
                          <a:xfrm>
                            <a:off x="4" y="2286"/>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15" name="任意多边形 5"/>
                        <wps:cNvSpPr/>
                        <wps:spPr>
                          <a:xfrm>
                            <a:off x="9" y="4"/>
                            <a:ext cx="20" cy="2287"/>
                          </a:xfrm>
                          <a:custGeom>
                            <a:avLst/>
                            <a:gdLst/>
                            <a:ahLst/>
                            <a:cxnLst/>
                            <a:pathLst>
                              <a:path w="20" h="2287">
                                <a:moveTo>
                                  <a:pt x="0" y="0"/>
                                </a:moveTo>
                                <a:lnTo>
                                  <a:pt x="0" y="2286"/>
                                </a:lnTo>
                              </a:path>
                            </a:pathLst>
                          </a:custGeom>
                          <a:noFill/>
                          <a:ln w="6096" cap="flat" cmpd="sng">
                            <a:solidFill>
                              <a:srgbClr val="000000"/>
                            </a:solidFill>
                            <a:prstDash val="solid"/>
                            <a:headEnd type="none" w="med" len="med"/>
                            <a:tailEnd type="none" w="med" len="med"/>
                          </a:ln>
                          <a:effectLst/>
                        </wps:spPr>
                        <wps:bodyPr upright="1"/>
                      </wps:wsp>
                      <wps:wsp>
                        <wps:cNvPr id="50" name="任意多边形 6"/>
                        <wps:cNvSpPr/>
                        <wps:spPr>
                          <a:xfrm>
                            <a:off x="28" y="24"/>
                            <a:ext cx="20" cy="2249"/>
                          </a:xfrm>
                          <a:custGeom>
                            <a:avLst/>
                            <a:gdLst/>
                            <a:ahLst/>
                            <a:cxnLst/>
                            <a:pathLst>
                              <a:path w="20" h="2249">
                                <a:moveTo>
                                  <a:pt x="0" y="0"/>
                                </a:moveTo>
                                <a:lnTo>
                                  <a:pt x="0" y="2248"/>
                                </a:lnTo>
                              </a:path>
                            </a:pathLst>
                          </a:custGeom>
                          <a:noFill/>
                          <a:ln w="6096" cap="flat" cmpd="sng">
                            <a:solidFill>
                              <a:srgbClr val="000000"/>
                            </a:solidFill>
                            <a:prstDash val="solid"/>
                            <a:headEnd type="none" w="med" len="med"/>
                            <a:tailEnd type="none" w="med" len="med"/>
                          </a:ln>
                          <a:effectLst/>
                        </wps:spPr>
                        <wps:bodyPr upright="1"/>
                      </wps:wsp>
                      <wps:wsp>
                        <wps:cNvPr id="51" name="任意多边形 7"/>
                        <wps:cNvSpPr/>
                        <wps:spPr>
                          <a:xfrm>
                            <a:off x="4034"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2" name="任意多边形 8"/>
                        <wps:cNvSpPr/>
                        <wps:spPr>
                          <a:xfrm>
                            <a:off x="4053" y="24"/>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3" name="任意多边形 9"/>
                        <wps:cNvSpPr/>
                        <wps:spPr>
                          <a:xfrm>
                            <a:off x="8059" y="33"/>
                            <a:ext cx="20" cy="2239"/>
                          </a:xfrm>
                          <a:custGeom>
                            <a:avLst/>
                            <a:gdLst/>
                            <a:ahLst/>
                            <a:cxnLst/>
                            <a:pathLst>
                              <a:path w="20" h="2239">
                                <a:moveTo>
                                  <a:pt x="0" y="0"/>
                                </a:moveTo>
                                <a:lnTo>
                                  <a:pt x="0" y="2238"/>
                                </a:lnTo>
                              </a:path>
                            </a:pathLst>
                          </a:custGeom>
                          <a:noFill/>
                          <a:ln w="6096" cap="flat" cmpd="sng">
                            <a:solidFill>
                              <a:srgbClr val="000000"/>
                            </a:solidFill>
                            <a:prstDash val="solid"/>
                            <a:headEnd type="none" w="med" len="med"/>
                            <a:tailEnd type="none" w="med" len="med"/>
                          </a:ln>
                          <a:effectLst/>
                        </wps:spPr>
                        <wps:bodyPr upright="1"/>
                      </wps:wsp>
                      <wps:wsp>
                        <wps:cNvPr id="54" name="任意多边形 10"/>
                        <wps:cNvSpPr/>
                        <wps:spPr>
                          <a:xfrm>
                            <a:off x="8078" y="14"/>
                            <a:ext cx="20" cy="2278"/>
                          </a:xfrm>
                          <a:custGeom>
                            <a:avLst/>
                            <a:gdLst/>
                            <a:ahLst/>
                            <a:cxnLst/>
                            <a:pathLst>
                              <a:path w="20" h="2278">
                                <a:moveTo>
                                  <a:pt x="0" y="0"/>
                                </a:moveTo>
                                <a:lnTo>
                                  <a:pt x="0" y="2277"/>
                                </a:lnTo>
                              </a:path>
                            </a:pathLst>
                          </a:custGeom>
                          <a:noFill/>
                          <a:ln w="6096" cap="flat" cmpd="sng">
                            <a:solidFill>
                              <a:srgbClr val="000000"/>
                            </a:solidFill>
                            <a:prstDash val="solid"/>
                            <a:headEnd type="none" w="med" len="med"/>
                            <a:tailEnd type="none" w="med" len="med"/>
                          </a:ln>
                          <a:effectLst/>
                        </wps:spPr>
                        <wps:bodyPr upright="1"/>
                      </wps:wsp>
                      <wps:wsp>
                        <wps:cNvPr id="55" name="文本框 11"/>
                        <wps:cNvSpPr txBox="1"/>
                        <wps:spPr>
                          <a:xfrm>
                            <a:off x="19" y="19"/>
                            <a:ext cx="4025" cy="2258"/>
                          </a:xfrm>
                          <a:prstGeom prst="rect">
                            <a:avLst/>
                          </a:prstGeom>
                          <a:noFill/>
                          <a:ln>
                            <a:noFill/>
                          </a:ln>
                          <a:effectLst/>
                        </wps:spPr>
                        <wps:txbx>
                          <w:txbxContent>
                            <w:p w14:paraId="3BFAF64A">
                              <w:pPr>
                                <w:pStyle w:val="9"/>
                                <w:numPr>
                                  <w:ilvl w:val="0"/>
                                  <w:numId w:val="0"/>
                                </w:numPr>
                                <w:kinsoku w:val="0"/>
                                <w:overflowPunct w:val="0"/>
                                <w:spacing w:before="12"/>
                                <w:ind w:leftChars="0" w:right="0" w:rightChars="0"/>
                                <w:jc w:val="right"/>
                                <w:rPr>
                                  <w:rFonts w:hint="eastAsia"/>
                                  <w:sz w:val="28"/>
                                  <w:szCs w:val="28"/>
                                </w:rPr>
                              </w:pPr>
                            </w:p>
                            <w:p w14:paraId="32347F08">
                              <w:pPr>
                                <w:pStyle w:val="9"/>
                                <w:numPr>
                                  <w:ilvl w:val="0"/>
                                  <w:numId w:val="0"/>
                                </w:numPr>
                                <w:kinsoku w:val="0"/>
                                <w:overflowPunct w:val="0"/>
                                <w:ind w:right="0" w:rightChars="0"/>
                                <w:jc w:val="center"/>
                                <w:rPr>
                                  <w:rFonts w:hint="eastAsia"/>
                                </w:rPr>
                              </w:pPr>
                            </w:p>
                            <w:p w14:paraId="32E9202A">
                              <w:pPr>
                                <w:pStyle w:val="9"/>
                                <w:numPr>
                                  <w:ilvl w:val="0"/>
                                  <w:numId w:val="0"/>
                                </w:numPr>
                                <w:kinsoku w:val="0"/>
                                <w:overflowPunct w:val="0"/>
                                <w:ind w:right="0" w:rightChars="0"/>
                                <w:jc w:val="center"/>
                              </w:pPr>
                              <w:r>
                                <w:rPr>
                                  <w:rFonts w:hint="eastAsia"/>
                                </w:rPr>
                                <w:t>法定代表人身份证复印件（正面）</w:t>
                              </w:r>
                            </w:p>
                            <w:p w14:paraId="45A679D9">
                              <w:pPr>
                                <w:pStyle w:val="9"/>
                                <w:numPr>
                                  <w:ilvl w:val="0"/>
                                  <w:numId w:val="0"/>
                                </w:numPr>
                                <w:kinsoku w:val="0"/>
                                <w:overflowPunct w:val="0"/>
                                <w:ind w:right="0" w:rightChars="0"/>
                                <w:jc w:val="center"/>
                              </w:pPr>
                            </w:p>
                          </w:txbxContent>
                        </wps:txbx>
                        <wps:bodyPr lIns="0" tIns="0" rIns="0" bIns="0" upright="1"/>
                      </wps:wsp>
                      <wps:wsp>
                        <wps:cNvPr id="56" name="文本框 12"/>
                        <wps:cNvSpPr txBox="1"/>
                        <wps:spPr>
                          <a:xfrm>
                            <a:off x="4044" y="19"/>
                            <a:ext cx="4025" cy="2258"/>
                          </a:xfrm>
                          <a:prstGeom prst="rect">
                            <a:avLst/>
                          </a:prstGeom>
                          <a:noFill/>
                          <a:ln>
                            <a:noFill/>
                          </a:ln>
                          <a:effectLst/>
                        </wps:spPr>
                        <wps:txbx>
                          <w:txbxContent>
                            <w:p w14:paraId="22A48217">
                              <w:pPr>
                                <w:pStyle w:val="9"/>
                                <w:numPr>
                                  <w:ilvl w:val="0"/>
                                  <w:numId w:val="0"/>
                                </w:numPr>
                                <w:kinsoku w:val="0"/>
                                <w:overflowPunct w:val="0"/>
                                <w:ind w:right="0" w:rightChars="0"/>
                                <w:rPr>
                                  <w:rFonts w:hint="eastAsia"/>
                                </w:rPr>
                              </w:pPr>
                            </w:p>
                            <w:p w14:paraId="4800125A">
                              <w:pPr>
                                <w:pStyle w:val="9"/>
                                <w:numPr>
                                  <w:ilvl w:val="0"/>
                                  <w:numId w:val="0"/>
                                </w:numPr>
                                <w:kinsoku w:val="0"/>
                                <w:overflowPunct w:val="0"/>
                                <w:ind w:right="0" w:rightChars="0"/>
                                <w:rPr>
                                  <w:rFonts w:hint="eastAsia"/>
                                </w:rPr>
                              </w:pPr>
                            </w:p>
                            <w:p w14:paraId="7723E79D">
                              <w:pPr>
                                <w:pStyle w:val="9"/>
                                <w:numPr>
                                  <w:ilvl w:val="0"/>
                                  <w:numId w:val="0"/>
                                </w:numPr>
                                <w:kinsoku w:val="0"/>
                                <w:overflowPunct w:val="0"/>
                                <w:ind w:right="0" w:rightChars="0"/>
                                <w:jc w:val="center"/>
                              </w:pPr>
                              <w:r>
                                <w:rPr>
                                  <w:rFonts w:hint="eastAsia"/>
                                </w:rPr>
                                <w:t>法定代表人身份证复印件（反面）</w:t>
                              </w:r>
                            </w:p>
                          </w:txbxContent>
                        </wps:txbx>
                        <wps:bodyPr lIns="0" tIns="0" rIns="0" bIns="0" upright="1"/>
                      </wps:wsp>
                    </wpg:wgp>
                  </a:graphicData>
                </a:graphic>
              </wp:inline>
            </w:drawing>
          </mc:Choice>
          <mc:Fallback>
            <w:pict>
              <v:group id="_x0000_s1026" o:spid="_x0000_s1026" o:spt="203" style="height:114.85pt;width:404.45pt;" coordsize="8089,2297" o:gfxdata="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&#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">
                <o:lock v:ext="edit" rotation="t" aspectratio="f"/>
                <v:shape id="任意多边形 1" o:spid="_x0000_s1026" o:spt="100" style="position:absolute;left:4;top:9;height:20;width:8079;" filled="f" stroked="t" coordsize="8079,20" o:gfxdata="UEsDBAoAAAAAAIdO4kAAAAAAAAAAAAAAAAAEAAAAZHJzL1BLAwQUAAAACACHTuJAvhB+prkAAADb&#10;AAAADwAAAGRycy9kb3ducmV2LnhtbEVPPW/CMBDdK/EfrENiKzapqF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4Qfqa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2" o:spid="_x0000_s1026" o:spt="100" style="position:absolute;left:24;top:28;height:20;width:8041;" filled="f" stroked="t" coordsize="8041,20" o:gfxdata="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Yq4t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 o:spid="_x0000_s1026" o:spt="100" style="position:absolute;left:24;top:2267;height:20;width:8041;" filled="f" stroked="t" coordsize="8041,20" o:gfxdata="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sDBa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4" o:spid="_x0000_s1026" o:spt="100" style="position:absolute;left:4;top:2286;height:20;width:8079;" filled="f" stroked="t" coordsize="8079,20" o:gfxdata="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7C4NG8AAAA&#10;2wAAAA8AAAAAAAAAAQAgAAAAIgAAAGRycy9kb3ducmV2LnhtbFBLAQIUABQAAAAIAIdO4kAzLwWe&#10;OwAAADkAAAAQAAAAAAAAAAEAIAAAAAsBAABkcnMvc2hhcGV4bWwueG1sUEsFBgAAAAAGAAYAWwEA&#10;ALUDAAAAAA==&#10;" path="m0,0l8078,0e">
                  <v:fill on="f" focussize="0,0"/>
                  <v:stroke weight="0.48pt" color="#000000" joinstyle="round"/>
                  <v:imagedata o:title=""/>
                  <o:lock v:ext="edit" aspectratio="f"/>
                </v:shape>
                <v:shape id="任意多边形 5" o:spid="_x0000_s1026" o:spt="100" style="position:absolute;left:9;top:4;height:2287;width:20;" filled="f" stroked="t" coordsize="20,2287" o:gfxdata="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NcVcy5AAAA2wAA&#10;AA8AAAAAAAAAAQAgAAAAIgAAAGRycy9kb3ducmV2LnhtbFBLAQIUABQAAAAIAIdO4kAzLwWeOwAA&#10;ADkAAAAQAAAAAAAAAAEAIAAAAAgBAABkcnMvc2hhcGV4bWwueG1sUEsFBgAAAAAGAAYAWwEAALID&#10;AAAAAA==&#10;" path="m0,0l0,2286e">
                  <v:fill on="f" focussize="0,0"/>
                  <v:stroke weight="0.48pt" color="#000000" joinstyle="round"/>
                  <v:imagedata o:title=""/>
                  <o:lock v:ext="edit" aspectratio="f"/>
                </v:shape>
                <v:shape id="任意多边形 6" o:spid="_x0000_s1026" o:spt="100" style="position:absolute;left:28;top:24;height:2249;width:20;" filled="f" stroked="t" coordsize="20,2249" o:gfxdata="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yZ068AAAA&#10;2wAAAA8AAAAAAAAAAQAgAAAAIgAAAGRycy9kb3ducmV2LnhtbFBLAQIUABQAAAAIAIdO4kAzLwWe&#10;OwAAADkAAAAQAAAAAAAAAAEAIAAAAAsBAABkcnMvc2hhcGV4bWwueG1sUEsFBgAAAAAGAAYAWwEA&#10;ALUDAAAAAA==&#10;" path="m0,0l0,2248e">
                  <v:fill on="f" focussize="0,0"/>
                  <v:stroke weight="0.48pt" color="#000000" joinstyle="round"/>
                  <v:imagedata o:title=""/>
                  <o:lock v:ext="edit" aspectratio="f"/>
                </v:shape>
                <v:shape id="任意多边形 7" o:spid="_x0000_s1026" o:spt="100" style="position:absolute;left:4034;top:24;height:2239;width:20;" filled="f" stroked="t" coordsize="20,2239" o:gfxdata="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syJHQugAAANs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任意多边形 8" o:spid="_x0000_s1026" o:spt="100" style="position:absolute;left:4053;top:24;height:2239;width:20;" filled="f" stroked="t" coordsize="20,2239" o:gfxdata="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waD6e5AAAA2wAA&#10;AA8AAAAAAAAAAQAgAAAAIgAAAGRycy9kb3ducmV2LnhtbFBLAQIUABQAAAAIAIdO4kAzLwWeOwAA&#10;ADkAAAAQAAAAAAAAAAEAIAAAAAgBAABkcnMvc2hhcGV4bWwueG1sUEsFBgAAAAAGAAYAWwEAALID&#10;AAAAAA==&#10;" path="m0,0l0,2238e">
                  <v:fill on="f" focussize="0,0"/>
                  <v:stroke weight="0.48pt" color="#000000" joinstyle="round"/>
                  <v:imagedata o:title=""/>
                  <o:lock v:ext="edit" aspectratio="f"/>
                </v:shape>
                <v:shape id="任意多边形 9" o:spid="_x0000_s1026" o:spt="100" style="position:absolute;left:8059;top:33;height:2239;width:20;" filled="f" stroked="t" coordsize="20,2239" o:gfxdata="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Vqo8ugAAANsA&#10;AAAPAAAAAAAAAAEAIAAAACIAAABkcnMvZG93bnJldi54bWxQSwECFAAUAAAACACHTuJAMy8FnjsA&#10;AAA5AAAAEAAAAAAAAAABACAAAAAJAQAAZHJzL3NoYXBleG1sLnhtbFBLBQYAAAAABgAGAFsBAACz&#10;AwAAAAA=&#10;" path="m0,0l0,2238e">
                  <v:fill on="f" focussize="0,0"/>
                  <v:stroke weight="0.48pt" color="#000000" joinstyle="round"/>
                  <v:imagedata o:title=""/>
                  <o:lock v:ext="edit" aspectratio="f"/>
                </v:shape>
                <v:shape id="任意多边形 10" o:spid="_x0000_s1026" o:spt="100" style="position:absolute;left:8078;top:14;height:2278;width:20;" filled="f" stroked="t" coordsize="20,2278" o:gfxdata="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QGfRr4A&#10;AADbAAAADwAAAAAAAAABACAAAAAiAAAAZHJzL2Rvd25yZXYueG1sUEsBAhQAFAAAAAgAh07iQDMv&#10;BZ47AAAAOQAAABAAAAAAAAAAAQAgAAAADQEAAGRycy9zaGFwZXhtbC54bWxQSwUGAAAAAAYABgBb&#10;AQAAtwMAAAAA&#10;" path="m0,0l0,2277e">
                  <v:fill on="f" focussize="0,0"/>
                  <v:stroke weight="0.48pt" color="#000000" joinstyle="round"/>
                  <v:imagedata o:title=""/>
                  <o:lock v:ext="edit" aspectratio="f"/>
                </v:shape>
                <v:shape id="文本框 11" o:spid="_x0000_s1026" o:spt="202" type="#_x0000_t202" style="position:absolute;left:19;top:19;height:2258;width:4025;" filled="f" stroked="f" coordsize="21600,21600" o:gfxdata="UEsDBAoAAAAAAIdO4kAAAAAAAAAAAAAAAAAEAAAAZHJzL1BLAwQUAAAACACHTuJAjBfr4L4AAADb&#10;AAAADwAAAGRycy9kb3ducmV2LnhtbEWPzWrDMBCE74W+g9hCb42UQ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Bfr4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BFAF64A">
                        <w:pPr>
                          <w:pStyle w:val="9"/>
                          <w:numPr>
                            <w:ilvl w:val="0"/>
                            <w:numId w:val="0"/>
                          </w:numPr>
                          <w:kinsoku w:val="0"/>
                          <w:overflowPunct w:val="0"/>
                          <w:spacing w:before="12"/>
                          <w:ind w:leftChars="0" w:right="0" w:rightChars="0"/>
                          <w:jc w:val="right"/>
                          <w:rPr>
                            <w:rFonts w:hint="eastAsia"/>
                            <w:sz w:val="28"/>
                            <w:szCs w:val="28"/>
                          </w:rPr>
                        </w:pPr>
                      </w:p>
                      <w:p w14:paraId="32347F08">
                        <w:pPr>
                          <w:pStyle w:val="9"/>
                          <w:numPr>
                            <w:ilvl w:val="0"/>
                            <w:numId w:val="0"/>
                          </w:numPr>
                          <w:kinsoku w:val="0"/>
                          <w:overflowPunct w:val="0"/>
                          <w:ind w:right="0" w:rightChars="0"/>
                          <w:jc w:val="center"/>
                          <w:rPr>
                            <w:rFonts w:hint="eastAsia"/>
                          </w:rPr>
                        </w:pPr>
                      </w:p>
                      <w:p w14:paraId="32E9202A">
                        <w:pPr>
                          <w:pStyle w:val="9"/>
                          <w:numPr>
                            <w:ilvl w:val="0"/>
                            <w:numId w:val="0"/>
                          </w:numPr>
                          <w:kinsoku w:val="0"/>
                          <w:overflowPunct w:val="0"/>
                          <w:ind w:right="0" w:rightChars="0"/>
                          <w:jc w:val="center"/>
                        </w:pPr>
                        <w:r>
                          <w:rPr>
                            <w:rFonts w:hint="eastAsia"/>
                          </w:rPr>
                          <w:t>法定代表人身份证复印件（正面）</w:t>
                        </w:r>
                      </w:p>
                      <w:p w14:paraId="45A679D9">
                        <w:pPr>
                          <w:pStyle w:val="9"/>
                          <w:numPr>
                            <w:ilvl w:val="0"/>
                            <w:numId w:val="0"/>
                          </w:numPr>
                          <w:kinsoku w:val="0"/>
                          <w:overflowPunct w:val="0"/>
                          <w:ind w:right="0" w:rightChars="0"/>
                          <w:jc w:val="center"/>
                        </w:pPr>
                      </w:p>
                    </w:txbxContent>
                  </v:textbox>
                </v:shape>
                <v:shape id="文本框 12" o:spid="_x0000_s1026" o:spt="202" type="#_x0000_t202" style="position:absolute;left:4044;top:19;height:2258;width:4025;" filled="f" stroked="f" coordsize="21600,21600" o:gfxdata="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8xXW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2A48217">
                        <w:pPr>
                          <w:pStyle w:val="9"/>
                          <w:numPr>
                            <w:ilvl w:val="0"/>
                            <w:numId w:val="0"/>
                          </w:numPr>
                          <w:kinsoku w:val="0"/>
                          <w:overflowPunct w:val="0"/>
                          <w:ind w:right="0" w:rightChars="0"/>
                          <w:rPr>
                            <w:rFonts w:hint="eastAsia"/>
                          </w:rPr>
                        </w:pPr>
                      </w:p>
                      <w:p w14:paraId="4800125A">
                        <w:pPr>
                          <w:pStyle w:val="9"/>
                          <w:numPr>
                            <w:ilvl w:val="0"/>
                            <w:numId w:val="0"/>
                          </w:numPr>
                          <w:kinsoku w:val="0"/>
                          <w:overflowPunct w:val="0"/>
                          <w:ind w:right="0" w:rightChars="0"/>
                          <w:rPr>
                            <w:rFonts w:hint="eastAsia"/>
                          </w:rPr>
                        </w:pPr>
                      </w:p>
                      <w:p w14:paraId="7723E79D">
                        <w:pPr>
                          <w:pStyle w:val="9"/>
                          <w:numPr>
                            <w:ilvl w:val="0"/>
                            <w:numId w:val="0"/>
                          </w:numPr>
                          <w:kinsoku w:val="0"/>
                          <w:overflowPunct w:val="0"/>
                          <w:ind w:right="0" w:rightChars="0"/>
                          <w:jc w:val="center"/>
                        </w:pPr>
                        <w:r>
                          <w:rPr>
                            <w:rFonts w:hint="eastAsia"/>
                          </w:rPr>
                          <w:t>法定代表人身份证复印件（反面）</w:t>
                        </w:r>
                      </w:p>
                    </w:txbxContent>
                  </v:textbox>
                </v:shape>
                <w10:wrap type="none"/>
                <w10:anchorlock/>
              </v:group>
            </w:pict>
          </mc:Fallback>
        </mc:AlternateContent>
      </w:r>
    </w:p>
    <w:p w14:paraId="5711450A">
      <w:pPr>
        <w:pStyle w:val="9"/>
        <w:numPr>
          <w:ilvl w:val="0"/>
          <w:numId w:val="0"/>
        </w:numPr>
        <w:kinsoku w:val="0"/>
        <w:overflowPunct w:val="0"/>
        <w:adjustRightInd w:val="0"/>
        <w:snapToGrid w:val="0"/>
        <w:spacing w:line="200" w:lineRule="atLeast"/>
        <w:ind w:right="0" w:rightChars="0"/>
        <w:rPr>
          <w:rFonts w:hint="eastAsia" w:ascii="宋体" w:hAnsi="宋体" w:eastAsia="宋体" w:cs="宋体"/>
          <w:color w:val="auto"/>
          <w:sz w:val="18"/>
          <w:szCs w:val="20"/>
          <w:highlight w:val="none"/>
        </w:rPr>
      </w:pPr>
      <w:r>
        <w:rPr>
          <w:rFonts w:hint="eastAsia" w:ascii="宋体" w:hAnsi="宋体" w:eastAsia="宋体" w:cs="宋体"/>
          <w:color w:val="auto"/>
          <w:sz w:val="18"/>
          <w:szCs w:val="20"/>
          <w:highlight w:val="none"/>
        </w:rPr>
        <mc:AlternateContent>
          <mc:Choice Requires="wpg">
            <w:drawing>
              <wp:inline distT="0" distB="0" distL="114300" distR="114300">
                <wp:extent cx="5136515" cy="1384935"/>
                <wp:effectExtent l="0" t="0" r="7620" b="6985"/>
                <wp:docPr id="36" name="组合 36"/>
                <wp:cNvGraphicFramePr/>
                <a:graphic xmlns:a="http://schemas.openxmlformats.org/drawingml/2006/main">
                  <a:graphicData uri="http://schemas.microsoft.com/office/word/2010/wordprocessingGroup">
                    <wpg:wgp>
                      <wpg:cNvGrpSpPr>
                        <a:grpSpLocks noRot="1"/>
                      </wpg:cNvGrpSpPr>
                      <wpg:grpSpPr>
                        <a:xfrm>
                          <a:off x="0" y="0"/>
                          <a:ext cx="5136515" cy="1384935"/>
                          <a:chOff x="0" y="0"/>
                          <a:chExt cx="8089" cy="2181"/>
                        </a:xfrm>
                        <a:effectLst/>
                      </wpg:grpSpPr>
                      <wps:wsp>
                        <wps:cNvPr id="37" name="任意多边形 34"/>
                        <wps:cNvSpPr/>
                        <wps:spPr>
                          <a:xfrm>
                            <a:off x="4" y="9"/>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38" name="任意多边形 35"/>
                        <wps:cNvSpPr/>
                        <wps:spPr>
                          <a:xfrm>
                            <a:off x="24" y="28"/>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39" name="任意多边形 36"/>
                        <wps:cNvSpPr/>
                        <wps:spPr>
                          <a:xfrm>
                            <a:off x="24" y="2151"/>
                            <a:ext cx="8041" cy="20"/>
                          </a:xfrm>
                          <a:custGeom>
                            <a:avLst/>
                            <a:gdLst/>
                            <a:ahLst/>
                            <a:cxnLst/>
                            <a:pathLst>
                              <a:path w="8041" h="20">
                                <a:moveTo>
                                  <a:pt x="0" y="0"/>
                                </a:moveTo>
                                <a:lnTo>
                                  <a:pt x="8040" y="0"/>
                                </a:lnTo>
                              </a:path>
                            </a:pathLst>
                          </a:custGeom>
                          <a:noFill/>
                          <a:ln w="6096" cap="flat" cmpd="sng">
                            <a:solidFill>
                              <a:srgbClr val="000000"/>
                            </a:solidFill>
                            <a:prstDash val="solid"/>
                            <a:headEnd type="none" w="med" len="med"/>
                            <a:tailEnd type="none" w="med" len="med"/>
                          </a:ln>
                          <a:effectLst/>
                        </wps:spPr>
                        <wps:bodyPr upright="1"/>
                      </wps:wsp>
                      <wps:wsp>
                        <wps:cNvPr id="40" name="任意多边形 37"/>
                        <wps:cNvSpPr/>
                        <wps:spPr>
                          <a:xfrm>
                            <a:off x="4" y="2170"/>
                            <a:ext cx="8079" cy="20"/>
                          </a:xfrm>
                          <a:custGeom>
                            <a:avLst/>
                            <a:gdLst/>
                            <a:ahLst/>
                            <a:cxnLst/>
                            <a:pathLst>
                              <a:path w="8079" h="20">
                                <a:moveTo>
                                  <a:pt x="0" y="0"/>
                                </a:moveTo>
                                <a:lnTo>
                                  <a:pt x="8078" y="0"/>
                                </a:lnTo>
                              </a:path>
                            </a:pathLst>
                          </a:custGeom>
                          <a:noFill/>
                          <a:ln w="6096" cap="flat" cmpd="sng">
                            <a:solidFill>
                              <a:srgbClr val="000000"/>
                            </a:solidFill>
                            <a:prstDash val="solid"/>
                            <a:headEnd type="none" w="med" len="med"/>
                            <a:tailEnd type="none" w="med" len="med"/>
                          </a:ln>
                          <a:effectLst/>
                        </wps:spPr>
                        <wps:bodyPr upright="1"/>
                      </wps:wsp>
                      <wps:wsp>
                        <wps:cNvPr id="41" name="任意多边形 38"/>
                        <wps:cNvSpPr/>
                        <wps:spPr>
                          <a:xfrm>
                            <a:off x="9" y="4"/>
                            <a:ext cx="20" cy="2171"/>
                          </a:xfrm>
                          <a:custGeom>
                            <a:avLst/>
                            <a:gdLst/>
                            <a:ahLst/>
                            <a:cxnLst/>
                            <a:pathLst>
                              <a:path w="20" h="2171">
                                <a:moveTo>
                                  <a:pt x="0" y="0"/>
                                </a:moveTo>
                                <a:lnTo>
                                  <a:pt x="0" y="2170"/>
                                </a:lnTo>
                              </a:path>
                            </a:pathLst>
                          </a:custGeom>
                          <a:noFill/>
                          <a:ln w="6096" cap="flat" cmpd="sng">
                            <a:solidFill>
                              <a:srgbClr val="000000"/>
                            </a:solidFill>
                            <a:prstDash val="solid"/>
                            <a:headEnd type="none" w="med" len="med"/>
                            <a:tailEnd type="none" w="med" len="med"/>
                          </a:ln>
                          <a:effectLst/>
                        </wps:spPr>
                        <wps:bodyPr upright="1"/>
                      </wps:wsp>
                      <wps:wsp>
                        <wps:cNvPr id="42" name="任意多边形 39"/>
                        <wps:cNvSpPr/>
                        <wps:spPr>
                          <a:xfrm>
                            <a:off x="28" y="24"/>
                            <a:ext cx="20" cy="2133"/>
                          </a:xfrm>
                          <a:custGeom>
                            <a:avLst/>
                            <a:gdLst/>
                            <a:ahLst/>
                            <a:cxnLst/>
                            <a:pathLst>
                              <a:path w="20" h="2133">
                                <a:moveTo>
                                  <a:pt x="0" y="0"/>
                                </a:moveTo>
                                <a:lnTo>
                                  <a:pt x="0" y="2132"/>
                                </a:lnTo>
                              </a:path>
                            </a:pathLst>
                          </a:custGeom>
                          <a:noFill/>
                          <a:ln w="6096" cap="flat" cmpd="sng">
                            <a:solidFill>
                              <a:srgbClr val="000000"/>
                            </a:solidFill>
                            <a:prstDash val="solid"/>
                            <a:headEnd type="none" w="med" len="med"/>
                            <a:tailEnd type="none" w="med" len="med"/>
                          </a:ln>
                          <a:effectLst/>
                        </wps:spPr>
                        <wps:bodyPr upright="1"/>
                      </wps:wsp>
                      <wps:wsp>
                        <wps:cNvPr id="43" name="任意多边形 40"/>
                        <wps:cNvSpPr/>
                        <wps:spPr>
                          <a:xfrm>
                            <a:off x="4034"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4" name="任意多边形 41"/>
                        <wps:cNvSpPr/>
                        <wps:spPr>
                          <a:xfrm>
                            <a:off x="4053" y="24"/>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5" name="任意多边形 42"/>
                        <wps:cNvSpPr/>
                        <wps:spPr>
                          <a:xfrm>
                            <a:off x="8059" y="33"/>
                            <a:ext cx="20" cy="2123"/>
                          </a:xfrm>
                          <a:custGeom>
                            <a:avLst/>
                            <a:gdLst/>
                            <a:ahLst/>
                            <a:cxnLst/>
                            <a:pathLst>
                              <a:path w="20" h="2123">
                                <a:moveTo>
                                  <a:pt x="0" y="0"/>
                                </a:moveTo>
                                <a:lnTo>
                                  <a:pt x="0" y="2122"/>
                                </a:lnTo>
                              </a:path>
                            </a:pathLst>
                          </a:custGeom>
                          <a:noFill/>
                          <a:ln w="6096" cap="flat" cmpd="sng">
                            <a:solidFill>
                              <a:srgbClr val="000000"/>
                            </a:solidFill>
                            <a:prstDash val="solid"/>
                            <a:headEnd type="none" w="med" len="med"/>
                            <a:tailEnd type="none" w="med" len="med"/>
                          </a:ln>
                          <a:effectLst/>
                        </wps:spPr>
                        <wps:bodyPr upright="1"/>
                      </wps:wsp>
                      <wps:wsp>
                        <wps:cNvPr id="46" name="任意多边形 43"/>
                        <wps:cNvSpPr/>
                        <wps:spPr>
                          <a:xfrm>
                            <a:off x="8078" y="14"/>
                            <a:ext cx="20" cy="2162"/>
                          </a:xfrm>
                          <a:custGeom>
                            <a:avLst/>
                            <a:gdLst/>
                            <a:ahLst/>
                            <a:cxnLst/>
                            <a:pathLst>
                              <a:path w="20" h="2162">
                                <a:moveTo>
                                  <a:pt x="0" y="0"/>
                                </a:moveTo>
                                <a:lnTo>
                                  <a:pt x="0" y="2161"/>
                                </a:lnTo>
                              </a:path>
                            </a:pathLst>
                          </a:custGeom>
                          <a:noFill/>
                          <a:ln w="6096" cap="flat" cmpd="sng">
                            <a:solidFill>
                              <a:srgbClr val="000000"/>
                            </a:solidFill>
                            <a:prstDash val="solid"/>
                            <a:headEnd type="none" w="med" len="med"/>
                            <a:tailEnd type="none" w="med" len="med"/>
                          </a:ln>
                          <a:effectLst/>
                        </wps:spPr>
                        <wps:bodyPr upright="1"/>
                      </wps:wsp>
                      <wps:wsp>
                        <wps:cNvPr id="47" name="文本框 44"/>
                        <wps:cNvSpPr txBox="1"/>
                        <wps:spPr>
                          <a:xfrm>
                            <a:off x="19" y="19"/>
                            <a:ext cx="4025" cy="2142"/>
                          </a:xfrm>
                          <a:prstGeom prst="rect">
                            <a:avLst/>
                          </a:prstGeom>
                          <a:noFill/>
                          <a:ln>
                            <a:noFill/>
                          </a:ln>
                          <a:effectLst/>
                        </wps:spPr>
                        <wps:txbx>
                          <w:txbxContent>
                            <w:p w14:paraId="0C1542BB">
                              <w:pPr>
                                <w:pStyle w:val="9"/>
                                <w:numPr>
                                  <w:ilvl w:val="0"/>
                                  <w:numId w:val="0"/>
                                </w:numPr>
                                <w:kinsoku w:val="0"/>
                                <w:overflowPunct w:val="0"/>
                                <w:ind w:right="0" w:rightChars="0"/>
                                <w:rPr>
                                  <w:rFonts w:hint="eastAsia"/>
                                </w:rPr>
                              </w:pPr>
                            </w:p>
                            <w:p w14:paraId="62171BF7">
                              <w:pPr>
                                <w:pStyle w:val="9"/>
                                <w:numPr>
                                  <w:ilvl w:val="0"/>
                                  <w:numId w:val="0"/>
                                </w:numPr>
                                <w:kinsoku w:val="0"/>
                                <w:overflowPunct w:val="0"/>
                                <w:ind w:right="0" w:rightChars="0"/>
                                <w:rPr>
                                  <w:rFonts w:hint="eastAsia"/>
                                </w:rPr>
                              </w:pPr>
                            </w:p>
                            <w:p w14:paraId="45367B45">
                              <w:pPr>
                                <w:pStyle w:val="9"/>
                                <w:numPr>
                                  <w:ilvl w:val="0"/>
                                  <w:numId w:val="0"/>
                                </w:numPr>
                                <w:kinsoku w:val="0"/>
                                <w:overflowPunct w:val="0"/>
                                <w:ind w:right="0" w:rightChars="0"/>
                                <w:jc w:val="center"/>
                              </w:pPr>
                              <w:r>
                                <w:rPr>
                                  <w:rFonts w:hint="eastAsia"/>
                                </w:rPr>
                                <w:t>被授权代表身份证复印件（正面）</w:t>
                              </w:r>
                            </w:p>
                          </w:txbxContent>
                        </wps:txbx>
                        <wps:bodyPr lIns="0" tIns="0" rIns="0" bIns="0" upright="1"/>
                      </wps:wsp>
                      <wps:wsp>
                        <wps:cNvPr id="48" name="文本框 45"/>
                        <wps:cNvSpPr txBox="1"/>
                        <wps:spPr>
                          <a:xfrm>
                            <a:off x="4044" y="19"/>
                            <a:ext cx="4025" cy="2142"/>
                          </a:xfrm>
                          <a:prstGeom prst="rect">
                            <a:avLst/>
                          </a:prstGeom>
                          <a:noFill/>
                          <a:ln>
                            <a:noFill/>
                          </a:ln>
                          <a:effectLst/>
                        </wps:spPr>
                        <wps:txbx>
                          <w:txbxContent>
                            <w:p w14:paraId="14214E66">
                              <w:pPr>
                                <w:pStyle w:val="9"/>
                                <w:numPr>
                                  <w:ilvl w:val="0"/>
                                  <w:numId w:val="0"/>
                                </w:numPr>
                                <w:kinsoku w:val="0"/>
                                <w:overflowPunct w:val="0"/>
                                <w:ind w:right="0" w:rightChars="0"/>
                                <w:rPr>
                                  <w:rFonts w:hint="eastAsia"/>
                                </w:rPr>
                              </w:pPr>
                            </w:p>
                            <w:p w14:paraId="2EC4257E">
                              <w:pPr>
                                <w:pStyle w:val="9"/>
                                <w:numPr>
                                  <w:ilvl w:val="0"/>
                                  <w:numId w:val="0"/>
                                </w:numPr>
                                <w:kinsoku w:val="0"/>
                                <w:overflowPunct w:val="0"/>
                                <w:ind w:right="0" w:rightChars="0"/>
                                <w:rPr>
                                  <w:rFonts w:hint="eastAsia"/>
                                </w:rPr>
                              </w:pPr>
                            </w:p>
                            <w:p w14:paraId="2A8EC690">
                              <w:pPr>
                                <w:pStyle w:val="9"/>
                                <w:numPr>
                                  <w:ilvl w:val="0"/>
                                  <w:numId w:val="0"/>
                                </w:numPr>
                                <w:kinsoku w:val="0"/>
                                <w:overflowPunct w:val="0"/>
                                <w:ind w:right="0" w:rightChars="0"/>
                                <w:jc w:val="center"/>
                              </w:pPr>
                              <w:r>
                                <w:rPr>
                                  <w:rFonts w:hint="eastAsia"/>
                                </w:rPr>
                                <w:t>被授权代表身份证复印件（反面）</w:t>
                              </w:r>
                            </w:p>
                          </w:txbxContent>
                        </wps:txbx>
                        <wps:bodyPr lIns="0" tIns="0" rIns="0" bIns="0" upright="1"/>
                      </wps:wsp>
                    </wpg:wgp>
                  </a:graphicData>
                </a:graphic>
              </wp:inline>
            </w:drawing>
          </mc:Choice>
          <mc:Fallback>
            <w:pict>
              <v:group id="_x0000_s1026" o:spid="_x0000_s1026" o:spt="203" style="height:109.05pt;width:404.45pt;" coordsize="8089,2181" o:gfxdata="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">
                <o:lock v:ext="edit" rotation="t" aspectratio="f"/>
                <v:shape id="任意多边形 34" o:spid="_x0000_s1026" o:spt="100" style="position:absolute;left:4;top:9;height:20;width:8079;" filled="f" stroked="t" coordsize="8079,20" o:gfxdata="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ebSvQAA&#10;ANsAAAAPAAAAAAAAAAEAIAAAACIAAABkcnMvZG93bnJldi54bWxQSwECFAAUAAAACACHTuJAMy8F&#10;njsAAAA5AAAAEAAAAAAAAAABACAAAAAMAQAAZHJzL3NoYXBleG1sLnhtbFBLBQYAAAAABgAGAFsB&#10;AAC2AwAAAAA=&#10;" path="m0,0l8078,0e">
                  <v:fill on="f" focussize="0,0"/>
                  <v:stroke weight="0.48pt" color="#000000" joinstyle="round"/>
                  <v:imagedata o:title=""/>
                  <o:lock v:ext="edit" aspectratio="f"/>
                </v:shape>
                <v:shape id="任意多边形 35" o:spid="_x0000_s1026" o:spt="100" style="position:absolute;left:24;top:28;height:20;width:8041;" filled="f" stroked="t" coordsize="8041,20" o:gfxdata="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WAewugAAANsA&#10;AAAPAAAAAAAAAAEAIAAAACIAAABkcnMvZG93bnJldi54bWxQSwECFAAUAAAACACHTuJAMy8FnjsA&#10;AAA5AAAAEAAAAAAAAAABACAAAAAJAQAAZHJzL3NoYXBleG1sLnhtbFBLBQYAAAAABgAGAFsBAACz&#10;AwAAAAA=&#10;" path="m0,0l8040,0e">
                  <v:fill on="f" focussize="0,0"/>
                  <v:stroke weight="0.48pt" color="#000000" joinstyle="round"/>
                  <v:imagedata o:title=""/>
                  <o:lock v:ext="edit" aspectratio="f"/>
                </v:shape>
                <v:shape id="任意多边形 36" o:spid="_x0000_s1026" o:spt="100" style="position:absolute;left:24;top:2151;height:20;width:8041;" filled="f" stroked="t" coordsize="8041,20" o:gfxdata="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FKIrvQAA&#10;ANsAAAAPAAAAAAAAAAEAIAAAACIAAABkcnMvZG93bnJldi54bWxQSwECFAAUAAAACACHTuJAMy8F&#10;njsAAAA5AAAAEAAAAAAAAAABACAAAAAMAQAAZHJzL3NoYXBleG1sLnhtbFBLBQYAAAAABgAGAFsB&#10;AAC2AwAAAAA=&#10;" path="m0,0l8040,0e">
                  <v:fill on="f" focussize="0,0"/>
                  <v:stroke weight="0.48pt" color="#000000" joinstyle="round"/>
                  <v:imagedata o:title=""/>
                  <o:lock v:ext="edit" aspectratio="f"/>
                </v:shape>
                <v:shape id="任意多边形 37" o:spid="_x0000_s1026" o:spt="100" style="position:absolute;left:4;top:2170;height:20;width:8079;" filled="f" stroked="t" coordsize="8079,20" o:gfxdata="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WDdu5AAAA2wAA&#10;AA8AAAAAAAAAAQAgAAAAIgAAAGRycy9kb3ducmV2LnhtbFBLAQIUABQAAAAIAIdO4kAzLwWeOwAA&#10;ADkAAAAQAAAAAAAAAAEAIAAAAAgBAABkcnMvc2hhcGV4bWwueG1sUEsFBgAAAAAGAAYAWwEAALID&#10;AAAAAA==&#10;" path="m0,0l8078,0e">
                  <v:fill on="f" focussize="0,0"/>
                  <v:stroke weight="0.48pt" color="#000000" joinstyle="round"/>
                  <v:imagedata o:title=""/>
                  <o:lock v:ext="edit" aspectratio="f"/>
                </v:shape>
                <v:shape id="任意多边形 38" o:spid="_x0000_s1026" o:spt="100" style="position:absolute;left:9;top:4;height:2171;width:20;" filled="f" stroked="t" coordsize="20,2171" o:gfxdata="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GrYT7sAAADb&#10;AAAADwAAAAAAAAABACAAAAAiAAAAZHJzL2Rvd25yZXYueG1sUEsBAhQAFAAAAAgAh07iQDMvBZ47&#10;AAAAOQAAABAAAAAAAAAAAQAgAAAACgEAAGRycy9zaGFwZXhtbC54bWxQSwUGAAAAAAYABgBbAQAA&#10;tAMAAAAA&#10;" path="m0,0l0,2170e">
                  <v:fill on="f" focussize="0,0"/>
                  <v:stroke weight="0.48pt" color="#000000" joinstyle="round"/>
                  <v:imagedata o:title=""/>
                  <o:lock v:ext="edit" aspectratio="f"/>
                </v:shape>
                <v:shape id="任意多边形 39" o:spid="_x0000_s1026" o:spt="100" style="position:absolute;left:28;top:24;height:2133;width:20;" filled="f" stroked="t" coordsize="20,2133" o:gfxdata="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3Uk7y/&#10;AAAA2wAAAA8AAAAAAAAAAQAgAAAAIgAAAGRycy9kb3ducmV2LnhtbFBLAQIUABQAAAAIAIdO4kAz&#10;LwWeOwAAADkAAAAQAAAAAAAAAAEAIAAAAA4BAABkcnMvc2hhcGV4bWwueG1sUEsFBgAAAAAGAAYA&#10;WwEAALgDAAAAAA==&#10;" path="m0,0l0,2132e">
                  <v:fill on="f" focussize="0,0"/>
                  <v:stroke weight="0.48pt" color="#000000" joinstyle="round"/>
                  <v:imagedata o:title=""/>
                  <o:lock v:ext="edit" aspectratio="f"/>
                </v:shape>
                <v:shape id="任意多边形 40" o:spid="_x0000_s1026" o:spt="100" style="position:absolute;left:4034;top:24;height:2123;width:20;" filled="f" stroked="t" coordsize="20,2123" o:gfxdata="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Y1HbS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1" o:spid="_x0000_s1026" o:spt="100" style="position:absolute;left:4053;top:24;height:2123;width:20;" filled="f" stroked="t" coordsize="20,2123" o:gfxdata="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chcC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2" o:spid="_x0000_s1026" o:spt="100" style="position:absolute;left:8059;top:33;height:2123;width:20;" filled="f" stroked="t" coordsize="20,2123" o:gfxdata="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aQIFu8AAAA&#10;2wAAAA8AAAAAAAAAAQAgAAAAIgAAAGRycy9kb3ducmV2LnhtbFBLAQIUABQAAAAIAIdO4kAzLwWe&#10;OwAAADkAAAAQAAAAAAAAAAEAIAAAAAsBAABkcnMvc2hhcGV4bWwueG1sUEsFBgAAAAAGAAYAWwEA&#10;ALUDAAAAAA==&#10;" path="m0,0l0,2122e">
                  <v:fill on="f" focussize="0,0"/>
                  <v:stroke weight="0.48pt" color="#000000" joinstyle="round"/>
                  <v:imagedata o:title=""/>
                  <o:lock v:ext="edit" aspectratio="f"/>
                </v:shape>
                <v:shape id="任意多边形 43" o:spid="_x0000_s1026" o:spt="100" style="position:absolute;left:8078;top:14;height:2162;width:20;" filled="f" stroked="t" coordsize="20,2162" o:gfxdata="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2cm0ztwAAANsAAAAP&#10;AAAAAAAAAAEAIAAAACIAAABkcnMvZG93bnJldi54bWxQSwECFAAUAAAACACHTuJAMy8FnjsAAAA5&#10;AAAAEAAAAAAAAAABACAAAAAGAQAAZHJzL3NoYXBleG1sLnhtbFBLBQYAAAAABgAGAFsBAACwAwAA&#10;AAA=&#10;" path="m0,0l0,2161e">
                  <v:fill on="f" focussize="0,0"/>
                  <v:stroke weight="0.48pt" color="#000000" joinstyle="round"/>
                  <v:imagedata o:title=""/>
                  <o:lock v:ext="edit" aspectratio="f"/>
                </v:shape>
                <v:shape id="文本框 44" o:spid="_x0000_s1026" o:spt="202" type="#_x0000_t202" style="position:absolute;left:19;top:19;height:2142;width:4025;"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C1542BB">
                        <w:pPr>
                          <w:pStyle w:val="9"/>
                          <w:numPr>
                            <w:ilvl w:val="0"/>
                            <w:numId w:val="0"/>
                          </w:numPr>
                          <w:kinsoku w:val="0"/>
                          <w:overflowPunct w:val="0"/>
                          <w:ind w:right="0" w:rightChars="0"/>
                          <w:rPr>
                            <w:rFonts w:hint="eastAsia"/>
                          </w:rPr>
                        </w:pPr>
                      </w:p>
                      <w:p w14:paraId="62171BF7">
                        <w:pPr>
                          <w:pStyle w:val="9"/>
                          <w:numPr>
                            <w:ilvl w:val="0"/>
                            <w:numId w:val="0"/>
                          </w:numPr>
                          <w:kinsoku w:val="0"/>
                          <w:overflowPunct w:val="0"/>
                          <w:ind w:right="0" w:rightChars="0"/>
                          <w:rPr>
                            <w:rFonts w:hint="eastAsia"/>
                          </w:rPr>
                        </w:pPr>
                      </w:p>
                      <w:p w14:paraId="45367B45">
                        <w:pPr>
                          <w:pStyle w:val="9"/>
                          <w:numPr>
                            <w:ilvl w:val="0"/>
                            <w:numId w:val="0"/>
                          </w:numPr>
                          <w:kinsoku w:val="0"/>
                          <w:overflowPunct w:val="0"/>
                          <w:ind w:right="0" w:rightChars="0"/>
                          <w:jc w:val="center"/>
                        </w:pPr>
                        <w:r>
                          <w:rPr>
                            <w:rFonts w:hint="eastAsia"/>
                          </w:rPr>
                          <w:t>被授权代表身份证复印件（正面）</w:t>
                        </w:r>
                      </w:p>
                    </w:txbxContent>
                  </v:textbox>
                </v:shape>
                <v:shape id="文本框 45" o:spid="_x0000_s1026" o:spt="202" type="#_x0000_t202" style="position:absolute;left:4044;top:19;height:2142;width:4025;" filled="f" stroked="f" coordsize="21600,21600" o:gfxdata="UEsDBAoAAAAAAIdO4kAAAAAAAAAAAAAAAAAEAAAAZHJzL1BLAwQUAAAACACHTuJA58/So7oAAADb&#10;AAAADwAAAGRycy9kb3ducmV2LnhtbEVPy2oCMRTdF/yHcAvd1UQp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z9Kj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14214E66">
                        <w:pPr>
                          <w:pStyle w:val="9"/>
                          <w:numPr>
                            <w:ilvl w:val="0"/>
                            <w:numId w:val="0"/>
                          </w:numPr>
                          <w:kinsoku w:val="0"/>
                          <w:overflowPunct w:val="0"/>
                          <w:ind w:right="0" w:rightChars="0"/>
                          <w:rPr>
                            <w:rFonts w:hint="eastAsia"/>
                          </w:rPr>
                        </w:pPr>
                      </w:p>
                      <w:p w14:paraId="2EC4257E">
                        <w:pPr>
                          <w:pStyle w:val="9"/>
                          <w:numPr>
                            <w:ilvl w:val="0"/>
                            <w:numId w:val="0"/>
                          </w:numPr>
                          <w:kinsoku w:val="0"/>
                          <w:overflowPunct w:val="0"/>
                          <w:ind w:right="0" w:rightChars="0"/>
                          <w:rPr>
                            <w:rFonts w:hint="eastAsia"/>
                          </w:rPr>
                        </w:pPr>
                      </w:p>
                      <w:p w14:paraId="2A8EC690">
                        <w:pPr>
                          <w:pStyle w:val="9"/>
                          <w:numPr>
                            <w:ilvl w:val="0"/>
                            <w:numId w:val="0"/>
                          </w:numPr>
                          <w:kinsoku w:val="0"/>
                          <w:overflowPunct w:val="0"/>
                          <w:ind w:right="0" w:rightChars="0"/>
                          <w:jc w:val="center"/>
                        </w:pPr>
                        <w:r>
                          <w:rPr>
                            <w:rFonts w:hint="eastAsia"/>
                          </w:rPr>
                          <w:t>被授权代表身份证复印件（反面）</w:t>
                        </w:r>
                      </w:p>
                    </w:txbxContent>
                  </v:textbox>
                </v:shape>
                <w10:wrap type="none"/>
                <w10:anchorlock/>
              </v:group>
            </w:pict>
          </mc:Fallback>
        </mc:AlternateContent>
      </w:r>
    </w:p>
    <w:p w14:paraId="6E47648F">
      <w:pPr>
        <w:tabs>
          <w:tab w:val="left" w:pos="5607"/>
          <w:tab w:val="left" w:pos="5720"/>
        </w:tabs>
        <w:spacing w:before="71" w:line="274" w:lineRule="auto"/>
        <w:ind w:right="3067"/>
        <w:jc w:val="both"/>
        <w:rPr>
          <w:rFonts w:hint="eastAsia" w:ascii="仿宋" w:hAnsi="仿宋" w:eastAsia="仿宋" w:cs="仿宋"/>
          <w:spacing w:val="1"/>
          <w:sz w:val="32"/>
          <w:szCs w:val="32"/>
          <w:lang w:eastAsia="zh-CN"/>
        </w:rPr>
      </w:pPr>
    </w:p>
    <w:p w14:paraId="70226251">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投标人（盖单位章）：</w:t>
      </w:r>
      <w:r>
        <w:rPr>
          <w:rFonts w:hint="eastAsia" w:ascii="仿宋" w:hAnsi="仿宋" w:eastAsia="仿宋" w:cs="仿宋"/>
          <w:sz w:val="32"/>
          <w:szCs w:val="32"/>
          <w:u w:val="single"/>
          <w:lang w:eastAsia="zh-CN"/>
        </w:rPr>
        <w:tab/>
      </w:r>
      <w:r>
        <w:rPr>
          <w:rFonts w:hint="eastAsia" w:ascii="仿宋" w:hAnsi="仿宋" w:eastAsia="仿宋" w:cs="仿宋"/>
          <w:sz w:val="32"/>
          <w:szCs w:val="32"/>
          <w:lang w:eastAsia="zh-CN"/>
        </w:rPr>
        <w:t xml:space="preserve"> </w:t>
      </w:r>
    </w:p>
    <w:p w14:paraId="78979756">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法定代表人（签字或签章</w:t>
      </w:r>
      <w:r>
        <w:rPr>
          <w:rFonts w:hint="eastAsia" w:ascii="仿宋" w:hAnsi="仿宋" w:eastAsia="仿宋" w:cs="仿宋"/>
          <w:spacing w:val="4"/>
          <w:sz w:val="32"/>
          <w:szCs w:val="32"/>
          <w:lang w:eastAsia="zh-CN"/>
        </w:rPr>
        <w:t>）：</w:t>
      </w:r>
      <w:r>
        <w:rPr>
          <w:rFonts w:hint="eastAsia" w:ascii="仿宋" w:hAnsi="仿宋" w:eastAsia="仿宋" w:cs="仿宋"/>
          <w:sz w:val="32"/>
          <w:szCs w:val="32"/>
          <w:u w:val="single"/>
          <w:lang w:eastAsia="zh-CN"/>
        </w:rPr>
        <w:tab/>
      </w:r>
      <w:r>
        <w:rPr>
          <w:rFonts w:hint="eastAsia" w:ascii="仿宋" w:hAnsi="仿宋" w:eastAsia="仿宋" w:cs="仿宋"/>
          <w:sz w:val="32"/>
          <w:szCs w:val="32"/>
          <w:u w:val="single"/>
          <w:lang w:eastAsia="zh-CN"/>
        </w:rPr>
        <w:tab/>
      </w:r>
      <w:r>
        <w:rPr>
          <w:rFonts w:hint="eastAsia" w:ascii="仿宋" w:hAnsi="仿宋" w:eastAsia="仿宋" w:cs="仿宋"/>
          <w:sz w:val="32"/>
          <w:szCs w:val="32"/>
          <w:lang w:eastAsia="zh-CN"/>
        </w:rPr>
        <w:t xml:space="preserve"> </w:t>
      </w:r>
    </w:p>
    <w:p w14:paraId="5967AC9D">
      <w:pPr>
        <w:tabs>
          <w:tab w:val="left" w:pos="5607"/>
          <w:tab w:val="left" w:pos="5720"/>
        </w:tabs>
        <w:spacing w:before="71" w:line="274" w:lineRule="auto"/>
        <w:ind w:right="3067"/>
        <w:jc w:val="both"/>
        <w:rPr>
          <w:rFonts w:hint="eastAsia" w:ascii="仿宋" w:hAnsi="仿宋" w:eastAsia="仿宋" w:cs="仿宋"/>
          <w:sz w:val="32"/>
          <w:szCs w:val="32"/>
          <w:lang w:eastAsia="zh-CN"/>
        </w:rPr>
      </w:pPr>
      <w:r>
        <w:rPr>
          <w:rFonts w:hint="eastAsia" w:ascii="仿宋" w:hAnsi="仿宋" w:eastAsia="仿宋" w:cs="仿宋"/>
          <w:spacing w:val="-1"/>
          <w:sz w:val="32"/>
          <w:szCs w:val="32"/>
          <w:lang w:eastAsia="zh-CN"/>
        </w:rPr>
        <w:t>委托代理人</w:t>
      </w:r>
      <w:r>
        <w:rPr>
          <w:rFonts w:hint="eastAsia" w:ascii="仿宋" w:hAnsi="仿宋" w:eastAsia="仿宋" w:cs="仿宋"/>
          <w:spacing w:val="1"/>
          <w:sz w:val="32"/>
          <w:szCs w:val="32"/>
          <w:lang w:eastAsia="zh-CN"/>
        </w:rPr>
        <w:t>（签字或签章</w:t>
      </w:r>
      <w:r>
        <w:rPr>
          <w:rFonts w:hint="eastAsia" w:ascii="仿宋" w:hAnsi="仿宋" w:eastAsia="仿宋" w:cs="仿宋"/>
          <w:spacing w:val="4"/>
          <w:sz w:val="32"/>
          <w:szCs w:val="32"/>
          <w:lang w:eastAsia="zh-CN"/>
        </w:rPr>
        <w:t>）：</w:t>
      </w:r>
      <w:r>
        <w:rPr>
          <w:rFonts w:hint="eastAsia" w:ascii="仿宋" w:hAnsi="仿宋" w:eastAsia="仿宋" w:cs="仿宋"/>
          <w:sz w:val="32"/>
          <w:szCs w:val="32"/>
          <w:u w:val="single"/>
          <w:lang w:eastAsia="zh-CN"/>
        </w:rPr>
        <w:tab/>
      </w:r>
      <w:r>
        <w:rPr>
          <w:rFonts w:hint="eastAsia" w:ascii="仿宋" w:hAnsi="仿宋" w:eastAsia="仿宋" w:cs="仿宋"/>
          <w:sz w:val="32"/>
          <w:szCs w:val="32"/>
          <w:u w:val="single"/>
          <w:lang w:eastAsia="zh-CN"/>
        </w:rPr>
        <w:tab/>
      </w:r>
      <w:r>
        <w:rPr>
          <w:rFonts w:hint="eastAsia" w:ascii="仿宋" w:hAnsi="仿宋" w:eastAsia="仿宋" w:cs="仿宋"/>
          <w:spacing w:val="-1"/>
          <w:sz w:val="32"/>
          <w:szCs w:val="32"/>
          <w:u w:val="single"/>
          <w:lang w:eastAsia="zh-CN"/>
        </w:rPr>
        <w:t xml:space="preserve">           </w:t>
      </w:r>
      <w:r>
        <w:rPr>
          <w:rFonts w:hint="eastAsia" w:ascii="仿宋" w:hAnsi="仿宋" w:eastAsia="仿宋" w:cs="仿宋"/>
          <w:spacing w:val="-2"/>
          <w:sz w:val="32"/>
          <w:szCs w:val="32"/>
          <w:u w:val="single"/>
          <w:lang w:eastAsia="zh-CN"/>
        </w:rPr>
        <w:t xml:space="preserve">                 </w:t>
      </w:r>
    </w:p>
    <w:p w14:paraId="742758D7">
      <w:pPr>
        <w:spacing w:before="77" w:line="223" w:lineRule="auto"/>
        <w:ind w:left="495"/>
        <w:rPr>
          <w:rFonts w:hint="eastAsia" w:ascii="宋体" w:hAnsi="宋体" w:eastAsia="宋体" w:cs="宋体"/>
          <w:color w:val="auto"/>
          <w:sz w:val="24"/>
          <w:highlight w:val="none"/>
        </w:rPr>
      </w:pPr>
      <w:r>
        <w:rPr>
          <w:rFonts w:hint="eastAsia" w:ascii="仿宋" w:hAnsi="仿宋" w:eastAsia="仿宋" w:cs="仿宋"/>
          <w:spacing w:val="-14"/>
          <w:sz w:val="32"/>
          <w:szCs w:val="32"/>
          <w:lang w:eastAsia="zh-CN"/>
        </w:rPr>
        <w:t>年</w:t>
      </w:r>
      <w:r>
        <w:rPr>
          <w:rFonts w:hint="eastAsia" w:ascii="仿宋" w:hAnsi="仿宋" w:eastAsia="仿宋" w:cs="仿宋"/>
          <w:spacing w:val="10"/>
          <w:sz w:val="32"/>
          <w:szCs w:val="32"/>
          <w:lang w:eastAsia="zh-CN"/>
        </w:rPr>
        <w:t xml:space="preserve">   </w:t>
      </w:r>
      <w:r>
        <w:rPr>
          <w:rFonts w:hint="eastAsia" w:ascii="仿宋" w:hAnsi="仿宋" w:eastAsia="仿宋" w:cs="仿宋"/>
          <w:spacing w:val="-14"/>
          <w:sz w:val="32"/>
          <w:szCs w:val="32"/>
          <w:lang w:eastAsia="zh-CN"/>
        </w:rPr>
        <w:t>月</w:t>
      </w:r>
      <w:r>
        <w:rPr>
          <w:rFonts w:hint="eastAsia" w:ascii="仿宋" w:hAnsi="仿宋" w:eastAsia="仿宋" w:cs="仿宋"/>
          <w:spacing w:val="23"/>
          <w:sz w:val="32"/>
          <w:szCs w:val="32"/>
          <w:lang w:eastAsia="zh-CN"/>
        </w:rPr>
        <w:t xml:space="preserve">   </w:t>
      </w:r>
      <w:r>
        <w:rPr>
          <w:rFonts w:hint="eastAsia" w:ascii="仿宋" w:hAnsi="仿宋" w:eastAsia="仿宋" w:cs="仿宋"/>
          <w:spacing w:val="-14"/>
          <w:sz w:val="32"/>
          <w:szCs w:val="32"/>
          <w:lang w:eastAsia="zh-CN"/>
        </w:rPr>
        <w:t>日</w:t>
      </w:r>
      <w:r>
        <w:rPr>
          <w:rFonts w:hint="eastAsia" w:ascii="宋体" w:hAnsi="宋体" w:eastAsia="宋体" w:cs="宋体"/>
          <w:color w:val="auto"/>
          <w:sz w:val="24"/>
          <w:highlight w:val="none"/>
        </w:rPr>
        <w:br w:type="page"/>
      </w:r>
      <w:bookmarkStart w:id="260" w:name="_Toc26357"/>
    </w:p>
    <w:p w14:paraId="730374A8">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i w:val="0"/>
          <w:caps w:val="0"/>
          <w:color w:val="auto"/>
          <w:spacing w:val="0"/>
          <w:kern w:val="0"/>
          <w:sz w:val="32"/>
          <w:szCs w:val="32"/>
          <w:highlight w:val="none"/>
          <w:lang w:val="en-US" w:eastAsia="zh-CN"/>
        </w:rPr>
      </w:pPr>
      <w:bookmarkStart w:id="261" w:name="_Toc582"/>
      <w:bookmarkStart w:id="262" w:name="_Toc24097"/>
      <w:bookmarkStart w:id="263" w:name="_Toc11857"/>
      <w:bookmarkStart w:id="264" w:name="_Toc9531"/>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3</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投标人须提供（被授权在职人员）近6个月内任意1个月社保证明；</w:t>
      </w:r>
      <w:r>
        <w:rPr>
          <w:rFonts w:hint="eastAsia" w:ascii="仿宋" w:hAnsi="仿宋" w:eastAsia="仿宋" w:cs="仿宋"/>
          <w:b/>
          <w:bCs/>
          <w:i w:val="0"/>
          <w:caps w:val="0"/>
          <w:color w:val="auto"/>
          <w:spacing w:val="0"/>
          <w:kern w:val="0"/>
          <w:sz w:val="32"/>
          <w:szCs w:val="32"/>
          <w:highlight w:val="none"/>
          <w:lang w:val="en-US" w:eastAsia="zh-CN"/>
        </w:rPr>
        <w:t>（由牵头单位出具）</w:t>
      </w:r>
    </w:p>
    <w:p w14:paraId="20F4C1C7">
      <w:pPr>
        <w:pStyle w:val="12"/>
        <w:tabs>
          <w:tab w:val="left" w:pos="5580"/>
        </w:tabs>
        <w:spacing w:line="240" w:lineRule="atLeast"/>
        <w:rPr>
          <w:rFonts w:hint="eastAsia" w:hAnsi="宋体" w:cs="宋体"/>
          <w:b/>
          <w:color w:val="auto"/>
          <w:sz w:val="32"/>
          <w:szCs w:val="32"/>
          <w:highlight w:val="none"/>
          <w:lang w:eastAsia="zh-CN"/>
        </w:rPr>
      </w:pPr>
    </w:p>
    <w:p w14:paraId="2F965D30">
      <w:pPr>
        <w:pStyle w:val="12"/>
        <w:tabs>
          <w:tab w:val="left" w:pos="5580"/>
        </w:tabs>
        <w:spacing w:line="240" w:lineRule="atLeast"/>
        <w:ind w:left="540"/>
        <w:rPr>
          <w:rFonts w:hint="eastAsia" w:hAnsi="宋体" w:cs="宋体"/>
          <w:b/>
          <w:color w:val="auto"/>
          <w:sz w:val="32"/>
          <w:szCs w:val="32"/>
          <w:highlight w:val="none"/>
        </w:rPr>
      </w:pPr>
    </w:p>
    <w:p w14:paraId="54EE3E5B">
      <w:pPr>
        <w:pStyle w:val="3"/>
        <w:numPr>
          <w:ilvl w:val="0"/>
          <w:numId w:val="0"/>
        </w:numPr>
        <w:shd w:val="clear" w:color="auto" w:fill="auto"/>
        <w:spacing w:before="0" w:line="240" w:lineRule="atLeast"/>
        <w:rPr>
          <w:rFonts w:hint="eastAsia" w:ascii="宋体" w:hAnsi="宋体" w:eastAsia="宋体" w:cs="宋体"/>
          <w:color w:val="auto"/>
          <w:sz w:val="32"/>
          <w:szCs w:val="32"/>
          <w:highlight w:val="none"/>
          <w:lang w:val="en-US" w:eastAsia="zh-CN"/>
        </w:rPr>
      </w:pPr>
    </w:p>
    <w:p w14:paraId="19746D95">
      <w:pPr>
        <w:pStyle w:val="3"/>
        <w:numPr>
          <w:ilvl w:val="0"/>
          <w:numId w:val="0"/>
        </w:numPr>
        <w:shd w:val="clear" w:color="auto" w:fill="auto"/>
        <w:spacing w:before="0" w:line="240" w:lineRule="atLeast"/>
        <w:rPr>
          <w:rFonts w:hint="eastAsia" w:ascii="宋体" w:hAnsi="宋体" w:eastAsia="宋体" w:cs="宋体"/>
          <w:color w:val="auto"/>
          <w:sz w:val="24"/>
          <w:highlight w:val="none"/>
          <w:lang w:eastAsia="zh-CN"/>
        </w:rPr>
      </w:pPr>
    </w:p>
    <w:p w14:paraId="71C2BBB1">
      <w:pPr>
        <w:pStyle w:val="3"/>
        <w:numPr>
          <w:ilvl w:val="0"/>
          <w:numId w:val="0"/>
        </w:numPr>
        <w:shd w:val="clear" w:color="auto" w:fill="auto"/>
        <w:spacing w:before="0" w:line="240" w:lineRule="atLeast"/>
        <w:rPr>
          <w:rFonts w:hint="eastAsia" w:ascii="宋体" w:hAnsi="宋体" w:eastAsia="宋体" w:cs="宋体"/>
          <w:color w:val="auto"/>
          <w:sz w:val="24"/>
          <w:highlight w:val="none"/>
          <w:lang w:eastAsia="zh-CN"/>
        </w:rPr>
      </w:pPr>
    </w:p>
    <w:p w14:paraId="745FC15A">
      <w:pPr>
        <w:pStyle w:val="3"/>
        <w:numPr>
          <w:ilvl w:val="0"/>
          <w:numId w:val="0"/>
        </w:numPr>
        <w:shd w:val="clear" w:color="auto" w:fill="auto"/>
        <w:spacing w:before="0" w:line="240" w:lineRule="atLeast"/>
        <w:rPr>
          <w:rFonts w:hint="eastAsia" w:ascii="宋体" w:hAnsi="宋体" w:eastAsia="宋体" w:cs="宋体"/>
          <w:color w:val="auto"/>
          <w:sz w:val="24"/>
          <w:highlight w:val="none"/>
          <w:lang w:eastAsia="zh-CN"/>
        </w:rPr>
      </w:pPr>
    </w:p>
    <w:p w14:paraId="344AD2D4">
      <w:pPr>
        <w:pStyle w:val="3"/>
        <w:numPr>
          <w:ilvl w:val="0"/>
          <w:numId w:val="0"/>
        </w:numPr>
        <w:shd w:val="clear" w:color="auto" w:fill="auto"/>
        <w:spacing w:before="0" w:line="240" w:lineRule="atLeast"/>
        <w:rPr>
          <w:rFonts w:hint="eastAsia" w:ascii="宋体" w:hAnsi="宋体" w:eastAsia="宋体" w:cs="宋体"/>
          <w:color w:val="auto"/>
          <w:sz w:val="24"/>
          <w:highlight w:val="none"/>
          <w:lang w:eastAsia="zh-CN"/>
        </w:rPr>
      </w:pPr>
    </w:p>
    <w:p w14:paraId="571C2CC7">
      <w:pPr>
        <w:keepNext w:val="0"/>
        <w:keepLines w:val="0"/>
        <w:pageBreakBefore w:val="0"/>
        <w:widowControl w:val="0"/>
        <w:numPr>
          <w:ilvl w:val="0"/>
          <w:numId w:val="0"/>
        </w:numPr>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49D3FB8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z w:val="32"/>
          <w:szCs w:val="32"/>
          <w:highlight w:val="none"/>
          <w:lang w:val="en-US" w:eastAsia="zh-CN"/>
        </w:rPr>
      </w:pPr>
    </w:p>
    <w:p w14:paraId="5C08863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z w:val="32"/>
          <w:szCs w:val="32"/>
          <w:highlight w:val="none"/>
          <w:lang w:val="en-US" w:eastAsia="zh-CN"/>
        </w:rPr>
      </w:pPr>
    </w:p>
    <w:p w14:paraId="2252E66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z w:val="32"/>
          <w:szCs w:val="32"/>
          <w:highlight w:val="none"/>
          <w:lang w:val="en-US" w:eastAsia="zh-CN"/>
        </w:rPr>
      </w:pPr>
    </w:p>
    <w:p w14:paraId="0680FBFF">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（5）投标人须具备行政主管部门颁发的有效的《保安服务许可证》；</w:t>
      </w:r>
    </w:p>
    <w:p w14:paraId="09F2E49F">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p>
    <w:p w14:paraId="6227264C">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p>
    <w:p w14:paraId="28C9ACA4">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p>
    <w:p w14:paraId="6B7E4FCF">
      <w:pPr>
        <w:pStyle w:val="24"/>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i w:val="0"/>
          <w:caps w:val="0"/>
          <w:color w:val="auto"/>
          <w:spacing w:val="0"/>
          <w:kern w:val="0"/>
          <w:sz w:val="32"/>
          <w:szCs w:val="32"/>
          <w:highlight w:val="none"/>
          <w:lang w:val="en-US" w:eastAsia="zh-CN"/>
        </w:rPr>
      </w:pPr>
    </w:p>
    <w:p w14:paraId="618F8D40">
      <w:pPr>
        <w:pStyle w:val="24"/>
        <w:keepNext w:val="0"/>
        <w:keepLines w:val="0"/>
        <w:pageBreakBefore w:val="0"/>
        <w:widowControl/>
        <w:numPr>
          <w:ilvl w:val="0"/>
          <w:numId w:val="9"/>
        </w:numPr>
        <w:suppressLineNumbers w:val="0"/>
        <w:kinsoku/>
        <w:wordWrap/>
        <w:overflowPunct/>
        <w:topLinePunct w:val="0"/>
        <w:autoSpaceDE w:val="0"/>
        <w:autoSpaceDN/>
        <w:bidi w:val="0"/>
        <w:adjustRightInd/>
        <w:snapToGrid/>
        <w:spacing w:before="75" w:beforeAutospacing="0" w:after="75" w:afterAutospacing="0" w:line="400" w:lineRule="exact"/>
        <w:ind w:right="0"/>
        <w:jc w:val="left"/>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联合体协议书（若有）。</w:t>
      </w:r>
    </w:p>
    <w:p w14:paraId="229539D1">
      <w:pPr>
        <w:pStyle w:val="4"/>
        <w:pageBreakBefore w:val="0"/>
        <w:numPr>
          <w:ilvl w:val="0"/>
          <w:numId w:val="0"/>
        </w:numPr>
        <w:kinsoku/>
        <w:wordWrap/>
        <w:bidi w:val="0"/>
        <w:snapToGrid/>
        <w:spacing w:line="360" w:lineRule="auto"/>
        <w:ind w:leftChars="0" w:right="0" w:rightChars="0"/>
        <w:jc w:val="center"/>
        <w:rPr>
          <w:rFonts w:hint="eastAsia" w:ascii="仿宋" w:hAnsi="仿宋" w:eastAsia="仿宋" w:cs="仿宋"/>
          <w:b/>
          <w:bCs w:val="0"/>
          <w:color w:val="auto"/>
          <w:sz w:val="32"/>
          <w:szCs w:val="32"/>
        </w:rPr>
      </w:pPr>
      <w:r>
        <w:rPr>
          <w:rFonts w:hint="eastAsia" w:ascii="仿宋" w:hAnsi="仿宋" w:eastAsia="仿宋" w:cs="仿宋"/>
          <w:b/>
          <w:bCs w:val="0"/>
          <w:color w:val="auto"/>
          <w:sz w:val="32"/>
          <w:szCs w:val="32"/>
        </w:rPr>
        <w:t>联合体协议书</w:t>
      </w:r>
    </w:p>
    <w:p w14:paraId="46A7C1CD">
      <w:pPr>
        <w:numPr>
          <w:ilvl w:val="0"/>
          <w:numId w:val="0"/>
        </w:numPr>
        <w:ind w:leftChars="0"/>
        <w:rPr>
          <w:rFonts w:hint="eastAsia" w:ascii="楷体" w:hAnsi="楷体" w:eastAsia="楷体" w:cs="楷体"/>
          <w:color w:val="auto"/>
        </w:rPr>
      </w:pPr>
    </w:p>
    <w:p w14:paraId="49AE5FEF">
      <w:pPr>
        <w:pStyle w:val="9"/>
        <w:keepNext w:val="0"/>
        <w:keepLines w:val="0"/>
        <w:pageBreakBefore w:val="0"/>
        <w:widowControl/>
        <w:tabs>
          <w:tab w:val="left" w:pos="2552"/>
          <w:tab w:val="left" w:pos="6804"/>
        </w:tabs>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bookmarkStart w:id="265" w:name="_Toc11101"/>
      <w:bookmarkStart w:id="266" w:name="_Toc28605"/>
      <w:r>
        <w:rPr>
          <w:rFonts w:hint="eastAsia" w:ascii="仿宋" w:hAnsi="仿宋" w:eastAsia="仿宋" w:cs="仿宋"/>
          <w:color w:val="auto"/>
          <w:sz w:val="32"/>
          <w:szCs w:val="32"/>
        </w:rPr>
        <w:t>（所有成员单位名称）自愿组成</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（联合体名称）联合体，共同参加</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pacing w:val="-6"/>
          <w:sz w:val="32"/>
          <w:szCs w:val="32"/>
          <w:u w:val="single"/>
        </w:rPr>
        <w:t>（</w:t>
      </w:r>
      <w:r>
        <w:rPr>
          <w:rFonts w:hint="eastAsia" w:ascii="仿宋" w:hAnsi="仿宋" w:eastAsia="仿宋" w:cs="仿宋"/>
          <w:color w:val="auto"/>
          <w:spacing w:val="-6"/>
          <w:sz w:val="32"/>
          <w:szCs w:val="32"/>
        </w:rPr>
        <w:t>项目名称）投标。现就联合体投标事宜订立如下协议。</w:t>
      </w:r>
      <w:bookmarkEnd w:id="265"/>
      <w:bookmarkEnd w:id="266"/>
    </w:p>
    <w:p w14:paraId="2676E3B6">
      <w:pPr>
        <w:pStyle w:val="9"/>
        <w:keepNext w:val="0"/>
        <w:keepLines w:val="0"/>
        <w:pageBreakBefore w:val="0"/>
        <w:widowControl/>
        <w:tabs>
          <w:tab w:val="left" w:pos="2552"/>
          <w:tab w:val="left" w:pos="6804"/>
        </w:tabs>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bookmarkStart w:id="267" w:name="_Toc22749"/>
      <w:bookmarkStart w:id="268" w:name="_Toc14698"/>
      <w:r>
        <w:rPr>
          <w:rFonts w:hint="eastAsia" w:ascii="仿宋" w:hAnsi="仿宋" w:eastAsia="仿宋" w:cs="仿宋"/>
          <w:color w:val="auto"/>
          <w:sz w:val="32"/>
          <w:szCs w:val="32"/>
        </w:rPr>
        <w:t xml:space="preserve">1.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（某成员单位名称）为</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（联合体名称）牵头人。</w:t>
      </w:r>
      <w:bookmarkEnd w:id="267"/>
      <w:bookmarkEnd w:id="268"/>
    </w:p>
    <w:p w14:paraId="0A6B716E">
      <w:pPr>
        <w:pStyle w:val="9"/>
        <w:keepNext w:val="0"/>
        <w:keepLines w:val="0"/>
        <w:pageBreakBefore w:val="0"/>
        <w:widowControl/>
        <w:tabs>
          <w:tab w:val="left" w:pos="2552"/>
          <w:tab w:val="left" w:pos="6804"/>
        </w:tabs>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bookmarkStart w:id="269" w:name="_Toc21561"/>
      <w:bookmarkStart w:id="270" w:name="_Toc21734"/>
      <w:r>
        <w:rPr>
          <w:rFonts w:hint="eastAsia" w:ascii="仿宋" w:hAnsi="仿宋" w:eastAsia="仿宋" w:cs="仿宋"/>
          <w:color w:val="auto"/>
          <w:sz w:val="32"/>
          <w:szCs w:val="32"/>
        </w:rPr>
        <w:t>2. 联合体牵头人合法代表联合体各成员负责本招标项目投标文件编制和合同谈判活动，并代表联合体提交和接收相关的资料、信息及指示，并处理与之有关的一切事务，负责合同实施阶段的主办、组织和协调工作。</w:t>
      </w:r>
      <w:bookmarkEnd w:id="269"/>
      <w:bookmarkEnd w:id="270"/>
    </w:p>
    <w:p w14:paraId="1C68AB7D">
      <w:pPr>
        <w:pStyle w:val="9"/>
        <w:keepNext w:val="0"/>
        <w:keepLines w:val="0"/>
        <w:pageBreakBefore w:val="0"/>
        <w:widowControl/>
        <w:tabs>
          <w:tab w:val="left" w:pos="2552"/>
          <w:tab w:val="left" w:pos="6804"/>
        </w:tabs>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bookmarkStart w:id="271" w:name="_Toc18748"/>
      <w:bookmarkStart w:id="272" w:name="_Toc18461"/>
      <w:r>
        <w:rPr>
          <w:rFonts w:hint="eastAsia" w:ascii="仿宋" w:hAnsi="仿宋" w:eastAsia="仿宋" w:cs="仿宋"/>
          <w:color w:val="auto"/>
          <w:sz w:val="32"/>
          <w:szCs w:val="32"/>
        </w:rPr>
        <w:t>3. 联合体将严格按照招标文件的各项要求，递交投标文件，履行合同，并对外承担连带责任。</w:t>
      </w:r>
      <w:bookmarkEnd w:id="271"/>
      <w:bookmarkEnd w:id="272"/>
    </w:p>
    <w:p w14:paraId="58A73C2B">
      <w:pPr>
        <w:pStyle w:val="9"/>
        <w:keepNext w:val="0"/>
        <w:keepLines w:val="0"/>
        <w:pageBreakBefore w:val="0"/>
        <w:widowControl/>
        <w:tabs>
          <w:tab w:val="left" w:pos="7371"/>
        </w:tabs>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bookmarkStart w:id="273" w:name="_Toc4301"/>
      <w:bookmarkStart w:id="274" w:name="_Toc23541"/>
      <w:r>
        <w:rPr>
          <w:rFonts w:hint="eastAsia" w:ascii="仿宋" w:hAnsi="仿宋" w:eastAsia="仿宋" w:cs="仿宋"/>
          <w:color w:val="auto"/>
          <w:sz w:val="32"/>
          <w:szCs w:val="32"/>
        </w:rPr>
        <w:t>4.</w:t>
      </w:r>
      <w:r>
        <w:rPr>
          <w:rFonts w:hint="eastAsia" w:ascii="仿宋" w:hAnsi="仿宋" w:eastAsia="仿宋" w:cs="仿宋"/>
          <w:color w:val="auto"/>
          <w:spacing w:val="10"/>
          <w:sz w:val="32"/>
          <w:szCs w:val="32"/>
        </w:rPr>
        <w:t xml:space="preserve"> </w:t>
      </w:r>
      <w:r>
        <w:rPr>
          <w:rFonts w:hint="eastAsia" w:ascii="仿宋" w:hAnsi="仿宋" w:eastAsia="仿宋" w:cs="仿宋"/>
          <w:color w:val="auto"/>
          <w:spacing w:val="-3"/>
          <w:sz w:val="32"/>
          <w:szCs w:val="32"/>
        </w:rPr>
        <w:t>联合体各成员单位内部的职责分工如下：</w:t>
      </w:r>
      <w:r>
        <w:rPr>
          <w:rFonts w:hint="eastAsia" w:ascii="仿宋" w:hAnsi="仿宋" w:eastAsia="仿宋" w:cs="仿宋"/>
          <w:color w:val="auto"/>
          <w:spacing w:val="-3"/>
          <w:sz w:val="32"/>
          <w:szCs w:val="32"/>
          <w:u w:val="single"/>
        </w:rPr>
        <w:t xml:space="preserve"> </w:t>
      </w:r>
      <w:r>
        <w:rPr>
          <w:rFonts w:hint="eastAsia" w:ascii="仿宋" w:hAnsi="仿宋" w:eastAsia="仿宋" w:cs="仿宋"/>
          <w:color w:val="auto"/>
          <w:spacing w:val="-3"/>
          <w:sz w:val="32"/>
          <w:szCs w:val="32"/>
          <w:u w:val="single"/>
        </w:rPr>
        <w:tab/>
      </w:r>
      <w:r>
        <w:rPr>
          <w:rFonts w:hint="eastAsia" w:ascii="仿宋" w:hAnsi="仿宋" w:eastAsia="仿宋" w:cs="仿宋"/>
          <w:color w:val="auto"/>
          <w:sz w:val="32"/>
          <w:szCs w:val="32"/>
        </w:rPr>
        <w:t>。</w:t>
      </w:r>
      <w:bookmarkEnd w:id="273"/>
      <w:bookmarkEnd w:id="274"/>
    </w:p>
    <w:p w14:paraId="1C6E22AF">
      <w:pPr>
        <w:pStyle w:val="9"/>
        <w:keepNext w:val="0"/>
        <w:keepLines w:val="0"/>
        <w:pageBreakBefore w:val="0"/>
        <w:widowControl/>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bookmarkStart w:id="275" w:name="_Toc8591"/>
      <w:bookmarkStart w:id="276" w:name="_Toc11668"/>
      <w:r>
        <w:rPr>
          <w:rFonts w:hint="eastAsia" w:ascii="仿宋" w:hAnsi="仿宋" w:eastAsia="仿宋" w:cs="仿宋"/>
          <w:color w:val="auto"/>
          <w:sz w:val="32"/>
          <w:szCs w:val="32"/>
        </w:rPr>
        <w:t>5. 本协议书自签署之日起生效，合同履行完毕后自动失效。</w:t>
      </w:r>
      <w:bookmarkEnd w:id="275"/>
      <w:bookmarkEnd w:id="276"/>
    </w:p>
    <w:p w14:paraId="6F5CA2B6">
      <w:pPr>
        <w:pStyle w:val="9"/>
        <w:keepNext w:val="0"/>
        <w:keepLines w:val="0"/>
        <w:pageBreakBefore w:val="0"/>
        <w:widowControl/>
        <w:tabs>
          <w:tab w:val="left" w:pos="2835"/>
        </w:tabs>
        <w:kinsoku/>
        <w:wordWrap/>
        <w:overflowPunct/>
        <w:topLinePunct w:val="0"/>
        <w:autoSpaceDE w:val="0"/>
        <w:autoSpaceDN w:val="0"/>
        <w:bidi w:val="0"/>
        <w:adjustRightInd w:val="0"/>
        <w:snapToGrid/>
        <w:spacing w:after="0" w:line="440" w:lineRule="exact"/>
        <w:ind w:left="0" w:leftChars="0" w:right="0" w:rightChars="0" w:firstLine="640" w:firstLineChars="200"/>
        <w:textAlignment w:val="baseline"/>
        <w:rPr>
          <w:rFonts w:hint="eastAsia" w:ascii="仿宋" w:hAnsi="仿宋" w:eastAsia="仿宋" w:cs="仿宋"/>
          <w:color w:val="auto"/>
          <w:sz w:val="32"/>
          <w:szCs w:val="32"/>
        </w:rPr>
      </w:pPr>
      <w:bookmarkStart w:id="277" w:name="_Toc15923"/>
      <w:bookmarkStart w:id="278" w:name="_Toc31066"/>
      <w:r>
        <w:rPr>
          <w:rFonts w:hint="eastAsia" w:ascii="仿宋" w:hAnsi="仿宋" w:eastAsia="仿宋" w:cs="仿宋"/>
          <w:color w:val="auto"/>
          <w:sz w:val="32"/>
          <w:szCs w:val="32"/>
        </w:rPr>
        <w:t>6.</w:t>
      </w:r>
      <w:r>
        <w:rPr>
          <w:rFonts w:hint="eastAsia" w:ascii="仿宋" w:hAnsi="仿宋" w:eastAsia="仿宋" w:cs="仿宋"/>
          <w:color w:val="auto"/>
          <w:spacing w:val="51"/>
          <w:sz w:val="32"/>
          <w:szCs w:val="32"/>
        </w:rPr>
        <w:t xml:space="preserve"> </w:t>
      </w:r>
      <w:r>
        <w:rPr>
          <w:rFonts w:hint="eastAsia" w:ascii="仿宋" w:hAnsi="仿宋" w:eastAsia="仿宋" w:cs="仿宋"/>
          <w:color w:val="auto"/>
          <w:sz w:val="32"/>
          <w:szCs w:val="32"/>
        </w:rPr>
        <w:t>本协议书一式</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rPr>
        <w:t>份，联合体成员和招标人各执一份。</w:t>
      </w:r>
      <w:bookmarkEnd w:id="277"/>
      <w:bookmarkEnd w:id="278"/>
    </w:p>
    <w:p w14:paraId="09CB603D">
      <w:pPr>
        <w:pStyle w:val="9"/>
        <w:keepNext w:val="0"/>
        <w:keepLines w:val="0"/>
        <w:pageBreakBefore w:val="0"/>
        <w:widowControl/>
        <w:kinsoku/>
        <w:wordWrap/>
        <w:overflowPunct/>
        <w:topLinePunct w:val="0"/>
        <w:autoSpaceDE w:val="0"/>
        <w:autoSpaceDN w:val="0"/>
        <w:bidi w:val="0"/>
        <w:adjustRightInd w:val="0"/>
        <w:snapToGrid/>
        <w:spacing w:after="0" w:line="440" w:lineRule="exact"/>
        <w:ind w:left="0" w:leftChars="0" w:right="0" w:rightChars="0" w:firstLine="419"/>
        <w:textAlignment w:val="baseline"/>
        <w:rPr>
          <w:rFonts w:hint="eastAsia" w:ascii="仿宋" w:hAnsi="仿宋" w:eastAsia="仿宋" w:cs="仿宋"/>
          <w:color w:val="auto"/>
          <w:sz w:val="32"/>
          <w:szCs w:val="32"/>
        </w:rPr>
      </w:pPr>
      <w:bookmarkStart w:id="279" w:name="_Toc21112"/>
      <w:bookmarkStart w:id="280" w:name="_Toc13585"/>
      <w:r>
        <w:rPr>
          <w:rFonts w:hint="eastAsia" w:ascii="仿宋" w:hAnsi="仿宋" w:eastAsia="仿宋" w:cs="仿宋"/>
          <w:color w:val="auto"/>
          <w:sz w:val="32"/>
          <w:szCs w:val="32"/>
        </w:rPr>
        <w:t>注：本协议书由法定代表人（单位负责人）签字的，应附法定代表人（单位负责人）身份证明；由委托代理人签字的，应附法定代表人签字的授权委托书。</w:t>
      </w:r>
      <w:bookmarkEnd w:id="279"/>
      <w:bookmarkEnd w:id="280"/>
    </w:p>
    <w:p w14:paraId="5522C4F9">
      <w:pPr>
        <w:pStyle w:val="9"/>
        <w:pageBreakBefore w:val="0"/>
        <w:tabs>
          <w:tab w:val="left" w:pos="7241"/>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bookmarkStart w:id="281" w:name="_Toc27320"/>
      <w:bookmarkStart w:id="282" w:name="_Toc27020"/>
    </w:p>
    <w:p w14:paraId="0A9272AA">
      <w:pPr>
        <w:pStyle w:val="9"/>
        <w:pageBreakBefore w:val="0"/>
        <w:tabs>
          <w:tab w:val="left" w:pos="7241"/>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r>
        <w:rPr>
          <w:rFonts w:hint="eastAsia" w:ascii="仿宋" w:hAnsi="仿宋" w:eastAsia="仿宋" w:cs="仿宋"/>
          <w:color w:val="auto"/>
          <w:sz w:val="32"/>
          <w:szCs w:val="32"/>
        </w:rPr>
        <w:t>联合体牵头人名称：</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（盖单位章）</w:t>
      </w:r>
      <w:bookmarkEnd w:id="281"/>
      <w:bookmarkEnd w:id="282"/>
    </w:p>
    <w:p w14:paraId="5C5ADD56">
      <w:pPr>
        <w:pStyle w:val="9"/>
        <w:pageBreakBefore w:val="0"/>
        <w:tabs>
          <w:tab w:val="left" w:pos="7655"/>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bookmarkStart w:id="283" w:name="_Toc12594"/>
      <w:bookmarkStart w:id="284" w:name="_Toc32176"/>
      <w:r>
        <w:rPr>
          <w:rFonts w:hint="eastAsia" w:ascii="仿宋" w:hAnsi="仿宋" w:eastAsia="仿宋" w:cs="仿宋"/>
          <w:color w:val="auto"/>
          <w:sz w:val="32"/>
          <w:szCs w:val="32"/>
        </w:rPr>
        <w:t>法定代表人（单位负责人）或其委托代理人：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w:t>
      </w:r>
      <w:r>
        <w:rPr>
          <w:rFonts w:hint="eastAsia" w:ascii="仿宋" w:hAnsi="仿宋" w:eastAsia="仿宋" w:cs="仿宋"/>
          <w:spacing w:val="1"/>
          <w:sz w:val="32"/>
          <w:szCs w:val="32"/>
          <w:lang w:eastAsia="zh-CN"/>
        </w:rPr>
        <w:t>签字或签章</w:t>
      </w:r>
      <w:r>
        <w:rPr>
          <w:rFonts w:hint="eastAsia" w:ascii="仿宋" w:hAnsi="仿宋" w:eastAsia="仿宋" w:cs="仿宋"/>
          <w:color w:val="auto"/>
          <w:sz w:val="32"/>
          <w:szCs w:val="32"/>
        </w:rPr>
        <w:t>）</w:t>
      </w:r>
      <w:bookmarkEnd w:id="283"/>
      <w:bookmarkEnd w:id="284"/>
    </w:p>
    <w:p w14:paraId="286E5EE4">
      <w:pPr>
        <w:pStyle w:val="9"/>
        <w:pageBreakBefore w:val="0"/>
        <w:tabs>
          <w:tab w:val="left" w:pos="7241"/>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bookmarkStart w:id="285" w:name="_Toc5899"/>
      <w:bookmarkStart w:id="286" w:name="_Toc24817"/>
    </w:p>
    <w:p w14:paraId="26E32C08">
      <w:pPr>
        <w:pStyle w:val="9"/>
        <w:pageBreakBefore w:val="0"/>
        <w:tabs>
          <w:tab w:val="left" w:pos="7241"/>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r>
        <w:rPr>
          <w:rFonts w:hint="eastAsia" w:ascii="仿宋" w:hAnsi="仿宋" w:eastAsia="仿宋" w:cs="仿宋"/>
          <w:color w:val="auto"/>
          <w:sz w:val="32"/>
          <w:szCs w:val="32"/>
        </w:rPr>
        <w:t>联合体成员名称：</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（盖单位章）</w:t>
      </w:r>
      <w:bookmarkEnd w:id="285"/>
      <w:bookmarkEnd w:id="286"/>
    </w:p>
    <w:p w14:paraId="4F505DE7">
      <w:pPr>
        <w:pStyle w:val="9"/>
        <w:pageBreakBefore w:val="0"/>
        <w:tabs>
          <w:tab w:val="left" w:pos="7658"/>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bookmarkStart w:id="287" w:name="_Toc17618"/>
      <w:bookmarkStart w:id="288" w:name="_Toc31459"/>
      <w:r>
        <w:rPr>
          <w:rFonts w:hint="eastAsia" w:ascii="仿宋" w:hAnsi="仿宋" w:eastAsia="仿宋" w:cs="仿宋"/>
          <w:color w:val="auto"/>
          <w:sz w:val="32"/>
          <w:szCs w:val="32"/>
        </w:rPr>
        <w:t>法定代表人（单位负责人）或其委托代理人：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w:t>
      </w:r>
      <w:r>
        <w:rPr>
          <w:rFonts w:hint="eastAsia" w:ascii="仿宋" w:hAnsi="仿宋" w:eastAsia="仿宋" w:cs="仿宋"/>
          <w:spacing w:val="1"/>
          <w:sz w:val="32"/>
          <w:szCs w:val="32"/>
          <w:lang w:eastAsia="zh-CN"/>
        </w:rPr>
        <w:t>签字或签章</w:t>
      </w:r>
      <w:r>
        <w:rPr>
          <w:rFonts w:hint="eastAsia" w:ascii="仿宋" w:hAnsi="仿宋" w:eastAsia="仿宋" w:cs="仿宋"/>
          <w:color w:val="auto"/>
          <w:sz w:val="32"/>
          <w:szCs w:val="32"/>
        </w:rPr>
        <w:t>）</w:t>
      </w:r>
      <w:bookmarkEnd w:id="287"/>
      <w:bookmarkEnd w:id="288"/>
    </w:p>
    <w:p w14:paraId="1E5B10C6">
      <w:pPr>
        <w:pStyle w:val="9"/>
        <w:pageBreakBefore w:val="0"/>
        <w:tabs>
          <w:tab w:val="left" w:pos="7241"/>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bookmarkStart w:id="289" w:name="_Toc7285"/>
      <w:bookmarkStart w:id="290" w:name="_Toc22873"/>
    </w:p>
    <w:p w14:paraId="54F04673">
      <w:pPr>
        <w:pStyle w:val="9"/>
        <w:pageBreakBefore w:val="0"/>
        <w:tabs>
          <w:tab w:val="left" w:pos="7241"/>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r>
        <w:rPr>
          <w:rFonts w:hint="eastAsia" w:ascii="仿宋" w:hAnsi="仿宋" w:eastAsia="仿宋" w:cs="仿宋"/>
          <w:color w:val="auto"/>
          <w:sz w:val="32"/>
          <w:szCs w:val="32"/>
        </w:rPr>
        <w:t>联合体成员名称：</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（盖单位章）</w:t>
      </w:r>
      <w:bookmarkEnd w:id="289"/>
      <w:bookmarkEnd w:id="290"/>
    </w:p>
    <w:p w14:paraId="54318793">
      <w:pPr>
        <w:pStyle w:val="9"/>
        <w:pageBreakBefore w:val="0"/>
        <w:tabs>
          <w:tab w:val="left" w:pos="7655"/>
        </w:tabs>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bookmarkStart w:id="291" w:name="_Toc4806"/>
      <w:bookmarkStart w:id="292" w:name="_Toc13784"/>
      <w:r>
        <w:rPr>
          <w:rFonts w:hint="eastAsia" w:ascii="仿宋" w:hAnsi="仿宋" w:eastAsia="仿宋" w:cs="仿宋"/>
          <w:color w:val="auto"/>
          <w:sz w:val="32"/>
          <w:szCs w:val="32"/>
        </w:rPr>
        <w:t>法定代表人（单位负责人）或其委托代理人：</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z w:val="32"/>
          <w:szCs w:val="32"/>
        </w:rPr>
        <w:t>（</w:t>
      </w:r>
      <w:r>
        <w:rPr>
          <w:rFonts w:hint="eastAsia" w:ascii="仿宋" w:hAnsi="仿宋" w:eastAsia="仿宋" w:cs="仿宋"/>
          <w:spacing w:val="1"/>
          <w:sz w:val="32"/>
          <w:szCs w:val="32"/>
          <w:lang w:eastAsia="zh-CN"/>
        </w:rPr>
        <w:t>签字或签章</w:t>
      </w:r>
      <w:r>
        <w:rPr>
          <w:rFonts w:hint="eastAsia" w:ascii="仿宋" w:hAnsi="仿宋" w:eastAsia="仿宋" w:cs="仿宋"/>
          <w:color w:val="auto"/>
          <w:sz w:val="32"/>
          <w:szCs w:val="32"/>
        </w:rPr>
        <w:t>）</w:t>
      </w:r>
      <w:bookmarkEnd w:id="291"/>
      <w:bookmarkEnd w:id="292"/>
    </w:p>
    <w:p w14:paraId="4275EBC3">
      <w:pPr>
        <w:pStyle w:val="9"/>
        <w:pageBreakBefore w:val="0"/>
        <w:kinsoku/>
        <w:wordWrap/>
        <w:bidi w:val="0"/>
        <w:adjustRightInd w:val="0"/>
        <w:snapToGrid/>
        <w:spacing w:after="0" w:line="360" w:lineRule="auto"/>
        <w:ind w:left="0" w:leftChars="0" w:right="0" w:rightChars="0"/>
        <w:rPr>
          <w:rFonts w:hint="eastAsia" w:ascii="仿宋" w:hAnsi="仿宋" w:eastAsia="仿宋" w:cs="仿宋"/>
          <w:color w:val="auto"/>
          <w:sz w:val="32"/>
          <w:szCs w:val="32"/>
        </w:rPr>
      </w:pPr>
    </w:p>
    <w:p w14:paraId="17811601">
      <w:pPr>
        <w:pageBreakBefore w:val="0"/>
        <w:kinsoku/>
        <w:wordWrap/>
        <w:bidi w:val="0"/>
        <w:adjustRightInd w:val="0"/>
        <w:snapToGrid/>
        <w:spacing w:line="360" w:lineRule="auto"/>
        <w:ind w:left="0" w:leftChars="0" w:right="0" w:rightChars="0"/>
        <w:rPr>
          <w:rFonts w:hint="eastAsia" w:ascii="仿宋" w:hAnsi="仿宋" w:eastAsia="仿宋" w:cs="仿宋"/>
          <w:i/>
          <w:color w:val="auto"/>
          <w:sz w:val="32"/>
          <w:szCs w:val="32"/>
        </w:rPr>
      </w:pPr>
      <w:r>
        <w:rPr>
          <w:rFonts w:hint="eastAsia" w:ascii="仿宋" w:hAnsi="仿宋" w:eastAsia="仿宋" w:cs="仿宋"/>
          <w:i/>
          <w:color w:val="auto"/>
          <w:w w:val="115"/>
          <w:sz w:val="32"/>
          <w:szCs w:val="32"/>
        </w:rPr>
        <w:t>……</w:t>
      </w:r>
    </w:p>
    <w:p w14:paraId="63D957B1">
      <w:pPr>
        <w:pStyle w:val="9"/>
        <w:pageBreakBefore w:val="0"/>
        <w:kinsoku/>
        <w:wordWrap/>
        <w:bidi w:val="0"/>
        <w:adjustRightInd w:val="0"/>
        <w:snapToGrid/>
        <w:spacing w:after="0" w:line="360" w:lineRule="auto"/>
        <w:ind w:left="0" w:leftChars="0" w:right="0" w:rightChars="0"/>
        <w:rPr>
          <w:rFonts w:hint="eastAsia" w:ascii="仿宋" w:hAnsi="仿宋" w:eastAsia="仿宋" w:cs="仿宋"/>
          <w:i/>
          <w:color w:val="auto"/>
          <w:sz w:val="32"/>
          <w:szCs w:val="32"/>
        </w:rPr>
      </w:pPr>
    </w:p>
    <w:p w14:paraId="1A6F8627">
      <w:pPr>
        <w:spacing w:line="360" w:lineRule="auto"/>
        <w:ind w:left="645" w:leftChars="307" w:firstLine="3520" w:firstLineChars="1100"/>
        <w:rPr>
          <w:rFonts w:hint="eastAsia" w:ascii="仿宋" w:hAnsi="仿宋" w:eastAsia="仿宋" w:cs="仿宋"/>
          <w:color w:val="auto"/>
          <w:kern w:val="0"/>
          <w:sz w:val="32"/>
          <w:szCs w:val="32"/>
          <w:u w:val="single"/>
        </w:rPr>
        <w:sectPr>
          <w:pgSz w:w="11910" w:h="16840"/>
          <w:pgMar w:top="1119" w:right="1000" w:bottom="1120" w:left="997" w:header="0" w:footer="951" w:gutter="0"/>
          <w:pgNumType w:fmt="decimal"/>
          <w:cols w:space="720" w:num="1"/>
        </w:sectPr>
      </w:pP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bookmarkStart w:id="293" w:name="_Toc32573"/>
      <w:bookmarkStart w:id="294" w:name="_Toc6913"/>
      <w:r>
        <w:rPr>
          <w:rFonts w:hint="eastAsia" w:ascii="仿宋" w:hAnsi="仿宋" w:eastAsia="仿宋" w:cs="仿宋"/>
          <w:color w:val="auto"/>
          <w:sz w:val="32"/>
          <w:szCs w:val="32"/>
        </w:rPr>
        <w:t>年</w:t>
      </w:r>
      <w:r>
        <w:rPr>
          <w:rFonts w:hint="eastAsia" w:ascii="仿宋" w:hAnsi="仿宋" w:eastAsia="仿宋" w:cs="仿宋"/>
          <w:color w:val="auto"/>
          <w:sz w:val="32"/>
          <w:szCs w:val="32"/>
          <w:u w:val="single"/>
        </w:rPr>
        <w:t xml:space="preserve"> </w:t>
      </w:r>
      <w:r>
        <w:rPr>
          <w:rFonts w:hint="eastAsia" w:ascii="仿宋" w:hAnsi="仿宋" w:eastAsia="仿宋" w:cs="仿宋"/>
          <w:color w:val="auto"/>
          <w:sz w:val="32"/>
          <w:szCs w:val="32"/>
          <w:u w:val="single"/>
        </w:rPr>
        <w:tab/>
      </w:r>
      <w:r>
        <w:rPr>
          <w:rFonts w:hint="eastAsia" w:ascii="仿宋" w:hAnsi="仿宋" w:eastAsia="仿宋" w:cs="仿宋"/>
          <w:color w:val="auto"/>
          <w:spacing w:val="-3"/>
          <w:sz w:val="32"/>
          <w:szCs w:val="32"/>
        </w:rPr>
        <w:t>月</w:t>
      </w:r>
      <w:r>
        <w:rPr>
          <w:rFonts w:hint="eastAsia" w:ascii="仿宋" w:hAnsi="仿宋" w:eastAsia="仿宋" w:cs="仿宋"/>
          <w:color w:val="auto"/>
          <w:spacing w:val="-3"/>
          <w:sz w:val="32"/>
          <w:szCs w:val="32"/>
          <w:u w:val="single"/>
        </w:rPr>
        <w:t xml:space="preserve"> </w:t>
      </w:r>
      <w:r>
        <w:rPr>
          <w:rFonts w:hint="eastAsia" w:ascii="仿宋" w:hAnsi="仿宋" w:eastAsia="仿宋" w:cs="仿宋"/>
          <w:color w:val="auto"/>
          <w:spacing w:val="-3"/>
          <w:sz w:val="32"/>
          <w:szCs w:val="32"/>
          <w:u w:val="single"/>
        </w:rPr>
        <w:tab/>
      </w:r>
      <w:bookmarkEnd w:id="293"/>
      <w:bookmarkEnd w:id="294"/>
    </w:p>
    <w:bookmarkEnd w:id="255"/>
    <w:bookmarkEnd w:id="256"/>
    <w:bookmarkEnd w:id="257"/>
    <w:bookmarkEnd w:id="260"/>
    <w:bookmarkEnd w:id="261"/>
    <w:bookmarkEnd w:id="262"/>
    <w:bookmarkEnd w:id="263"/>
    <w:bookmarkEnd w:id="264"/>
    <w:p w14:paraId="71C6BB95">
      <w:pPr>
        <w:shd w:val="clear" w:color="auto" w:fill="auto"/>
        <w:rPr>
          <w:rFonts w:hint="eastAsia" w:ascii="仿宋" w:hAnsi="仿宋" w:eastAsia="仿宋" w:cs="仿宋"/>
          <w:b/>
          <w:bCs/>
          <w:color w:val="auto"/>
          <w:sz w:val="32"/>
          <w:szCs w:val="32"/>
          <w:highlight w:val="none"/>
        </w:rPr>
      </w:pPr>
      <w:bookmarkStart w:id="295" w:name="_Toc494296991"/>
      <w:bookmarkStart w:id="296" w:name="_Toc494296665"/>
      <w:r>
        <w:rPr>
          <w:rFonts w:hint="eastAsia" w:ascii="仿宋" w:hAnsi="仿宋" w:eastAsia="仿宋" w:cs="仿宋"/>
          <w:b/>
          <w:bCs/>
          <w:color w:val="auto"/>
          <w:sz w:val="32"/>
          <w:szCs w:val="32"/>
          <w:highlight w:val="none"/>
          <w:lang w:val="en-US" w:eastAsia="zh-CN"/>
        </w:rPr>
        <w:t>（7）投标保证金汇款凭证或投标担保函；</w:t>
      </w:r>
    </w:p>
    <w:bookmarkEnd w:id="295"/>
    <w:bookmarkEnd w:id="296"/>
    <w:p w14:paraId="111363C0">
      <w:pPr>
        <w:spacing w:before="65" w:line="449" w:lineRule="auto"/>
        <w:ind w:firstLine="692" w:firstLineChars="200"/>
        <w:jc w:val="both"/>
        <w:rPr>
          <w:rFonts w:hint="eastAsia" w:ascii="仿宋" w:hAnsi="仿宋" w:eastAsia="仿宋" w:cs="仿宋"/>
          <w:sz w:val="32"/>
          <w:szCs w:val="32"/>
          <w:lang w:eastAsia="zh-CN"/>
        </w:rPr>
      </w:pPr>
      <w:r>
        <w:rPr>
          <w:rFonts w:hint="eastAsia" w:ascii="仿宋" w:hAnsi="仿宋" w:eastAsia="仿宋" w:cs="仿宋"/>
          <w:spacing w:val="13"/>
          <w:sz w:val="32"/>
          <w:szCs w:val="32"/>
          <w:lang w:eastAsia="zh-CN"/>
        </w:rPr>
        <w:t>投标人可将本项目投标保证金支付的汇款凭证、</w:t>
      </w:r>
      <w:r>
        <w:rPr>
          <w:rFonts w:hint="eastAsia" w:ascii="仿宋" w:hAnsi="仿宋" w:eastAsia="仿宋" w:cs="仿宋"/>
          <w:spacing w:val="12"/>
          <w:sz w:val="32"/>
          <w:szCs w:val="32"/>
          <w:lang w:eastAsia="zh-CN"/>
        </w:rPr>
        <w:t>支票、汇票的扫描件作为投标保</w:t>
      </w:r>
      <w:r>
        <w:rPr>
          <w:rFonts w:hint="eastAsia" w:ascii="仿宋" w:hAnsi="仿宋" w:eastAsia="仿宋" w:cs="仿宋"/>
          <w:spacing w:val="13"/>
          <w:sz w:val="32"/>
          <w:szCs w:val="32"/>
          <w:lang w:eastAsia="zh-CN"/>
        </w:rPr>
        <w:t>证金汇款凭证装订在本部分，扫描件上应加盖本单</w:t>
      </w:r>
      <w:r>
        <w:rPr>
          <w:rFonts w:hint="eastAsia" w:ascii="仿宋" w:hAnsi="仿宋" w:eastAsia="仿宋" w:cs="仿宋"/>
          <w:spacing w:val="12"/>
          <w:sz w:val="32"/>
          <w:szCs w:val="32"/>
          <w:lang w:eastAsia="zh-CN"/>
        </w:rPr>
        <w:t>位电子公章；使用银行保函等其他</w:t>
      </w:r>
      <w:r>
        <w:rPr>
          <w:rFonts w:hint="eastAsia" w:ascii="仿宋" w:hAnsi="仿宋" w:eastAsia="仿宋" w:cs="仿宋"/>
          <w:spacing w:val="9"/>
          <w:sz w:val="32"/>
          <w:szCs w:val="32"/>
          <w:lang w:eastAsia="zh-CN"/>
        </w:rPr>
        <w:t>投标担保函的，应将担保函扫描件装订在本部分中。</w:t>
      </w:r>
    </w:p>
    <w:p w14:paraId="71FC7E63">
      <w:pPr>
        <w:spacing w:before="23"/>
        <w:rPr>
          <w:rFonts w:hint="eastAsia" w:ascii="仿宋" w:hAnsi="仿宋" w:eastAsia="仿宋" w:cs="仿宋"/>
          <w:sz w:val="32"/>
          <w:szCs w:val="32"/>
          <w:lang w:eastAsia="zh-CN"/>
        </w:rPr>
      </w:pPr>
    </w:p>
    <w:tbl>
      <w:tblPr>
        <w:tblStyle w:val="28"/>
        <w:tblW w:w="8320" w:type="dxa"/>
        <w:tblInd w:w="19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108" w:type="dxa"/>
          <w:bottom w:w="0" w:type="dxa"/>
          <w:right w:w="108" w:type="dxa"/>
        </w:tblCellMar>
      </w:tblPr>
      <w:tblGrid>
        <w:gridCol w:w="8320"/>
      </w:tblGrid>
      <w:tr w14:paraId="18CE73A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108" w:type="dxa"/>
            <w:bottom w:w="0" w:type="dxa"/>
            <w:right w:w="108" w:type="dxa"/>
          </w:tblCellMar>
        </w:tblPrEx>
        <w:trPr>
          <w:trHeight w:val="2031" w:hRule="atLeast"/>
        </w:trPr>
        <w:tc>
          <w:tcPr>
            <w:tcW w:w="8320" w:type="dxa"/>
          </w:tcPr>
          <w:p w14:paraId="2A344459">
            <w:pPr>
              <w:spacing w:line="275" w:lineRule="auto"/>
              <w:rPr>
                <w:rFonts w:hint="eastAsia" w:ascii="仿宋" w:hAnsi="仿宋" w:eastAsia="仿宋" w:cs="仿宋"/>
                <w:sz w:val="32"/>
                <w:szCs w:val="32"/>
                <w:lang w:eastAsia="zh-CN"/>
              </w:rPr>
            </w:pPr>
          </w:p>
          <w:p w14:paraId="77E8512F">
            <w:pPr>
              <w:pStyle w:val="33"/>
              <w:rPr>
                <w:rFonts w:hint="eastAsia"/>
                <w:lang w:eastAsia="zh-CN"/>
              </w:rPr>
            </w:pPr>
          </w:p>
          <w:p w14:paraId="2853ADBB">
            <w:pPr>
              <w:pStyle w:val="45"/>
              <w:spacing w:before="98" w:line="223" w:lineRule="auto"/>
              <w:ind w:left="3360"/>
              <w:rPr>
                <w:rFonts w:hint="eastAsia" w:ascii="仿宋" w:hAnsi="仿宋" w:eastAsia="仿宋" w:cs="仿宋"/>
                <w:sz w:val="32"/>
                <w:szCs w:val="32"/>
              </w:rPr>
            </w:pPr>
            <w:r>
              <w:rPr>
                <w:rFonts w:hint="eastAsia" w:ascii="仿宋" w:hAnsi="仿宋" w:eastAsia="仿宋" w:cs="仿宋"/>
                <w:b/>
                <w:bCs/>
                <w:spacing w:val="-8"/>
                <w:sz w:val="32"/>
                <w:szCs w:val="32"/>
              </w:rPr>
              <w:t>汇款凭证</w:t>
            </w:r>
          </w:p>
        </w:tc>
      </w:tr>
    </w:tbl>
    <w:p w14:paraId="2B87EBA3">
      <w:pPr>
        <w:pStyle w:val="26"/>
        <w:ind w:left="0" w:leftChars="0" w:firstLine="0" w:firstLineChars="0"/>
        <w:rPr>
          <w:rFonts w:hint="eastAsia"/>
          <w:lang w:val="en-US" w:eastAsia="zh-CN"/>
        </w:rPr>
      </w:pPr>
    </w:p>
    <w:p w14:paraId="56B1FD8B">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b/>
          <w:bCs/>
          <w:color w:val="auto"/>
          <w:sz w:val="32"/>
          <w:szCs w:val="32"/>
          <w:highlight w:val="none"/>
          <w:lang w:val="en-US" w:eastAsia="zh-CN"/>
        </w:rPr>
      </w:pPr>
    </w:p>
    <w:p w14:paraId="5846382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b/>
          <w:bCs/>
          <w:color w:val="auto"/>
          <w:sz w:val="32"/>
          <w:szCs w:val="32"/>
          <w:highlight w:val="none"/>
          <w:lang w:val="en-US" w:eastAsia="zh-CN"/>
        </w:rPr>
      </w:pPr>
    </w:p>
    <w:p w14:paraId="3C1500E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（8）供应商须提供《中小企业声明函》；</w:t>
      </w:r>
    </w:p>
    <w:p w14:paraId="10F8DF2C">
      <w:pPr>
        <w:widowControl/>
        <w:spacing w:before="100" w:beforeAutospacing="1" w:after="100" w:afterAutospacing="1" w:line="330" w:lineRule="atLeast"/>
        <w:jc w:val="center"/>
        <w:rPr>
          <w:rFonts w:hint="eastAsia" w:ascii="仿宋" w:hAnsi="仿宋" w:eastAsia="仿宋" w:cs="仿宋"/>
          <w:b w:val="0"/>
          <w:bCs w:val="0"/>
          <w:color w:val="auto"/>
          <w:kern w:val="2"/>
          <w:sz w:val="32"/>
          <w:szCs w:val="32"/>
          <w:highlight w:val="none"/>
          <w:u w:val="none" w:color="000000"/>
          <w:lang w:val="en-US" w:eastAsia="zh-CN" w:bidi="ar-SA"/>
        </w:rPr>
      </w:pPr>
      <w:r>
        <w:rPr>
          <w:rFonts w:hint="eastAsia" w:ascii="仿宋" w:hAnsi="仿宋" w:eastAsia="仿宋" w:cs="仿宋"/>
          <w:b/>
          <w:bCs/>
          <w:color w:val="auto"/>
          <w:kern w:val="0"/>
          <w:sz w:val="32"/>
          <w:szCs w:val="32"/>
          <w:highlight w:val="none"/>
          <w:u w:val="none"/>
          <w:lang w:val="en-US" w:eastAsia="zh-CN" w:bidi="ar-SA"/>
        </w:rPr>
        <w:t>中小企业声明函（工程、服务）</w:t>
      </w:r>
    </w:p>
    <w:p w14:paraId="351242D7">
      <w:pPr>
        <w:widowControl/>
        <w:kinsoku/>
        <w:topLinePunct w:val="0"/>
        <w:bidi w:val="0"/>
        <w:spacing w:before="100" w:beforeAutospacing="1" w:after="100" w:afterAutospacing="1" w:line="380" w:lineRule="exact"/>
        <w:ind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本公司（联合体）郑重声明，根据《政府采购促进中小企业发展管理办法》（财库﹝2020﹞46 号）的规定，本公司（联合体）参加</w:t>
      </w:r>
      <w:r>
        <w:rPr>
          <w:rFonts w:hint="eastAsia" w:ascii="仿宋" w:hAnsi="仿宋" w:eastAsia="仿宋" w:cs="仿宋"/>
          <w:color w:val="auto"/>
          <w:kern w:val="0"/>
          <w:sz w:val="32"/>
          <w:szCs w:val="32"/>
          <w:highlight w:val="none"/>
          <w:u w:val="single"/>
          <w:lang w:val="en-US" w:eastAsia="zh-CN"/>
        </w:rPr>
        <w:t>（单位名称）</w:t>
      </w:r>
      <w:r>
        <w:rPr>
          <w:rFonts w:hint="eastAsia" w:ascii="仿宋" w:hAnsi="仿宋" w:eastAsia="仿宋" w:cs="仿宋"/>
          <w:color w:val="auto"/>
          <w:kern w:val="0"/>
          <w:sz w:val="32"/>
          <w:szCs w:val="32"/>
          <w:highlight w:val="none"/>
          <w:lang w:val="en-US" w:eastAsia="zh-CN"/>
        </w:rPr>
        <w:t>的</w:t>
      </w:r>
      <w:r>
        <w:rPr>
          <w:rFonts w:hint="eastAsia" w:ascii="仿宋" w:hAnsi="仿宋" w:eastAsia="仿宋" w:cs="仿宋"/>
          <w:color w:val="auto"/>
          <w:kern w:val="0"/>
          <w:sz w:val="32"/>
          <w:szCs w:val="32"/>
          <w:highlight w:val="none"/>
          <w:u w:val="single"/>
          <w:lang w:val="en-US" w:eastAsia="zh-CN"/>
        </w:rPr>
        <w:t>（项目名称）</w:t>
      </w:r>
      <w:r>
        <w:rPr>
          <w:rFonts w:hint="eastAsia" w:ascii="仿宋" w:hAnsi="仿宋" w:eastAsia="仿宋" w:cs="仿宋"/>
          <w:color w:val="auto"/>
          <w:kern w:val="0"/>
          <w:sz w:val="32"/>
          <w:szCs w:val="32"/>
          <w:highlight w:val="none"/>
          <w:lang w:val="en-US" w:eastAsia="zh-CN"/>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18473A4A">
      <w:pPr>
        <w:widowControl/>
        <w:kinsoku/>
        <w:topLinePunct w:val="0"/>
        <w:bidi w:val="0"/>
        <w:spacing w:before="100" w:beforeAutospacing="1" w:after="100" w:afterAutospacing="1" w:line="380" w:lineRule="exact"/>
        <w:ind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 xml:space="preserve">1. </w:t>
      </w:r>
      <w:r>
        <w:rPr>
          <w:rFonts w:hint="eastAsia" w:ascii="仿宋" w:hAnsi="仿宋" w:eastAsia="仿宋" w:cs="仿宋"/>
          <w:color w:val="auto"/>
          <w:kern w:val="0"/>
          <w:sz w:val="32"/>
          <w:szCs w:val="32"/>
          <w:highlight w:val="none"/>
          <w:u w:val="single"/>
          <w:lang w:val="en-US" w:eastAsia="zh-CN"/>
        </w:rPr>
        <w:t>（标的名称）</w:t>
      </w:r>
      <w:r>
        <w:rPr>
          <w:rFonts w:hint="eastAsia" w:ascii="仿宋" w:hAnsi="仿宋" w:eastAsia="仿宋" w:cs="仿宋"/>
          <w:color w:val="auto"/>
          <w:kern w:val="0"/>
          <w:sz w:val="32"/>
          <w:szCs w:val="32"/>
          <w:highlight w:val="none"/>
          <w:lang w:val="en-US" w:eastAsia="zh-CN"/>
        </w:rPr>
        <w:t xml:space="preserve"> ，属于</w:t>
      </w:r>
      <w:r>
        <w:rPr>
          <w:rFonts w:hint="eastAsia" w:ascii="仿宋" w:hAnsi="仿宋" w:eastAsia="仿宋" w:cs="仿宋"/>
          <w:color w:val="auto"/>
          <w:kern w:val="0"/>
          <w:sz w:val="32"/>
          <w:szCs w:val="32"/>
          <w:highlight w:val="none"/>
          <w:u w:val="single"/>
          <w:lang w:val="en-US" w:eastAsia="zh-CN"/>
        </w:rPr>
        <w:t>（采购文件中明确的所属行业）</w:t>
      </w:r>
      <w:r>
        <w:rPr>
          <w:rFonts w:hint="eastAsia" w:ascii="仿宋" w:hAnsi="仿宋" w:eastAsia="仿宋" w:cs="仿宋"/>
          <w:color w:val="auto"/>
          <w:kern w:val="0"/>
          <w:sz w:val="32"/>
          <w:szCs w:val="32"/>
          <w:highlight w:val="none"/>
          <w:lang w:val="en-US" w:eastAsia="zh-CN"/>
        </w:rPr>
        <w:t>；承建（承接）企业为</w:t>
      </w:r>
      <w:r>
        <w:rPr>
          <w:rFonts w:hint="eastAsia" w:ascii="仿宋" w:hAnsi="仿宋" w:eastAsia="仿宋" w:cs="仿宋"/>
          <w:color w:val="auto"/>
          <w:kern w:val="0"/>
          <w:sz w:val="32"/>
          <w:szCs w:val="32"/>
          <w:highlight w:val="none"/>
          <w:u w:val="single"/>
          <w:lang w:val="en-US" w:eastAsia="zh-CN"/>
        </w:rPr>
        <w:t>（企业名称）</w:t>
      </w:r>
      <w:r>
        <w:rPr>
          <w:rFonts w:hint="eastAsia" w:ascii="仿宋" w:hAnsi="仿宋" w:eastAsia="仿宋" w:cs="仿宋"/>
          <w:color w:val="auto"/>
          <w:kern w:val="0"/>
          <w:sz w:val="32"/>
          <w:szCs w:val="32"/>
          <w:highlight w:val="none"/>
          <w:lang w:val="en-US" w:eastAsia="zh-CN"/>
        </w:rPr>
        <w:t>，从业人员</w:t>
      </w:r>
      <w:r>
        <w:rPr>
          <w:rFonts w:hint="eastAsia" w:ascii="仿宋" w:hAnsi="仿宋" w:eastAsia="仿宋" w:cs="仿宋"/>
          <w:color w:val="auto"/>
          <w:kern w:val="0"/>
          <w:sz w:val="32"/>
          <w:szCs w:val="32"/>
          <w:highlight w:val="none"/>
          <w:u w:val="single"/>
          <w:lang w:val="en-US" w:eastAsia="zh-CN"/>
        </w:rPr>
        <w:t xml:space="preserve">      </w:t>
      </w:r>
      <w:r>
        <w:rPr>
          <w:rFonts w:hint="eastAsia" w:ascii="仿宋" w:hAnsi="仿宋" w:eastAsia="仿宋" w:cs="仿宋"/>
          <w:color w:val="auto"/>
          <w:kern w:val="0"/>
          <w:sz w:val="32"/>
          <w:szCs w:val="32"/>
          <w:highlight w:val="none"/>
          <w:lang w:val="en-US" w:eastAsia="zh-CN"/>
        </w:rPr>
        <w:t>人，营业收入为</w:t>
      </w:r>
      <w:r>
        <w:rPr>
          <w:rFonts w:hint="eastAsia" w:ascii="仿宋" w:hAnsi="仿宋" w:eastAsia="仿宋" w:cs="仿宋"/>
          <w:color w:val="auto"/>
          <w:kern w:val="0"/>
          <w:sz w:val="32"/>
          <w:szCs w:val="32"/>
          <w:highlight w:val="none"/>
          <w:u w:val="single"/>
          <w:lang w:val="en-US" w:eastAsia="zh-CN"/>
        </w:rPr>
        <w:t xml:space="preserve">     </w:t>
      </w:r>
      <w:r>
        <w:rPr>
          <w:rFonts w:hint="eastAsia" w:ascii="仿宋" w:hAnsi="仿宋" w:eastAsia="仿宋" w:cs="仿宋"/>
          <w:color w:val="auto"/>
          <w:kern w:val="0"/>
          <w:sz w:val="32"/>
          <w:szCs w:val="32"/>
          <w:highlight w:val="none"/>
          <w:lang w:val="en-US" w:eastAsia="zh-CN"/>
        </w:rPr>
        <w:t>万元，资产总额为</w:t>
      </w:r>
      <w:r>
        <w:rPr>
          <w:rFonts w:hint="eastAsia" w:ascii="仿宋" w:hAnsi="仿宋" w:eastAsia="仿宋" w:cs="仿宋"/>
          <w:color w:val="auto"/>
          <w:kern w:val="0"/>
          <w:sz w:val="32"/>
          <w:szCs w:val="32"/>
          <w:highlight w:val="none"/>
          <w:u w:val="single"/>
          <w:lang w:val="en-US" w:eastAsia="zh-CN"/>
        </w:rPr>
        <w:t xml:space="preserve">       </w:t>
      </w:r>
      <w:r>
        <w:rPr>
          <w:rFonts w:hint="eastAsia" w:ascii="仿宋" w:hAnsi="仿宋" w:eastAsia="仿宋" w:cs="仿宋"/>
          <w:color w:val="auto"/>
          <w:kern w:val="0"/>
          <w:sz w:val="32"/>
          <w:szCs w:val="32"/>
          <w:highlight w:val="none"/>
          <w:lang w:val="en-US" w:eastAsia="zh-CN"/>
        </w:rPr>
        <w:t>万元 ，属于</w:t>
      </w:r>
      <w:r>
        <w:rPr>
          <w:rFonts w:hint="eastAsia" w:ascii="仿宋" w:hAnsi="仿宋" w:eastAsia="仿宋" w:cs="仿宋"/>
          <w:color w:val="auto"/>
          <w:kern w:val="0"/>
          <w:sz w:val="32"/>
          <w:szCs w:val="32"/>
          <w:highlight w:val="none"/>
          <w:u w:val="single"/>
          <w:lang w:val="en-US" w:eastAsia="zh-CN"/>
        </w:rPr>
        <w:t>（中型企业、小型企业、微型企业）</w:t>
      </w:r>
      <w:r>
        <w:rPr>
          <w:rFonts w:hint="eastAsia" w:ascii="仿宋" w:hAnsi="仿宋" w:eastAsia="仿宋" w:cs="仿宋"/>
          <w:color w:val="auto"/>
          <w:kern w:val="0"/>
          <w:sz w:val="32"/>
          <w:szCs w:val="32"/>
          <w:highlight w:val="none"/>
          <w:lang w:val="en-US" w:eastAsia="zh-CN"/>
        </w:rPr>
        <w:t xml:space="preserve">； </w:t>
      </w:r>
    </w:p>
    <w:p w14:paraId="1B63AC1B">
      <w:pPr>
        <w:widowControl/>
        <w:kinsoku/>
        <w:topLinePunct w:val="0"/>
        <w:bidi w:val="0"/>
        <w:spacing w:before="100" w:beforeAutospacing="1" w:after="100" w:afterAutospacing="1" w:line="380" w:lineRule="exact"/>
        <w:ind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 xml:space="preserve">2. </w:t>
      </w:r>
      <w:r>
        <w:rPr>
          <w:rFonts w:hint="eastAsia" w:ascii="仿宋" w:hAnsi="仿宋" w:eastAsia="仿宋" w:cs="仿宋"/>
          <w:color w:val="auto"/>
          <w:kern w:val="0"/>
          <w:sz w:val="32"/>
          <w:szCs w:val="32"/>
          <w:highlight w:val="none"/>
          <w:u w:val="single"/>
          <w:lang w:val="en-US" w:eastAsia="zh-CN"/>
        </w:rPr>
        <w:t xml:space="preserve">（标的名称） </w:t>
      </w:r>
      <w:r>
        <w:rPr>
          <w:rFonts w:hint="eastAsia" w:ascii="仿宋" w:hAnsi="仿宋" w:eastAsia="仿宋" w:cs="仿宋"/>
          <w:color w:val="auto"/>
          <w:kern w:val="0"/>
          <w:sz w:val="32"/>
          <w:szCs w:val="32"/>
          <w:highlight w:val="none"/>
          <w:lang w:val="en-US" w:eastAsia="zh-CN"/>
        </w:rPr>
        <w:t>，属于</w:t>
      </w:r>
      <w:r>
        <w:rPr>
          <w:rFonts w:hint="eastAsia" w:ascii="仿宋" w:hAnsi="仿宋" w:eastAsia="仿宋" w:cs="仿宋"/>
          <w:color w:val="auto"/>
          <w:kern w:val="0"/>
          <w:sz w:val="32"/>
          <w:szCs w:val="32"/>
          <w:highlight w:val="none"/>
          <w:u w:val="single"/>
          <w:lang w:val="en-US" w:eastAsia="zh-CN"/>
        </w:rPr>
        <w:t>（采购文件中明确的所属行业）</w:t>
      </w:r>
      <w:r>
        <w:rPr>
          <w:rFonts w:hint="eastAsia" w:ascii="仿宋" w:hAnsi="仿宋" w:eastAsia="仿宋" w:cs="仿宋"/>
          <w:color w:val="auto"/>
          <w:kern w:val="0"/>
          <w:sz w:val="32"/>
          <w:szCs w:val="32"/>
          <w:highlight w:val="none"/>
          <w:lang w:val="en-US" w:eastAsia="zh-CN"/>
        </w:rPr>
        <w:t>；承建（承接）企业为</w:t>
      </w:r>
      <w:r>
        <w:rPr>
          <w:rFonts w:hint="eastAsia" w:ascii="仿宋" w:hAnsi="仿宋" w:eastAsia="仿宋" w:cs="仿宋"/>
          <w:color w:val="auto"/>
          <w:kern w:val="0"/>
          <w:sz w:val="32"/>
          <w:szCs w:val="32"/>
          <w:highlight w:val="none"/>
          <w:u w:val="single"/>
          <w:lang w:val="en-US" w:eastAsia="zh-CN"/>
        </w:rPr>
        <w:t>（企业名称）</w:t>
      </w:r>
      <w:r>
        <w:rPr>
          <w:rFonts w:hint="eastAsia" w:ascii="仿宋" w:hAnsi="仿宋" w:eastAsia="仿宋" w:cs="仿宋"/>
          <w:color w:val="auto"/>
          <w:kern w:val="0"/>
          <w:sz w:val="32"/>
          <w:szCs w:val="32"/>
          <w:highlight w:val="none"/>
          <w:lang w:val="en-US" w:eastAsia="zh-CN"/>
        </w:rPr>
        <w:t>，从业人员</w:t>
      </w:r>
      <w:r>
        <w:rPr>
          <w:rFonts w:hint="eastAsia" w:ascii="仿宋" w:hAnsi="仿宋" w:eastAsia="仿宋" w:cs="仿宋"/>
          <w:color w:val="auto"/>
          <w:kern w:val="0"/>
          <w:sz w:val="32"/>
          <w:szCs w:val="32"/>
          <w:highlight w:val="none"/>
          <w:u w:val="single"/>
          <w:lang w:val="en-US" w:eastAsia="zh-CN"/>
        </w:rPr>
        <w:t xml:space="preserve">      </w:t>
      </w:r>
      <w:r>
        <w:rPr>
          <w:rFonts w:hint="eastAsia" w:ascii="仿宋" w:hAnsi="仿宋" w:eastAsia="仿宋" w:cs="仿宋"/>
          <w:color w:val="auto"/>
          <w:kern w:val="0"/>
          <w:sz w:val="32"/>
          <w:szCs w:val="32"/>
          <w:highlight w:val="none"/>
          <w:lang w:val="en-US" w:eastAsia="zh-CN"/>
        </w:rPr>
        <w:t>人，营业收入为</w:t>
      </w:r>
      <w:r>
        <w:rPr>
          <w:rFonts w:hint="eastAsia" w:ascii="仿宋" w:hAnsi="仿宋" w:eastAsia="仿宋" w:cs="仿宋"/>
          <w:color w:val="auto"/>
          <w:kern w:val="0"/>
          <w:sz w:val="32"/>
          <w:szCs w:val="32"/>
          <w:highlight w:val="none"/>
          <w:u w:val="single"/>
          <w:lang w:val="en-US" w:eastAsia="zh-CN"/>
        </w:rPr>
        <w:t xml:space="preserve">     </w:t>
      </w:r>
      <w:r>
        <w:rPr>
          <w:rFonts w:hint="eastAsia" w:ascii="仿宋" w:hAnsi="仿宋" w:eastAsia="仿宋" w:cs="仿宋"/>
          <w:color w:val="auto"/>
          <w:kern w:val="0"/>
          <w:sz w:val="32"/>
          <w:szCs w:val="32"/>
          <w:highlight w:val="none"/>
          <w:lang w:val="en-US" w:eastAsia="zh-CN"/>
        </w:rPr>
        <w:t>万元，资产总额为</w:t>
      </w:r>
      <w:r>
        <w:rPr>
          <w:rFonts w:hint="eastAsia" w:ascii="仿宋" w:hAnsi="仿宋" w:eastAsia="仿宋" w:cs="仿宋"/>
          <w:color w:val="auto"/>
          <w:kern w:val="0"/>
          <w:sz w:val="32"/>
          <w:szCs w:val="32"/>
          <w:highlight w:val="none"/>
          <w:u w:val="single"/>
          <w:lang w:val="en-US" w:eastAsia="zh-CN"/>
        </w:rPr>
        <w:t xml:space="preserve">      </w:t>
      </w:r>
      <w:r>
        <w:rPr>
          <w:rFonts w:hint="eastAsia" w:ascii="仿宋" w:hAnsi="仿宋" w:eastAsia="仿宋" w:cs="仿宋"/>
          <w:color w:val="auto"/>
          <w:kern w:val="0"/>
          <w:sz w:val="32"/>
          <w:szCs w:val="32"/>
          <w:highlight w:val="none"/>
          <w:lang w:val="en-US" w:eastAsia="zh-CN"/>
        </w:rPr>
        <w:t>万元，属于</w:t>
      </w:r>
      <w:r>
        <w:rPr>
          <w:rFonts w:hint="eastAsia" w:ascii="仿宋" w:hAnsi="仿宋" w:eastAsia="仿宋" w:cs="仿宋"/>
          <w:color w:val="auto"/>
          <w:kern w:val="0"/>
          <w:sz w:val="32"/>
          <w:szCs w:val="32"/>
          <w:highlight w:val="none"/>
          <w:u w:val="single"/>
          <w:lang w:val="en-US" w:eastAsia="zh-CN"/>
        </w:rPr>
        <w:t>（中型企业、 小型企业、微型企业）</w:t>
      </w:r>
      <w:r>
        <w:rPr>
          <w:rFonts w:hint="eastAsia" w:ascii="仿宋" w:hAnsi="仿宋" w:eastAsia="仿宋" w:cs="仿宋"/>
          <w:color w:val="auto"/>
          <w:kern w:val="0"/>
          <w:sz w:val="32"/>
          <w:szCs w:val="32"/>
          <w:highlight w:val="none"/>
          <w:lang w:val="en-US" w:eastAsia="zh-CN"/>
        </w:rPr>
        <w:t xml:space="preserve">； </w:t>
      </w:r>
    </w:p>
    <w:p w14:paraId="6C0FED93">
      <w:pPr>
        <w:widowControl/>
        <w:kinsoku/>
        <w:topLinePunct w:val="0"/>
        <w:bidi w:val="0"/>
        <w:spacing w:before="100" w:beforeAutospacing="1" w:after="100" w:afterAutospacing="1" w:line="380" w:lineRule="exact"/>
        <w:ind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 xml:space="preserve">…… </w:t>
      </w:r>
    </w:p>
    <w:p w14:paraId="2F2FE9A2">
      <w:pPr>
        <w:widowControl/>
        <w:kinsoku/>
        <w:topLinePunct w:val="0"/>
        <w:bidi w:val="0"/>
        <w:spacing w:before="100" w:beforeAutospacing="1" w:after="100" w:afterAutospacing="1" w:line="380" w:lineRule="exact"/>
        <w:ind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 xml:space="preserve">以上企业，不属于大企业的分支机构，不存在控股股东为大企业的情形，也不存在与大企业的负责人为同一人的情形。 </w:t>
      </w:r>
    </w:p>
    <w:p w14:paraId="75A3EC34">
      <w:pPr>
        <w:widowControl/>
        <w:kinsoku/>
        <w:topLinePunct w:val="0"/>
        <w:bidi w:val="0"/>
        <w:spacing w:before="100" w:beforeAutospacing="1" w:after="100" w:afterAutospacing="1" w:line="380" w:lineRule="exact"/>
        <w:ind w:firstLine="640" w:firstLineChars="2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 xml:space="preserve">本企业对上述声明内容的真实性负责。如有虚假，将依法承担相应责任。 </w:t>
      </w:r>
    </w:p>
    <w:p w14:paraId="07B865D6">
      <w:pPr>
        <w:widowControl/>
        <w:kinsoku/>
        <w:topLinePunct w:val="0"/>
        <w:bidi w:val="0"/>
        <w:spacing w:before="100" w:beforeAutospacing="1" w:after="100" w:afterAutospacing="1" w:line="380" w:lineRule="exact"/>
        <w:ind w:firstLine="4160" w:firstLineChars="1300"/>
        <w:jc w:val="left"/>
        <w:rPr>
          <w:rFonts w:hint="eastAsia" w:ascii="仿宋" w:hAnsi="仿宋" w:eastAsia="仿宋" w:cs="仿宋"/>
          <w:color w:val="auto"/>
          <w:kern w:val="0"/>
          <w:sz w:val="32"/>
          <w:szCs w:val="32"/>
          <w:highlight w:val="none"/>
          <w:lang w:val="en-US" w:eastAsia="zh-CN"/>
        </w:rPr>
      </w:pPr>
    </w:p>
    <w:p w14:paraId="38C44BB6">
      <w:pPr>
        <w:widowControl/>
        <w:kinsoku/>
        <w:topLinePunct w:val="0"/>
        <w:bidi w:val="0"/>
        <w:spacing w:before="100" w:beforeAutospacing="1" w:after="100" w:afterAutospacing="1" w:line="380" w:lineRule="exact"/>
        <w:ind w:firstLine="4160" w:firstLineChars="13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 xml:space="preserve">企业名称（盖章）： </w:t>
      </w:r>
    </w:p>
    <w:p w14:paraId="6C26EC08">
      <w:pPr>
        <w:widowControl/>
        <w:kinsoku/>
        <w:topLinePunct w:val="0"/>
        <w:bidi w:val="0"/>
        <w:spacing w:before="100" w:beforeAutospacing="1" w:after="100" w:afterAutospacing="1" w:line="380" w:lineRule="exact"/>
        <w:ind w:firstLine="4160" w:firstLineChars="1300"/>
        <w:jc w:val="left"/>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日 期：</w:t>
      </w:r>
    </w:p>
    <w:p w14:paraId="4794986D">
      <w:pPr>
        <w:keepNext w:val="0"/>
        <w:keepLines w:val="0"/>
        <w:widowControl/>
        <w:suppressLineNumbers w:val="0"/>
        <w:jc w:val="left"/>
        <w:rPr>
          <w:rFonts w:hint="eastAsia" w:ascii="仿宋" w:hAnsi="仿宋" w:eastAsia="仿宋" w:cs="仿宋"/>
          <w:b/>
          <w:bCs/>
          <w:color w:val="FF0000"/>
          <w:sz w:val="32"/>
          <w:szCs w:val="32"/>
          <w:highlight w:val="none"/>
          <w:lang w:val="en-US" w:eastAsia="zh-CN"/>
        </w:rPr>
      </w:pPr>
      <w:r>
        <w:rPr>
          <w:rFonts w:hint="eastAsia" w:ascii="仿宋" w:hAnsi="仿宋" w:eastAsia="仿宋" w:cs="仿宋"/>
          <w:color w:val="auto"/>
          <w:kern w:val="0"/>
          <w:sz w:val="32"/>
          <w:szCs w:val="32"/>
          <w:highlight w:val="none"/>
          <w:lang w:val="en-US" w:eastAsia="zh-CN" w:bidi="ar"/>
        </w:rPr>
        <w:t>注：从业人员、营业收入、资产总额填报上一年度数据，无上一年度数据的新成立企业可不填报。</w:t>
      </w:r>
    </w:p>
    <w:p w14:paraId="619F196B">
      <w:pPr>
        <w:rPr>
          <w:rFonts w:hint="eastAsia" w:ascii="仿宋" w:hAnsi="仿宋" w:eastAsia="仿宋" w:cs="仿宋"/>
          <w:b/>
          <w:bCs/>
          <w:color w:val="FF0000"/>
          <w:sz w:val="32"/>
          <w:szCs w:val="32"/>
          <w:highlight w:val="none"/>
          <w:lang w:val="en-US" w:eastAsia="zh-CN"/>
        </w:rPr>
      </w:pPr>
    </w:p>
    <w:p w14:paraId="4DA8E030">
      <w:pPr>
        <w:pStyle w:val="4"/>
        <w:pageBreakBefore w:val="0"/>
        <w:numPr>
          <w:ilvl w:val="0"/>
          <w:numId w:val="0"/>
        </w:numPr>
        <w:kinsoku/>
        <w:wordWrap/>
        <w:bidi w:val="0"/>
        <w:snapToGrid/>
        <w:spacing w:line="360" w:lineRule="auto"/>
        <w:ind w:leftChars="0" w:right="0" w:rightChars="0"/>
        <w:jc w:val="center"/>
        <w:rPr>
          <w:rFonts w:hint="eastAsia" w:ascii="楷体" w:hAnsi="楷体" w:eastAsia="楷体" w:cs="楷体"/>
          <w:b/>
          <w:bCs w:val="0"/>
          <w:color w:val="auto"/>
          <w:sz w:val="28"/>
          <w:szCs w:val="28"/>
        </w:rPr>
      </w:pPr>
      <w:bookmarkStart w:id="297" w:name="_Toc24821"/>
      <w:bookmarkStart w:id="298" w:name="_Toc16777"/>
    </w:p>
    <w:p w14:paraId="5A723088">
      <w:pPr>
        <w:rPr>
          <w:rFonts w:hint="eastAsia"/>
        </w:rPr>
      </w:pPr>
    </w:p>
    <w:bookmarkEnd w:id="297"/>
    <w:bookmarkEnd w:id="298"/>
    <w:p w14:paraId="7A14B15A">
      <w:pPr>
        <w:rPr>
          <w:rFonts w:hint="eastAsia" w:ascii="仿宋" w:hAnsi="仿宋" w:eastAsia="仿宋" w:cs="仿宋"/>
          <w:b/>
          <w:bCs/>
          <w:color w:val="FF0000"/>
          <w:sz w:val="32"/>
          <w:szCs w:val="32"/>
          <w:highlight w:val="none"/>
          <w:lang w:val="en-US" w:eastAsia="zh-CN"/>
        </w:rPr>
      </w:pPr>
    </w:p>
    <w:p w14:paraId="784DE597">
      <w:pPr>
        <w:rPr>
          <w:rFonts w:hint="eastAsia" w:ascii="仿宋" w:hAnsi="仿宋" w:eastAsia="仿宋" w:cs="仿宋"/>
          <w:b/>
          <w:bCs/>
          <w:color w:val="FF0000"/>
          <w:sz w:val="32"/>
          <w:szCs w:val="32"/>
          <w:highlight w:val="none"/>
          <w:lang w:val="en-US" w:eastAsia="zh-CN"/>
        </w:rPr>
      </w:pPr>
    </w:p>
    <w:p w14:paraId="7404A4B8">
      <w:pPr>
        <w:rPr>
          <w:rFonts w:hint="eastAsia" w:ascii="仿宋" w:hAnsi="仿宋" w:eastAsia="仿宋" w:cs="仿宋"/>
          <w:b/>
          <w:bCs/>
          <w:color w:val="FF0000"/>
          <w:sz w:val="32"/>
          <w:szCs w:val="32"/>
          <w:highlight w:val="none"/>
          <w:lang w:val="en-US" w:eastAsia="zh-CN"/>
        </w:rPr>
      </w:pPr>
    </w:p>
    <w:p w14:paraId="15B7451C">
      <w:pPr>
        <w:rPr>
          <w:rFonts w:hint="eastAsia" w:ascii="宋体" w:hAnsi="宋体" w:eastAsia="宋体" w:cs="宋体"/>
          <w:b/>
          <w:bCs/>
          <w:color w:val="auto"/>
          <w:sz w:val="24"/>
          <w:highlight w:val="none"/>
          <w:lang w:val="en-US" w:eastAsia="zh-CN"/>
        </w:rPr>
      </w:pPr>
      <w:r>
        <w:rPr>
          <w:rFonts w:hint="eastAsia" w:ascii="仿宋" w:hAnsi="仿宋" w:eastAsia="仿宋" w:cs="仿宋"/>
          <w:b/>
          <w:bCs/>
          <w:color w:val="auto"/>
          <w:sz w:val="32"/>
          <w:szCs w:val="32"/>
          <w:highlight w:val="none"/>
          <w:lang w:val="en-US" w:eastAsia="zh-CN"/>
        </w:rPr>
        <w:t>（9）投标人须知资料表要求的其他资格证明文件。</w:t>
      </w:r>
    </w:p>
    <w:p w14:paraId="3A8FF938">
      <w:pPr>
        <w:pStyle w:val="12"/>
        <w:tabs>
          <w:tab w:val="left" w:pos="5580"/>
        </w:tabs>
        <w:spacing w:line="360" w:lineRule="auto"/>
        <w:ind w:left="1080" w:leftChars="257" w:hanging="540"/>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说明：1.可提供投标人须知前附表要求的其他资格证明文件。</w:t>
      </w:r>
    </w:p>
    <w:p w14:paraId="28892E50">
      <w:pPr>
        <w:pStyle w:val="12"/>
        <w:tabs>
          <w:tab w:val="left" w:pos="5580"/>
        </w:tabs>
        <w:spacing w:line="360" w:lineRule="auto"/>
        <w:ind w:left="1080" w:leftChars="257" w:hanging="540"/>
        <w:rPr>
          <w:rFonts w:hint="eastAsia" w:ascii="仿宋" w:hAnsi="仿宋" w:eastAsia="仿宋" w:cs="仿宋"/>
          <w:color w:val="auto"/>
          <w:kern w:val="0"/>
          <w:sz w:val="32"/>
          <w:szCs w:val="32"/>
          <w:highlight w:val="none"/>
          <w:u w:val="none"/>
          <w:lang w:val="en-US" w:eastAsia="zh-CN" w:bidi="ar"/>
        </w:rPr>
      </w:pPr>
      <w:r>
        <w:rPr>
          <w:rFonts w:hint="eastAsia" w:ascii="仿宋" w:hAnsi="仿宋" w:eastAsia="仿宋" w:cs="仿宋"/>
          <w:color w:val="auto"/>
          <w:kern w:val="0"/>
          <w:sz w:val="32"/>
          <w:szCs w:val="32"/>
          <w:highlight w:val="none"/>
          <w:u w:val="none"/>
          <w:lang w:val="en-US" w:eastAsia="zh-CN" w:bidi="ar"/>
        </w:rPr>
        <w:t xml:space="preserve">      2.复印件上应加盖公章（自然人参加征集响应的无需盖章，需要签字）。</w:t>
      </w:r>
    </w:p>
    <w:p w14:paraId="0EBA58AD">
      <w:pPr>
        <w:pStyle w:val="9"/>
        <w:rPr>
          <w:rFonts w:hint="eastAsia"/>
          <w:color w:val="auto"/>
          <w:highlight w:val="none"/>
        </w:rPr>
      </w:pPr>
      <w:r>
        <w:rPr>
          <w:rFonts w:hint="eastAsia" w:ascii="仿宋" w:hAnsi="仿宋" w:eastAsia="仿宋" w:cs="仿宋"/>
          <w:color w:val="auto"/>
          <w:kern w:val="0"/>
          <w:sz w:val="32"/>
          <w:szCs w:val="32"/>
          <w:highlight w:val="none"/>
          <w:u w:val="none"/>
          <w:lang w:val="en-US" w:eastAsia="zh-CN" w:bidi="ar"/>
        </w:rPr>
        <w:t xml:space="preserve">         3. 如果是联合体，联合体各方需提供的满足磋商文件要求的其他资格证明文件。</w:t>
      </w:r>
    </w:p>
    <w:p w14:paraId="6D6A700A">
      <w:pPr>
        <w:pStyle w:val="3"/>
        <w:numPr>
          <w:ilvl w:val="0"/>
          <w:numId w:val="0"/>
        </w:numPr>
        <w:shd w:val="clear" w:color="auto" w:fill="auto"/>
        <w:spacing w:before="0" w:line="240" w:lineRule="atLeast"/>
        <w:jc w:val="center"/>
        <w:rPr>
          <w:rFonts w:hint="eastAsia" w:ascii="仿宋" w:hAnsi="仿宋" w:eastAsia="仿宋" w:cs="仿宋"/>
          <w:b/>
          <w:bCs/>
          <w:color w:val="auto"/>
          <w:sz w:val="36"/>
          <w:szCs w:val="36"/>
          <w:highlight w:val="none"/>
          <w:lang w:eastAsia="zh-CN"/>
        </w:rPr>
      </w:pPr>
      <w:bookmarkStart w:id="299" w:name="_Toc14850"/>
      <w:bookmarkStart w:id="300" w:name="_Toc5695"/>
      <w:bookmarkStart w:id="301" w:name="_Toc11180"/>
      <w:bookmarkStart w:id="302" w:name="_Toc27655"/>
      <w:bookmarkStart w:id="303" w:name="_Toc515647816"/>
      <w:bookmarkStart w:id="304" w:name="_Toc22967"/>
      <w:bookmarkStart w:id="305" w:name="_Toc30560"/>
      <w:bookmarkStart w:id="306" w:name="_Toc6853"/>
      <w:r>
        <w:rPr>
          <w:rFonts w:hint="eastAsia" w:ascii="仿宋" w:hAnsi="仿宋" w:eastAsia="仿宋" w:cs="仿宋"/>
          <w:b/>
          <w:bCs/>
          <w:color w:val="auto"/>
          <w:sz w:val="36"/>
          <w:szCs w:val="36"/>
          <w:highlight w:val="none"/>
          <w:lang w:eastAsia="zh-CN"/>
        </w:rPr>
        <w:t>二、商务及技术文件</w:t>
      </w:r>
      <w:bookmarkEnd w:id="299"/>
      <w:bookmarkEnd w:id="300"/>
      <w:bookmarkEnd w:id="301"/>
      <w:bookmarkEnd w:id="302"/>
      <w:bookmarkEnd w:id="303"/>
      <w:bookmarkEnd w:id="304"/>
      <w:bookmarkEnd w:id="305"/>
      <w:bookmarkEnd w:id="306"/>
    </w:p>
    <w:p w14:paraId="7E9C0CC0">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投标书</w:t>
      </w:r>
    </w:p>
    <w:p w14:paraId="71CB1888">
      <w:pPr>
        <w:spacing w:line="400" w:lineRule="exact"/>
        <w:ind w:firstLine="636" w:firstLineChars="19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2、开标一览表</w:t>
      </w:r>
    </w:p>
    <w:p w14:paraId="07C71B56">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投标分项报价表</w:t>
      </w:r>
    </w:p>
    <w:p w14:paraId="067B60A1">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4、服务</w:t>
      </w:r>
      <w:r>
        <w:rPr>
          <w:rFonts w:hint="eastAsia" w:ascii="仿宋" w:hAnsi="仿宋" w:eastAsia="仿宋" w:cs="仿宋"/>
          <w:color w:val="auto"/>
          <w:sz w:val="32"/>
          <w:szCs w:val="32"/>
          <w:highlight w:val="none"/>
        </w:rPr>
        <w:t>说明一览表</w:t>
      </w:r>
    </w:p>
    <w:p w14:paraId="4D985327">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技术规格偏离表</w:t>
      </w:r>
    </w:p>
    <w:p w14:paraId="48FFDC94">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商务条款偏离表</w:t>
      </w:r>
    </w:p>
    <w:p w14:paraId="5D364FC1">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投标人关联单位的说明（格式自拟）</w:t>
      </w:r>
    </w:p>
    <w:p w14:paraId="44CC6FF5">
      <w:pPr>
        <w:spacing w:line="400" w:lineRule="exact"/>
        <w:ind w:firstLine="636" w:firstLineChars="19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评分标准和细则中技术部分证明材料（格式自拟）</w:t>
      </w:r>
    </w:p>
    <w:p w14:paraId="3C85B356">
      <w:pPr>
        <w:spacing w:line="400" w:lineRule="exact"/>
        <w:ind w:firstLine="646" w:firstLineChars="202"/>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评分标准和细则中商务部分证明材料（格式自拟）</w:t>
      </w:r>
    </w:p>
    <w:p w14:paraId="740AEE32">
      <w:pPr>
        <w:pStyle w:val="12"/>
        <w:keepNext w:val="0"/>
        <w:keepLines w:val="0"/>
        <w:pageBreakBefore w:val="0"/>
        <w:widowControl w:val="0"/>
        <w:shd w:val="clear" w:color="auto" w:fill="auto"/>
        <w:kinsoku/>
        <w:wordWrap/>
        <w:overflowPunct/>
        <w:topLinePunct w:val="0"/>
        <w:autoSpaceDE/>
        <w:autoSpaceDN/>
        <w:bidi w:val="0"/>
        <w:adjustRightInd/>
        <w:snapToGrid/>
        <w:spacing w:line="4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投标人认为有必要提供的其他证明材料（格式自拟）</w:t>
      </w:r>
    </w:p>
    <w:p w14:paraId="2D1BF433">
      <w:pPr>
        <w:pStyle w:val="12"/>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400" w:lineRule="exact"/>
        <w:ind w:left="561" w:leftChars="267"/>
        <w:jc w:val="center"/>
        <w:textAlignment w:val="auto"/>
        <w:rPr>
          <w:rFonts w:hint="eastAsia" w:ascii="仿宋" w:hAnsi="仿宋" w:eastAsia="仿宋" w:cs="仿宋"/>
          <w:b/>
          <w:bCs/>
          <w:color w:val="auto"/>
          <w:sz w:val="32"/>
          <w:szCs w:val="32"/>
          <w:highlight w:val="none"/>
        </w:rPr>
      </w:pPr>
      <w:r>
        <w:rPr>
          <w:rFonts w:hint="eastAsia" w:ascii="宋体" w:hAnsi="宋体" w:eastAsia="宋体" w:cs="宋体"/>
          <w:color w:val="auto"/>
          <w:sz w:val="24"/>
          <w:highlight w:val="none"/>
        </w:rPr>
        <w:br w:type="page"/>
      </w:r>
      <w:bookmarkEnd w:id="247"/>
      <w:bookmarkEnd w:id="248"/>
      <w:bookmarkEnd w:id="249"/>
      <w:bookmarkEnd w:id="250"/>
      <w:bookmarkStart w:id="307" w:name="_Toc6695"/>
      <w:bookmarkStart w:id="308" w:name="_Toc13356"/>
      <w:bookmarkStart w:id="309" w:name="_Toc2041"/>
      <w:bookmarkStart w:id="310" w:name="_Toc14915"/>
      <w:bookmarkStart w:id="311" w:name="_Toc515647817"/>
      <w:r>
        <w:rPr>
          <w:rFonts w:hint="eastAsia" w:ascii="仿宋" w:hAnsi="仿宋" w:eastAsia="仿宋" w:cs="仿宋"/>
          <w:b/>
          <w:bCs/>
          <w:color w:val="auto"/>
          <w:sz w:val="32"/>
          <w:szCs w:val="32"/>
          <w:highlight w:val="none"/>
        </w:rPr>
        <w:t>1</w:t>
      </w:r>
      <w:bookmarkStart w:id="312" w:name="_Hlt520355504"/>
      <w:bookmarkEnd w:id="312"/>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投标书</w:t>
      </w:r>
      <w:bookmarkEnd w:id="307"/>
      <w:bookmarkEnd w:id="308"/>
      <w:bookmarkEnd w:id="309"/>
      <w:bookmarkEnd w:id="310"/>
      <w:bookmarkEnd w:id="311"/>
    </w:p>
    <w:p w14:paraId="70589C32">
      <w:pPr>
        <w:shd w:val="clear" w:color="auto" w:fill="auto"/>
        <w:tabs>
          <w:tab w:val="left" w:pos="5580"/>
        </w:tabs>
        <w:spacing w:line="240" w:lineRule="atLeast"/>
        <w:ind w:left="1080" w:leftChars="257" w:hanging="540"/>
        <w:jc w:val="center"/>
        <w:rPr>
          <w:rFonts w:hint="eastAsia" w:ascii="仿宋" w:hAnsi="仿宋" w:eastAsia="仿宋" w:cs="仿宋"/>
          <w:color w:val="auto"/>
          <w:sz w:val="32"/>
          <w:szCs w:val="32"/>
          <w:highlight w:val="none"/>
        </w:rPr>
      </w:pPr>
    </w:p>
    <w:p w14:paraId="27EAE4F8">
      <w:pPr>
        <w:shd w:val="clear" w:color="auto" w:fill="auto"/>
        <w:tabs>
          <w:tab w:val="left" w:pos="5580"/>
        </w:tabs>
        <w:spacing w:line="240" w:lineRule="atLeast"/>
        <w:ind w:left="1080" w:hanging="108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致：</w:t>
      </w:r>
      <w:r>
        <w:rPr>
          <w:rFonts w:hint="eastAsia" w:ascii="仿宋" w:hAnsi="仿宋" w:eastAsia="仿宋" w:cs="仿宋"/>
          <w:color w:val="auto"/>
          <w:sz w:val="32"/>
          <w:szCs w:val="32"/>
          <w:highlight w:val="none"/>
          <w:u w:val="single"/>
        </w:rPr>
        <w:t>采购代理机构</w:t>
      </w:r>
      <w:r>
        <w:rPr>
          <w:rFonts w:hint="eastAsia" w:ascii="仿宋" w:hAnsi="仿宋" w:eastAsia="仿宋" w:cs="仿宋"/>
          <w:color w:val="auto"/>
          <w:sz w:val="32"/>
          <w:szCs w:val="32"/>
          <w:highlight w:val="none"/>
          <w:u w:val="single"/>
          <w:lang w:val="en-US" w:eastAsia="zh-CN"/>
        </w:rPr>
        <w:t>/采购人</w:t>
      </w:r>
    </w:p>
    <w:p w14:paraId="738D24DE">
      <w:pPr>
        <w:pStyle w:val="12"/>
        <w:shd w:val="clear" w:color="auto" w:fill="auto"/>
        <w:tabs>
          <w:tab w:val="left" w:pos="5580"/>
        </w:tabs>
        <w:spacing w:line="240" w:lineRule="atLeast"/>
        <w:ind w:left="1080" w:leftChars="257" w:hanging="540"/>
        <w:rPr>
          <w:rFonts w:hint="eastAsia" w:ascii="仿宋" w:hAnsi="仿宋" w:eastAsia="仿宋" w:cs="仿宋"/>
          <w:color w:val="auto"/>
          <w:sz w:val="32"/>
          <w:szCs w:val="32"/>
          <w:highlight w:val="none"/>
        </w:rPr>
      </w:pPr>
    </w:p>
    <w:p w14:paraId="713293C8">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bookmarkStart w:id="313" w:name="_Toc10107"/>
      <w:bookmarkStart w:id="314" w:name="_Toc23473"/>
      <w:bookmarkStart w:id="315" w:name="_Toc1266"/>
      <w:bookmarkStart w:id="316" w:name="_Toc5392"/>
      <w:bookmarkStart w:id="317" w:name="_Toc996"/>
      <w:r>
        <w:rPr>
          <w:rFonts w:hint="eastAsia" w:ascii="仿宋" w:hAnsi="仿宋" w:eastAsia="仿宋" w:cs="仿宋"/>
          <w:spacing w:val="-14"/>
          <w:sz w:val="32"/>
          <w:szCs w:val="32"/>
          <w:lang w:eastAsia="zh-CN"/>
        </w:rPr>
        <w:t>为响应你方组织的</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项目的招标[项目编号为：</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]，我方愿参与投标。</w:t>
      </w:r>
    </w:p>
    <w:p w14:paraId="449B3F16">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 xml:space="preserve">我方确认收到贵方提供的 </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招标文件的全部内容。</w:t>
      </w:r>
    </w:p>
    <w:p w14:paraId="637B25C3">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69112A04">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 xml:space="preserve"> </w:t>
      </w:r>
      <w:r>
        <w:rPr>
          <w:rFonts w:hint="eastAsia" w:ascii="仿宋" w:hAnsi="仿宋" w:eastAsia="仿宋" w:cs="仿宋"/>
          <w:spacing w:val="-14"/>
          <w:sz w:val="32"/>
          <w:szCs w:val="32"/>
          <w:u w:val="single"/>
          <w:lang w:eastAsia="zh-CN"/>
        </w:rPr>
        <w:t xml:space="preserve">  (供应商名称)      </w:t>
      </w:r>
      <w:r>
        <w:rPr>
          <w:rFonts w:hint="eastAsia" w:ascii="仿宋" w:hAnsi="仿宋" w:eastAsia="仿宋" w:cs="仿宋"/>
          <w:spacing w:val="-14"/>
          <w:sz w:val="32"/>
          <w:szCs w:val="32"/>
          <w:lang w:eastAsia="zh-CN"/>
        </w:rPr>
        <w:t>作为供应商正式授权</w:t>
      </w:r>
      <w:r>
        <w:rPr>
          <w:rFonts w:hint="eastAsia" w:ascii="仿宋" w:hAnsi="仿宋" w:eastAsia="仿宋" w:cs="仿宋"/>
          <w:spacing w:val="-14"/>
          <w:sz w:val="32"/>
          <w:szCs w:val="32"/>
          <w:u w:val="single"/>
          <w:lang w:eastAsia="zh-CN"/>
        </w:rPr>
        <w:t xml:space="preserve">  (授权代表全名, 职务)  </w:t>
      </w:r>
      <w:r>
        <w:rPr>
          <w:rFonts w:hint="eastAsia" w:ascii="仿宋" w:hAnsi="仿宋" w:eastAsia="仿宋" w:cs="仿宋"/>
          <w:spacing w:val="-14"/>
          <w:sz w:val="32"/>
          <w:szCs w:val="32"/>
          <w:lang w:eastAsia="zh-CN"/>
        </w:rPr>
        <w:t>代表我方全权处理有关本报价的一切事宜。</w:t>
      </w:r>
    </w:p>
    <w:p w14:paraId="238A9AD1">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我方已完全明白招标文件的所有条款要求，并申明如下：</w:t>
      </w:r>
    </w:p>
    <w:p w14:paraId="4CBF697F">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（一）按招标文件提供的全部货物与相关服务的投标总价详见《报价一览表》。</w:t>
      </w:r>
    </w:p>
    <w:p w14:paraId="7958348E">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（二）本投标文件的有效期为投标截止时间起</w:t>
      </w:r>
      <w:r>
        <w:rPr>
          <w:rFonts w:hint="eastAsia" w:ascii="仿宋" w:hAnsi="仿宋" w:eastAsia="仿宋" w:cs="仿宋"/>
          <w:spacing w:val="-14"/>
          <w:sz w:val="32"/>
          <w:szCs w:val="32"/>
          <w:u w:val="single"/>
          <w:lang w:eastAsia="zh-CN"/>
        </w:rPr>
        <w:t>60</w:t>
      </w:r>
      <w:r>
        <w:rPr>
          <w:rFonts w:hint="eastAsia" w:ascii="仿宋" w:hAnsi="仿宋" w:eastAsia="仿宋" w:cs="仿宋"/>
          <w:spacing w:val="-14"/>
          <w:sz w:val="32"/>
          <w:szCs w:val="32"/>
          <w:u w:val="single"/>
          <w:lang w:val="en-US" w:eastAsia="zh-CN"/>
        </w:rPr>
        <w:t>日历</w:t>
      </w:r>
      <w:r>
        <w:rPr>
          <w:rFonts w:hint="eastAsia" w:ascii="仿宋" w:hAnsi="仿宋" w:eastAsia="仿宋" w:cs="仿宋"/>
          <w:spacing w:val="-14"/>
          <w:sz w:val="32"/>
          <w:szCs w:val="32"/>
          <w:u w:val="single"/>
          <w:lang w:eastAsia="zh-CN"/>
        </w:rPr>
        <w:t>天</w:t>
      </w:r>
      <w:r>
        <w:rPr>
          <w:rFonts w:hint="eastAsia" w:ascii="仿宋" w:hAnsi="仿宋" w:eastAsia="仿宋" w:cs="仿宋"/>
          <w:spacing w:val="-14"/>
          <w:sz w:val="32"/>
          <w:szCs w:val="32"/>
          <w:lang w:eastAsia="zh-CN"/>
        </w:rPr>
        <w:t>。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3A7E4D4C">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（三）我方同意按照贵方可能提出的要求而提供与投标有关的任何其它数据、信息或资料。</w:t>
      </w:r>
    </w:p>
    <w:p w14:paraId="35960141">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（四）我方理解贵方不一定接受最低投标价或任何贵方可能收到的投标。</w:t>
      </w:r>
    </w:p>
    <w:p w14:paraId="5285DD60">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（五）我方如果中标，将保证履行招标文件及其澄清、修改文件（如果有）中的全部责任和义务，按质、按量、按期完成《招标内容》及《合同书》中的全部任务。</w:t>
      </w:r>
    </w:p>
    <w:p w14:paraId="5ED343AD">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（六）如我方被授予合同，我方承诺支付就本次招标应支付或将支付的中标服务费）。</w:t>
      </w:r>
    </w:p>
    <w:p w14:paraId="4DA30B2D">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（七）我方作为在法律、财务和运作上独立于采购人、招标代理机构的供应商，在此保证所提交的所有文件和全部说明是真实的和正确的。</w:t>
      </w:r>
    </w:p>
    <w:p w14:paraId="7A01993F">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（八）我方投标报价已包含应向知识产权所有权人支付的所有相关税费，并保证采购人在中国使用我方提供的货物时，如有第三方提出侵犯其知识产权主张的，责任由我方承担。</w:t>
      </w:r>
    </w:p>
    <w:p w14:paraId="3A770D3F">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（九）我方与其他供应商不存在单位负责人为同一人或者存在直接控股、管理关系。</w:t>
      </w:r>
    </w:p>
    <w:p w14:paraId="39F4F8CA">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（十）我方承诺未为本项目提供整体设计、规范编制或者项目管理、监理、检测等服务。</w:t>
      </w:r>
    </w:p>
    <w:p w14:paraId="1712B999">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（十一）我方具备《政府采购法》第二十二条规定的条件，承诺如下：</w:t>
      </w:r>
    </w:p>
    <w:p w14:paraId="1A908960">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（1）我方已依法缴纳了各项税费及社会保险费用，如有需要，可随时向采购人提供近三个月内的相关缴费证明，以便核查。</w:t>
      </w:r>
    </w:p>
    <w:p w14:paraId="77FE2623">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（2）我方已依法建立健全的财务会计制度，如有需要，可随时向采购人提供相关的证明材料，以便核查。</w:t>
      </w:r>
    </w:p>
    <w:p w14:paraId="3AF33C8F">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（3）我方参加本项目政府采购活动前3年内在经营活动中没有重大违法记录。</w:t>
      </w:r>
    </w:p>
    <w:p w14:paraId="3BA130A1">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（4）我方具备履行合同所必需的设备和专业技术能力。</w:t>
      </w:r>
    </w:p>
    <w:p w14:paraId="59624D30">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（5）我方符合法律、行政法规规定的其他条件。</w:t>
      </w:r>
    </w:p>
    <w:p w14:paraId="66A28F71">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以上内容如有虚假或与事实不符的，评审委员会可将我方做无效投标处理，我方愿意承担相应的法律责任。</w:t>
      </w:r>
    </w:p>
    <w:p w14:paraId="37D6E304">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（十三）我方对在本函及投标文件中所作的所有承诺承担法律责任。</w:t>
      </w:r>
    </w:p>
    <w:p w14:paraId="159F499F">
      <w:pPr>
        <w:pStyle w:val="6"/>
        <w:shd w:val="clear" w:color="auto" w:fill="auto"/>
        <w:tabs>
          <w:tab w:val="left" w:pos="5580"/>
        </w:tabs>
        <w:spacing w:line="240" w:lineRule="atLeast"/>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（十四）所有与本招标有关的函件请发往下列地址：</w:t>
      </w:r>
    </w:p>
    <w:p w14:paraId="3EAFBF8C">
      <w:pPr>
        <w:pStyle w:val="6"/>
        <w:shd w:val="clear" w:color="auto" w:fill="auto"/>
        <w:tabs>
          <w:tab w:val="left" w:pos="5580"/>
        </w:tabs>
        <w:spacing w:line="240" w:lineRule="atLeast"/>
        <w:ind w:left="0" w:leftChars="0" w:firstLine="0" w:firstLineChars="0"/>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地    址：</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.邮政编码：</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w:t>
      </w:r>
    </w:p>
    <w:p w14:paraId="62067C43">
      <w:pPr>
        <w:pStyle w:val="6"/>
        <w:shd w:val="clear" w:color="auto" w:fill="auto"/>
        <w:tabs>
          <w:tab w:val="left" w:pos="5580"/>
        </w:tabs>
        <w:spacing w:line="240" w:lineRule="atLeast"/>
        <w:ind w:left="0" w:leftChars="0" w:firstLine="0" w:firstLineChars="0"/>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电    话：</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w:t>
      </w:r>
    </w:p>
    <w:p w14:paraId="37530942">
      <w:pPr>
        <w:pStyle w:val="6"/>
        <w:shd w:val="clear" w:color="auto" w:fill="auto"/>
        <w:tabs>
          <w:tab w:val="left" w:pos="5580"/>
        </w:tabs>
        <w:spacing w:line="240" w:lineRule="atLeast"/>
        <w:ind w:left="0" w:leftChars="0" w:firstLine="0" w:firstLineChars="0"/>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传    真：</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w:t>
      </w:r>
    </w:p>
    <w:p w14:paraId="493F508A">
      <w:pPr>
        <w:pStyle w:val="6"/>
        <w:shd w:val="clear" w:color="auto" w:fill="auto"/>
        <w:tabs>
          <w:tab w:val="left" w:pos="5580"/>
        </w:tabs>
        <w:spacing w:line="240" w:lineRule="atLeast"/>
        <w:ind w:left="0" w:leftChars="0" w:firstLine="0" w:firstLineChars="0"/>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代表姓名：</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 xml:space="preserve"> .职    务： </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w:t>
      </w:r>
    </w:p>
    <w:p w14:paraId="19E4B6D5">
      <w:pPr>
        <w:pStyle w:val="6"/>
        <w:shd w:val="clear" w:color="auto" w:fill="auto"/>
        <w:tabs>
          <w:tab w:val="left" w:pos="5580"/>
        </w:tabs>
        <w:spacing w:line="240" w:lineRule="atLeast"/>
        <w:ind w:firstLine="4750" w:firstLineChars="1627"/>
        <w:jc w:val="both"/>
        <w:rPr>
          <w:rFonts w:hint="eastAsia" w:ascii="仿宋" w:hAnsi="仿宋" w:eastAsia="仿宋" w:cs="仿宋"/>
          <w:spacing w:val="-14"/>
          <w:sz w:val="32"/>
          <w:szCs w:val="32"/>
          <w:lang w:eastAsia="zh-CN"/>
        </w:rPr>
      </w:pPr>
    </w:p>
    <w:p w14:paraId="794C5925">
      <w:pPr>
        <w:pStyle w:val="6"/>
        <w:shd w:val="clear" w:color="auto" w:fill="auto"/>
        <w:tabs>
          <w:tab w:val="left" w:pos="5580"/>
        </w:tabs>
        <w:spacing w:line="240" w:lineRule="atLeast"/>
        <w:ind w:firstLine="4750" w:firstLineChars="1627"/>
        <w:jc w:val="both"/>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供应商：</w:t>
      </w:r>
      <w:r>
        <w:rPr>
          <w:rFonts w:hint="eastAsia" w:ascii="仿宋" w:hAnsi="仿宋" w:eastAsia="仿宋" w:cs="仿宋"/>
          <w:spacing w:val="-14"/>
          <w:sz w:val="32"/>
          <w:szCs w:val="32"/>
          <w:u w:val="single"/>
          <w:lang w:eastAsia="zh-CN"/>
        </w:rPr>
        <w:tab/>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 xml:space="preserve">（公章） </w:t>
      </w:r>
    </w:p>
    <w:p w14:paraId="23CB1386">
      <w:pPr>
        <w:pStyle w:val="6"/>
        <w:shd w:val="clear" w:color="auto" w:fill="auto"/>
        <w:tabs>
          <w:tab w:val="left" w:pos="5580"/>
        </w:tabs>
        <w:spacing w:line="240" w:lineRule="atLeast"/>
        <w:ind w:left="0" w:leftChars="0" w:firstLine="0" w:firstLineChars="0"/>
        <w:jc w:val="right"/>
        <w:rPr>
          <w:rFonts w:hint="eastAsia" w:ascii="仿宋" w:hAnsi="仿宋" w:eastAsia="仿宋" w:cs="仿宋"/>
          <w:spacing w:val="-14"/>
          <w:sz w:val="32"/>
          <w:szCs w:val="32"/>
          <w:lang w:eastAsia="zh-CN"/>
        </w:rPr>
      </w:pPr>
      <w:r>
        <w:rPr>
          <w:rFonts w:hint="eastAsia" w:ascii="仿宋" w:hAnsi="仿宋" w:eastAsia="仿宋" w:cs="仿宋"/>
          <w:spacing w:val="-14"/>
          <w:sz w:val="32"/>
          <w:szCs w:val="32"/>
          <w:lang w:eastAsia="zh-CN"/>
        </w:rPr>
        <w:t>法定代表人或委托人：</w:t>
      </w:r>
      <w:r>
        <w:rPr>
          <w:rFonts w:hint="eastAsia" w:ascii="仿宋" w:hAnsi="仿宋" w:eastAsia="仿宋" w:cs="仿宋"/>
          <w:spacing w:val="-14"/>
          <w:sz w:val="32"/>
          <w:szCs w:val="32"/>
          <w:u w:val="single"/>
          <w:lang w:eastAsia="zh-CN"/>
        </w:rPr>
        <w:t xml:space="preserve">        </w:t>
      </w:r>
      <w:r>
        <w:rPr>
          <w:rFonts w:hint="eastAsia" w:ascii="仿宋" w:hAnsi="仿宋" w:eastAsia="仿宋" w:cs="仿宋"/>
          <w:spacing w:val="-14"/>
          <w:sz w:val="32"/>
          <w:szCs w:val="32"/>
          <w:lang w:eastAsia="zh-CN"/>
        </w:rPr>
        <w:t>（</w:t>
      </w:r>
      <w:r>
        <w:rPr>
          <w:rFonts w:hint="eastAsia" w:ascii="仿宋" w:hAnsi="仿宋" w:eastAsia="仿宋" w:cs="仿宋"/>
          <w:spacing w:val="1"/>
          <w:sz w:val="32"/>
          <w:szCs w:val="32"/>
          <w:lang w:eastAsia="zh-CN"/>
        </w:rPr>
        <w:t>签字或签章</w:t>
      </w:r>
      <w:r>
        <w:rPr>
          <w:rFonts w:hint="eastAsia" w:ascii="仿宋" w:hAnsi="仿宋" w:eastAsia="仿宋" w:cs="仿宋"/>
          <w:spacing w:val="-14"/>
          <w:sz w:val="32"/>
          <w:szCs w:val="32"/>
          <w:lang w:eastAsia="zh-CN"/>
        </w:rPr>
        <w:t xml:space="preserve">）  </w:t>
      </w:r>
    </w:p>
    <w:p w14:paraId="7E9B81C7">
      <w:pPr>
        <w:pStyle w:val="6"/>
        <w:shd w:val="clear" w:color="auto" w:fill="auto"/>
        <w:tabs>
          <w:tab w:val="left" w:pos="5580"/>
        </w:tabs>
        <w:spacing w:line="240" w:lineRule="atLeast"/>
        <w:ind w:firstLine="4750" w:firstLineChars="1627"/>
        <w:jc w:val="both"/>
        <w:rPr>
          <w:rFonts w:hint="eastAsia" w:ascii="仿宋" w:hAnsi="仿宋" w:eastAsia="仿宋" w:cs="仿宋"/>
          <w:spacing w:val="-14"/>
          <w:sz w:val="32"/>
          <w:szCs w:val="32"/>
        </w:rPr>
      </w:pPr>
      <w:r>
        <w:rPr>
          <w:rFonts w:hint="eastAsia" w:ascii="仿宋" w:hAnsi="仿宋" w:eastAsia="仿宋" w:cs="仿宋"/>
          <w:spacing w:val="-14"/>
          <w:sz w:val="32"/>
          <w:szCs w:val="32"/>
          <w:lang w:eastAsia="zh-CN"/>
        </w:rPr>
        <w:t xml:space="preserve">        </w:t>
      </w:r>
      <w:r>
        <w:rPr>
          <w:rFonts w:hint="eastAsia" w:ascii="仿宋" w:hAnsi="仿宋" w:eastAsia="仿宋" w:cs="仿宋"/>
          <w:spacing w:val="-14"/>
          <w:sz w:val="32"/>
          <w:szCs w:val="32"/>
          <w:lang w:eastAsia="zh-CN"/>
        </w:rPr>
        <w:tab/>
      </w:r>
      <w:r>
        <w:rPr>
          <w:rFonts w:hint="eastAsia" w:ascii="仿宋" w:hAnsi="仿宋" w:eastAsia="仿宋" w:cs="仿宋"/>
          <w:spacing w:val="-14"/>
          <w:sz w:val="32"/>
          <w:szCs w:val="32"/>
          <w:lang w:eastAsia="zh-CN"/>
        </w:rPr>
        <w:t>年</w:t>
      </w:r>
      <w:r>
        <w:rPr>
          <w:rFonts w:hint="eastAsia" w:ascii="仿宋" w:hAnsi="仿宋" w:eastAsia="仿宋" w:cs="仿宋"/>
          <w:spacing w:val="-14"/>
          <w:sz w:val="32"/>
          <w:szCs w:val="32"/>
          <w:lang w:eastAsia="zh-CN"/>
        </w:rPr>
        <w:tab/>
      </w:r>
      <w:r>
        <w:rPr>
          <w:rFonts w:hint="eastAsia" w:ascii="仿宋" w:hAnsi="仿宋" w:eastAsia="仿宋" w:cs="仿宋"/>
          <w:spacing w:val="-14"/>
          <w:sz w:val="32"/>
          <w:szCs w:val="32"/>
          <w:lang w:eastAsia="zh-CN"/>
        </w:rPr>
        <w:t xml:space="preserve">   月    日</w:t>
      </w:r>
    </w:p>
    <w:p w14:paraId="30FCC33A">
      <w:pPr>
        <w:pStyle w:val="6"/>
        <w:shd w:val="clear" w:color="auto" w:fill="auto"/>
        <w:tabs>
          <w:tab w:val="left" w:pos="5580"/>
        </w:tabs>
        <w:spacing w:line="240" w:lineRule="atLeast"/>
        <w:ind w:firstLine="4750" w:firstLineChars="1627"/>
        <w:jc w:val="both"/>
        <w:rPr>
          <w:rFonts w:hint="eastAsia" w:ascii="仿宋" w:hAnsi="仿宋" w:eastAsia="仿宋" w:cs="仿宋"/>
          <w:spacing w:val="-14"/>
          <w:sz w:val="32"/>
          <w:szCs w:val="32"/>
        </w:rPr>
      </w:pPr>
    </w:p>
    <w:p w14:paraId="7866223F">
      <w:pPr>
        <w:pStyle w:val="6"/>
        <w:shd w:val="clear" w:color="auto" w:fill="auto"/>
        <w:tabs>
          <w:tab w:val="left" w:pos="5580"/>
        </w:tabs>
        <w:spacing w:line="240" w:lineRule="atLeast"/>
        <w:ind w:left="0" w:leftChars="0" w:firstLine="0" w:firstLineChars="0"/>
        <w:jc w:val="center"/>
        <w:rPr>
          <w:rFonts w:hint="eastAsia" w:ascii="仿宋" w:hAnsi="仿宋" w:eastAsia="仿宋" w:cs="仿宋"/>
          <w:b/>
          <w:bCs/>
          <w:color w:val="auto"/>
          <w:kern w:val="2"/>
          <w:sz w:val="32"/>
          <w:szCs w:val="32"/>
          <w:highlight w:val="none"/>
          <w:u w:val="none" w:color="000000"/>
          <w:lang w:val="en-US" w:eastAsia="zh-CN" w:bidi="ar-SA"/>
        </w:rPr>
      </w:pPr>
      <w:r>
        <w:rPr>
          <w:rFonts w:hint="eastAsia" w:ascii="仿宋" w:hAnsi="仿宋" w:eastAsia="仿宋" w:cs="仿宋"/>
          <w:b/>
          <w:bCs/>
          <w:color w:val="auto"/>
          <w:kern w:val="2"/>
          <w:sz w:val="32"/>
          <w:szCs w:val="32"/>
          <w:highlight w:val="none"/>
          <w:u w:val="none" w:color="000000"/>
          <w:lang w:val="en-US" w:eastAsia="zh-CN" w:bidi="ar-SA"/>
        </w:rPr>
        <w:t>2、开标一览表</w:t>
      </w:r>
    </w:p>
    <w:p w14:paraId="2B5FC5B0">
      <w:pPr>
        <w:pStyle w:val="6"/>
        <w:shd w:val="clear" w:color="auto" w:fill="auto"/>
        <w:tabs>
          <w:tab w:val="left" w:pos="5580"/>
        </w:tabs>
        <w:spacing w:line="240" w:lineRule="atLeast"/>
        <w:ind w:left="0" w:leftChars="0" w:firstLine="0" w:firstLineChars="0"/>
        <w:jc w:val="center"/>
        <w:rPr>
          <w:rFonts w:hint="eastAsia" w:ascii="仿宋" w:hAnsi="仿宋" w:eastAsia="仿宋" w:cs="仿宋"/>
          <w:color w:val="auto"/>
          <w:kern w:val="2"/>
          <w:sz w:val="32"/>
          <w:szCs w:val="32"/>
          <w:highlight w:val="none"/>
          <w:lang w:val="en-US" w:eastAsia="zh-CN" w:bidi="ar-SA"/>
        </w:rPr>
      </w:pPr>
    </w:p>
    <w:p w14:paraId="463ADEFB">
      <w:pPr>
        <w:pStyle w:val="6"/>
        <w:shd w:val="clear" w:color="auto" w:fill="auto"/>
        <w:tabs>
          <w:tab w:val="left" w:pos="5580"/>
        </w:tabs>
        <w:spacing w:line="240" w:lineRule="atLeast"/>
        <w:ind w:left="0" w:leftChars="0" w:firstLine="0" w:firstLineChars="0"/>
        <w:jc w:val="both"/>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项目名称：</w:t>
      </w:r>
    </w:p>
    <w:p w14:paraId="0C5B8307">
      <w:pPr>
        <w:shd w:val="clear" w:color="auto" w:fill="auto"/>
        <w:adjustRightInd w:val="0"/>
        <w:snapToGrid w:val="0"/>
        <w:spacing w:line="500" w:lineRule="exact"/>
        <w:rPr>
          <w:rFonts w:hint="eastAsia" w:ascii="仿宋" w:hAnsi="仿宋" w:eastAsia="仿宋" w:cs="仿宋"/>
          <w:i/>
          <w:iCs/>
          <w:color w:val="auto"/>
          <w:sz w:val="32"/>
          <w:szCs w:val="32"/>
          <w:highlight w:val="none"/>
        </w:rPr>
      </w:pPr>
      <w:r>
        <w:rPr>
          <w:rFonts w:hint="eastAsia" w:ascii="仿宋" w:hAnsi="仿宋" w:eastAsia="仿宋" w:cs="仿宋"/>
          <w:color w:val="auto"/>
          <w:sz w:val="32"/>
          <w:szCs w:val="32"/>
          <w:highlight w:val="none"/>
        </w:rPr>
        <w:t>项目编号：</w:t>
      </w:r>
      <w:r>
        <w:rPr>
          <w:rFonts w:hint="eastAsia" w:ascii="仿宋" w:hAnsi="仿宋" w:eastAsia="仿宋" w:cs="仿宋"/>
          <w:i/>
          <w:iCs/>
          <w:color w:val="auto"/>
          <w:sz w:val="32"/>
          <w:szCs w:val="32"/>
          <w:highlight w:val="none"/>
        </w:rPr>
        <w:t xml:space="preserve"> </w:t>
      </w:r>
      <w:r>
        <w:rPr>
          <w:rFonts w:hint="eastAsia" w:ascii="仿宋" w:hAnsi="仿宋" w:eastAsia="仿宋" w:cs="仿宋"/>
          <w:color w:val="auto"/>
          <w:sz w:val="32"/>
          <w:szCs w:val="32"/>
          <w:highlight w:val="none"/>
          <w:u w:val="single"/>
        </w:rPr>
        <w:t xml:space="preserve">                         </w:t>
      </w:r>
    </w:p>
    <w:p w14:paraId="574C85CB">
      <w:pPr>
        <w:shd w:val="clear" w:color="auto" w:fill="auto"/>
        <w:spacing w:line="500" w:lineRule="exact"/>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单位：元</w:t>
      </w:r>
    </w:p>
    <w:tbl>
      <w:tblPr>
        <w:tblStyle w:val="28"/>
        <w:tblW w:w="0" w:type="auto"/>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1200"/>
        <w:gridCol w:w="5709"/>
      </w:tblGrid>
      <w:tr w14:paraId="7724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3071" w:type="dxa"/>
            <w:gridSpan w:val="2"/>
            <w:noWrap w:val="0"/>
            <w:vAlign w:val="center"/>
          </w:tcPr>
          <w:p w14:paraId="480CBE72">
            <w:pPr>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项目名称</w:t>
            </w:r>
          </w:p>
        </w:tc>
        <w:tc>
          <w:tcPr>
            <w:tcW w:w="5709" w:type="dxa"/>
            <w:noWrap w:val="0"/>
            <w:vAlign w:val="center"/>
          </w:tcPr>
          <w:p w14:paraId="602F215F">
            <w:pPr>
              <w:shd w:val="clear" w:color="auto" w:fill="auto"/>
              <w:rPr>
                <w:rFonts w:hint="eastAsia" w:ascii="仿宋" w:hAnsi="仿宋" w:eastAsia="仿宋" w:cs="仿宋"/>
                <w:color w:val="auto"/>
                <w:sz w:val="32"/>
                <w:szCs w:val="32"/>
                <w:highlight w:val="none"/>
              </w:rPr>
            </w:pPr>
          </w:p>
        </w:tc>
      </w:tr>
      <w:tr w14:paraId="33FE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3071" w:type="dxa"/>
            <w:gridSpan w:val="2"/>
            <w:noWrap w:val="0"/>
            <w:vAlign w:val="center"/>
          </w:tcPr>
          <w:p w14:paraId="2534A19E">
            <w:pPr>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服务期限</w:t>
            </w:r>
          </w:p>
        </w:tc>
        <w:tc>
          <w:tcPr>
            <w:tcW w:w="5709" w:type="dxa"/>
            <w:noWrap w:val="0"/>
            <w:vAlign w:val="center"/>
          </w:tcPr>
          <w:p w14:paraId="2CBE291F">
            <w:pPr>
              <w:shd w:val="clear" w:color="auto" w:fill="auto"/>
              <w:jc w:val="center"/>
              <w:rPr>
                <w:rFonts w:hint="eastAsia" w:ascii="仿宋" w:hAnsi="仿宋" w:eastAsia="仿宋" w:cs="仿宋"/>
                <w:color w:val="auto"/>
                <w:sz w:val="32"/>
                <w:szCs w:val="32"/>
                <w:highlight w:val="none"/>
              </w:rPr>
            </w:pPr>
          </w:p>
        </w:tc>
      </w:tr>
      <w:tr w14:paraId="74D8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9" w:hRule="atLeast"/>
        </w:trPr>
        <w:tc>
          <w:tcPr>
            <w:tcW w:w="3071" w:type="dxa"/>
            <w:gridSpan w:val="2"/>
            <w:noWrap w:val="0"/>
            <w:vAlign w:val="center"/>
          </w:tcPr>
          <w:p w14:paraId="523356E7">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投标有效期</w:t>
            </w:r>
          </w:p>
        </w:tc>
        <w:tc>
          <w:tcPr>
            <w:tcW w:w="5709" w:type="dxa"/>
            <w:noWrap w:val="0"/>
            <w:vAlign w:val="center"/>
          </w:tcPr>
          <w:p w14:paraId="68C9097C">
            <w:pPr>
              <w:shd w:val="clear" w:color="auto" w:fill="auto"/>
              <w:jc w:val="center"/>
              <w:rPr>
                <w:rFonts w:hint="eastAsia" w:ascii="仿宋" w:hAnsi="仿宋" w:eastAsia="仿宋" w:cs="仿宋"/>
                <w:color w:val="auto"/>
                <w:sz w:val="32"/>
                <w:szCs w:val="32"/>
                <w:highlight w:val="none"/>
              </w:rPr>
            </w:pPr>
          </w:p>
        </w:tc>
      </w:tr>
      <w:tr w14:paraId="6E5DD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trPr>
        <w:tc>
          <w:tcPr>
            <w:tcW w:w="1871" w:type="dxa"/>
            <w:vMerge w:val="restart"/>
            <w:noWrap w:val="0"/>
            <w:vAlign w:val="center"/>
          </w:tcPr>
          <w:p w14:paraId="09B889D4">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投标报价</w:t>
            </w:r>
          </w:p>
        </w:tc>
        <w:tc>
          <w:tcPr>
            <w:tcW w:w="1200" w:type="dxa"/>
            <w:tcBorders>
              <w:top w:val="single" w:color="auto" w:sz="4" w:space="0"/>
              <w:bottom w:val="single" w:color="auto" w:sz="4" w:space="0"/>
            </w:tcBorders>
            <w:noWrap w:val="0"/>
            <w:vAlign w:val="center"/>
          </w:tcPr>
          <w:p w14:paraId="0ED12040">
            <w:pPr>
              <w:widowControl/>
              <w:shd w:val="clear" w:color="auto" w:fill="auto"/>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小写</w:t>
            </w:r>
          </w:p>
        </w:tc>
        <w:tc>
          <w:tcPr>
            <w:tcW w:w="5709" w:type="dxa"/>
            <w:noWrap w:val="0"/>
            <w:vAlign w:val="center"/>
          </w:tcPr>
          <w:p w14:paraId="4C2F6C05">
            <w:pPr>
              <w:shd w:val="clear" w:color="auto" w:fill="auto"/>
              <w:jc w:val="center"/>
              <w:rPr>
                <w:rFonts w:hint="eastAsia" w:ascii="仿宋" w:hAnsi="仿宋" w:eastAsia="仿宋" w:cs="仿宋"/>
                <w:color w:val="auto"/>
                <w:sz w:val="32"/>
                <w:szCs w:val="32"/>
                <w:highlight w:val="none"/>
                <w:lang w:val="en-US" w:eastAsia="zh-CN"/>
              </w:rPr>
            </w:pPr>
          </w:p>
        </w:tc>
      </w:tr>
      <w:tr w14:paraId="21A7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1871" w:type="dxa"/>
            <w:vMerge w:val="continue"/>
            <w:noWrap w:val="0"/>
            <w:vAlign w:val="center"/>
          </w:tcPr>
          <w:p w14:paraId="0ED9B360">
            <w:pPr>
              <w:shd w:val="clear" w:color="auto" w:fill="auto"/>
              <w:jc w:val="center"/>
              <w:rPr>
                <w:rFonts w:hint="eastAsia" w:ascii="仿宋" w:hAnsi="仿宋" w:eastAsia="仿宋" w:cs="仿宋"/>
                <w:color w:val="auto"/>
                <w:sz w:val="32"/>
                <w:szCs w:val="32"/>
                <w:highlight w:val="none"/>
              </w:rPr>
            </w:pPr>
          </w:p>
        </w:tc>
        <w:tc>
          <w:tcPr>
            <w:tcW w:w="1200" w:type="dxa"/>
            <w:tcBorders>
              <w:top w:val="single" w:color="auto" w:sz="4" w:space="0"/>
              <w:bottom w:val="single" w:color="auto" w:sz="4" w:space="0"/>
            </w:tcBorders>
            <w:noWrap w:val="0"/>
            <w:vAlign w:val="center"/>
          </w:tcPr>
          <w:p w14:paraId="4810C529">
            <w:pPr>
              <w:widowControl/>
              <w:shd w:val="clear" w:color="auto" w:fill="auto"/>
              <w:jc w:val="center"/>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大写</w:t>
            </w:r>
          </w:p>
        </w:tc>
        <w:tc>
          <w:tcPr>
            <w:tcW w:w="5709" w:type="dxa"/>
            <w:noWrap w:val="0"/>
            <w:vAlign w:val="center"/>
          </w:tcPr>
          <w:p w14:paraId="2452E803">
            <w:pPr>
              <w:shd w:val="clear" w:color="auto" w:fill="auto"/>
              <w:jc w:val="center"/>
              <w:rPr>
                <w:rFonts w:hint="eastAsia" w:ascii="仿宋" w:hAnsi="仿宋" w:eastAsia="仿宋" w:cs="仿宋"/>
                <w:color w:val="auto"/>
                <w:sz w:val="32"/>
                <w:szCs w:val="32"/>
                <w:highlight w:val="none"/>
              </w:rPr>
            </w:pPr>
          </w:p>
        </w:tc>
      </w:tr>
      <w:tr w14:paraId="384B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8780" w:type="dxa"/>
            <w:gridSpan w:val="3"/>
            <w:noWrap w:val="0"/>
            <w:vAlign w:val="center"/>
          </w:tcPr>
          <w:p w14:paraId="49B531C3">
            <w:pPr>
              <w:shd w:val="clear" w:color="auto" w:fill="auto"/>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合计：         </w:t>
            </w:r>
            <w:r>
              <w:rPr>
                <w:rFonts w:hint="eastAsia" w:ascii="仿宋" w:hAnsi="仿宋" w:eastAsia="仿宋" w:cs="仿宋"/>
                <w:color w:val="auto"/>
                <w:sz w:val="32"/>
                <w:szCs w:val="32"/>
                <w:highlight w:val="none"/>
              </w:rPr>
              <w:t>元</w:t>
            </w:r>
          </w:p>
        </w:tc>
      </w:tr>
    </w:tbl>
    <w:p w14:paraId="6995678F">
      <w:pPr>
        <w:shd w:val="clear" w:color="auto" w:fill="auto"/>
        <w:spacing w:line="500" w:lineRule="exact"/>
        <w:ind w:firstLine="627" w:firstLineChars="196"/>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填写说明：</w:t>
      </w:r>
    </w:p>
    <w:p w14:paraId="0DD7F468">
      <w:pPr>
        <w:shd w:val="clear" w:color="auto" w:fill="auto"/>
        <w:spacing w:line="5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开标时，本表中的内容与投标文件中的投标函、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19ECDE8E">
      <w:pPr>
        <w:shd w:val="clear" w:color="auto" w:fill="auto"/>
        <w:spacing w:afterAutospacing="0" w:line="500" w:lineRule="exact"/>
        <w:ind w:firstLine="640" w:firstLineChars="200"/>
        <w:rPr>
          <w:rFonts w:hint="eastAsia" w:ascii="仿宋" w:hAnsi="仿宋" w:eastAsia="仿宋" w:cs="仿宋"/>
          <w:b/>
          <w:bCs/>
          <w:color w:val="auto"/>
          <w:sz w:val="32"/>
          <w:szCs w:val="32"/>
          <w:highlight w:val="none"/>
          <w:lang w:eastAsia="zh-CN"/>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.投标</w:t>
      </w:r>
      <w:r>
        <w:rPr>
          <w:rFonts w:hint="eastAsia" w:ascii="仿宋" w:hAnsi="仿宋" w:eastAsia="仿宋" w:cs="仿宋"/>
          <w:color w:val="auto"/>
          <w:sz w:val="32"/>
          <w:szCs w:val="32"/>
          <w:highlight w:val="none"/>
          <w:lang w:val="en-US" w:eastAsia="zh-CN"/>
        </w:rPr>
        <w:t>报</w:t>
      </w:r>
      <w:r>
        <w:rPr>
          <w:rFonts w:hint="eastAsia" w:ascii="仿宋" w:hAnsi="仿宋" w:eastAsia="仿宋" w:cs="仿宋"/>
          <w:color w:val="auto"/>
          <w:sz w:val="32"/>
          <w:szCs w:val="32"/>
          <w:highlight w:val="none"/>
        </w:rPr>
        <w:t>价为招标范围所列全部招标</w:t>
      </w:r>
      <w:r>
        <w:rPr>
          <w:rFonts w:hint="eastAsia" w:ascii="仿宋" w:hAnsi="仿宋" w:eastAsia="仿宋" w:cs="仿宋"/>
          <w:color w:val="auto"/>
          <w:sz w:val="32"/>
          <w:szCs w:val="32"/>
          <w:highlight w:val="none"/>
          <w:lang w:val="en-US" w:eastAsia="zh-CN"/>
        </w:rPr>
        <w:t>服务内容</w:t>
      </w:r>
      <w:r>
        <w:rPr>
          <w:rFonts w:hint="eastAsia" w:ascii="仿宋" w:hAnsi="仿宋" w:eastAsia="仿宋" w:cs="仿宋"/>
          <w:color w:val="auto"/>
          <w:sz w:val="32"/>
          <w:szCs w:val="32"/>
          <w:highlight w:val="none"/>
        </w:rPr>
        <w:t>的报价，并应与投标报价明细表及分项价格表保持一致。</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lang w:val="en-US" w:eastAsia="zh-CN"/>
        </w:rPr>
        <w:t>备注：该项目采用总价招标</w:t>
      </w:r>
      <w:r>
        <w:rPr>
          <w:rFonts w:hint="eastAsia" w:ascii="仿宋" w:hAnsi="仿宋" w:eastAsia="仿宋" w:cs="仿宋"/>
          <w:b/>
          <w:bCs/>
          <w:color w:val="auto"/>
          <w:sz w:val="32"/>
          <w:szCs w:val="32"/>
          <w:highlight w:val="none"/>
          <w:lang w:eastAsia="zh-CN"/>
        </w:rPr>
        <w:t>）</w:t>
      </w:r>
    </w:p>
    <w:p w14:paraId="57C9CCC5">
      <w:pPr>
        <w:pStyle w:val="26"/>
        <w:spacing w:before="165" w:beforeLines="50" w:beforeAutospacing="0" w:after="0" w:afterAutospacing="0"/>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 xml:space="preserve">  3.投标报价不得高于最高限价，否则均视为无效投标报价。</w:t>
      </w:r>
    </w:p>
    <w:p w14:paraId="4B1BBABF">
      <w:pPr>
        <w:shd w:val="clear" w:color="auto" w:fill="auto"/>
        <w:spacing w:beforeAutospacing="0" w:line="5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.投标报价不得填报选择性报价。</w:t>
      </w:r>
    </w:p>
    <w:p w14:paraId="6E9F7079">
      <w:pPr>
        <w:shd w:val="clear" w:color="auto" w:fill="auto"/>
        <w:spacing w:line="5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投标人名称：</w:t>
      </w:r>
      <w:r>
        <w:rPr>
          <w:rFonts w:hint="eastAsia" w:ascii="仿宋" w:hAnsi="仿宋" w:eastAsia="仿宋" w:cs="仿宋"/>
          <w:color w:val="auto"/>
          <w:sz w:val="32"/>
          <w:szCs w:val="32"/>
          <w:highlight w:val="none"/>
          <w:u w:val="single"/>
        </w:rPr>
        <w:t xml:space="preserve">    （加盖公章）     </w:t>
      </w:r>
      <w:r>
        <w:rPr>
          <w:rFonts w:hint="eastAsia" w:ascii="仿宋" w:hAnsi="仿宋" w:eastAsia="仿宋" w:cs="仿宋"/>
          <w:color w:val="auto"/>
          <w:sz w:val="32"/>
          <w:szCs w:val="32"/>
          <w:highlight w:val="none"/>
        </w:rPr>
        <w:t xml:space="preserve">       </w:t>
      </w:r>
    </w:p>
    <w:p w14:paraId="15183AB8">
      <w:pPr>
        <w:shd w:val="clear" w:color="auto" w:fill="auto"/>
        <w:spacing w:line="50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法定代表人或其委托代理人</w:t>
      </w:r>
      <w:r>
        <w:rPr>
          <w:rFonts w:hint="eastAsia" w:ascii="仿宋" w:hAnsi="仿宋" w:eastAsia="仿宋" w:cs="仿宋"/>
          <w:color w:val="auto"/>
          <w:sz w:val="32"/>
          <w:szCs w:val="32"/>
          <w:highlight w:val="none"/>
          <w:lang w:val="en-US" w:eastAsia="zh-CN"/>
        </w:rPr>
        <w:t>签章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 xml:space="preserve"> </w:t>
      </w:r>
    </w:p>
    <w:p w14:paraId="33EC748D">
      <w:pPr>
        <w:shd w:val="clear" w:color="auto" w:fill="auto"/>
        <w:spacing w:line="500" w:lineRule="exact"/>
        <w:ind w:firstLine="640" w:firstLineChars="200"/>
        <w:rPr>
          <w:rFonts w:hint="eastAsia" w:ascii="宋体" w:hAnsi="宋体" w:eastAsia="宋体" w:cs="宋体"/>
          <w:b/>
          <w:bCs/>
          <w:color w:val="auto"/>
          <w:sz w:val="24"/>
          <w:highlight w:val="none"/>
        </w:rPr>
      </w:pPr>
      <w:r>
        <w:rPr>
          <w:rFonts w:hint="eastAsia" w:ascii="仿宋" w:hAnsi="仿宋" w:eastAsia="仿宋" w:cs="仿宋"/>
          <w:color w:val="auto"/>
          <w:sz w:val="32"/>
          <w:szCs w:val="32"/>
          <w:highlight w:val="none"/>
        </w:rPr>
        <w:t>签署日期：</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 xml:space="preserve"> 年</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 xml:space="preserve">月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日</w:t>
      </w:r>
    </w:p>
    <w:p w14:paraId="754139D3">
      <w:pPr>
        <w:pStyle w:val="3"/>
        <w:numPr>
          <w:ilvl w:val="0"/>
          <w:numId w:val="0"/>
        </w:numPr>
        <w:shd w:val="clear" w:color="auto" w:fill="auto"/>
        <w:spacing w:before="0" w:line="240" w:lineRule="atLeast"/>
        <w:jc w:val="center"/>
        <w:rPr>
          <w:rFonts w:hint="eastAsia" w:ascii="仿宋" w:hAnsi="仿宋" w:eastAsia="仿宋" w:cs="仿宋"/>
          <w:b/>
          <w:bCs/>
          <w:color w:val="auto"/>
          <w:sz w:val="32"/>
          <w:szCs w:val="32"/>
          <w:highlight w:val="none"/>
        </w:rPr>
      </w:pPr>
      <w:bookmarkStart w:id="318" w:name="_Toc646"/>
      <w:r>
        <w:rPr>
          <w:rFonts w:hint="eastAsia" w:ascii="仿宋" w:hAnsi="仿宋" w:eastAsia="仿宋" w:cs="仿宋"/>
          <w:b/>
          <w:bCs/>
          <w:color w:val="auto"/>
          <w:sz w:val="32"/>
          <w:szCs w:val="32"/>
          <w:highlight w:val="none"/>
          <w:lang w:val="en-US" w:eastAsia="zh-CN"/>
        </w:rPr>
        <w:t>3</w:t>
      </w:r>
      <w:r>
        <w:rPr>
          <w:rFonts w:hint="eastAsia" w:ascii="仿宋" w:hAnsi="仿宋" w:eastAsia="仿宋" w:cs="仿宋"/>
          <w:b/>
          <w:bCs/>
          <w:color w:val="auto"/>
          <w:sz w:val="32"/>
          <w:szCs w:val="32"/>
          <w:highlight w:val="none"/>
          <w:lang w:eastAsia="zh-CN"/>
        </w:rPr>
        <w:t>、</w:t>
      </w:r>
      <w:bookmarkEnd w:id="313"/>
      <w:bookmarkEnd w:id="314"/>
      <w:bookmarkEnd w:id="315"/>
      <w:bookmarkStart w:id="319" w:name="_Toc10313"/>
      <w:bookmarkStart w:id="320" w:name="_Toc515647818"/>
      <w:bookmarkStart w:id="321" w:name="_Toc216582815"/>
      <w:bookmarkStart w:id="322" w:name="_Toc20897"/>
      <w:bookmarkStart w:id="323" w:name="_Toc1881"/>
      <w:bookmarkStart w:id="324" w:name="_Toc22563"/>
      <w:bookmarkStart w:id="325" w:name="_Toc216582817"/>
      <w:bookmarkStart w:id="326" w:name="_Toc28959"/>
      <w:bookmarkStart w:id="327" w:name="_Toc515647820"/>
      <w:r>
        <w:rPr>
          <w:rFonts w:hint="eastAsia" w:ascii="仿宋" w:hAnsi="仿宋" w:eastAsia="仿宋" w:cs="仿宋"/>
          <w:b/>
          <w:bCs/>
          <w:color w:val="auto"/>
          <w:sz w:val="32"/>
          <w:szCs w:val="32"/>
          <w:highlight w:val="none"/>
        </w:rPr>
        <w:t>投标分项报价表</w:t>
      </w:r>
      <w:bookmarkEnd w:id="316"/>
      <w:bookmarkEnd w:id="317"/>
      <w:bookmarkEnd w:id="318"/>
      <w:bookmarkEnd w:id="319"/>
      <w:bookmarkEnd w:id="320"/>
      <w:bookmarkEnd w:id="321"/>
      <w:bookmarkEnd w:id="322"/>
      <w:bookmarkEnd w:id="323"/>
    </w:p>
    <w:p w14:paraId="24D13A87">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792B1C50">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项目名称: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招标编号:                 </w:t>
      </w:r>
    </w:p>
    <w:p w14:paraId="37C6CFB8">
      <w:pPr>
        <w:pStyle w:val="12"/>
        <w:shd w:val="clear" w:color="auto" w:fill="auto"/>
        <w:spacing w:line="240" w:lineRule="atLeast"/>
        <w:ind w:left="1080" w:leftChars="257" w:hanging="54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报价单位：元</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2753"/>
        <w:gridCol w:w="1065"/>
        <w:gridCol w:w="1481"/>
        <w:gridCol w:w="1740"/>
      </w:tblGrid>
      <w:tr w14:paraId="4BB0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1119" w:type="dxa"/>
            <w:noWrap w:val="0"/>
            <w:vAlign w:val="center"/>
          </w:tcPr>
          <w:p w14:paraId="6653DCD1">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序号</w:t>
            </w:r>
          </w:p>
        </w:tc>
        <w:tc>
          <w:tcPr>
            <w:tcW w:w="2753" w:type="dxa"/>
            <w:noWrap w:val="0"/>
            <w:vAlign w:val="center"/>
          </w:tcPr>
          <w:p w14:paraId="342DE8C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服务内容</w:t>
            </w:r>
          </w:p>
        </w:tc>
        <w:tc>
          <w:tcPr>
            <w:tcW w:w="1065" w:type="dxa"/>
            <w:noWrap w:val="0"/>
            <w:vAlign w:val="center"/>
          </w:tcPr>
          <w:p w14:paraId="4756F760">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数量</w:t>
            </w:r>
          </w:p>
        </w:tc>
        <w:tc>
          <w:tcPr>
            <w:tcW w:w="1481" w:type="dxa"/>
            <w:noWrap w:val="0"/>
            <w:vAlign w:val="center"/>
          </w:tcPr>
          <w:p w14:paraId="067FE82F">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总价（元）</w:t>
            </w:r>
          </w:p>
        </w:tc>
        <w:tc>
          <w:tcPr>
            <w:tcW w:w="1740" w:type="dxa"/>
            <w:noWrap w:val="0"/>
            <w:vAlign w:val="center"/>
          </w:tcPr>
          <w:p w14:paraId="7E0717B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备注</w:t>
            </w:r>
          </w:p>
        </w:tc>
      </w:tr>
      <w:tr w14:paraId="10DF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119" w:type="dxa"/>
            <w:noWrap w:val="0"/>
            <w:vAlign w:val="center"/>
          </w:tcPr>
          <w:p w14:paraId="75108C4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2753" w:type="dxa"/>
            <w:noWrap w:val="0"/>
            <w:vAlign w:val="center"/>
          </w:tcPr>
          <w:p w14:paraId="1CD7AF8C">
            <w:pPr>
              <w:pStyle w:val="12"/>
              <w:shd w:val="clear" w:color="auto" w:fill="auto"/>
              <w:spacing w:line="240" w:lineRule="atLeast"/>
              <w:jc w:val="both"/>
              <w:rPr>
                <w:rFonts w:hint="eastAsia" w:ascii="仿宋" w:hAnsi="仿宋" w:eastAsia="仿宋" w:cs="仿宋"/>
                <w:color w:val="auto"/>
                <w:sz w:val="32"/>
                <w:szCs w:val="32"/>
                <w:highlight w:val="none"/>
                <w:lang w:val="en-US" w:eastAsia="zh-CN"/>
              </w:rPr>
            </w:pPr>
          </w:p>
        </w:tc>
        <w:tc>
          <w:tcPr>
            <w:tcW w:w="1065" w:type="dxa"/>
            <w:noWrap w:val="0"/>
            <w:vAlign w:val="center"/>
          </w:tcPr>
          <w:p w14:paraId="455CFE84">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481" w:type="dxa"/>
            <w:noWrap w:val="0"/>
            <w:vAlign w:val="center"/>
          </w:tcPr>
          <w:p w14:paraId="36F1004E">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740" w:type="dxa"/>
            <w:noWrap w:val="0"/>
            <w:vAlign w:val="center"/>
          </w:tcPr>
          <w:p w14:paraId="662125BE">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r>
      <w:tr w14:paraId="139A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19" w:type="dxa"/>
            <w:noWrap w:val="0"/>
            <w:vAlign w:val="center"/>
          </w:tcPr>
          <w:p w14:paraId="56AE33C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p>
        </w:tc>
        <w:tc>
          <w:tcPr>
            <w:tcW w:w="2753" w:type="dxa"/>
            <w:noWrap w:val="0"/>
            <w:vAlign w:val="center"/>
          </w:tcPr>
          <w:p w14:paraId="0FA03CE8">
            <w:pPr>
              <w:pStyle w:val="12"/>
              <w:shd w:val="clear" w:color="auto" w:fill="auto"/>
              <w:spacing w:line="240" w:lineRule="atLeast"/>
              <w:jc w:val="both"/>
              <w:rPr>
                <w:rFonts w:hint="eastAsia" w:ascii="仿宋" w:hAnsi="仿宋" w:eastAsia="仿宋" w:cs="仿宋"/>
                <w:color w:val="auto"/>
                <w:sz w:val="32"/>
                <w:szCs w:val="32"/>
                <w:highlight w:val="none"/>
                <w:lang w:val="en-US" w:eastAsia="zh-CN"/>
              </w:rPr>
            </w:pPr>
          </w:p>
        </w:tc>
        <w:tc>
          <w:tcPr>
            <w:tcW w:w="1065" w:type="dxa"/>
            <w:noWrap w:val="0"/>
            <w:vAlign w:val="center"/>
          </w:tcPr>
          <w:p w14:paraId="617CDD23">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481" w:type="dxa"/>
            <w:noWrap w:val="0"/>
            <w:vAlign w:val="center"/>
          </w:tcPr>
          <w:p w14:paraId="1B040581">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740" w:type="dxa"/>
            <w:noWrap w:val="0"/>
            <w:vAlign w:val="center"/>
          </w:tcPr>
          <w:p w14:paraId="4D2E52F8">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r>
      <w:tr w14:paraId="0545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19" w:type="dxa"/>
            <w:noWrap w:val="0"/>
            <w:vAlign w:val="center"/>
          </w:tcPr>
          <w:p w14:paraId="488EAA1A">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w:t>
            </w:r>
          </w:p>
        </w:tc>
        <w:tc>
          <w:tcPr>
            <w:tcW w:w="2753" w:type="dxa"/>
            <w:noWrap w:val="0"/>
            <w:vAlign w:val="center"/>
          </w:tcPr>
          <w:p w14:paraId="4FEFF031">
            <w:pPr>
              <w:pStyle w:val="12"/>
              <w:shd w:val="clear" w:color="auto" w:fill="auto"/>
              <w:spacing w:line="240" w:lineRule="atLeast"/>
              <w:jc w:val="both"/>
              <w:rPr>
                <w:rFonts w:hint="eastAsia" w:ascii="仿宋" w:hAnsi="仿宋" w:eastAsia="仿宋" w:cs="仿宋"/>
                <w:color w:val="auto"/>
                <w:sz w:val="32"/>
                <w:szCs w:val="32"/>
                <w:highlight w:val="none"/>
                <w:lang w:val="en-US" w:eastAsia="zh-CN"/>
              </w:rPr>
            </w:pPr>
          </w:p>
        </w:tc>
        <w:tc>
          <w:tcPr>
            <w:tcW w:w="1065" w:type="dxa"/>
            <w:noWrap w:val="0"/>
            <w:vAlign w:val="center"/>
          </w:tcPr>
          <w:p w14:paraId="197D80FA">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481" w:type="dxa"/>
            <w:noWrap w:val="0"/>
            <w:vAlign w:val="center"/>
          </w:tcPr>
          <w:p w14:paraId="0A4B66CD">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740" w:type="dxa"/>
            <w:noWrap w:val="0"/>
            <w:vAlign w:val="center"/>
          </w:tcPr>
          <w:p w14:paraId="3F0459BF">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r>
      <w:tr w14:paraId="43A4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19" w:type="dxa"/>
            <w:noWrap w:val="0"/>
            <w:vAlign w:val="center"/>
          </w:tcPr>
          <w:p w14:paraId="658D4C94">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w:t>
            </w:r>
          </w:p>
        </w:tc>
        <w:tc>
          <w:tcPr>
            <w:tcW w:w="2753" w:type="dxa"/>
            <w:noWrap w:val="0"/>
            <w:vAlign w:val="center"/>
          </w:tcPr>
          <w:p w14:paraId="35143A35">
            <w:pPr>
              <w:pStyle w:val="12"/>
              <w:shd w:val="clear" w:color="auto" w:fill="auto"/>
              <w:spacing w:line="240" w:lineRule="atLeast"/>
              <w:jc w:val="both"/>
              <w:rPr>
                <w:rFonts w:hint="eastAsia" w:ascii="仿宋" w:hAnsi="仿宋" w:eastAsia="仿宋" w:cs="仿宋"/>
                <w:color w:val="auto"/>
                <w:sz w:val="32"/>
                <w:szCs w:val="32"/>
                <w:highlight w:val="none"/>
                <w:lang w:val="en-US" w:eastAsia="zh-CN"/>
              </w:rPr>
            </w:pPr>
          </w:p>
        </w:tc>
        <w:tc>
          <w:tcPr>
            <w:tcW w:w="1065" w:type="dxa"/>
            <w:noWrap w:val="0"/>
            <w:vAlign w:val="center"/>
          </w:tcPr>
          <w:p w14:paraId="659F26EB">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481" w:type="dxa"/>
            <w:noWrap w:val="0"/>
            <w:vAlign w:val="center"/>
          </w:tcPr>
          <w:p w14:paraId="44B126BB">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740" w:type="dxa"/>
            <w:noWrap w:val="0"/>
            <w:vAlign w:val="center"/>
          </w:tcPr>
          <w:p w14:paraId="4F364E60">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r>
      <w:tr w14:paraId="79ED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119" w:type="dxa"/>
            <w:noWrap w:val="0"/>
            <w:vAlign w:val="center"/>
          </w:tcPr>
          <w:p w14:paraId="6828A62E">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w:t>
            </w:r>
          </w:p>
        </w:tc>
        <w:tc>
          <w:tcPr>
            <w:tcW w:w="2753" w:type="dxa"/>
            <w:noWrap w:val="0"/>
            <w:vAlign w:val="center"/>
          </w:tcPr>
          <w:p w14:paraId="464C34DE">
            <w:pPr>
              <w:pStyle w:val="12"/>
              <w:shd w:val="clear" w:color="auto" w:fill="auto"/>
              <w:spacing w:line="240" w:lineRule="atLeast"/>
              <w:jc w:val="both"/>
              <w:rPr>
                <w:rFonts w:hint="eastAsia" w:ascii="仿宋" w:hAnsi="仿宋" w:eastAsia="仿宋" w:cs="仿宋"/>
                <w:color w:val="auto"/>
                <w:sz w:val="32"/>
                <w:szCs w:val="32"/>
                <w:highlight w:val="none"/>
                <w:lang w:val="en-US" w:eastAsia="zh-CN"/>
              </w:rPr>
            </w:pPr>
          </w:p>
        </w:tc>
        <w:tc>
          <w:tcPr>
            <w:tcW w:w="1065" w:type="dxa"/>
            <w:noWrap w:val="0"/>
            <w:vAlign w:val="center"/>
          </w:tcPr>
          <w:p w14:paraId="529C3CCA">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481" w:type="dxa"/>
            <w:noWrap w:val="0"/>
            <w:vAlign w:val="center"/>
          </w:tcPr>
          <w:p w14:paraId="635D71AE">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740" w:type="dxa"/>
            <w:noWrap w:val="0"/>
            <w:vAlign w:val="center"/>
          </w:tcPr>
          <w:p w14:paraId="6672114D">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r>
      <w:tr w14:paraId="1840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119" w:type="dxa"/>
            <w:noWrap w:val="0"/>
            <w:vAlign w:val="center"/>
          </w:tcPr>
          <w:p w14:paraId="5C07A109">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w:t>
            </w:r>
          </w:p>
        </w:tc>
        <w:tc>
          <w:tcPr>
            <w:tcW w:w="2753" w:type="dxa"/>
            <w:noWrap w:val="0"/>
            <w:vAlign w:val="center"/>
          </w:tcPr>
          <w:p w14:paraId="2338EB20">
            <w:pPr>
              <w:pStyle w:val="12"/>
              <w:shd w:val="clear" w:color="auto" w:fill="auto"/>
              <w:spacing w:line="240" w:lineRule="atLeast"/>
              <w:jc w:val="both"/>
              <w:rPr>
                <w:rFonts w:hint="eastAsia" w:ascii="仿宋" w:hAnsi="仿宋" w:eastAsia="仿宋" w:cs="仿宋"/>
                <w:color w:val="auto"/>
                <w:sz w:val="32"/>
                <w:szCs w:val="32"/>
                <w:highlight w:val="none"/>
                <w:lang w:val="en-US" w:eastAsia="zh-CN"/>
              </w:rPr>
            </w:pPr>
          </w:p>
        </w:tc>
        <w:tc>
          <w:tcPr>
            <w:tcW w:w="1065" w:type="dxa"/>
            <w:noWrap w:val="0"/>
            <w:vAlign w:val="center"/>
          </w:tcPr>
          <w:p w14:paraId="432815D0">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481" w:type="dxa"/>
            <w:noWrap w:val="0"/>
            <w:vAlign w:val="center"/>
          </w:tcPr>
          <w:p w14:paraId="1BEE5364">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c>
          <w:tcPr>
            <w:tcW w:w="1740" w:type="dxa"/>
            <w:noWrap w:val="0"/>
            <w:vAlign w:val="center"/>
          </w:tcPr>
          <w:p w14:paraId="670859F8">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p>
        </w:tc>
      </w:tr>
      <w:tr w14:paraId="5811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158" w:type="dxa"/>
            <w:gridSpan w:val="5"/>
            <w:noWrap w:val="0"/>
            <w:vAlign w:val="center"/>
          </w:tcPr>
          <w:p w14:paraId="4365BB08">
            <w:pPr>
              <w:pStyle w:val="12"/>
              <w:shd w:val="clear" w:color="auto" w:fill="auto"/>
              <w:spacing w:line="240" w:lineRule="atLeast"/>
              <w:ind w:left="1080" w:leftChars="257" w:hanging="54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总计（</w:t>
            </w:r>
            <w:r>
              <w:rPr>
                <w:rFonts w:hint="eastAsia" w:ascii="仿宋" w:hAnsi="仿宋" w:eastAsia="仿宋" w:cs="仿宋"/>
                <w:color w:val="auto"/>
                <w:sz w:val="32"/>
                <w:szCs w:val="32"/>
                <w:highlight w:val="none"/>
              </w:rPr>
              <w:t>元</w:t>
            </w:r>
            <w:r>
              <w:rPr>
                <w:rFonts w:hint="eastAsia" w:ascii="仿宋" w:hAnsi="仿宋" w:eastAsia="仿宋" w:cs="仿宋"/>
                <w:color w:val="auto"/>
                <w:sz w:val="32"/>
                <w:szCs w:val="32"/>
                <w:highlight w:val="none"/>
                <w:lang w:val="en-US" w:eastAsia="zh-CN"/>
              </w:rPr>
              <w:t>）：</w:t>
            </w:r>
          </w:p>
        </w:tc>
      </w:tr>
    </w:tbl>
    <w:p w14:paraId="1DBFB3B9">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0FB62152">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法定代表人或其委托代理人</w:t>
      </w:r>
      <w:r>
        <w:rPr>
          <w:rFonts w:hint="eastAsia" w:ascii="仿宋" w:hAnsi="仿宋" w:eastAsia="仿宋" w:cs="仿宋"/>
          <w:color w:val="auto"/>
          <w:sz w:val="32"/>
          <w:szCs w:val="32"/>
          <w:highlight w:val="none"/>
          <w:lang w:val="en-US" w:eastAsia="zh-CN"/>
        </w:rPr>
        <w:t>签章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u w:val="single"/>
        </w:rPr>
        <w:tab/>
      </w:r>
      <w:r>
        <w:rPr>
          <w:rFonts w:hint="eastAsia" w:ascii="仿宋" w:hAnsi="仿宋" w:eastAsia="仿宋" w:cs="仿宋"/>
          <w:color w:val="auto"/>
          <w:sz w:val="32"/>
          <w:szCs w:val="32"/>
          <w:highlight w:val="none"/>
          <w:u w:val="single"/>
        </w:rPr>
        <w:t xml:space="preserve">                 </w:t>
      </w:r>
    </w:p>
    <w:p w14:paraId="15943A10">
      <w:pPr>
        <w:pStyle w:val="12"/>
        <w:shd w:val="clear" w:color="auto" w:fill="auto"/>
        <w:tabs>
          <w:tab w:val="left" w:pos="5370"/>
        </w:tabs>
        <w:spacing w:line="240" w:lineRule="atLeast"/>
        <w:ind w:left="1080" w:leftChars="257" w:hanging="54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投标人(盖单位章):</w:t>
      </w:r>
      <w:r>
        <w:rPr>
          <w:rFonts w:hint="eastAsia" w:ascii="仿宋" w:hAnsi="仿宋" w:eastAsia="仿宋" w:cs="仿宋"/>
          <w:color w:val="auto"/>
          <w:sz w:val="32"/>
          <w:szCs w:val="32"/>
          <w:highlight w:val="none"/>
          <w:u w:val="single"/>
        </w:rPr>
        <w:tab/>
      </w:r>
    </w:p>
    <w:p w14:paraId="0CEDBA19">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50B0A612">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.如果按单价计算的结果与总价不一致,以单价为准修正总价。</w:t>
      </w:r>
    </w:p>
    <w:p w14:paraId="7782C0C4">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.如果不提供详细分项报价将视为没有实质性响应</w:t>
      </w:r>
      <w:r>
        <w:rPr>
          <w:rFonts w:hint="eastAsia" w:ascii="仿宋" w:hAnsi="仿宋" w:eastAsia="仿宋" w:cs="仿宋"/>
          <w:color w:val="auto"/>
          <w:sz w:val="32"/>
          <w:szCs w:val="32"/>
          <w:highlight w:val="none"/>
          <w:lang w:val="en-US" w:eastAsia="zh-CN"/>
        </w:rPr>
        <w:t>竞争性磋商</w:t>
      </w:r>
      <w:r>
        <w:rPr>
          <w:rFonts w:hint="eastAsia" w:ascii="仿宋" w:hAnsi="仿宋" w:eastAsia="仿宋" w:cs="仿宋"/>
          <w:color w:val="auto"/>
          <w:sz w:val="32"/>
          <w:szCs w:val="32"/>
          <w:highlight w:val="none"/>
        </w:rPr>
        <w:t>文件。</w:t>
      </w:r>
    </w:p>
    <w:p w14:paraId="0B17C13B">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.如果开标一览表（报价表）内容与投标文件中明细表内容不一致的，以开标一览表（报价表）内容为准。</w:t>
      </w:r>
    </w:p>
    <w:p w14:paraId="762BD95A">
      <w:pPr>
        <w:pStyle w:val="12"/>
        <w:shd w:val="clear" w:color="auto" w:fill="auto"/>
        <w:spacing w:line="240" w:lineRule="atLeast"/>
        <w:ind w:left="1080" w:leftChars="257" w:hanging="540"/>
        <w:jc w:val="center"/>
        <w:rPr>
          <w:rFonts w:hint="eastAsia" w:ascii="仿宋" w:hAnsi="仿宋" w:eastAsia="仿宋" w:cs="仿宋"/>
          <w:b/>
          <w:bCs/>
          <w:color w:val="auto"/>
          <w:sz w:val="32"/>
          <w:szCs w:val="32"/>
          <w:highlight w:val="none"/>
        </w:rPr>
      </w:pPr>
      <w:r>
        <w:rPr>
          <w:rFonts w:hint="eastAsia" w:ascii="仿宋" w:hAnsi="仿宋" w:eastAsia="仿宋" w:cs="仿宋"/>
          <w:color w:val="auto"/>
          <w:sz w:val="32"/>
          <w:szCs w:val="32"/>
          <w:highlight w:val="none"/>
        </w:rPr>
        <w:br w:type="page"/>
      </w:r>
      <w:bookmarkStart w:id="328" w:name="_Toc515647819"/>
      <w:bookmarkStart w:id="329" w:name="_Toc14037"/>
      <w:bookmarkStart w:id="330" w:name="_Toc18267"/>
      <w:bookmarkStart w:id="331" w:name="_Toc216582816"/>
      <w:bookmarkStart w:id="332" w:name="_Toc12257"/>
      <w:bookmarkStart w:id="333" w:name="_Toc4012"/>
      <w:r>
        <w:rPr>
          <w:rFonts w:hint="eastAsia" w:ascii="仿宋" w:hAnsi="仿宋" w:eastAsia="仿宋" w:cs="仿宋"/>
          <w:color w:val="auto"/>
          <w:sz w:val="32"/>
          <w:szCs w:val="32"/>
          <w:highlight w:val="none"/>
          <w:lang w:val="en-US" w:eastAsia="zh-CN"/>
        </w:rPr>
        <w:t>4</w:t>
      </w:r>
      <w:r>
        <w:rPr>
          <w:rFonts w:hint="eastAsia" w:ascii="仿宋" w:hAnsi="仿宋" w:eastAsia="仿宋" w:cs="仿宋"/>
          <w:b/>
          <w:bCs/>
          <w:color w:val="auto"/>
          <w:sz w:val="32"/>
          <w:szCs w:val="32"/>
          <w:highlight w:val="none"/>
          <w:lang w:val="en-US" w:eastAsia="zh-CN"/>
        </w:rPr>
        <w:t>、</w:t>
      </w:r>
      <w:r>
        <w:rPr>
          <w:rFonts w:hint="eastAsia" w:ascii="仿宋" w:hAnsi="仿宋" w:eastAsia="仿宋" w:cs="仿宋"/>
          <w:b/>
          <w:bCs/>
          <w:color w:val="auto"/>
          <w:sz w:val="32"/>
          <w:szCs w:val="32"/>
          <w:highlight w:val="none"/>
          <w:lang w:eastAsia="zh-CN"/>
        </w:rPr>
        <w:t>服务</w:t>
      </w:r>
      <w:r>
        <w:rPr>
          <w:rFonts w:hint="eastAsia" w:ascii="仿宋" w:hAnsi="仿宋" w:eastAsia="仿宋" w:cs="仿宋"/>
          <w:b/>
          <w:bCs/>
          <w:color w:val="auto"/>
          <w:sz w:val="32"/>
          <w:szCs w:val="32"/>
          <w:highlight w:val="none"/>
        </w:rPr>
        <w:t>说明一览表</w:t>
      </w:r>
      <w:bookmarkEnd w:id="328"/>
      <w:bookmarkEnd w:id="329"/>
      <w:bookmarkEnd w:id="330"/>
      <w:bookmarkEnd w:id="331"/>
      <w:bookmarkEnd w:id="332"/>
      <w:bookmarkEnd w:id="333"/>
    </w:p>
    <w:p w14:paraId="384C7578">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049D7522">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项目名称:                           </w:t>
      </w:r>
    </w:p>
    <w:p w14:paraId="52612FCF">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招标编号:                      </w:t>
      </w:r>
    </w:p>
    <w:tbl>
      <w:tblPr>
        <w:tblStyle w:val="28"/>
        <w:tblpPr w:leftFromText="180" w:rightFromText="180" w:vertAnchor="text" w:horzAnchor="page" w:tblpX="2225" w:tblpY="5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878"/>
        <w:gridCol w:w="1913"/>
        <w:gridCol w:w="1759"/>
        <w:gridCol w:w="1271"/>
      </w:tblGrid>
      <w:tr w14:paraId="23CAD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9" w:hRule="atLeast"/>
          <w:jc w:val="center"/>
        </w:trPr>
        <w:tc>
          <w:tcPr>
            <w:tcW w:w="816" w:type="dxa"/>
            <w:noWrap w:val="0"/>
            <w:vAlign w:val="top"/>
          </w:tcPr>
          <w:p w14:paraId="79299532">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序号</w:t>
            </w:r>
          </w:p>
        </w:tc>
        <w:tc>
          <w:tcPr>
            <w:tcW w:w="1878" w:type="dxa"/>
            <w:noWrap w:val="0"/>
            <w:vAlign w:val="center"/>
          </w:tcPr>
          <w:p w14:paraId="33F7AE5D">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服务内容</w:t>
            </w:r>
          </w:p>
        </w:tc>
        <w:tc>
          <w:tcPr>
            <w:tcW w:w="1913" w:type="dxa"/>
            <w:noWrap w:val="0"/>
            <w:vAlign w:val="center"/>
          </w:tcPr>
          <w:p w14:paraId="37939D4A">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服务期限</w:t>
            </w:r>
          </w:p>
        </w:tc>
        <w:tc>
          <w:tcPr>
            <w:tcW w:w="1759" w:type="dxa"/>
            <w:noWrap w:val="0"/>
            <w:vAlign w:val="center"/>
          </w:tcPr>
          <w:p w14:paraId="3294666C">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服务地点</w:t>
            </w:r>
          </w:p>
        </w:tc>
        <w:tc>
          <w:tcPr>
            <w:tcW w:w="1271" w:type="dxa"/>
            <w:noWrap w:val="0"/>
            <w:vAlign w:val="center"/>
          </w:tcPr>
          <w:p w14:paraId="763842C9">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r>
              <w:rPr>
                <w:rFonts w:hint="eastAsia" w:ascii="仿宋" w:hAnsi="仿宋" w:eastAsia="仿宋" w:cs="仿宋"/>
                <w:color w:val="auto"/>
                <w:kern w:val="2"/>
                <w:sz w:val="32"/>
                <w:szCs w:val="32"/>
                <w:highlight w:val="none"/>
                <w:u w:val="none" w:color="000000"/>
                <w:lang w:val="en-US" w:eastAsia="zh-CN" w:bidi="ar-SA"/>
              </w:rPr>
              <w:t>备注</w:t>
            </w:r>
          </w:p>
        </w:tc>
      </w:tr>
      <w:tr w14:paraId="14D1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16" w:type="dxa"/>
            <w:noWrap w:val="0"/>
            <w:vAlign w:val="top"/>
          </w:tcPr>
          <w:p w14:paraId="3D3A1B9B">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p>
        </w:tc>
        <w:tc>
          <w:tcPr>
            <w:tcW w:w="1878" w:type="dxa"/>
            <w:noWrap w:val="0"/>
            <w:vAlign w:val="center"/>
          </w:tcPr>
          <w:p w14:paraId="5C3B681F">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p>
        </w:tc>
        <w:tc>
          <w:tcPr>
            <w:tcW w:w="1913" w:type="dxa"/>
            <w:noWrap w:val="0"/>
            <w:vAlign w:val="center"/>
          </w:tcPr>
          <w:p w14:paraId="44CB74D5">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p>
        </w:tc>
        <w:tc>
          <w:tcPr>
            <w:tcW w:w="1759" w:type="dxa"/>
            <w:noWrap w:val="0"/>
            <w:vAlign w:val="center"/>
          </w:tcPr>
          <w:p w14:paraId="1F94D22F">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p>
        </w:tc>
        <w:tc>
          <w:tcPr>
            <w:tcW w:w="1271" w:type="dxa"/>
            <w:noWrap w:val="0"/>
            <w:vAlign w:val="center"/>
          </w:tcPr>
          <w:p w14:paraId="4A7322EE">
            <w:pPr>
              <w:shd w:val="clear" w:color="auto" w:fill="auto"/>
              <w:jc w:val="center"/>
              <w:rPr>
                <w:rFonts w:hint="eastAsia" w:ascii="仿宋" w:hAnsi="仿宋" w:eastAsia="仿宋" w:cs="仿宋"/>
                <w:color w:val="auto"/>
                <w:kern w:val="2"/>
                <w:sz w:val="32"/>
                <w:szCs w:val="32"/>
                <w:highlight w:val="none"/>
                <w:u w:val="none" w:color="000000"/>
                <w:lang w:val="en-US" w:eastAsia="zh-CN" w:bidi="ar-SA"/>
              </w:rPr>
            </w:pPr>
          </w:p>
        </w:tc>
      </w:tr>
      <w:tr w14:paraId="6D24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16" w:type="dxa"/>
            <w:noWrap w:val="0"/>
            <w:vAlign w:val="top"/>
          </w:tcPr>
          <w:p w14:paraId="325FAB1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080742A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2DA3FD7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08D243B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3A4BDC7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2DA2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16" w:type="dxa"/>
            <w:noWrap w:val="0"/>
            <w:vAlign w:val="top"/>
          </w:tcPr>
          <w:p w14:paraId="1E98FCC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36B9E27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67216FB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02CFB4F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292F87F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4EA3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16" w:type="dxa"/>
            <w:noWrap w:val="0"/>
            <w:vAlign w:val="top"/>
          </w:tcPr>
          <w:p w14:paraId="7F2BC7C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3A2CBBF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3985A631">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134F761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687EB7C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0FF3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16" w:type="dxa"/>
            <w:noWrap w:val="0"/>
            <w:vAlign w:val="top"/>
          </w:tcPr>
          <w:p w14:paraId="0552EFE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2863F17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637AA92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627B4D9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6196340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35C38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816" w:type="dxa"/>
            <w:noWrap w:val="0"/>
            <w:vAlign w:val="top"/>
          </w:tcPr>
          <w:p w14:paraId="7BF2197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31D4EE5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150FF4E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7D1360D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6ABE695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48F6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816" w:type="dxa"/>
            <w:noWrap w:val="0"/>
            <w:vAlign w:val="top"/>
          </w:tcPr>
          <w:p w14:paraId="31341E9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18292D9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2F1FA62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3CB15AE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237A133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2232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816" w:type="dxa"/>
            <w:noWrap w:val="0"/>
            <w:vAlign w:val="top"/>
          </w:tcPr>
          <w:p w14:paraId="6AAB999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339E4C9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1BA6130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5F2CB01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7934EE1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31B3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16" w:type="dxa"/>
            <w:noWrap w:val="0"/>
            <w:vAlign w:val="top"/>
          </w:tcPr>
          <w:p w14:paraId="5F419F2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78" w:type="dxa"/>
            <w:noWrap w:val="0"/>
            <w:vAlign w:val="top"/>
          </w:tcPr>
          <w:p w14:paraId="422455A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913" w:type="dxa"/>
            <w:noWrap w:val="0"/>
            <w:vAlign w:val="top"/>
          </w:tcPr>
          <w:p w14:paraId="3724FE5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759" w:type="dxa"/>
            <w:noWrap w:val="0"/>
            <w:vAlign w:val="top"/>
          </w:tcPr>
          <w:p w14:paraId="79C51CB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271" w:type="dxa"/>
            <w:noWrap w:val="0"/>
            <w:vAlign w:val="top"/>
          </w:tcPr>
          <w:p w14:paraId="3BFDC2B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bl>
    <w:p w14:paraId="52AE5174">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63F627BA">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508B9D60">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CDF0E4B">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CA2F6EC">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3DAC34F5">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45320783">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49966328">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E57346F">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3A03809F">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6D48B661">
      <w:pPr>
        <w:pStyle w:val="12"/>
        <w:shd w:val="clear" w:color="auto" w:fill="auto"/>
        <w:spacing w:line="240" w:lineRule="atLeast"/>
        <w:rPr>
          <w:rFonts w:hint="eastAsia" w:ascii="仿宋" w:hAnsi="仿宋" w:eastAsia="仿宋" w:cs="仿宋"/>
          <w:color w:val="auto"/>
          <w:sz w:val="32"/>
          <w:szCs w:val="32"/>
          <w:highlight w:val="none"/>
        </w:rPr>
      </w:pPr>
    </w:p>
    <w:p w14:paraId="1FA653FB">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FE1971A">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E901E5D">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B305F7B">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法定代表人或其委托代理人签字:</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u w:val="single"/>
        </w:rPr>
        <w:tab/>
      </w:r>
      <w:r>
        <w:rPr>
          <w:rFonts w:hint="eastAsia" w:ascii="仿宋" w:hAnsi="仿宋" w:eastAsia="仿宋" w:cs="仿宋"/>
          <w:color w:val="auto"/>
          <w:sz w:val="32"/>
          <w:szCs w:val="32"/>
          <w:highlight w:val="none"/>
          <w:u w:val="single"/>
        </w:rPr>
        <w:t xml:space="preserve">                 </w:t>
      </w:r>
    </w:p>
    <w:p w14:paraId="70DE1F15">
      <w:pPr>
        <w:pStyle w:val="12"/>
        <w:shd w:val="clear" w:color="auto" w:fill="auto"/>
        <w:tabs>
          <w:tab w:val="left" w:pos="5370"/>
        </w:tabs>
        <w:spacing w:line="240" w:lineRule="atLeast"/>
        <w:ind w:left="1080" w:leftChars="257" w:hanging="54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投标人(盖单位章):</w:t>
      </w:r>
      <w:r>
        <w:rPr>
          <w:rFonts w:hint="eastAsia" w:ascii="仿宋" w:hAnsi="仿宋" w:eastAsia="仿宋" w:cs="仿宋"/>
          <w:color w:val="auto"/>
          <w:sz w:val="32"/>
          <w:szCs w:val="32"/>
          <w:highlight w:val="none"/>
          <w:u w:val="single"/>
        </w:rPr>
        <w:tab/>
      </w:r>
    </w:p>
    <w:p w14:paraId="7CC5D1C2">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519E3901">
      <w:pPr>
        <w:pStyle w:val="12"/>
        <w:shd w:val="clear" w:color="auto" w:fill="auto"/>
        <w:spacing w:line="240" w:lineRule="atLeast"/>
        <w:ind w:left="1080" w:leftChars="257" w:hanging="540"/>
        <w:rPr>
          <w:rFonts w:hint="eastAsia" w:ascii="宋体" w:hAnsi="宋体" w:eastAsia="宋体" w:cs="宋体"/>
          <w:color w:val="auto"/>
          <w:sz w:val="24"/>
          <w:highlight w:val="none"/>
        </w:rPr>
      </w:pPr>
    </w:p>
    <w:p w14:paraId="2B8CB0D7">
      <w:pPr>
        <w:pStyle w:val="12"/>
        <w:shd w:val="clear" w:color="auto" w:fill="auto"/>
        <w:spacing w:line="240" w:lineRule="atLeast"/>
        <w:ind w:left="1080" w:leftChars="257" w:hanging="540"/>
        <w:jc w:val="center"/>
        <w:rPr>
          <w:rFonts w:hint="eastAsia" w:ascii="宋体" w:hAnsi="宋体" w:eastAsia="宋体" w:cs="宋体"/>
          <w:color w:val="auto"/>
          <w:sz w:val="24"/>
          <w:highlight w:val="none"/>
        </w:rPr>
      </w:pPr>
    </w:p>
    <w:p w14:paraId="6FCE639C">
      <w:pPr>
        <w:pStyle w:val="12"/>
        <w:shd w:val="clear" w:color="auto" w:fill="auto"/>
        <w:spacing w:line="240" w:lineRule="atLeast"/>
        <w:ind w:left="1080" w:leftChars="257" w:hanging="540"/>
        <w:jc w:val="center"/>
        <w:rPr>
          <w:rFonts w:hint="eastAsia" w:ascii="宋体" w:hAnsi="宋体" w:eastAsia="宋体" w:cs="宋体"/>
          <w:color w:val="auto"/>
          <w:sz w:val="24"/>
          <w:highlight w:val="none"/>
        </w:rPr>
        <w:sectPr>
          <w:headerReference r:id="rId8" w:type="default"/>
          <w:footerReference r:id="rId9" w:type="default"/>
          <w:pgSz w:w="11905" w:h="16838"/>
          <w:pgMar w:top="1531" w:right="1474" w:bottom="1531" w:left="1474" w:header="850" w:footer="992" w:gutter="0"/>
          <w:pgBorders>
            <w:top w:val="none" w:sz="0" w:space="0"/>
            <w:left w:val="none" w:sz="0" w:space="0"/>
            <w:bottom w:val="none" w:sz="0" w:space="0"/>
            <w:right w:val="none" w:sz="0" w:space="0"/>
          </w:pgBorders>
          <w:pgNumType w:fmt="decimal"/>
          <w:cols w:space="720" w:num="1"/>
          <w:rtlGutter w:val="0"/>
          <w:docGrid w:linePitch="325" w:charSpace="0"/>
        </w:sectPr>
      </w:pPr>
    </w:p>
    <w:p w14:paraId="7F5D75F6">
      <w:pPr>
        <w:pStyle w:val="3"/>
        <w:numPr>
          <w:ilvl w:val="0"/>
          <w:numId w:val="0"/>
        </w:numPr>
        <w:shd w:val="clear" w:color="auto" w:fill="auto"/>
        <w:spacing w:before="0" w:line="240" w:lineRule="atLeast"/>
        <w:jc w:val="center"/>
        <w:rPr>
          <w:rFonts w:hint="eastAsia" w:ascii="仿宋" w:hAnsi="仿宋" w:eastAsia="仿宋" w:cs="仿宋"/>
          <w:color w:val="auto"/>
          <w:sz w:val="32"/>
          <w:szCs w:val="32"/>
          <w:highlight w:val="none"/>
        </w:rPr>
      </w:pPr>
      <w:bookmarkStart w:id="334" w:name="_Toc19889"/>
      <w:bookmarkStart w:id="335" w:name="_Toc18196"/>
      <w:bookmarkStart w:id="336" w:name="_Toc14435"/>
      <w:bookmarkStart w:id="337" w:name="_Toc12170"/>
      <w:r>
        <w:rPr>
          <w:rFonts w:hint="eastAsia" w:ascii="仿宋" w:hAnsi="仿宋" w:eastAsia="仿宋" w:cs="仿宋"/>
          <w:b/>
          <w:bCs/>
          <w:color w:val="auto"/>
          <w:sz w:val="32"/>
          <w:szCs w:val="32"/>
          <w:highlight w:val="none"/>
          <w:lang w:val="en-US" w:eastAsia="zh-CN"/>
        </w:rPr>
        <w:t>5、</w:t>
      </w:r>
      <w:r>
        <w:rPr>
          <w:rFonts w:hint="eastAsia" w:ascii="仿宋" w:hAnsi="仿宋" w:eastAsia="仿宋" w:cs="仿宋"/>
          <w:b/>
          <w:bCs/>
          <w:color w:val="auto"/>
          <w:sz w:val="32"/>
          <w:szCs w:val="32"/>
          <w:highlight w:val="none"/>
        </w:rPr>
        <w:t>技术规格偏离表</w:t>
      </w:r>
      <w:bookmarkEnd w:id="324"/>
      <w:bookmarkEnd w:id="325"/>
      <w:bookmarkEnd w:id="326"/>
      <w:bookmarkEnd w:id="327"/>
      <w:bookmarkEnd w:id="334"/>
      <w:bookmarkEnd w:id="335"/>
      <w:bookmarkEnd w:id="336"/>
      <w:bookmarkEnd w:id="337"/>
    </w:p>
    <w:p w14:paraId="65A60462">
      <w:pPr>
        <w:pStyle w:val="12"/>
        <w:shd w:val="clear" w:color="auto" w:fill="auto"/>
        <w:spacing w:line="240" w:lineRule="atLeas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项目名称:                       招标编号:               </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982"/>
        <w:gridCol w:w="1814"/>
        <w:gridCol w:w="1554"/>
        <w:gridCol w:w="2414"/>
        <w:gridCol w:w="700"/>
      </w:tblGrid>
      <w:tr w14:paraId="5108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1" w:hRule="atLeast"/>
          <w:jc w:val="center"/>
        </w:trPr>
        <w:tc>
          <w:tcPr>
            <w:tcW w:w="660" w:type="dxa"/>
            <w:noWrap w:val="0"/>
            <w:vAlign w:val="center"/>
          </w:tcPr>
          <w:p w14:paraId="64E00B8B">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序号</w:t>
            </w:r>
          </w:p>
        </w:tc>
        <w:tc>
          <w:tcPr>
            <w:tcW w:w="982" w:type="dxa"/>
            <w:noWrap w:val="0"/>
            <w:vAlign w:val="center"/>
          </w:tcPr>
          <w:p w14:paraId="11F29B7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服务名称</w:t>
            </w:r>
          </w:p>
        </w:tc>
        <w:tc>
          <w:tcPr>
            <w:tcW w:w="1814" w:type="dxa"/>
            <w:noWrap w:val="0"/>
            <w:vAlign w:val="center"/>
          </w:tcPr>
          <w:p w14:paraId="77B7FC50">
            <w:pPr>
              <w:pStyle w:val="12"/>
              <w:shd w:val="clear" w:color="auto" w:fill="auto"/>
              <w:spacing w:line="240" w:lineRule="atLeast"/>
              <w:ind w:left="269" w:leftChars="128"/>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磋商文件</w:t>
            </w:r>
            <w:r>
              <w:rPr>
                <w:rFonts w:hint="eastAsia" w:ascii="仿宋" w:hAnsi="仿宋" w:eastAsia="仿宋" w:cs="仿宋"/>
                <w:sz w:val="32"/>
                <w:szCs w:val="32"/>
                <w:lang w:val="en-US" w:eastAsia="zh-CN"/>
              </w:rPr>
              <w:t>内容</w:t>
            </w:r>
          </w:p>
        </w:tc>
        <w:tc>
          <w:tcPr>
            <w:tcW w:w="1554" w:type="dxa"/>
            <w:noWrap w:val="0"/>
            <w:vAlign w:val="center"/>
          </w:tcPr>
          <w:p w14:paraId="0E3AF65B">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响应文件</w:t>
            </w:r>
            <w:r>
              <w:rPr>
                <w:rFonts w:hint="eastAsia" w:ascii="仿宋" w:hAnsi="仿宋" w:eastAsia="仿宋" w:cs="仿宋"/>
                <w:sz w:val="32"/>
                <w:szCs w:val="32"/>
                <w:lang w:val="en-US" w:eastAsia="zh-CN"/>
              </w:rPr>
              <w:t>内容</w:t>
            </w:r>
          </w:p>
        </w:tc>
        <w:tc>
          <w:tcPr>
            <w:tcW w:w="2414" w:type="dxa"/>
            <w:noWrap w:val="0"/>
            <w:vAlign w:val="center"/>
          </w:tcPr>
          <w:p w14:paraId="2E71549F">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是否偏离</w:t>
            </w:r>
          </w:p>
        </w:tc>
        <w:tc>
          <w:tcPr>
            <w:tcW w:w="700" w:type="dxa"/>
            <w:noWrap w:val="0"/>
            <w:vAlign w:val="center"/>
          </w:tcPr>
          <w:p w14:paraId="1AEAF86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说明</w:t>
            </w:r>
          </w:p>
        </w:tc>
      </w:tr>
      <w:tr w14:paraId="3119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271977C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7FDFC4A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68CA63F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73B421F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center"/>
          </w:tcPr>
          <w:p w14:paraId="4CBCA556">
            <w:pPr>
              <w:pStyle w:val="12"/>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u w:val="single" w:color="auto"/>
                <w:lang w:val="en-US" w:eastAsia="zh-CN"/>
              </w:rPr>
              <w:t>如有正偏离需提供证明材料，证明材料附后(并注明页码)</w:t>
            </w:r>
          </w:p>
        </w:tc>
        <w:tc>
          <w:tcPr>
            <w:tcW w:w="700" w:type="dxa"/>
            <w:noWrap w:val="0"/>
            <w:vAlign w:val="top"/>
          </w:tcPr>
          <w:p w14:paraId="4CABEE3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647B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5A1B907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5AE70B6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74D695B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2BE45BD1">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60B0A0C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37FEBE6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3CF4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2638B88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1B041D9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30F4C1D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5802F1D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1EE2AA2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37B3717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4743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3BA7683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1BC6844D">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3369960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44363B2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6B73F2B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59123E1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11C7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3E01E33D">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489A43D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5693CE7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4B131AF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7D92DE0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49A26D1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7C86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55CA67D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7F51152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4C8CD6D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6B0C4BA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43C23111">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20A2053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0974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6FE50B71">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18D9F99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484802B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7DEFB9D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158B24D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4AC7524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3931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660" w:type="dxa"/>
            <w:noWrap w:val="0"/>
            <w:vAlign w:val="top"/>
          </w:tcPr>
          <w:p w14:paraId="3363938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254DB29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7ED1AFF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55780CB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6962C5B7">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4CE2F63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623F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60" w:type="dxa"/>
            <w:noWrap w:val="0"/>
            <w:vAlign w:val="top"/>
          </w:tcPr>
          <w:p w14:paraId="27D2BEA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2B790551">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38F4581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6B4B179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24436E9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3EA1AFA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1C8E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60" w:type="dxa"/>
            <w:noWrap w:val="0"/>
            <w:vAlign w:val="top"/>
          </w:tcPr>
          <w:p w14:paraId="38C4965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4B4CFDA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0934AF8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0E3F423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4D2FDAF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1CAA3C4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2B20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60" w:type="dxa"/>
            <w:noWrap w:val="0"/>
            <w:vAlign w:val="top"/>
          </w:tcPr>
          <w:p w14:paraId="110CA6B1">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82" w:type="dxa"/>
            <w:noWrap w:val="0"/>
            <w:vAlign w:val="top"/>
          </w:tcPr>
          <w:p w14:paraId="5C71681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814" w:type="dxa"/>
            <w:noWrap w:val="0"/>
            <w:vAlign w:val="top"/>
          </w:tcPr>
          <w:p w14:paraId="4E88BD7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1554" w:type="dxa"/>
            <w:noWrap w:val="0"/>
            <w:vAlign w:val="top"/>
          </w:tcPr>
          <w:p w14:paraId="3203A670">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414" w:type="dxa"/>
            <w:noWrap w:val="0"/>
            <w:vAlign w:val="top"/>
          </w:tcPr>
          <w:p w14:paraId="455F943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700" w:type="dxa"/>
            <w:noWrap w:val="0"/>
            <w:vAlign w:val="top"/>
          </w:tcPr>
          <w:p w14:paraId="5D8E336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bl>
    <w:p w14:paraId="2A387E22">
      <w:pPr>
        <w:pStyle w:val="21"/>
        <w:ind w:left="0" w:leftChars="0" w:firstLine="0" w:firstLineChars="0"/>
        <w:rPr>
          <w:rFonts w:hint="eastAsia" w:ascii="仿宋" w:hAnsi="仿宋" w:eastAsia="仿宋" w:cs="仿宋"/>
          <w:color w:val="auto"/>
          <w:sz w:val="32"/>
          <w:szCs w:val="32"/>
          <w:highlight w:val="none"/>
          <w:lang w:eastAsia="zh-CN"/>
        </w:rPr>
      </w:pPr>
    </w:p>
    <w:p w14:paraId="10412357">
      <w:pPr>
        <w:rPr>
          <w:rFonts w:hint="eastAsia"/>
          <w:lang w:eastAsia="zh-CN"/>
        </w:rPr>
      </w:pPr>
    </w:p>
    <w:p w14:paraId="0F54C06B">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法定代表人或其委托代理人签</w:t>
      </w:r>
      <w:r>
        <w:rPr>
          <w:rFonts w:hint="eastAsia" w:ascii="仿宋" w:hAnsi="仿宋" w:eastAsia="仿宋" w:cs="仿宋"/>
          <w:color w:val="auto"/>
          <w:sz w:val="32"/>
          <w:szCs w:val="32"/>
          <w:highlight w:val="none"/>
          <w:lang w:val="en-US" w:eastAsia="zh-CN"/>
        </w:rPr>
        <w:t>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color="auto"/>
          <w:lang w:val="en-US" w:eastAsia="zh-CN"/>
        </w:rPr>
        <w:t xml:space="preserve">           </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rPr>
        <w:tab/>
      </w:r>
      <w:r>
        <w:rPr>
          <w:rFonts w:hint="eastAsia" w:ascii="仿宋" w:hAnsi="仿宋" w:eastAsia="仿宋" w:cs="仿宋"/>
          <w:color w:val="auto"/>
          <w:sz w:val="32"/>
          <w:szCs w:val="32"/>
          <w:highlight w:val="none"/>
          <w:u w:val="single"/>
        </w:rPr>
        <w:t xml:space="preserve">                 </w:t>
      </w:r>
    </w:p>
    <w:p w14:paraId="26BE5A5F">
      <w:pPr>
        <w:pStyle w:val="12"/>
        <w:shd w:val="clear" w:color="auto" w:fill="auto"/>
        <w:tabs>
          <w:tab w:val="left" w:pos="5370"/>
        </w:tabs>
        <w:spacing w:line="240" w:lineRule="atLeast"/>
        <w:ind w:left="1080" w:leftChars="257" w:hanging="54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投标人(盖单位章):</w:t>
      </w:r>
      <w:r>
        <w:rPr>
          <w:rFonts w:hint="eastAsia" w:ascii="仿宋" w:hAnsi="仿宋" w:eastAsia="仿宋" w:cs="仿宋"/>
          <w:color w:val="auto"/>
          <w:sz w:val="32"/>
          <w:szCs w:val="32"/>
          <w:highlight w:val="none"/>
          <w:u w:val="single"/>
        </w:rPr>
        <w:tab/>
      </w:r>
    </w:p>
    <w:p w14:paraId="7B949958">
      <w:pPr>
        <w:pStyle w:val="12"/>
        <w:shd w:val="clear" w:color="auto" w:fill="auto"/>
        <w:tabs>
          <w:tab w:val="left" w:pos="5580"/>
        </w:tabs>
        <w:spacing w:line="240" w:lineRule="atLeast"/>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single"/>
        </w:rPr>
        <w:br w:type="page"/>
      </w:r>
      <w:bookmarkStart w:id="338" w:name="_Toc30042"/>
      <w:bookmarkStart w:id="339" w:name="_Toc216582818"/>
      <w:bookmarkStart w:id="340" w:name="_Toc21391"/>
      <w:bookmarkStart w:id="341" w:name="_Toc515647821"/>
      <w:bookmarkStart w:id="342" w:name="_Toc1980"/>
      <w:bookmarkStart w:id="343" w:name="_Toc23"/>
      <w:r>
        <w:rPr>
          <w:rFonts w:hint="eastAsia" w:ascii="仿宋" w:hAnsi="仿宋" w:eastAsia="仿宋" w:cs="仿宋"/>
          <w:b/>
          <w:bCs/>
          <w:color w:val="auto"/>
          <w:sz w:val="32"/>
          <w:szCs w:val="32"/>
          <w:highlight w:val="none"/>
          <w:lang w:val="en-US" w:eastAsia="zh-CN"/>
        </w:rPr>
        <w:t>6</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商务条款偏离表</w:t>
      </w:r>
      <w:bookmarkEnd w:id="338"/>
      <w:bookmarkEnd w:id="339"/>
      <w:bookmarkEnd w:id="340"/>
      <w:bookmarkEnd w:id="341"/>
      <w:bookmarkEnd w:id="342"/>
      <w:bookmarkEnd w:id="343"/>
    </w:p>
    <w:p w14:paraId="29FA7927">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项目名称:                 招标编号: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w:t>
      </w:r>
    </w:p>
    <w:tbl>
      <w:tblPr>
        <w:tblStyle w:val="28"/>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310"/>
        <w:gridCol w:w="2250"/>
        <w:gridCol w:w="2520"/>
        <w:gridCol w:w="900"/>
      </w:tblGrid>
      <w:tr w14:paraId="75F3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C6B9DF3">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序号</w:t>
            </w:r>
          </w:p>
        </w:tc>
        <w:tc>
          <w:tcPr>
            <w:tcW w:w="2310" w:type="dxa"/>
            <w:noWrap w:val="0"/>
            <w:vAlign w:val="top"/>
          </w:tcPr>
          <w:p w14:paraId="084C2648">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磋商文件条款</w:t>
            </w:r>
          </w:p>
        </w:tc>
        <w:tc>
          <w:tcPr>
            <w:tcW w:w="2250" w:type="dxa"/>
            <w:noWrap w:val="0"/>
            <w:vAlign w:val="top"/>
          </w:tcPr>
          <w:p w14:paraId="3C64CD33">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响应文件条款</w:t>
            </w:r>
          </w:p>
        </w:tc>
        <w:tc>
          <w:tcPr>
            <w:tcW w:w="2520" w:type="dxa"/>
            <w:noWrap w:val="0"/>
            <w:vAlign w:val="center"/>
          </w:tcPr>
          <w:p w14:paraId="0785BDBB">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是否偏离</w:t>
            </w:r>
          </w:p>
        </w:tc>
        <w:tc>
          <w:tcPr>
            <w:tcW w:w="900" w:type="dxa"/>
            <w:noWrap w:val="0"/>
            <w:vAlign w:val="top"/>
          </w:tcPr>
          <w:p w14:paraId="2567BC0F">
            <w:pPr>
              <w:pStyle w:val="12"/>
              <w:shd w:val="clear" w:color="auto" w:fill="auto"/>
              <w:spacing w:line="240" w:lineRule="atLeast"/>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备注</w:t>
            </w:r>
          </w:p>
        </w:tc>
      </w:tr>
      <w:tr w14:paraId="2799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7F764A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34F4E58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7598FBA7">
            <w:pPr>
              <w:pStyle w:val="12"/>
              <w:shd w:val="clear" w:color="auto" w:fill="auto"/>
              <w:spacing w:line="240" w:lineRule="atLeast"/>
              <w:ind w:left="1080" w:leftChars="257" w:hanging="540"/>
              <w:jc w:val="center"/>
              <w:rPr>
                <w:rFonts w:hint="eastAsia" w:ascii="仿宋" w:hAnsi="仿宋" w:eastAsia="仿宋" w:cs="仿宋"/>
                <w:color w:val="auto"/>
                <w:sz w:val="32"/>
                <w:szCs w:val="32"/>
                <w:highlight w:val="none"/>
                <w:lang w:val="en-US" w:eastAsia="zh-CN"/>
              </w:rPr>
            </w:pPr>
          </w:p>
        </w:tc>
        <w:tc>
          <w:tcPr>
            <w:tcW w:w="2520" w:type="dxa"/>
            <w:noWrap w:val="0"/>
            <w:vAlign w:val="center"/>
          </w:tcPr>
          <w:p w14:paraId="59517431">
            <w:pPr>
              <w:pStyle w:val="12"/>
              <w:keepNext w:val="0"/>
              <w:keepLines w:val="0"/>
              <w:pageBreakBefore w:val="0"/>
              <w:widowControl w:val="0"/>
              <w:shd w:val="clear" w:color="auto" w:fill="auto"/>
              <w:kinsoku/>
              <w:wordWrap/>
              <w:overflowPunct/>
              <w:topLinePunct w:val="0"/>
              <w:autoSpaceDE/>
              <w:autoSpaceDN/>
              <w:bidi w:val="0"/>
              <w:adjustRightInd/>
              <w:snapToGrid/>
              <w:spacing w:line="240" w:lineRule="atLeas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u w:val="single" w:color="auto"/>
                <w:lang w:val="en-US" w:eastAsia="zh-CN"/>
              </w:rPr>
              <w:t>如有正偏离需提供证明材料，证明材料附后(并注明页码)</w:t>
            </w:r>
          </w:p>
        </w:tc>
        <w:tc>
          <w:tcPr>
            <w:tcW w:w="900" w:type="dxa"/>
            <w:noWrap w:val="0"/>
            <w:vAlign w:val="top"/>
          </w:tcPr>
          <w:p w14:paraId="221A6DF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247A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71E826C">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635D552D">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5FCB29B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64AC0FB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1229969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752F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038A9124">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1505F35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0562C28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6EBDED6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3B41E7ED">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4520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103931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72C7564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771CD9A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109979FD">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3C8EFC6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56EAE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527EBD0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6FC9416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0C87FF4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6705F15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2543832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58BD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4763A5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2F034CA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3B8A4E0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00314015">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53847A2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0656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23ADD6A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2D4712A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42015C2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01262239">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3E0A7218">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1B24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703564C2">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640EFD03">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49225386">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6C0555FF">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7D263BE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r w14:paraId="49D5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noWrap w:val="0"/>
            <w:vAlign w:val="top"/>
          </w:tcPr>
          <w:p w14:paraId="655FF36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310" w:type="dxa"/>
            <w:noWrap w:val="0"/>
            <w:vAlign w:val="top"/>
          </w:tcPr>
          <w:p w14:paraId="18E4DBA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250" w:type="dxa"/>
            <w:noWrap w:val="0"/>
            <w:vAlign w:val="top"/>
          </w:tcPr>
          <w:p w14:paraId="58E21A5B">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2520" w:type="dxa"/>
            <w:noWrap w:val="0"/>
            <w:vAlign w:val="top"/>
          </w:tcPr>
          <w:p w14:paraId="7EE2D45E">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c>
          <w:tcPr>
            <w:tcW w:w="900" w:type="dxa"/>
            <w:noWrap w:val="0"/>
            <w:vAlign w:val="top"/>
          </w:tcPr>
          <w:p w14:paraId="4E75457A">
            <w:pPr>
              <w:pStyle w:val="12"/>
              <w:shd w:val="clear" w:color="auto" w:fill="auto"/>
              <w:spacing w:line="240" w:lineRule="atLeast"/>
              <w:ind w:left="1080" w:leftChars="257" w:hanging="540"/>
              <w:rPr>
                <w:rFonts w:hint="eastAsia" w:ascii="仿宋" w:hAnsi="仿宋" w:eastAsia="仿宋" w:cs="仿宋"/>
                <w:color w:val="auto"/>
                <w:sz w:val="32"/>
                <w:szCs w:val="32"/>
                <w:highlight w:val="none"/>
                <w:lang w:val="en-US" w:eastAsia="zh-CN"/>
              </w:rPr>
            </w:pPr>
          </w:p>
        </w:tc>
      </w:tr>
    </w:tbl>
    <w:p w14:paraId="772FEC84">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17A9051D">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1DF82DE2">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p>
    <w:p w14:paraId="22E2FD63">
      <w:pPr>
        <w:pStyle w:val="12"/>
        <w:shd w:val="clear" w:color="auto" w:fill="auto"/>
        <w:spacing w:line="240" w:lineRule="atLeast"/>
        <w:ind w:left="1080" w:leftChars="257" w:hanging="5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法定代表人或其委托代理人签</w:t>
      </w:r>
      <w:r>
        <w:rPr>
          <w:rFonts w:hint="eastAsia" w:ascii="仿宋" w:hAnsi="仿宋" w:eastAsia="仿宋" w:cs="仿宋"/>
          <w:color w:val="auto"/>
          <w:sz w:val="32"/>
          <w:szCs w:val="32"/>
          <w:highlight w:val="none"/>
          <w:lang w:val="en-US" w:eastAsia="zh-CN"/>
        </w:rPr>
        <w:t>章</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u w:val="single"/>
          <w:lang w:val="en-US" w:eastAsia="zh-CN"/>
        </w:rPr>
        <w:t xml:space="preserve">        </w:t>
      </w:r>
      <w:r>
        <w:rPr>
          <w:rFonts w:hint="eastAsia" w:ascii="仿宋" w:hAnsi="仿宋" w:eastAsia="仿宋" w:cs="仿宋"/>
          <w:color w:val="auto"/>
          <w:sz w:val="32"/>
          <w:szCs w:val="32"/>
          <w:highlight w:val="none"/>
          <w:u w:val="single"/>
        </w:rPr>
        <w:tab/>
      </w:r>
      <w:r>
        <w:rPr>
          <w:rFonts w:hint="eastAsia" w:ascii="仿宋" w:hAnsi="仿宋" w:eastAsia="仿宋" w:cs="仿宋"/>
          <w:color w:val="auto"/>
          <w:sz w:val="32"/>
          <w:szCs w:val="32"/>
          <w:highlight w:val="none"/>
          <w:u w:val="single"/>
        </w:rPr>
        <w:t xml:space="preserve">                 </w:t>
      </w:r>
    </w:p>
    <w:p w14:paraId="05769E6D">
      <w:pPr>
        <w:pStyle w:val="12"/>
        <w:shd w:val="clear" w:color="auto" w:fill="auto"/>
        <w:tabs>
          <w:tab w:val="left" w:pos="5370"/>
        </w:tabs>
        <w:spacing w:line="240" w:lineRule="atLeast"/>
        <w:ind w:left="1080" w:leftChars="257" w:hanging="540"/>
        <w:rPr>
          <w:rFonts w:hint="eastAsia"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投标人(盖单位章):</w:t>
      </w:r>
      <w:r>
        <w:rPr>
          <w:rFonts w:hint="eastAsia" w:ascii="仿宋" w:hAnsi="仿宋" w:eastAsia="仿宋" w:cs="仿宋"/>
          <w:color w:val="auto"/>
          <w:sz w:val="32"/>
          <w:szCs w:val="32"/>
          <w:highlight w:val="none"/>
          <w:u w:val="single"/>
        </w:rPr>
        <w:tab/>
      </w:r>
    </w:p>
    <w:p w14:paraId="0B8CED60">
      <w:pPr>
        <w:pStyle w:val="3"/>
        <w:numPr>
          <w:ilvl w:val="0"/>
          <w:numId w:val="0"/>
        </w:numPr>
        <w:shd w:val="clear" w:color="auto" w:fill="auto"/>
        <w:spacing w:before="0" w:line="240" w:lineRule="atLeast"/>
        <w:jc w:val="left"/>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32"/>
          <w:szCs w:val="32"/>
          <w:highlight w:val="none"/>
        </w:rPr>
        <w:br w:type="page"/>
      </w:r>
      <w:bookmarkStart w:id="344" w:name="_Toc515647827"/>
      <w:bookmarkStart w:id="345" w:name="_Toc28099"/>
      <w:bookmarkStart w:id="346" w:name="_Toc30795"/>
      <w:bookmarkStart w:id="347" w:name="_Toc6386"/>
    </w:p>
    <w:p w14:paraId="1CEA05C2">
      <w:pPr>
        <w:pStyle w:val="3"/>
        <w:numPr>
          <w:ilvl w:val="0"/>
          <w:numId w:val="0"/>
        </w:numPr>
        <w:shd w:val="clear" w:color="auto" w:fill="auto"/>
        <w:spacing w:before="0" w:line="240" w:lineRule="atLeast"/>
        <w:jc w:val="center"/>
        <w:rPr>
          <w:rFonts w:hint="eastAsia" w:ascii="仿宋" w:hAnsi="仿宋" w:eastAsia="仿宋" w:cs="仿宋"/>
          <w:b/>
          <w:bCs/>
          <w:color w:val="auto"/>
          <w:sz w:val="32"/>
          <w:szCs w:val="32"/>
          <w:highlight w:val="none"/>
        </w:rPr>
      </w:pPr>
      <w:bookmarkStart w:id="348" w:name="_Toc1981"/>
      <w:bookmarkStart w:id="349" w:name="_Toc16872"/>
      <w:bookmarkStart w:id="350" w:name="_Toc4019"/>
      <w:r>
        <w:rPr>
          <w:rFonts w:hint="eastAsia" w:ascii="仿宋" w:hAnsi="仿宋" w:eastAsia="仿宋" w:cs="仿宋"/>
          <w:b/>
          <w:bCs/>
          <w:color w:val="auto"/>
          <w:sz w:val="32"/>
          <w:szCs w:val="32"/>
          <w:highlight w:val="none"/>
          <w:lang w:val="en-US" w:eastAsia="zh-CN"/>
        </w:rPr>
        <w:t>7</w:t>
      </w:r>
      <w:r>
        <w:rPr>
          <w:rFonts w:hint="eastAsia" w:ascii="仿宋" w:hAnsi="仿宋" w:eastAsia="仿宋" w:cs="仿宋"/>
          <w:b/>
          <w:bCs/>
          <w:color w:val="auto"/>
          <w:sz w:val="32"/>
          <w:szCs w:val="32"/>
          <w:highlight w:val="none"/>
          <w:lang w:eastAsia="zh-CN"/>
        </w:rPr>
        <w:t>、</w:t>
      </w:r>
      <w:r>
        <w:rPr>
          <w:rFonts w:hint="eastAsia" w:ascii="仿宋" w:hAnsi="仿宋" w:eastAsia="仿宋" w:cs="仿宋"/>
          <w:b/>
          <w:bCs/>
          <w:color w:val="auto"/>
          <w:sz w:val="32"/>
          <w:szCs w:val="32"/>
          <w:highlight w:val="none"/>
        </w:rPr>
        <w:t>投标人关联单位的说明</w:t>
      </w:r>
      <w:bookmarkEnd w:id="344"/>
      <w:bookmarkEnd w:id="345"/>
      <w:bookmarkEnd w:id="346"/>
      <w:bookmarkEnd w:id="347"/>
      <w:bookmarkEnd w:id="348"/>
      <w:bookmarkEnd w:id="349"/>
      <w:bookmarkEnd w:id="350"/>
    </w:p>
    <w:p w14:paraId="585860E8">
      <w:pPr>
        <w:pStyle w:val="6"/>
        <w:shd w:val="clear" w:color="auto" w:fill="auto"/>
        <w:jc w:val="center"/>
        <w:rPr>
          <w:rFonts w:hint="eastAsia" w:ascii="仿宋" w:hAnsi="仿宋" w:eastAsia="仿宋" w:cs="仿宋"/>
          <w:color w:val="auto"/>
          <w:sz w:val="32"/>
          <w:szCs w:val="32"/>
          <w:highlight w:val="none"/>
        </w:rPr>
      </w:pPr>
    </w:p>
    <w:p w14:paraId="41D29E82">
      <w:pPr>
        <w:pStyle w:val="6"/>
        <w:shd w:val="clear" w:color="auto" w:fill="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说明：投标人应当如实披露与本单位存在下列关联关系的单位名称：</w:t>
      </w:r>
    </w:p>
    <w:p w14:paraId="42E2D30E">
      <w:pPr>
        <w:pStyle w:val="6"/>
        <w:shd w:val="clear" w:color="auto" w:fill="auto"/>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（1）与投标人单位负责人为同一人的其他单位；</w:t>
      </w:r>
    </w:p>
    <w:p w14:paraId="3F8E8EA9">
      <w:pPr>
        <w:pStyle w:val="6"/>
        <w:shd w:val="clear" w:color="auto" w:fill="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（2）与投标人存在直接控股、管理关系的其他单位。</w:t>
      </w:r>
    </w:p>
    <w:p w14:paraId="413439E6">
      <w:pPr>
        <w:pStyle w:val="6"/>
        <w:shd w:val="clear" w:color="auto" w:fill="auto"/>
        <w:ind w:firstLine="0"/>
        <w:rPr>
          <w:rFonts w:hint="eastAsia" w:ascii="仿宋" w:hAnsi="仿宋" w:eastAsia="仿宋" w:cs="仿宋"/>
          <w:color w:val="auto"/>
          <w:sz w:val="32"/>
          <w:szCs w:val="32"/>
          <w:highlight w:val="none"/>
        </w:rPr>
      </w:pPr>
      <w:bookmarkStart w:id="351" w:name="_Toc515647828"/>
      <w:bookmarkStart w:id="352" w:name="_Toc17333"/>
      <w:bookmarkStart w:id="353" w:name="_Toc7414"/>
    </w:p>
    <w:p w14:paraId="1C7E7DD3">
      <w:pPr>
        <w:pStyle w:val="6"/>
        <w:shd w:val="clear" w:color="auto" w:fill="auto"/>
        <w:ind w:firstLine="0"/>
        <w:rPr>
          <w:rFonts w:hint="eastAsia" w:ascii="宋体" w:hAnsi="宋体" w:eastAsia="宋体" w:cs="宋体"/>
          <w:color w:val="auto"/>
          <w:highlight w:val="none"/>
        </w:rPr>
      </w:pPr>
    </w:p>
    <w:p w14:paraId="272471C6">
      <w:pPr>
        <w:pStyle w:val="6"/>
        <w:shd w:val="clear" w:color="auto" w:fill="auto"/>
        <w:ind w:firstLine="0"/>
        <w:rPr>
          <w:rFonts w:hint="eastAsia" w:ascii="宋体" w:hAnsi="宋体" w:eastAsia="宋体" w:cs="宋体"/>
          <w:color w:val="auto"/>
          <w:highlight w:val="none"/>
        </w:rPr>
      </w:pPr>
    </w:p>
    <w:p w14:paraId="79A24B1D">
      <w:pPr>
        <w:pStyle w:val="6"/>
        <w:shd w:val="clear" w:color="auto" w:fill="auto"/>
        <w:ind w:firstLine="0"/>
        <w:rPr>
          <w:rFonts w:hint="eastAsia" w:ascii="宋体" w:hAnsi="宋体" w:eastAsia="宋体" w:cs="宋体"/>
          <w:color w:val="auto"/>
          <w:highlight w:val="none"/>
        </w:rPr>
      </w:pPr>
    </w:p>
    <w:p w14:paraId="49D8E7A1">
      <w:pPr>
        <w:pStyle w:val="6"/>
        <w:shd w:val="clear" w:color="auto" w:fill="auto"/>
        <w:ind w:firstLine="0"/>
        <w:rPr>
          <w:rFonts w:hint="eastAsia" w:ascii="宋体" w:hAnsi="宋体" w:eastAsia="宋体" w:cs="宋体"/>
          <w:color w:val="auto"/>
          <w:highlight w:val="none"/>
        </w:rPr>
      </w:pPr>
    </w:p>
    <w:p w14:paraId="36CD3C9E">
      <w:pPr>
        <w:pStyle w:val="6"/>
        <w:shd w:val="clear" w:color="auto" w:fill="auto"/>
        <w:ind w:firstLine="0"/>
        <w:rPr>
          <w:rFonts w:hint="eastAsia" w:ascii="宋体" w:hAnsi="宋体" w:eastAsia="宋体" w:cs="宋体"/>
          <w:color w:val="auto"/>
          <w:highlight w:val="none"/>
        </w:rPr>
      </w:pPr>
    </w:p>
    <w:p w14:paraId="3BA2C19A">
      <w:pPr>
        <w:pStyle w:val="6"/>
        <w:shd w:val="clear" w:color="auto" w:fill="auto"/>
        <w:ind w:firstLine="0"/>
        <w:rPr>
          <w:rFonts w:hint="eastAsia" w:ascii="宋体" w:hAnsi="宋体" w:eastAsia="宋体" w:cs="宋体"/>
          <w:color w:val="auto"/>
          <w:highlight w:val="none"/>
        </w:rPr>
      </w:pPr>
    </w:p>
    <w:p w14:paraId="0BDA0A3C">
      <w:pPr>
        <w:shd w:val="clear" w:color="auto" w:fill="auto"/>
        <w:rPr>
          <w:rFonts w:hint="eastAsia" w:ascii="宋体" w:hAnsi="宋体" w:eastAsia="宋体" w:cs="宋体"/>
          <w:color w:val="auto"/>
          <w:highlight w:val="none"/>
        </w:rPr>
      </w:pPr>
    </w:p>
    <w:p w14:paraId="409B233C">
      <w:pPr>
        <w:pStyle w:val="4"/>
        <w:shd w:val="clear" w:color="auto" w:fill="auto"/>
        <w:rPr>
          <w:rFonts w:hint="eastAsia" w:ascii="宋体" w:hAnsi="宋体" w:eastAsia="宋体" w:cs="宋体"/>
          <w:color w:val="auto"/>
          <w:highlight w:val="none"/>
        </w:rPr>
      </w:pPr>
    </w:p>
    <w:p w14:paraId="398A7D21">
      <w:pPr>
        <w:shd w:val="clear" w:color="auto" w:fill="auto"/>
        <w:rPr>
          <w:rFonts w:hint="eastAsia" w:ascii="宋体" w:hAnsi="宋体" w:eastAsia="宋体" w:cs="宋体"/>
          <w:color w:val="auto"/>
          <w:highlight w:val="none"/>
        </w:rPr>
      </w:pPr>
    </w:p>
    <w:p w14:paraId="67C30BDF">
      <w:pPr>
        <w:pStyle w:val="4"/>
        <w:shd w:val="clear" w:color="auto" w:fill="auto"/>
        <w:rPr>
          <w:rFonts w:hint="eastAsia" w:ascii="宋体" w:hAnsi="宋体" w:eastAsia="宋体" w:cs="宋体"/>
          <w:color w:val="auto"/>
          <w:highlight w:val="none"/>
        </w:rPr>
      </w:pPr>
    </w:p>
    <w:p w14:paraId="4862452E">
      <w:pPr>
        <w:shd w:val="clear" w:color="auto" w:fill="auto"/>
        <w:rPr>
          <w:rFonts w:hint="eastAsia" w:ascii="宋体" w:hAnsi="宋体" w:eastAsia="宋体" w:cs="宋体"/>
          <w:color w:val="auto"/>
          <w:highlight w:val="none"/>
        </w:rPr>
      </w:pPr>
    </w:p>
    <w:p w14:paraId="7CF0436B">
      <w:pPr>
        <w:pStyle w:val="4"/>
        <w:shd w:val="clear" w:color="auto" w:fill="auto"/>
        <w:rPr>
          <w:rFonts w:hint="eastAsia" w:ascii="宋体" w:hAnsi="宋体" w:eastAsia="宋体" w:cs="宋体"/>
          <w:color w:val="auto"/>
          <w:highlight w:val="none"/>
        </w:rPr>
      </w:pPr>
    </w:p>
    <w:p w14:paraId="12327CE2">
      <w:pPr>
        <w:shd w:val="clear" w:color="auto" w:fill="auto"/>
        <w:rPr>
          <w:rFonts w:hint="eastAsia" w:ascii="宋体" w:hAnsi="宋体" w:eastAsia="宋体" w:cs="宋体"/>
          <w:color w:val="auto"/>
          <w:highlight w:val="none"/>
        </w:rPr>
      </w:pPr>
    </w:p>
    <w:p w14:paraId="1D4FC627">
      <w:pPr>
        <w:pStyle w:val="42"/>
        <w:shd w:val="clear" w:color="auto" w:fill="auto"/>
        <w:rPr>
          <w:rFonts w:hint="eastAsia" w:ascii="宋体" w:hAnsi="宋体" w:eastAsia="宋体" w:cs="宋体"/>
          <w:color w:val="auto"/>
          <w:highlight w:val="none"/>
        </w:rPr>
      </w:pPr>
    </w:p>
    <w:p w14:paraId="4ACC2F1A">
      <w:pPr>
        <w:pStyle w:val="42"/>
        <w:shd w:val="clear" w:color="auto" w:fill="auto"/>
        <w:rPr>
          <w:rFonts w:hint="eastAsia" w:ascii="宋体" w:hAnsi="宋体" w:eastAsia="宋体" w:cs="宋体"/>
          <w:color w:val="auto"/>
          <w:highlight w:val="none"/>
        </w:rPr>
      </w:pPr>
    </w:p>
    <w:p w14:paraId="1CEAEB27">
      <w:pPr>
        <w:pStyle w:val="42"/>
        <w:shd w:val="clear" w:color="auto" w:fill="auto"/>
        <w:rPr>
          <w:rFonts w:hint="eastAsia" w:ascii="宋体" w:hAnsi="宋体" w:eastAsia="宋体" w:cs="宋体"/>
          <w:color w:val="auto"/>
          <w:highlight w:val="none"/>
        </w:rPr>
      </w:pPr>
    </w:p>
    <w:p w14:paraId="6BF5F7DA">
      <w:pPr>
        <w:pStyle w:val="42"/>
        <w:shd w:val="clear" w:color="auto" w:fill="auto"/>
        <w:rPr>
          <w:rFonts w:hint="eastAsia" w:ascii="宋体" w:hAnsi="宋体" w:eastAsia="宋体" w:cs="宋体"/>
          <w:color w:val="auto"/>
          <w:highlight w:val="none"/>
        </w:rPr>
      </w:pPr>
    </w:p>
    <w:p w14:paraId="00F829AC">
      <w:pPr>
        <w:pStyle w:val="42"/>
        <w:shd w:val="clear" w:color="auto" w:fill="auto"/>
        <w:rPr>
          <w:rFonts w:hint="eastAsia" w:ascii="宋体" w:hAnsi="宋体" w:eastAsia="宋体" w:cs="宋体"/>
          <w:color w:val="auto"/>
          <w:highlight w:val="none"/>
        </w:rPr>
      </w:pPr>
    </w:p>
    <w:p w14:paraId="1DB491CA">
      <w:pPr>
        <w:pStyle w:val="42"/>
        <w:shd w:val="clear" w:color="auto" w:fill="auto"/>
        <w:ind w:left="0" w:leftChars="0" w:firstLine="0" w:firstLineChars="0"/>
        <w:rPr>
          <w:rFonts w:hint="eastAsia" w:ascii="宋体" w:hAnsi="宋体" w:eastAsia="宋体" w:cs="宋体"/>
          <w:color w:val="auto"/>
          <w:highlight w:val="none"/>
        </w:rPr>
      </w:pPr>
    </w:p>
    <w:bookmarkEnd w:id="351"/>
    <w:bookmarkEnd w:id="352"/>
    <w:bookmarkEnd w:id="353"/>
    <w:p w14:paraId="33FF104B">
      <w:pPr>
        <w:pStyle w:val="3"/>
        <w:numPr>
          <w:ilvl w:val="1"/>
          <w:numId w:val="0"/>
        </w:numPr>
        <w:shd w:val="clear" w:color="auto" w:fill="auto"/>
        <w:spacing w:before="0" w:line="240" w:lineRule="atLeast"/>
        <w:jc w:val="center"/>
        <w:rPr>
          <w:rFonts w:hint="eastAsia" w:ascii="仿宋" w:hAnsi="仿宋" w:eastAsia="仿宋" w:cs="仿宋"/>
          <w:color w:val="auto"/>
          <w:sz w:val="32"/>
          <w:szCs w:val="32"/>
          <w:highlight w:val="none"/>
          <w:lang w:val="en-US" w:eastAsia="zh-CN"/>
        </w:rPr>
      </w:pPr>
      <w:bookmarkStart w:id="354" w:name="_Toc7798"/>
      <w:bookmarkStart w:id="355" w:name="_Toc20075"/>
      <w:bookmarkStart w:id="356" w:name="_Toc24901"/>
      <w:r>
        <w:rPr>
          <w:rFonts w:hint="eastAsia" w:ascii="仿宋" w:hAnsi="仿宋" w:eastAsia="仿宋" w:cs="仿宋"/>
          <w:b/>
          <w:bCs/>
          <w:color w:val="auto"/>
          <w:sz w:val="32"/>
          <w:szCs w:val="32"/>
          <w:highlight w:val="none"/>
          <w:lang w:val="en-US" w:eastAsia="zh-CN"/>
        </w:rPr>
        <w:t>8、</w:t>
      </w:r>
      <w:r>
        <w:rPr>
          <w:rFonts w:hint="eastAsia" w:ascii="仿宋" w:hAnsi="仿宋" w:eastAsia="仿宋" w:cs="仿宋"/>
          <w:b/>
          <w:bCs/>
          <w:color w:val="auto"/>
          <w:sz w:val="32"/>
          <w:szCs w:val="32"/>
          <w:highlight w:val="none"/>
          <w:lang w:eastAsia="zh-CN"/>
        </w:rPr>
        <w:t>评分标准和细则中技术部分证明材料（格式自拟）</w:t>
      </w:r>
      <w:bookmarkEnd w:id="354"/>
      <w:bookmarkEnd w:id="355"/>
      <w:bookmarkEnd w:id="356"/>
    </w:p>
    <w:p w14:paraId="488975FD">
      <w:pPr>
        <w:pStyle w:val="12"/>
        <w:tabs>
          <w:tab w:val="left" w:pos="5580"/>
        </w:tabs>
        <w:spacing w:line="360" w:lineRule="auto"/>
        <w:rPr>
          <w:rFonts w:hint="eastAsia" w:ascii="仿宋" w:hAnsi="仿宋" w:eastAsia="仿宋" w:cs="仿宋"/>
          <w:b w:val="0"/>
          <w:snapToGrid w:val="0"/>
          <w:color w:val="000000"/>
          <w:spacing w:val="2"/>
          <w:kern w:val="0"/>
          <w:sz w:val="32"/>
          <w:szCs w:val="32"/>
          <w:lang w:val="en-US" w:eastAsia="en-US" w:bidi="ar-SA"/>
        </w:rPr>
      </w:pPr>
      <w:r>
        <w:rPr>
          <w:rFonts w:hint="eastAsia" w:ascii="仿宋" w:hAnsi="仿宋" w:eastAsia="仿宋" w:cs="仿宋"/>
          <w:b w:val="0"/>
          <w:snapToGrid w:val="0"/>
          <w:color w:val="000000"/>
          <w:spacing w:val="2"/>
          <w:kern w:val="0"/>
          <w:sz w:val="32"/>
          <w:szCs w:val="32"/>
          <w:lang w:val="en-US" w:eastAsia="en-US" w:bidi="ar-SA"/>
        </w:rPr>
        <w:t>说明：1.应提供</w:t>
      </w:r>
      <w:r>
        <w:rPr>
          <w:rFonts w:hint="eastAsia" w:ascii="仿宋" w:hAnsi="仿宋" w:eastAsia="仿宋" w:cs="仿宋"/>
          <w:b w:val="0"/>
          <w:snapToGrid w:val="0"/>
          <w:color w:val="000000"/>
          <w:spacing w:val="2"/>
          <w:kern w:val="0"/>
          <w:sz w:val="32"/>
          <w:szCs w:val="32"/>
          <w:u w:val="single"/>
          <w:lang w:val="en-US" w:eastAsia="en-US" w:bidi="ar-SA"/>
        </w:rPr>
        <w:t>评分标准和细则中技术部分要求</w:t>
      </w:r>
      <w:r>
        <w:rPr>
          <w:rFonts w:hint="eastAsia" w:ascii="仿宋" w:hAnsi="仿宋" w:eastAsia="仿宋" w:cs="仿宋"/>
          <w:b w:val="0"/>
          <w:snapToGrid w:val="0"/>
          <w:color w:val="000000"/>
          <w:spacing w:val="2"/>
          <w:kern w:val="0"/>
          <w:sz w:val="32"/>
          <w:szCs w:val="32"/>
          <w:lang w:val="en-US" w:eastAsia="en-US" w:bidi="ar-SA"/>
        </w:rPr>
        <w:t>的其他资格证明文件。</w:t>
      </w:r>
    </w:p>
    <w:p w14:paraId="2DDF9CB1">
      <w:pPr>
        <w:pStyle w:val="12"/>
        <w:tabs>
          <w:tab w:val="left" w:pos="5580"/>
        </w:tabs>
        <w:spacing w:line="360" w:lineRule="auto"/>
        <w:ind w:firstLine="972" w:firstLineChars="300"/>
        <w:rPr>
          <w:rFonts w:hint="eastAsia" w:ascii="仿宋" w:hAnsi="仿宋" w:eastAsia="仿宋" w:cs="仿宋"/>
          <w:b w:val="0"/>
          <w:snapToGrid w:val="0"/>
          <w:color w:val="000000"/>
          <w:spacing w:val="2"/>
          <w:kern w:val="0"/>
          <w:sz w:val="32"/>
          <w:szCs w:val="32"/>
          <w:lang w:val="en-US" w:eastAsia="en-US" w:bidi="ar-SA"/>
        </w:rPr>
      </w:pPr>
      <w:r>
        <w:rPr>
          <w:rFonts w:hint="eastAsia" w:ascii="仿宋" w:hAnsi="仿宋" w:eastAsia="仿宋" w:cs="仿宋"/>
          <w:b w:val="0"/>
          <w:snapToGrid w:val="0"/>
          <w:color w:val="000000"/>
          <w:spacing w:val="2"/>
          <w:kern w:val="0"/>
          <w:sz w:val="32"/>
          <w:szCs w:val="32"/>
          <w:lang w:val="en-US" w:eastAsia="en-US" w:bidi="ar-SA"/>
        </w:rPr>
        <w:t>2.应加盖本单位章（自然人投标的无需盖章，需要签字）。</w:t>
      </w:r>
    </w:p>
    <w:p w14:paraId="1C7B20E4">
      <w:pPr>
        <w:pStyle w:val="12"/>
        <w:tabs>
          <w:tab w:val="left" w:pos="5580"/>
        </w:tabs>
        <w:spacing w:line="360" w:lineRule="auto"/>
        <w:ind w:firstLine="972" w:firstLineChars="300"/>
        <w:rPr>
          <w:rFonts w:hint="eastAsia" w:ascii="仿宋" w:hAnsi="仿宋" w:eastAsia="仿宋" w:cs="仿宋"/>
          <w:b w:val="0"/>
          <w:snapToGrid w:val="0"/>
          <w:color w:val="000000"/>
          <w:spacing w:val="2"/>
          <w:kern w:val="0"/>
          <w:sz w:val="32"/>
          <w:szCs w:val="32"/>
          <w:lang w:val="en-US" w:eastAsia="en-US" w:bidi="ar-SA"/>
        </w:rPr>
      </w:pPr>
      <w:r>
        <w:rPr>
          <w:rFonts w:hint="eastAsia" w:ascii="仿宋" w:hAnsi="仿宋" w:eastAsia="仿宋" w:cs="仿宋"/>
          <w:b w:val="0"/>
          <w:snapToGrid w:val="0"/>
          <w:color w:val="000000"/>
          <w:spacing w:val="2"/>
          <w:kern w:val="0"/>
          <w:sz w:val="32"/>
          <w:szCs w:val="32"/>
          <w:lang w:val="en-US" w:eastAsia="en-US" w:bidi="ar-SA"/>
        </w:rPr>
        <w:t>3.（本项目接受联合体）如果是联合体投标，联合体各方需提供的满足招标文件要求的其他资格证明文件。</w:t>
      </w:r>
    </w:p>
    <w:p w14:paraId="46ED8FA1">
      <w:pPr>
        <w:pStyle w:val="42"/>
        <w:shd w:val="clear" w:color="auto" w:fill="auto"/>
        <w:ind w:left="0" w:leftChars="0" w:firstLine="0" w:firstLineChars="0"/>
        <w:rPr>
          <w:rFonts w:hint="eastAsia"/>
          <w:color w:val="auto"/>
          <w:highlight w:val="none"/>
          <w:lang w:val="en-US" w:eastAsia="zh-CN"/>
        </w:rPr>
      </w:pPr>
    </w:p>
    <w:p w14:paraId="124E5E79">
      <w:pPr>
        <w:pStyle w:val="3"/>
        <w:numPr>
          <w:ilvl w:val="1"/>
          <w:numId w:val="0"/>
        </w:numPr>
        <w:shd w:val="clear" w:color="auto" w:fill="auto"/>
        <w:spacing w:before="0" w:line="240" w:lineRule="atLeast"/>
        <w:ind w:leftChars="257"/>
        <w:jc w:val="center"/>
        <w:rPr>
          <w:rFonts w:hint="eastAsia" w:ascii="仿宋" w:hAnsi="仿宋" w:eastAsia="仿宋" w:cs="仿宋"/>
          <w:color w:val="auto"/>
          <w:sz w:val="32"/>
          <w:szCs w:val="32"/>
          <w:highlight w:val="none"/>
          <w:lang w:val="en-US" w:eastAsia="zh-CN"/>
        </w:rPr>
      </w:pPr>
    </w:p>
    <w:p w14:paraId="78C846FD">
      <w:pPr>
        <w:pStyle w:val="3"/>
        <w:numPr>
          <w:ilvl w:val="1"/>
          <w:numId w:val="0"/>
        </w:numPr>
        <w:shd w:val="clear" w:color="auto" w:fill="auto"/>
        <w:spacing w:before="0" w:line="240" w:lineRule="atLeast"/>
        <w:jc w:val="center"/>
        <w:rPr>
          <w:rFonts w:hint="eastAsia" w:ascii="仿宋" w:hAnsi="仿宋" w:eastAsia="仿宋" w:cs="仿宋"/>
          <w:b/>
          <w:bCs/>
          <w:color w:val="auto"/>
          <w:sz w:val="32"/>
          <w:szCs w:val="32"/>
          <w:highlight w:val="none"/>
          <w:lang w:eastAsia="zh-CN"/>
        </w:rPr>
      </w:pPr>
      <w:bookmarkStart w:id="357" w:name="_Toc21490"/>
      <w:bookmarkStart w:id="358" w:name="_Toc29454"/>
      <w:bookmarkStart w:id="359" w:name="_Toc28200"/>
      <w:r>
        <w:rPr>
          <w:rFonts w:hint="eastAsia" w:ascii="仿宋" w:hAnsi="仿宋" w:eastAsia="仿宋" w:cs="仿宋"/>
          <w:b/>
          <w:bCs/>
          <w:color w:val="auto"/>
          <w:sz w:val="32"/>
          <w:szCs w:val="32"/>
          <w:highlight w:val="none"/>
          <w:lang w:val="en-US" w:eastAsia="zh-CN"/>
        </w:rPr>
        <w:t>9、</w:t>
      </w:r>
      <w:r>
        <w:rPr>
          <w:rFonts w:hint="eastAsia" w:ascii="仿宋" w:hAnsi="仿宋" w:eastAsia="仿宋" w:cs="仿宋"/>
          <w:b/>
          <w:bCs/>
          <w:color w:val="auto"/>
          <w:sz w:val="32"/>
          <w:szCs w:val="32"/>
          <w:highlight w:val="none"/>
          <w:lang w:eastAsia="zh-CN"/>
        </w:rPr>
        <w:t>评分标准和细则中商务部分证明材料（格式自拟）</w:t>
      </w:r>
      <w:bookmarkEnd w:id="357"/>
      <w:bookmarkEnd w:id="358"/>
      <w:bookmarkEnd w:id="359"/>
    </w:p>
    <w:p w14:paraId="334B763A">
      <w:pPr>
        <w:pStyle w:val="12"/>
        <w:shd w:val="clear" w:color="auto" w:fill="auto"/>
        <w:tabs>
          <w:tab w:val="left" w:pos="5580"/>
        </w:tabs>
        <w:spacing w:line="240" w:lineRule="atLeast"/>
        <w:rPr>
          <w:rFonts w:hint="eastAsia" w:ascii="仿宋" w:hAnsi="仿宋" w:eastAsia="仿宋" w:cs="仿宋"/>
          <w:color w:val="auto"/>
          <w:sz w:val="32"/>
          <w:szCs w:val="32"/>
          <w:highlight w:val="none"/>
        </w:rPr>
      </w:pPr>
    </w:p>
    <w:p w14:paraId="7A353009">
      <w:pPr>
        <w:pStyle w:val="12"/>
        <w:tabs>
          <w:tab w:val="left" w:pos="5580"/>
        </w:tabs>
        <w:spacing w:line="360" w:lineRule="auto"/>
        <w:rPr>
          <w:rFonts w:hint="eastAsia" w:ascii="仿宋" w:hAnsi="仿宋" w:eastAsia="仿宋" w:cs="仿宋"/>
          <w:b w:val="0"/>
          <w:snapToGrid w:val="0"/>
          <w:color w:val="000000"/>
          <w:spacing w:val="2"/>
          <w:kern w:val="0"/>
          <w:sz w:val="32"/>
          <w:szCs w:val="32"/>
          <w:lang w:val="en-US" w:eastAsia="en-US" w:bidi="ar-SA"/>
        </w:rPr>
      </w:pPr>
      <w:r>
        <w:rPr>
          <w:rFonts w:hint="eastAsia" w:ascii="仿宋" w:hAnsi="仿宋" w:eastAsia="仿宋" w:cs="仿宋"/>
          <w:b w:val="0"/>
          <w:snapToGrid w:val="0"/>
          <w:color w:val="000000"/>
          <w:spacing w:val="2"/>
          <w:kern w:val="0"/>
          <w:sz w:val="32"/>
          <w:szCs w:val="32"/>
          <w:lang w:val="en-US" w:eastAsia="en-US" w:bidi="ar-SA"/>
        </w:rPr>
        <w:t>说明：1.应提供</w:t>
      </w:r>
      <w:r>
        <w:rPr>
          <w:rFonts w:hint="eastAsia" w:ascii="仿宋" w:hAnsi="仿宋" w:eastAsia="仿宋" w:cs="仿宋"/>
          <w:b w:val="0"/>
          <w:snapToGrid w:val="0"/>
          <w:color w:val="000000"/>
          <w:spacing w:val="2"/>
          <w:kern w:val="0"/>
          <w:sz w:val="32"/>
          <w:szCs w:val="32"/>
          <w:u w:val="single"/>
          <w:lang w:val="en-US" w:eastAsia="en-US" w:bidi="ar-SA"/>
        </w:rPr>
        <w:t>评分标准和细则中商务部分要求</w:t>
      </w:r>
      <w:r>
        <w:rPr>
          <w:rFonts w:hint="eastAsia" w:ascii="仿宋" w:hAnsi="仿宋" w:eastAsia="仿宋" w:cs="仿宋"/>
          <w:b w:val="0"/>
          <w:snapToGrid w:val="0"/>
          <w:color w:val="000000"/>
          <w:spacing w:val="2"/>
          <w:kern w:val="0"/>
          <w:sz w:val="32"/>
          <w:szCs w:val="32"/>
          <w:lang w:val="en-US" w:eastAsia="en-US" w:bidi="ar-SA"/>
        </w:rPr>
        <w:t>的其他资格证明文件。</w:t>
      </w:r>
    </w:p>
    <w:p w14:paraId="05110D0A">
      <w:pPr>
        <w:pStyle w:val="12"/>
        <w:tabs>
          <w:tab w:val="left" w:pos="5580"/>
        </w:tabs>
        <w:spacing w:line="360" w:lineRule="auto"/>
        <w:ind w:firstLine="972" w:firstLineChars="300"/>
        <w:rPr>
          <w:rFonts w:hint="eastAsia" w:ascii="仿宋" w:hAnsi="仿宋" w:eastAsia="仿宋" w:cs="仿宋"/>
          <w:b w:val="0"/>
          <w:snapToGrid w:val="0"/>
          <w:color w:val="000000"/>
          <w:spacing w:val="2"/>
          <w:kern w:val="0"/>
          <w:sz w:val="32"/>
          <w:szCs w:val="32"/>
          <w:lang w:val="en-US" w:eastAsia="en-US" w:bidi="ar-SA"/>
        </w:rPr>
      </w:pPr>
      <w:r>
        <w:rPr>
          <w:rFonts w:hint="eastAsia" w:ascii="仿宋" w:hAnsi="仿宋" w:eastAsia="仿宋" w:cs="仿宋"/>
          <w:b w:val="0"/>
          <w:snapToGrid w:val="0"/>
          <w:color w:val="000000"/>
          <w:spacing w:val="2"/>
          <w:kern w:val="0"/>
          <w:sz w:val="32"/>
          <w:szCs w:val="32"/>
          <w:lang w:val="en-US" w:eastAsia="en-US" w:bidi="ar-SA"/>
        </w:rPr>
        <w:t>2.应加盖本单位章（自然人投标的无需盖章，需要签字）。</w:t>
      </w:r>
    </w:p>
    <w:p w14:paraId="4F9EFF4E">
      <w:pPr>
        <w:pStyle w:val="12"/>
        <w:tabs>
          <w:tab w:val="left" w:pos="5580"/>
        </w:tabs>
        <w:spacing w:line="360" w:lineRule="auto"/>
        <w:ind w:left="1260" w:leftChars="344" w:hanging="538"/>
        <w:rPr>
          <w:rFonts w:hint="eastAsia" w:ascii="仿宋" w:hAnsi="仿宋" w:eastAsia="仿宋" w:cs="仿宋"/>
          <w:b w:val="0"/>
          <w:snapToGrid w:val="0"/>
          <w:color w:val="000000"/>
          <w:spacing w:val="2"/>
          <w:kern w:val="0"/>
          <w:sz w:val="32"/>
          <w:szCs w:val="32"/>
          <w:lang w:val="en-US" w:eastAsia="en-US" w:bidi="ar-SA"/>
        </w:rPr>
      </w:pPr>
      <w:r>
        <w:rPr>
          <w:rFonts w:hint="eastAsia" w:ascii="仿宋" w:hAnsi="仿宋" w:eastAsia="仿宋" w:cs="仿宋"/>
          <w:b w:val="0"/>
          <w:snapToGrid w:val="0"/>
          <w:color w:val="000000"/>
          <w:spacing w:val="2"/>
          <w:kern w:val="0"/>
          <w:sz w:val="32"/>
          <w:szCs w:val="32"/>
          <w:lang w:val="en-US" w:eastAsia="en-US" w:bidi="ar-SA"/>
        </w:rPr>
        <w:t xml:space="preserve"> </w:t>
      </w:r>
      <w:r>
        <w:rPr>
          <w:rFonts w:hint="eastAsia" w:ascii="仿宋" w:hAnsi="仿宋" w:eastAsia="仿宋" w:cs="仿宋"/>
          <w:b w:val="0"/>
          <w:snapToGrid w:val="0"/>
          <w:color w:val="000000"/>
          <w:spacing w:val="2"/>
          <w:kern w:val="0"/>
          <w:sz w:val="32"/>
          <w:szCs w:val="32"/>
          <w:lang w:val="en-US" w:eastAsia="zh-CN" w:bidi="ar-SA"/>
        </w:rPr>
        <w:t xml:space="preserve"> </w:t>
      </w:r>
      <w:r>
        <w:rPr>
          <w:rFonts w:hint="eastAsia" w:ascii="仿宋" w:hAnsi="仿宋" w:eastAsia="仿宋" w:cs="仿宋"/>
          <w:b w:val="0"/>
          <w:snapToGrid w:val="0"/>
          <w:color w:val="000000"/>
          <w:spacing w:val="2"/>
          <w:kern w:val="0"/>
          <w:sz w:val="32"/>
          <w:szCs w:val="32"/>
          <w:lang w:val="en-US" w:eastAsia="en-US" w:bidi="ar-SA"/>
        </w:rPr>
        <w:t>3.（本项目接受联合体）如果是联合体投标，联合体各方需提供的满足招标文件要求的其他资格证明文件。</w:t>
      </w:r>
    </w:p>
    <w:p w14:paraId="22CF474C">
      <w:pPr>
        <w:pStyle w:val="3"/>
        <w:numPr>
          <w:ilvl w:val="1"/>
          <w:numId w:val="0"/>
        </w:numPr>
        <w:shd w:val="clear" w:color="auto" w:fill="auto"/>
        <w:spacing w:before="0" w:line="240" w:lineRule="atLeast"/>
        <w:ind w:leftChars="257"/>
        <w:jc w:val="center"/>
        <w:rPr>
          <w:rFonts w:hint="eastAsia" w:ascii="仿宋" w:hAnsi="仿宋" w:eastAsia="仿宋" w:cs="仿宋"/>
          <w:color w:val="auto"/>
          <w:sz w:val="32"/>
          <w:szCs w:val="32"/>
          <w:highlight w:val="none"/>
          <w:lang w:val="en-US" w:eastAsia="zh-CN"/>
        </w:rPr>
      </w:pPr>
    </w:p>
    <w:p w14:paraId="26C7DEDB">
      <w:pPr>
        <w:pStyle w:val="4"/>
        <w:shd w:val="clear" w:color="auto" w:fill="auto"/>
        <w:rPr>
          <w:rFonts w:hint="eastAsia" w:ascii="宋体" w:hAnsi="宋体" w:eastAsia="宋体" w:cs="宋体"/>
          <w:color w:val="auto"/>
          <w:sz w:val="24"/>
          <w:highlight w:val="none"/>
          <w:lang w:val="en-US" w:eastAsia="zh-CN"/>
        </w:rPr>
      </w:pPr>
    </w:p>
    <w:p w14:paraId="179F28AD">
      <w:pPr>
        <w:pStyle w:val="42"/>
        <w:shd w:val="clear" w:color="auto" w:fill="auto"/>
        <w:ind w:left="0" w:leftChars="0" w:firstLine="0" w:firstLineChars="0"/>
        <w:rPr>
          <w:rFonts w:hint="eastAsia" w:ascii="宋体" w:hAnsi="宋体" w:eastAsia="宋体" w:cs="宋体"/>
          <w:color w:val="auto"/>
          <w:sz w:val="24"/>
          <w:highlight w:val="none"/>
          <w:lang w:val="en-US" w:eastAsia="zh-CN"/>
        </w:rPr>
      </w:pPr>
    </w:p>
    <w:p w14:paraId="19455088">
      <w:pPr>
        <w:pStyle w:val="42"/>
        <w:shd w:val="clear" w:color="auto" w:fill="auto"/>
        <w:rPr>
          <w:rFonts w:hint="eastAsia" w:ascii="宋体" w:hAnsi="宋体" w:eastAsia="宋体" w:cs="宋体"/>
          <w:color w:val="auto"/>
          <w:sz w:val="24"/>
          <w:highlight w:val="none"/>
          <w:lang w:val="en-US" w:eastAsia="zh-CN"/>
        </w:rPr>
      </w:pPr>
    </w:p>
    <w:p w14:paraId="786BF322">
      <w:pPr>
        <w:pStyle w:val="3"/>
        <w:numPr>
          <w:ilvl w:val="1"/>
          <w:numId w:val="0"/>
        </w:numPr>
        <w:shd w:val="clear" w:color="auto" w:fill="auto"/>
        <w:spacing w:before="0" w:line="240" w:lineRule="atLeast"/>
        <w:jc w:val="left"/>
        <w:rPr>
          <w:rFonts w:hint="eastAsia" w:ascii="宋体" w:hAnsi="宋体" w:eastAsia="宋体" w:cs="宋体"/>
          <w:color w:val="auto"/>
          <w:sz w:val="24"/>
          <w:highlight w:val="none"/>
          <w:lang w:val="en-US" w:eastAsia="zh-CN"/>
        </w:rPr>
      </w:pPr>
    </w:p>
    <w:p w14:paraId="041EC033">
      <w:pPr>
        <w:pStyle w:val="3"/>
        <w:numPr>
          <w:ilvl w:val="1"/>
          <w:numId w:val="0"/>
        </w:numPr>
        <w:shd w:val="clear" w:color="auto" w:fill="auto"/>
        <w:spacing w:before="0" w:line="240" w:lineRule="atLeast"/>
        <w:jc w:val="center"/>
        <w:rPr>
          <w:rFonts w:hint="eastAsia" w:ascii="仿宋" w:hAnsi="仿宋" w:eastAsia="仿宋" w:cs="仿宋"/>
          <w:b/>
          <w:bCs/>
          <w:color w:val="auto"/>
          <w:sz w:val="32"/>
          <w:szCs w:val="32"/>
          <w:highlight w:val="none"/>
          <w:lang w:eastAsia="zh-CN"/>
        </w:rPr>
      </w:pPr>
      <w:bookmarkStart w:id="360" w:name="_Toc1171"/>
      <w:bookmarkStart w:id="361" w:name="_Toc18606"/>
      <w:bookmarkStart w:id="362" w:name="_Toc7411"/>
      <w:r>
        <w:rPr>
          <w:rFonts w:hint="eastAsia" w:ascii="仿宋" w:hAnsi="仿宋" w:eastAsia="仿宋" w:cs="仿宋"/>
          <w:b/>
          <w:bCs/>
          <w:color w:val="auto"/>
          <w:sz w:val="32"/>
          <w:szCs w:val="32"/>
          <w:highlight w:val="none"/>
          <w:lang w:val="en-US" w:eastAsia="zh-CN"/>
        </w:rPr>
        <w:t>10、</w:t>
      </w:r>
      <w:r>
        <w:rPr>
          <w:rFonts w:hint="eastAsia" w:ascii="仿宋" w:hAnsi="仿宋" w:eastAsia="仿宋" w:cs="仿宋"/>
          <w:b/>
          <w:bCs/>
          <w:color w:val="auto"/>
          <w:sz w:val="32"/>
          <w:szCs w:val="32"/>
          <w:highlight w:val="none"/>
          <w:lang w:eastAsia="zh-CN"/>
        </w:rPr>
        <w:t>投标人认为有必要提供的其他证明材料（格式自拟）</w:t>
      </w:r>
      <w:bookmarkEnd w:id="360"/>
      <w:bookmarkEnd w:id="361"/>
      <w:bookmarkEnd w:id="362"/>
    </w:p>
    <w:p w14:paraId="61DA52C9">
      <w:pPr>
        <w:pStyle w:val="12"/>
        <w:shd w:val="clear" w:color="auto" w:fill="auto"/>
        <w:tabs>
          <w:tab w:val="left" w:pos="5580"/>
        </w:tabs>
        <w:spacing w:line="240" w:lineRule="atLeast"/>
        <w:rPr>
          <w:rFonts w:hint="eastAsia" w:ascii="仿宋" w:hAnsi="仿宋" w:eastAsia="仿宋" w:cs="仿宋"/>
          <w:color w:val="auto"/>
          <w:sz w:val="32"/>
          <w:szCs w:val="32"/>
          <w:highlight w:val="none"/>
        </w:rPr>
      </w:pPr>
    </w:p>
    <w:p w14:paraId="604C4535">
      <w:pPr>
        <w:pStyle w:val="12"/>
        <w:shd w:val="clear" w:color="auto" w:fill="auto"/>
        <w:tabs>
          <w:tab w:val="left" w:pos="5580"/>
        </w:tabs>
        <w:spacing w:line="240" w:lineRule="atLeas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说明：1.复印件上应加盖本单位章（自然人投标的无需盖章，需要签字）。</w:t>
      </w:r>
    </w:p>
    <w:p w14:paraId="5A6DD344">
      <w:pPr>
        <w:pStyle w:val="12"/>
        <w:shd w:val="clear" w:color="auto" w:fill="auto"/>
        <w:tabs>
          <w:tab w:val="left" w:pos="5580"/>
        </w:tabs>
        <w:spacing w:line="240" w:lineRule="atLeast"/>
        <w:ind w:firstLine="960" w:firstLineChars="300"/>
        <w:rPr>
          <w:rFonts w:hint="eastAsia" w:ascii="仿宋" w:hAnsi="仿宋" w:eastAsia="仿宋" w:cs="仿宋"/>
          <w:b/>
          <w:bCs/>
          <w:color w:val="auto"/>
          <w:sz w:val="32"/>
          <w:szCs w:val="32"/>
          <w:highlight w:val="none"/>
        </w:rPr>
      </w:pPr>
      <w:r>
        <w:rPr>
          <w:rFonts w:hint="eastAsia" w:ascii="仿宋" w:hAnsi="仿宋" w:eastAsia="仿宋" w:cs="仿宋"/>
          <w:b w:val="0"/>
          <w:bCs w:val="0"/>
          <w:color w:val="auto"/>
          <w:kern w:val="2"/>
          <w:sz w:val="32"/>
          <w:szCs w:val="32"/>
          <w:highlight w:val="none"/>
          <w:u w:val="none" w:color="000000"/>
          <w:lang w:val="en-US" w:eastAsia="zh-CN" w:bidi="ar-SA"/>
        </w:rPr>
        <w:t>2.（本项目接受联合体）如果是联合体投标，联合体各方需提供的满足</w:t>
      </w:r>
      <w:r>
        <w:rPr>
          <w:rFonts w:hint="eastAsia" w:ascii="仿宋" w:hAnsi="仿宋" w:eastAsia="仿宋" w:cs="仿宋"/>
          <w:i w:val="0"/>
          <w:caps w:val="0"/>
          <w:color w:val="auto"/>
          <w:spacing w:val="0"/>
          <w:kern w:val="0"/>
          <w:sz w:val="32"/>
          <w:szCs w:val="32"/>
          <w:highlight w:val="none"/>
          <w:lang w:val="en-US" w:eastAsia="zh-CN"/>
        </w:rPr>
        <w:t>磋商</w:t>
      </w:r>
      <w:r>
        <w:rPr>
          <w:rFonts w:hint="eastAsia" w:ascii="仿宋" w:hAnsi="仿宋" w:eastAsia="仿宋" w:cs="仿宋"/>
          <w:b w:val="0"/>
          <w:bCs w:val="0"/>
          <w:color w:val="auto"/>
          <w:kern w:val="2"/>
          <w:sz w:val="32"/>
          <w:szCs w:val="32"/>
          <w:highlight w:val="none"/>
          <w:u w:val="none" w:color="000000"/>
          <w:lang w:val="en-US" w:eastAsia="zh-CN" w:bidi="ar-SA"/>
        </w:rPr>
        <w:t>文件要求的其他资格证明文件。</w:t>
      </w:r>
    </w:p>
    <w:p w14:paraId="0BD66B23">
      <w:pPr>
        <w:pStyle w:val="12"/>
        <w:tabs>
          <w:tab w:val="left" w:pos="5580"/>
        </w:tabs>
        <w:spacing w:line="240" w:lineRule="atLeast"/>
        <w:ind w:left="1915" w:leftChars="912"/>
        <w:rPr>
          <w:rFonts w:hint="eastAsia" w:ascii="仿宋" w:hAnsi="仿宋" w:eastAsia="仿宋" w:cs="仿宋"/>
          <w:color w:val="auto"/>
          <w:sz w:val="32"/>
          <w:szCs w:val="32"/>
          <w:highlight w:val="none"/>
        </w:rPr>
      </w:pPr>
    </w:p>
    <w:p w14:paraId="32660628">
      <w:pPr>
        <w:pStyle w:val="12"/>
        <w:tabs>
          <w:tab w:val="left" w:pos="5580"/>
        </w:tabs>
        <w:spacing w:line="240" w:lineRule="atLeast"/>
        <w:ind w:left="1915" w:leftChars="912"/>
        <w:rPr>
          <w:rFonts w:hint="eastAsia"/>
          <w:color w:val="auto"/>
          <w:highlight w:val="none"/>
        </w:rPr>
      </w:pPr>
    </w:p>
    <w:p w14:paraId="65B3409C">
      <w:pPr>
        <w:keepNext w:val="0"/>
        <w:keepLines w:val="0"/>
        <w:pageBreakBefore w:val="0"/>
        <w:kinsoku/>
        <w:wordWrap/>
        <w:overflowPunct/>
        <w:topLinePunct w:val="0"/>
        <w:bidi w:val="0"/>
        <w:adjustRightInd/>
        <w:snapToGrid/>
        <w:spacing w:line="740" w:lineRule="exact"/>
        <w:ind w:firstLine="643" w:firstLineChars="200"/>
        <w:rPr>
          <w:rFonts w:hint="eastAsia"/>
          <w:color w:val="auto"/>
          <w:highlight w:val="none"/>
          <w:lang w:eastAsia="zh-CN"/>
        </w:rPr>
      </w:pPr>
      <w:r>
        <w:rPr>
          <w:rFonts w:hint="eastAsia" w:ascii="宋体" w:hAnsi="宋体"/>
          <w:b/>
          <w:color w:val="auto"/>
          <w:sz w:val="32"/>
          <w:szCs w:val="32"/>
          <w:highlight w:val="none"/>
          <w:lang w:eastAsia="zh-CN"/>
        </w:rPr>
        <w:t xml:space="preserve"> </w:t>
      </w:r>
    </w:p>
    <w:p w14:paraId="53820DC0">
      <w:pPr>
        <w:pStyle w:val="8"/>
        <w:keepNext w:val="0"/>
        <w:keepLines w:val="0"/>
        <w:pageBreakBefore w:val="0"/>
        <w:widowControl w:val="0"/>
        <w:kinsoku/>
        <w:wordWrap/>
        <w:overflowPunct/>
        <w:topLinePunct w:val="0"/>
        <w:autoSpaceDE/>
        <w:autoSpaceDN/>
        <w:bidi w:val="0"/>
        <w:adjustRightInd/>
        <w:snapToGrid/>
        <w:spacing w:line="0" w:lineRule="auto"/>
        <w:ind w:left="0" w:leftChars="0" w:right="0" w:rightChars="0" w:firstLine="0" w:firstLineChars="0"/>
        <w:jc w:val="left"/>
        <w:textAlignment w:val="auto"/>
        <w:outlineLvl w:val="9"/>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 </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embedRegular r:id="rId1" w:fontKey="{48601067-46E6-4324-B426-F8AADE9E411F}"/>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roman"/>
    <w:pitch w:val="default"/>
    <w:sig w:usb0="800002BF" w:usb1="38CF7CFA" w:usb2="00000016" w:usb3="00000000" w:csb0="00040001" w:csb1="00000000"/>
    <w:embedRegular r:id="rId2" w:fontKey="{2A48AB38-CA5C-4754-9CE7-7115DA43D1C4}"/>
  </w:font>
  <w:font w:name="_x000B__x000C_">
    <w:altName w:val="Courier New"/>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3" w:fontKey="{78117B66-BB85-4F07-9574-3FF48555EA5A}"/>
  </w:font>
  <w:font w:name="方正仿宋_GBK">
    <w:altName w:val="微软雅黑"/>
    <w:panose1 w:val="02000000000000000000"/>
    <w:charset w:val="86"/>
    <w:family w:val="auto"/>
    <w:pitch w:val="default"/>
    <w:sig w:usb0="00000000" w:usb1="00000000" w:usb2="00082016" w:usb3="00000000" w:csb0="00040001" w:csb1="00000000"/>
    <w:embedRegular r:id="rId4" w:fontKey="{8DB78CAD-7FDD-4608-A71A-37F83B0323C4}"/>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47AB1">
    <w:pPr>
      <w:pStyle w:val="13"/>
      <w:pBdr>
        <w:top w:val="none" w:color="auto" w:sz="0" w:space="1"/>
        <w:left w:val="none" w:color="auto" w:sz="0" w:space="0"/>
        <w:bottom w:val="none" w:color="auto" w:sz="0" w:space="0"/>
        <w:right w:val="none" w:color="auto" w:sz="0" w:space="0"/>
        <w:between w:val="none" w:color="auto" w:sz="0" w:space="0"/>
      </w:pBdr>
      <w:tabs>
        <w:tab w:val="center" w:pos="4819"/>
        <w:tab w:val="clear" w:pos="4153"/>
        <w:tab w:val="clear" w:pos="8306"/>
      </w:tabs>
      <w:rPr>
        <w:rFonts w:hint="eastAsia"/>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A9DA2">
    <w:pPr>
      <w:pStyle w:val="13"/>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6CE68">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F66CE68">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63A79">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1DD4AF">
                          <w:pPr>
                            <w:pStyle w:val="1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4F1DD4AF">
                    <w:pPr>
                      <w:pStyle w:val="1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CE5A">
    <w:pPr>
      <w:pStyle w:val="13"/>
      <w:ind w:right="360"/>
      <w:jc w:val="both"/>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35354">
                          <w:pPr>
                            <w:pStyle w:val="13"/>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835354">
                    <w:pPr>
                      <w:pStyle w:val="13"/>
                    </w:pPr>
                    <w:r>
                      <w:fldChar w:fldCharType="begin"/>
                    </w:r>
                    <w:r>
                      <w:instrText xml:space="preserve"> PAGE  \* MERGEFORMAT </w:instrText>
                    </w:r>
                    <w:r>
                      <w:fldChar w:fldCharType="separate"/>
                    </w:r>
                    <w:r>
                      <w:t>82</w:t>
                    </w:r>
                    <w:r>
                      <w:fldChar w:fldCharType="end"/>
                    </w:r>
                  </w:p>
                </w:txbxContent>
              </v:textbox>
            </v:shape>
          </w:pict>
        </mc:Fallback>
      </mc:AlternateContent>
    </w:r>
  </w:p>
  <w:p w14:paraId="6DBCF1EB">
    <w:pPr>
      <w:pStyle w:val="13"/>
      <w:keepNext w:val="0"/>
      <w:keepLines w:val="0"/>
      <w:pageBreakBefore w:val="0"/>
      <w:widowControl w:val="0"/>
      <w:kinsoku/>
      <w:wordWrap/>
      <w:overflowPunct/>
      <w:topLinePunct w:val="0"/>
      <w:autoSpaceDE w:val="0"/>
      <w:autoSpaceDN w:val="0"/>
      <w:bidi w:val="0"/>
      <w:adjustRightInd w:val="0"/>
      <w:snapToGrid w:val="0"/>
      <w:spacing w:line="240" w:lineRule="auto"/>
      <w:ind w:left="7200" w:hanging="7200" w:hangingChars="4000"/>
      <w:jc w:val="both"/>
      <w:textAlignment w:val="auto"/>
      <w:rPr>
        <w:rFonts w:hint="default"/>
        <w:lang w:val="en-US"/>
      </w:rPr>
    </w:pPr>
  </w:p>
  <w:p w14:paraId="63E91C33">
    <w:pPr>
      <w:pStyle w:val="13"/>
      <w:ind w:right="360"/>
      <w:jc w:val="right"/>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15881">
    <w:pPr>
      <w:pStyle w:val="14"/>
      <w:rPr>
        <w:rFonts w:hint="eastAsia"/>
        <w:lang w:val="en-US"/>
      </w:rPr>
    </w:pPr>
    <w:r>
      <w:rPr>
        <w:rFonts w:hint="eastAsia"/>
        <w:lang w:val="en-US" w:eastAsia="zh-CN"/>
      </w:rPr>
      <w:t>克州机关事务管理局梧桐苑小区劳务服务及其他劳务服务采购项目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6985D">
    <w:pPr>
      <w:pStyle w:val="9"/>
      <w:spacing w:line="46"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D2F8A">
    <w:pPr>
      <w:pStyle w:val="14"/>
      <w:rPr>
        <w:rFonts w:hint="eastAsia"/>
        <w:lang w:val="en-US" w:eastAsia="zh-CN"/>
      </w:rPr>
    </w:pPr>
    <w:r>
      <w:rPr>
        <w:rFonts w:hint="eastAsia"/>
        <w:lang w:val="en-US" w:eastAsia="zh-CN"/>
      </w:rPr>
      <w:t>克州机关事务管理局梧桐苑小区劳务服务及其他劳务服务采购项目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ABFF80"/>
    <w:multiLevelType w:val="singleLevel"/>
    <w:tmpl w:val="B0ABFF80"/>
    <w:lvl w:ilvl="0" w:tentative="0">
      <w:start w:val="4"/>
      <w:numFmt w:val="chineseCounting"/>
      <w:suff w:val="space"/>
      <w:lvlText w:val="第%1章"/>
      <w:lvlJc w:val="left"/>
      <w:rPr>
        <w:rFonts w:hint="eastAsia"/>
      </w:rPr>
    </w:lvl>
  </w:abstractNum>
  <w:abstractNum w:abstractNumId="1">
    <w:nsid w:val="DC13FCAB"/>
    <w:multiLevelType w:val="singleLevel"/>
    <w:tmpl w:val="DC13FCAB"/>
    <w:lvl w:ilvl="0" w:tentative="0">
      <w:start w:val="6"/>
      <w:numFmt w:val="decimal"/>
      <w:suff w:val="nothing"/>
      <w:lvlText w:val="（%1）"/>
      <w:lvlJc w:val="left"/>
    </w:lvl>
  </w:abstractNum>
  <w:abstractNum w:abstractNumId="2">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3"/>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3">
    <w:nsid w:val="2D141879"/>
    <w:multiLevelType w:val="multilevel"/>
    <w:tmpl w:val="2D141879"/>
    <w:lvl w:ilvl="0" w:tentative="0">
      <w:start w:val="1"/>
      <w:numFmt w:val="japaneseCounting"/>
      <w:lvlText w:val="第%1章"/>
      <w:lvlJc w:val="left"/>
      <w:pPr>
        <w:tabs>
          <w:tab w:val="left" w:pos="1125"/>
        </w:tabs>
        <w:ind w:left="1125" w:hanging="11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6F4FD3F"/>
    <w:multiLevelType w:val="singleLevel"/>
    <w:tmpl w:val="36F4FD3F"/>
    <w:lvl w:ilvl="0" w:tentative="0">
      <w:start w:val="1"/>
      <w:numFmt w:val="decimal"/>
      <w:suff w:val="nothing"/>
      <w:lvlText w:val="（%1）"/>
      <w:lvlJc w:val="left"/>
      <w:pPr>
        <w:ind w:left="-10"/>
      </w:pPr>
    </w:lvl>
  </w:abstractNum>
  <w:abstractNum w:abstractNumId="5">
    <w:nsid w:val="5283CE81"/>
    <w:multiLevelType w:val="singleLevel"/>
    <w:tmpl w:val="5283CE81"/>
    <w:lvl w:ilvl="0" w:tentative="0">
      <w:start w:val="8"/>
      <w:numFmt w:val="decimal"/>
      <w:suff w:val="nothing"/>
      <w:lvlText w:val="（%1）"/>
      <w:lvlJc w:val="left"/>
    </w:lvl>
  </w:abstractNum>
  <w:abstractNum w:abstractNumId="6">
    <w:nsid w:val="55CD4C99"/>
    <w:multiLevelType w:val="singleLevel"/>
    <w:tmpl w:val="55CD4C99"/>
    <w:lvl w:ilvl="0" w:tentative="0">
      <w:start w:val="1"/>
      <w:numFmt w:val="chineseCounting"/>
      <w:suff w:val="nothing"/>
      <w:lvlText w:val="%1、"/>
      <w:lvlJc w:val="left"/>
    </w:lvl>
  </w:abstractNum>
  <w:abstractNum w:abstractNumId="7">
    <w:nsid w:val="712F340D"/>
    <w:multiLevelType w:val="singleLevel"/>
    <w:tmpl w:val="712F340D"/>
    <w:lvl w:ilvl="0" w:tentative="0">
      <w:start w:val="1"/>
      <w:numFmt w:val="lowerLetter"/>
      <w:lvlText w:val="%1."/>
      <w:lvlJc w:val="left"/>
      <w:pPr>
        <w:tabs>
          <w:tab w:val="left" w:pos="312"/>
        </w:tabs>
      </w:pPr>
    </w:lvl>
  </w:abstractNum>
  <w:abstractNum w:abstractNumId="8">
    <w:nsid w:val="71BBE4B4"/>
    <w:multiLevelType w:val="singleLevel"/>
    <w:tmpl w:val="71BBE4B4"/>
    <w:lvl w:ilvl="0" w:tentative="0">
      <w:start w:val="2"/>
      <w:numFmt w:val="decimal"/>
      <w:suff w:val="space"/>
      <w:lvlText w:val="%1."/>
      <w:lvlJc w:val="left"/>
    </w:lvl>
  </w:abstractNum>
  <w:num w:numId="1">
    <w:abstractNumId w:val="2"/>
  </w:num>
  <w:num w:numId="2">
    <w:abstractNumId w:val="3"/>
  </w:num>
  <w:num w:numId="3">
    <w:abstractNumId w:val="7"/>
  </w:num>
  <w:num w:numId="4">
    <w:abstractNumId w:val="6"/>
  </w:num>
  <w:num w:numId="5">
    <w:abstractNumId w:val="5"/>
  </w:num>
  <w:num w:numId="6">
    <w:abstractNumId w:val="0"/>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47B4"/>
    <w:rsid w:val="003357D8"/>
    <w:rsid w:val="003B643A"/>
    <w:rsid w:val="00885F8D"/>
    <w:rsid w:val="00A43006"/>
    <w:rsid w:val="00BE18D7"/>
    <w:rsid w:val="014D0B1B"/>
    <w:rsid w:val="01504AC0"/>
    <w:rsid w:val="01863947"/>
    <w:rsid w:val="018750D4"/>
    <w:rsid w:val="01AF5332"/>
    <w:rsid w:val="01E157E7"/>
    <w:rsid w:val="021B2BC5"/>
    <w:rsid w:val="021F6013"/>
    <w:rsid w:val="024E4B4B"/>
    <w:rsid w:val="02603E16"/>
    <w:rsid w:val="0328539C"/>
    <w:rsid w:val="034321D6"/>
    <w:rsid w:val="03796D6C"/>
    <w:rsid w:val="037E2D61"/>
    <w:rsid w:val="039B791C"/>
    <w:rsid w:val="041A21CD"/>
    <w:rsid w:val="04460CB5"/>
    <w:rsid w:val="0449381C"/>
    <w:rsid w:val="04B70785"/>
    <w:rsid w:val="04BA2023"/>
    <w:rsid w:val="04F76DD4"/>
    <w:rsid w:val="055F028D"/>
    <w:rsid w:val="056E3A92"/>
    <w:rsid w:val="05A425D0"/>
    <w:rsid w:val="05C173E2"/>
    <w:rsid w:val="05F17CC7"/>
    <w:rsid w:val="060D2BDC"/>
    <w:rsid w:val="0620235A"/>
    <w:rsid w:val="063026EF"/>
    <w:rsid w:val="0653286D"/>
    <w:rsid w:val="065C7CC0"/>
    <w:rsid w:val="071F6AB6"/>
    <w:rsid w:val="07470275"/>
    <w:rsid w:val="07487DBA"/>
    <w:rsid w:val="074D17EC"/>
    <w:rsid w:val="075631C5"/>
    <w:rsid w:val="075C73C2"/>
    <w:rsid w:val="07AD7C7A"/>
    <w:rsid w:val="07BE007D"/>
    <w:rsid w:val="07F25F78"/>
    <w:rsid w:val="07FC2953"/>
    <w:rsid w:val="08362309"/>
    <w:rsid w:val="0878022B"/>
    <w:rsid w:val="09376FBA"/>
    <w:rsid w:val="096835B9"/>
    <w:rsid w:val="09C120A6"/>
    <w:rsid w:val="09D771D4"/>
    <w:rsid w:val="0A4757CB"/>
    <w:rsid w:val="0A6A0048"/>
    <w:rsid w:val="0A7744F1"/>
    <w:rsid w:val="0A9B6A39"/>
    <w:rsid w:val="0AE463D7"/>
    <w:rsid w:val="0B6F5FCF"/>
    <w:rsid w:val="0B9F3D21"/>
    <w:rsid w:val="0C4C5355"/>
    <w:rsid w:val="0C711B61"/>
    <w:rsid w:val="0CE02843"/>
    <w:rsid w:val="0D107E7B"/>
    <w:rsid w:val="0D815DD4"/>
    <w:rsid w:val="0D896A37"/>
    <w:rsid w:val="0D976274"/>
    <w:rsid w:val="0D9C3E22"/>
    <w:rsid w:val="0DD00B0A"/>
    <w:rsid w:val="0E0367E9"/>
    <w:rsid w:val="0E0A5DCA"/>
    <w:rsid w:val="0E3D2369"/>
    <w:rsid w:val="0E423DDC"/>
    <w:rsid w:val="0E43308A"/>
    <w:rsid w:val="0E664FCA"/>
    <w:rsid w:val="0F2E6C95"/>
    <w:rsid w:val="0FB56209"/>
    <w:rsid w:val="0FC6363A"/>
    <w:rsid w:val="0FD91EF8"/>
    <w:rsid w:val="0FFE195E"/>
    <w:rsid w:val="10526346"/>
    <w:rsid w:val="105F10EA"/>
    <w:rsid w:val="10870C69"/>
    <w:rsid w:val="10AB5B24"/>
    <w:rsid w:val="10D354D6"/>
    <w:rsid w:val="10E14768"/>
    <w:rsid w:val="11160F29"/>
    <w:rsid w:val="11175478"/>
    <w:rsid w:val="112E2143"/>
    <w:rsid w:val="117F59A5"/>
    <w:rsid w:val="119D1B40"/>
    <w:rsid w:val="12015736"/>
    <w:rsid w:val="12072EA1"/>
    <w:rsid w:val="120B2110"/>
    <w:rsid w:val="120E39AF"/>
    <w:rsid w:val="12135469"/>
    <w:rsid w:val="12595F0F"/>
    <w:rsid w:val="125A3098"/>
    <w:rsid w:val="13172701"/>
    <w:rsid w:val="13C22CA3"/>
    <w:rsid w:val="13F82B68"/>
    <w:rsid w:val="14055728"/>
    <w:rsid w:val="1433594E"/>
    <w:rsid w:val="14841C90"/>
    <w:rsid w:val="14FE4E51"/>
    <w:rsid w:val="15420778"/>
    <w:rsid w:val="15883A78"/>
    <w:rsid w:val="1592184E"/>
    <w:rsid w:val="159E329B"/>
    <w:rsid w:val="15B71A60"/>
    <w:rsid w:val="15DA4FFB"/>
    <w:rsid w:val="15DA7FED"/>
    <w:rsid w:val="15FF3D3A"/>
    <w:rsid w:val="164125A5"/>
    <w:rsid w:val="164A7926"/>
    <w:rsid w:val="16500A3A"/>
    <w:rsid w:val="176A1687"/>
    <w:rsid w:val="17AF1790"/>
    <w:rsid w:val="17B46DA6"/>
    <w:rsid w:val="17C84600"/>
    <w:rsid w:val="17C90AA4"/>
    <w:rsid w:val="1800023D"/>
    <w:rsid w:val="18117D55"/>
    <w:rsid w:val="181675E9"/>
    <w:rsid w:val="18387D75"/>
    <w:rsid w:val="190D7D39"/>
    <w:rsid w:val="19405E93"/>
    <w:rsid w:val="19510D51"/>
    <w:rsid w:val="19AD7F51"/>
    <w:rsid w:val="19E020D4"/>
    <w:rsid w:val="19EC6CCB"/>
    <w:rsid w:val="19F31E08"/>
    <w:rsid w:val="1A197394"/>
    <w:rsid w:val="1AA475E6"/>
    <w:rsid w:val="1AC83294"/>
    <w:rsid w:val="1AD25EC1"/>
    <w:rsid w:val="1AFC6A9A"/>
    <w:rsid w:val="1B3501FE"/>
    <w:rsid w:val="1B3846F0"/>
    <w:rsid w:val="1B5343F7"/>
    <w:rsid w:val="1B7D4376"/>
    <w:rsid w:val="1B8A22F8"/>
    <w:rsid w:val="1B903686"/>
    <w:rsid w:val="1BCA4DEA"/>
    <w:rsid w:val="1BD96C48"/>
    <w:rsid w:val="1C1B2F64"/>
    <w:rsid w:val="1C4954A8"/>
    <w:rsid w:val="1C7F2D89"/>
    <w:rsid w:val="1C800B37"/>
    <w:rsid w:val="1CAC629E"/>
    <w:rsid w:val="1CB6711D"/>
    <w:rsid w:val="1D0E0D07"/>
    <w:rsid w:val="1D6628F1"/>
    <w:rsid w:val="1D7E5E8C"/>
    <w:rsid w:val="1D862F93"/>
    <w:rsid w:val="1D9531D6"/>
    <w:rsid w:val="1D9B6558"/>
    <w:rsid w:val="1DCD471E"/>
    <w:rsid w:val="1DF61711"/>
    <w:rsid w:val="1DF92FB2"/>
    <w:rsid w:val="1E0457D8"/>
    <w:rsid w:val="1EC61CE4"/>
    <w:rsid w:val="1EE542A1"/>
    <w:rsid w:val="1EE61F3B"/>
    <w:rsid w:val="1EF02DBA"/>
    <w:rsid w:val="1EFA027C"/>
    <w:rsid w:val="1EFF124F"/>
    <w:rsid w:val="1F38206B"/>
    <w:rsid w:val="1F65294C"/>
    <w:rsid w:val="1FB41730"/>
    <w:rsid w:val="1FF93EF0"/>
    <w:rsid w:val="200C5D7B"/>
    <w:rsid w:val="20711CD8"/>
    <w:rsid w:val="207B4905"/>
    <w:rsid w:val="208F6602"/>
    <w:rsid w:val="20967991"/>
    <w:rsid w:val="209C5448"/>
    <w:rsid w:val="20D02EA3"/>
    <w:rsid w:val="20EB1DCD"/>
    <w:rsid w:val="21021C97"/>
    <w:rsid w:val="21294361"/>
    <w:rsid w:val="2144119B"/>
    <w:rsid w:val="21613AFB"/>
    <w:rsid w:val="21717AB6"/>
    <w:rsid w:val="21A34113"/>
    <w:rsid w:val="225E570E"/>
    <w:rsid w:val="226513C9"/>
    <w:rsid w:val="22995516"/>
    <w:rsid w:val="23024E6A"/>
    <w:rsid w:val="231F6524"/>
    <w:rsid w:val="23330285"/>
    <w:rsid w:val="237D0994"/>
    <w:rsid w:val="23871813"/>
    <w:rsid w:val="238B4E5F"/>
    <w:rsid w:val="23957A8C"/>
    <w:rsid w:val="23DF4424"/>
    <w:rsid w:val="23ED3D6C"/>
    <w:rsid w:val="24172B97"/>
    <w:rsid w:val="242B219E"/>
    <w:rsid w:val="24765B0F"/>
    <w:rsid w:val="24A60A9D"/>
    <w:rsid w:val="24AB166E"/>
    <w:rsid w:val="258C4EBE"/>
    <w:rsid w:val="25A006DA"/>
    <w:rsid w:val="25A62424"/>
    <w:rsid w:val="25C66622"/>
    <w:rsid w:val="25CB3C39"/>
    <w:rsid w:val="25D02FFD"/>
    <w:rsid w:val="25E62821"/>
    <w:rsid w:val="26055A66"/>
    <w:rsid w:val="260E3716"/>
    <w:rsid w:val="270A2563"/>
    <w:rsid w:val="277F2F2D"/>
    <w:rsid w:val="27C21A4D"/>
    <w:rsid w:val="280628FB"/>
    <w:rsid w:val="28373807"/>
    <w:rsid w:val="283E2079"/>
    <w:rsid w:val="2844761E"/>
    <w:rsid w:val="28730BC6"/>
    <w:rsid w:val="28D32810"/>
    <w:rsid w:val="293D4466"/>
    <w:rsid w:val="294855A0"/>
    <w:rsid w:val="296C52D4"/>
    <w:rsid w:val="298567F4"/>
    <w:rsid w:val="299F1664"/>
    <w:rsid w:val="2A6603D4"/>
    <w:rsid w:val="2A6B1546"/>
    <w:rsid w:val="2A7A79DB"/>
    <w:rsid w:val="2A912DDC"/>
    <w:rsid w:val="2A9C3DF6"/>
    <w:rsid w:val="2AD417E1"/>
    <w:rsid w:val="2B2D7144"/>
    <w:rsid w:val="2C772424"/>
    <w:rsid w:val="2CB820BA"/>
    <w:rsid w:val="2D004605"/>
    <w:rsid w:val="2D0D2D89"/>
    <w:rsid w:val="2D671C49"/>
    <w:rsid w:val="2DA07759"/>
    <w:rsid w:val="2DD90EBD"/>
    <w:rsid w:val="2E7806D6"/>
    <w:rsid w:val="2E894691"/>
    <w:rsid w:val="2EC25B60"/>
    <w:rsid w:val="2EDF0755"/>
    <w:rsid w:val="2EE63891"/>
    <w:rsid w:val="2F204FF5"/>
    <w:rsid w:val="2FB7522E"/>
    <w:rsid w:val="305E4590"/>
    <w:rsid w:val="307153DD"/>
    <w:rsid w:val="31205878"/>
    <w:rsid w:val="314D19A6"/>
    <w:rsid w:val="3152520E"/>
    <w:rsid w:val="31B934DF"/>
    <w:rsid w:val="31DC0F7C"/>
    <w:rsid w:val="31F14A27"/>
    <w:rsid w:val="3200110E"/>
    <w:rsid w:val="324F79A0"/>
    <w:rsid w:val="32745404"/>
    <w:rsid w:val="329D070B"/>
    <w:rsid w:val="32D822E0"/>
    <w:rsid w:val="3306101D"/>
    <w:rsid w:val="33266952"/>
    <w:rsid w:val="33380434"/>
    <w:rsid w:val="33727DEA"/>
    <w:rsid w:val="33CA5530"/>
    <w:rsid w:val="33EC1713"/>
    <w:rsid w:val="352958D3"/>
    <w:rsid w:val="354D6418"/>
    <w:rsid w:val="357106A9"/>
    <w:rsid w:val="35B04BF9"/>
    <w:rsid w:val="35CE6E2D"/>
    <w:rsid w:val="35F258C6"/>
    <w:rsid w:val="360C1F8B"/>
    <w:rsid w:val="36432D79"/>
    <w:rsid w:val="36454420"/>
    <w:rsid w:val="366D5E88"/>
    <w:rsid w:val="368E4F3A"/>
    <w:rsid w:val="36E7289C"/>
    <w:rsid w:val="371B60A2"/>
    <w:rsid w:val="372169D9"/>
    <w:rsid w:val="372E5DD5"/>
    <w:rsid w:val="374455F9"/>
    <w:rsid w:val="374B61CE"/>
    <w:rsid w:val="37895702"/>
    <w:rsid w:val="378D6B0A"/>
    <w:rsid w:val="37B366AA"/>
    <w:rsid w:val="3845787B"/>
    <w:rsid w:val="385C2E16"/>
    <w:rsid w:val="387B329C"/>
    <w:rsid w:val="38BD0687"/>
    <w:rsid w:val="38CC58A6"/>
    <w:rsid w:val="38D86941"/>
    <w:rsid w:val="38E40AE6"/>
    <w:rsid w:val="38E56878"/>
    <w:rsid w:val="38FD0155"/>
    <w:rsid w:val="39461AFC"/>
    <w:rsid w:val="398E059C"/>
    <w:rsid w:val="39F71049"/>
    <w:rsid w:val="3A886145"/>
    <w:rsid w:val="3AAB598F"/>
    <w:rsid w:val="3AC56A51"/>
    <w:rsid w:val="3AE35129"/>
    <w:rsid w:val="3AEC222F"/>
    <w:rsid w:val="3AFE1F63"/>
    <w:rsid w:val="3B120073"/>
    <w:rsid w:val="3B451940"/>
    <w:rsid w:val="3B5D137F"/>
    <w:rsid w:val="3B9A215F"/>
    <w:rsid w:val="3BAC597A"/>
    <w:rsid w:val="3BE458B3"/>
    <w:rsid w:val="3BFA477A"/>
    <w:rsid w:val="3C6B7ACC"/>
    <w:rsid w:val="3C6C2627"/>
    <w:rsid w:val="3C797AF3"/>
    <w:rsid w:val="3D5176E7"/>
    <w:rsid w:val="3DB73E2A"/>
    <w:rsid w:val="3DF21949"/>
    <w:rsid w:val="3DFD26B4"/>
    <w:rsid w:val="3E2E7003"/>
    <w:rsid w:val="3E3044C5"/>
    <w:rsid w:val="3E4B54BF"/>
    <w:rsid w:val="3E6F38A3"/>
    <w:rsid w:val="3E8D7767"/>
    <w:rsid w:val="3EC314F9"/>
    <w:rsid w:val="3F46155B"/>
    <w:rsid w:val="3F4D6710"/>
    <w:rsid w:val="3FB56EC3"/>
    <w:rsid w:val="3FD61EED"/>
    <w:rsid w:val="40095632"/>
    <w:rsid w:val="40897515"/>
    <w:rsid w:val="40D7128C"/>
    <w:rsid w:val="4179123E"/>
    <w:rsid w:val="417C1E33"/>
    <w:rsid w:val="41973BEC"/>
    <w:rsid w:val="42530DE6"/>
    <w:rsid w:val="425C79DD"/>
    <w:rsid w:val="42720FF2"/>
    <w:rsid w:val="42786A9F"/>
    <w:rsid w:val="42A33B1C"/>
    <w:rsid w:val="42A67168"/>
    <w:rsid w:val="42BA70B7"/>
    <w:rsid w:val="42C6780A"/>
    <w:rsid w:val="42E67EAC"/>
    <w:rsid w:val="42F00105"/>
    <w:rsid w:val="434500D6"/>
    <w:rsid w:val="43AF4742"/>
    <w:rsid w:val="43C76B41"/>
    <w:rsid w:val="43D45F57"/>
    <w:rsid w:val="44223166"/>
    <w:rsid w:val="44523D31"/>
    <w:rsid w:val="44727C49"/>
    <w:rsid w:val="44817521"/>
    <w:rsid w:val="44886548"/>
    <w:rsid w:val="44B30262"/>
    <w:rsid w:val="44BA6EFA"/>
    <w:rsid w:val="44BC35F9"/>
    <w:rsid w:val="45081244"/>
    <w:rsid w:val="45120AE5"/>
    <w:rsid w:val="45207111"/>
    <w:rsid w:val="456A4DC4"/>
    <w:rsid w:val="45721348"/>
    <w:rsid w:val="458A0FC3"/>
    <w:rsid w:val="458F00BA"/>
    <w:rsid w:val="45B147A1"/>
    <w:rsid w:val="46456C98"/>
    <w:rsid w:val="46672E81"/>
    <w:rsid w:val="46715CDF"/>
    <w:rsid w:val="46761702"/>
    <w:rsid w:val="46955E71"/>
    <w:rsid w:val="46CB6D6D"/>
    <w:rsid w:val="46FC6FBD"/>
    <w:rsid w:val="473E02B7"/>
    <w:rsid w:val="476870E2"/>
    <w:rsid w:val="47BD6A22"/>
    <w:rsid w:val="48007537"/>
    <w:rsid w:val="48653621"/>
    <w:rsid w:val="487321E2"/>
    <w:rsid w:val="48FC21D7"/>
    <w:rsid w:val="494E2307"/>
    <w:rsid w:val="49647D7D"/>
    <w:rsid w:val="49675177"/>
    <w:rsid w:val="496F0BFB"/>
    <w:rsid w:val="498F23AC"/>
    <w:rsid w:val="49BF4FB3"/>
    <w:rsid w:val="49EB38B2"/>
    <w:rsid w:val="4A371147"/>
    <w:rsid w:val="4A657908"/>
    <w:rsid w:val="4A875AD1"/>
    <w:rsid w:val="4AD61C3A"/>
    <w:rsid w:val="4AE178D7"/>
    <w:rsid w:val="4AE72A13"/>
    <w:rsid w:val="4AEB2504"/>
    <w:rsid w:val="4B1732F9"/>
    <w:rsid w:val="4B362C2A"/>
    <w:rsid w:val="4BF62A84"/>
    <w:rsid w:val="4C286E40"/>
    <w:rsid w:val="4C39050C"/>
    <w:rsid w:val="4C723EFD"/>
    <w:rsid w:val="4C9B1D07"/>
    <w:rsid w:val="4CE05512"/>
    <w:rsid w:val="4CE74F4D"/>
    <w:rsid w:val="4D186EB4"/>
    <w:rsid w:val="4D2713E7"/>
    <w:rsid w:val="4D3A1520"/>
    <w:rsid w:val="4D6640C3"/>
    <w:rsid w:val="4DC42B98"/>
    <w:rsid w:val="4DCB3F26"/>
    <w:rsid w:val="4DDB0E73"/>
    <w:rsid w:val="4E2A6D91"/>
    <w:rsid w:val="4E50267E"/>
    <w:rsid w:val="4E550E94"/>
    <w:rsid w:val="4E6600F3"/>
    <w:rsid w:val="4E834801"/>
    <w:rsid w:val="4E86609F"/>
    <w:rsid w:val="4EA31370"/>
    <w:rsid w:val="4EA47068"/>
    <w:rsid w:val="4EAC4684"/>
    <w:rsid w:val="4F4E3061"/>
    <w:rsid w:val="4F610FE6"/>
    <w:rsid w:val="4FB758F2"/>
    <w:rsid w:val="4FC6709B"/>
    <w:rsid w:val="50100316"/>
    <w:rsid w:val="505275DB"/>
    <w:rsid w:val="506348EA"/>
    <w:rsid w:val="50771FFC"/>
    <w:rsid w:val="508F3931"/>
    <w:rsid w:val="50AA27D7"/>
    <w:rsid w:val="510669F4"/>
    <w:rsid w:val="51313B46"/>
    <w:rsid w:val="51731E99"/>
    <w:rsid w:val="519927F2"/>
    <w:rsid w:val="51A27694"/>
    <w:rsid w:val="51A67184"/>
    <w:rsid w:val="51AC22C1"/>
    <w:rsid w:val="51BD2142"/>
    <w:rsid w:val="51D11D27"/>
    <w:rsid w:val="51E63A25"/>
    <w:rsid w:val="51FC2B94"/>
    <w:rsid w:val="52291B63"/>
    <w:rsid w:val="52BA32C7"/>
    <w:rsid w:val="52E63A37"/>
    <w:rsid w:val="52FF3B12"/>
    <w:rsid w:val="53130849"/>
    <w:rsid w:val="532145E9"/>
    <w:rsid w:val="53444620"/>
    <w:rsid w:val="53595840"/>
    <w:rsid w:val="53B51D8B"/>
    <w:rsid w:val="53C102A5"/>
    <w:rsid w:val="541D74A6"/>
    <w:rsid w:val="54624EB9"/>
    <w:rsid w:val="562C0425"/>
    <w:rsid w:val="565C6063"/>
    <w:rsid w:val="569372F1"/>
    <w:rsid w:val="56F95FA8"/>
    <w:rsid w:val="57B21554"/>
    <w:rsid w:val="57B936FA"/>
    <w:rsid w:val="57CF2865"/>
    <w:rsid w:val="57DD2635"/>
    <w:rsid w:val="57F722BA"/>
    <w:rsid w:val="580407B8"/>
    <w:rsid w:val="5813085F"/>
    <w:rsid w:val="588B0E82"/>
    <w:rsid w:val="58C7491B"/>
    <w:rsid w:val="58D5034F"/>
    <w:rsid w:val="58E453E6"/>
    <w:rsid w:val="58F36D2A"/>
    <w:rsid w:val="59384528"/>
    <w:rsid w:val="593B28A8"/>
    <w:rsid w:val="594F1EAF"/>
    <w:rsid w:val="59E617E1"/>
    <w:rsid w:val="5A8D7133"/>
    <w:rsid w:val="5A8E07B6"/>
    <w:rsid w:val="5A981634"/>
    <w:rsid w:val="5AA72570"/>
    <w:rsid w:val="5AD7215D"/>
    <w:rsid w:val="5ADD1FC8"/>
    <w:rsid w:val="5B032705"/>
    <w:rsid w:val="5B152C85"/>
    <w:rsid w:val="5B465534"/>
    <w:rsid w:val="5B940305"/>
    <w:rsid w:val="5B995664"/>
    <w:rsid w:val="5BB46942"/>
    <w:rsid w:val="5BD32476"/>
    <w:rsid w:val="5C683FC9"/>
    <w:rsid w:val="5C783547"/>
    <w:rsid w:val="5C9E3CC1"/>
    <w:rsid w:val="5CCC3CFF"/>
    <w:rsid w:val="5CCD10E6"/>
    <w:rsid w:val="5CDC1CAC"/>
    <w:rsid w:val="5D403A43"/>
    <w:rsid w:val="5D55380D"/>
    <w:rsid w:val="5D716BFF"/>
    <w:rsid w:val="5D7874FB"/>
    <w:rsid w:val="5E6D55A2"/>
    <w:rsid w:val="5E9D190F"/>
    <w:rsid w:val="5F155017"/>
    <w:rsid w:val="5F8E3006"/>
    <w:rsid w:val="5FA13016"/>
    <w:rsid w:val="5FF13CC0"/>
    <w:rsid w:val="60107EBF"/>
    <w:rsid w:val="60395667"/>
    <w:rsid w:val="60C35D0E"/>
    <w:rsid w:val="61077514"/>
    <w:rsid w:val="610C0044"/>
    <w:rsid w:val="612105D5"/>
    <w:rsid w:val="612756CF"/>
    <w:rsid w:val="612E2CF2"/>
    <w:rsid w:val="615564D1"/>
    <w:rsid w:val="61A949DA"/>
    <w:rsid w:val="61BF394A"/>
    <w:rsid w:val="61D45648"/>
    <w:rsid w:val="61E84C4F"/>
    <w:rsid w:val="62132194"/>
    <w:rsid w:val="623F140B"/>
    <w:rsid w:val="629B7F14"/>
    <w:rsid w:val="62CE02E9"/>
    <w:rsid w:val="62D151F6"/>
    <w:rsid w:val="631A352E"/>
    <w:rsid w:val="63A454EE"/>
    <w:rsid w:val="63B53257"/>
    <w:rsid w:val="63D3192F"/>
    <w:rsid w:val="6449399F"/>
    <w:rsid w:val="6468799F"/>
    <w:rsid w:val="648669A1"/>
    <w:rsid w:val="64A82DBC"/>
    <w:rsid w:val="64E33DF4"/>
    <w:rsid w:val="65077E41"/>
    <w:rsid w:val="65136487"/>
    <w:rsid w:val="65145C7D"/>
    <w:rsid w:val="653F54CE"/>
    <w:rsid w:val="65651CE5"/>
    <w:rsid w:val="657131AE"/>
    <w:rsid w:val="65D25B84"/>
    <w:rsid w:val="65EB2F60"/>
    <w:rsid w:val="665326D7"/>
    <w:rsid w:val="66613222"/>
    <w:rsid w:val="66827145"/>
    <w:rsid w:val="66941F67"/>
    <w:rsid w:val="669A16A2"/>
    <w:rsid w:val="66B27F22"/>
    <w:rsid w:val="67686EE2"/>
    <w:rsid w:val="67755047"/>
    <w:rsid w:val="67ED12B0"/>
    <w:rsid w:val="6870599E"/>
    <w:rsid w:val="68C55BFF"/>
    <w:rsid w:val="68F17594"/>
    <w:rsid w:val="69283EFF"/>
    <w:rsid w:val="693115D2"/>
    <w:rsid w:val="6981642C"/>
    <w:rsid w:val="69EC784A"/>
    <w:rsid w:val="6A303637"/>
    <w:rsid w:val="6A31115D"/>
    <w:rsid w:val="6A660465"/>
    <w:rsid w:val="6AAD6A36"/>
    <w:rsid w:val="6ABF49BB"/>
    <w:rsid w:val="6AD40467"/>
    <w:rsid w:val="6AF26B3F"/>
    <w:rsid w:val="6B1271E1"/>
    <w:rsid w:val="6B777044"/>
    <w:rsid w:val="6B7F0A5C"/>
    <w:rsid w:val="6B9E2823"/>
    <w:rsid w:val="6BC524A5"/>
    <w:rsid w:val="6C7161E7"/>
    <w:rsid w:val="6C8B724B"/>
    <w:rsid w:val="6CDE737B"/>
    <w:rsid w:val="6CF21078"/>
    <w:rsid w:val="6D2B458A"/>
    <w:rsid w:val="6DAF6F69"/>
    <w:rsid w:val="6DC76061"/>
    <w:rsid w:val="6DCF3167"/>
    <w:rsid w:val="6E970129"/>
    <w:rsid w:val="6EA05FB1"/>
    <w:rsid w:val="6F0155A2"/>
    <w:rsid w:val="6F330183"/>
    <w:rsid w:val="6F394D3C"/>
    <w:rsid w:val="6FA23E97"/>
    <w:rsid w:val="70291255"/>
    <w:rsid w:val="7039446C"/>
    <w:rsid w:val="703A0AAD"/>
    <w:rsid w:val="708B7819"/>
    <w:rsid w:val="70C1323B"/>
    <w:rsid w:val="70D23383"/>
    <w:rsid w:val="71066EA0"/>
    <w:rsid w:val="710E21F8"/>
    <w:rsid w:val="713D7853"/>
    <w:rsid w:val="717C16CA"/>
    <w:rsid w:val="719A0830"/>
    <w:rsid w:val="71E60A7F"/>
    <w:rsid w:val="7205184D"/>
    <w:rsid w:val="72141A90"/>
    <w:rsid w:val="72247F25"/>
    <w:rsid w:val="722D66AE"/>
    <w:rsid w:val="72B921A3"/>
    <w:rsid w:val="72D336FA"/>
    <w:rsid w:val="73013713"/>
    <w:rsid w:val="731358A4"/>
    <w:rsid w:val="733A72D5"/>
    <w:rsid w:val="733F48EB"/>
    <w:rsid w:val="73E62FB9"/>
    <w:rsid w:val="7408706A"/>
    <w:rsid w:val="74C70FD9"/>
    <w:rsid w:val="74EB6AD9"/>
    <w:rsid w:val="750D5304"/>
    <w:rsid w:val="75353AC4"/>
    <w:rsid w:val="757C1E26"/>
    <w:rsid w:val="75AA17D7"/>
    <w:rsid w:val="76B16978"/>
    <w:rsid w:val="76F31C74"/>
    <w:rsid w:val="770E6AAE"/>
    <w:rsid w:val="772D15D2"/>
    <w:rsid w:val="776E39F1"/>
    <w:rsid w:val="77831C9C"/>
    <w:rsid w:val="77CE4DD0"/>
    <w:rsid w:val="77E3618D"/>
    <w:rsid w:val="77EE068E"/>
    <w:rsid w:val="78AC657F"/>
    <w:rsid w:val="78AF34A4"/>
    <w:rsid w:val="78C0202A"/>
    <w:rsid w:val="78E73168"/>
    <w:rsid w:val="791D58E1"/>
    <w:rsid w:val="7929010A"/>
    <w:rsid w:val="796450AB"/>
    <w:rsid w:val="798E6DF9"/>
    <w:rsid w:val="79AE6327"/>
    <w:rsid w:val="79D97847"/>
    <w:rsid w:val="79E021C9"/>
    <w:rsid w:val="79F8479E"/>
    <w:rsid w:val="7A230AC3"/>
    <w:rsid w:val="7A2465E9"/>
    <w:rsid w:val="7A952FC9"/>
    <w:rsid w:val="7AD04C10"/>
    <w:rsid w:val="7AD4000F"/>
    <w:rsid w:val="7AE04C06"/>
    <w:rsid w:val="7B10760B"/>
    <w:rsid w:val="7B3867F0"/>
    <w:rsid w:val="7B5F3D7C"/>
    <w:rsid w:val="7BAC4AE8"/>
    <w:rsid w:val="7BAF02C3"/>
    <w:rsid w:val="7C072A5E"/>
    <w:rsid w:val="7C280643"/>
    <w:rsid w:val="7C624EA2"/>
    <w:rsid w:val="7CE60F2F"/>
    <w:rsid w:val="7CFE75C5"/>
    <w:rsid w:val="7D080444"/>
    <w:rsid w:val="7D1F2BD5"/>
    <w:rsid w:val="7D7004C3"/>
    <w:rsid w:val="7DA45F9F"/>
    <w:rsid w:val="7DB67EA0"/>
    <w:rsid w:val="7DEE6634"/>
    <w:rsid w:val="7E0B01EB"/>
    <w:rsid w:val="7E1C3938"/>
    <w:rsid w:val="7E203B02"/>
    <w:rsid w:val="7E523632"/>
    <w:rsid w:val="7E665422"/>
    <w:rsid w:val="7E861620"/>
    <w:rsid w:val="7E933D3D"/>
    <w:rsid w:val="7E9E544A"/>
    <w:rsid w:val="7EA55CBC"/>
    <w:rsid w:val="7F1906E6"/>
    <w:rsid w:val="7FEE1B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character" w:default="1" w:styleId="29">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rPr>
      <w:rFonts w:ascii="Times New Roman" w:hAnsi="Times New Roman" w:eastAsia="宋体" w:cs="Times New Roman"/>
      <w:szCs w:val="24"/>
    </w:rPr>
  </w:style>
  <w:style w:type="paragraph" w:styleId="6">
    <w:name w:val="Normal Indent"/>
    <w:basedOn w:val="1"/>
    <w:next w:val="1"/>
    <w:qFormat/>
    <w:uiPriority w:val="0"/>
    <w:pPr>
      <w:adjustRightInd w:val="0"/>
      <w:spacing w:line="360" w:lineRule="atLeast"/>
      <w:ind w:firstLine="482"/>
      <w:textAlignment w:val="baseline"/>
    </w:pPr>
    <w:rPr>
      <w:kern w:val="0"/>
      <w:sz w:val="24"/>
      <w:szCs w:val="20"/>
    </w:rPr>
  </w:style>
  <w:style w:type="paragraph" w:styleId="7">
    <w:name w:val="toa heading"/>
    <w:basedOn w:val="1"/>
    <w:next w:val="1"/>
    <w:unhideWhenUsed/>
    <w:qFormat/>
    <w:uiPriority w:val="99"/>
    <w:pPr>
      <w:spacing w:before="120"/>
    </w:pPr>
    <w:rPr>
      <w:rFonts w:ascii="Cambria" w:hAnsi="Cambria"/>
      <w:sz w:val="24"/>
    </w:rPr>
  </w:style>
  <w:style w:type="paragraph" w:styleId="8">
    <w:name w:val="annotation text"/>
    <w:basedOn w:val="1"/>
    <w:qFormat/>
    <w:uiPriority w:val="0"/>
    <w:pPr>
      <w:jc w:val="left"/>
    </w:pPr>
  </w:style>
  <w:style w:type="paragraph" w:styleId="9">
    <w:name w:val="Body Text"/>
    <w:basedOn w:val="1"/>
    <w:next w:val="1"/>
    <w:qFormat/>
    <w:uiPriority w:val="0"/>
    <w:pPr>
      <w:spacing w:after="140" w:line="276" w:lineRule="auto"/>
    </w:pPr>
  </w:style>
  <w:style w:type="paragraph" w:styleId="10">
    <w:name w:val="Body Text Indent"/>
    <w:basedOn w:val="1"/>
    <w:next w:val="1"/>
    <w:qFormat/>
    <w:uiPriority w:val="0"/>
    <w:pPr>
      <w:spacing w:line="520" w:lineRule="exact"/>
      <w:ind w:firstLine="640" w:firstLineChars="200"/>
    </w:pPr>
    <w:rPr>
      <w:rFonts w:ascii="仿宋_GB2312" w:eastAsia="仿宋_GB2312"/>
      <w:sz w:val="32"/>
    </w:rPr>
  </w:style>
  <w:style w:type="paragraph" w:styleId="11">
    <w:name w:val="toc 3"/>
    <w:basedOn w:val="1"/>
    <w:next w:val="1"/>
    <w:qFormat/>
    <w:uiPriority w:val="39"/>
    <w:pPr>
      <w:tabs>
        <w:tab w:val="right" w:leader="dot" w:pos="9288"/>
      </w:tabs>
      <w:ind w:left="400" w:leftChars="400"/>
    </w:pPr>
    <w:rPr>
      <w:rFonts w:ascii="宋体"/>
    </w:rPr>
  </w:style>
  <w:style w:type="paragraph" w:styleId="12">
    <w:name w:val="Plain Text"/>
    <w:basedOn w:val="1"/>
    <w:qFormat/>
    <w:uiPriority w:val="0"/>
    <w:rPr>
      <w:rFonts w:ascii="宋体"/>
      <w:color w:val="000000"/>
      <w:szCs w:val="20"/>
      <w:u w:val="none" w:color="000000"/>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style>
  <w:style w:type="paragraph" w:styleId="16">
    <w:name w:val="toc 4"/>
    <w:basedOn w:val="1"/>
    <w:next w:val="1"/>
    <w:qFormat/>
    <w:uiPriority w:val="0"/>
    <w:pPr>
      <w:ind w:left="1260" w:leftChars="600"/>
    </w:pPr>
  </w:style>
  <w:style w:type="paragraph" w:styleId="17">
    <w:name w:val="List"/>
    <w:basedOn w:val="1"/>
    <w:next w:val="18"/>
    <w:qFormat/>
    <w:uiPriority w:val="0"/>
    <w:pPr>
      <w:adjustRightInd/>
      <w:snapToGrid/>
      <w:spacing w:after="0"/>
      <w:ind w:left="200" w:hanging="200" w:hangingChars="200"/>
      <w:contextualSpacing/>
    </w:pPr>
    <w:rPr>
      <w:rFonts w:ascii="Times New Roman" w:hAnsi="Times New Roman" w:eastAsia="宋体"/>
      <w:sz w:val="20"/>
      <w:szCs w:val="20"/>
    </w:rPr>
  </w:style>
  <w:style w:type="paragraph" w:customStyle="1" w:styleId="18">
    <w:name w:val="正文缩进4"/>
    <w:basedOn w:val="1"/>
    <w:next w:val="1"/>
    <w:qFormat/>
    <w:uiPriority w:val="0"/>
    <w:pPr>
      <w:widowControl w:val="0"/>
      <w:autoSpaceDE/>
      <w:autoSpaceDN/>
      <w:spacing w:before="0" w:after="0" w:line="240" w:lineRule="auto"/>
      <w:ind w:left="0" w:firstLine="420"/>
      <w:jc w:val="both"/>
    </w:pPr>
    <w:rPr>
      <w:rFonts w:ascii="Times New Roman" w:eastAsia="宋体"/>
      <w:sz w:val="21"/>
    </w:rPr>
  </w:style>
  <w:style w:type="paragraph" w:styleId="19">
    <w:name w:val="footnote text"/>
    <w:basedOn w:val="1"/>
    <w:qFormat/>
    <w:uiPriority w:val="0"/>
    <w:pPr>
      <w:snapToGrid w:val="0"/>
      <w:jc w:val="left"/>
    </w:pPr>
    <w:rPr>
      <w:rFonts w:ascii="Times New Roman" w:hAnsi="Times New Roman" w:eastAsia="宋体" w:cs="Times New Roman"/>
      <w:sz w:val="18"/>
    </w:rPr>
  </w:style>
  <w:style w:type="paragraph" w:styleId="20">
    <w:name w:val="toc 6"/>
    <w:basedOn w:val="1"/>
    <w:next w:val="1"/>
    <w:qFormat/>
    <w:uiPriority w:val="0"/>
    <w:pPr>
      <w:ind w:left="2100" w:leftChars="1000"/>
    </w:pPr>
  </w:style>
  <w:style w:type="paragraph" w:styleId="21">
    <w:name w:val="index 7"/>
    <w:basedOn w:val="1"/>
    <w:next w:val="1"/>
    <w:qFormat/>
    <w:uiPriority w:val="0"/>
    <w:pPr>
      <w:autoSpaceDE/>
      <w:autoSpaceDN/>
      <w:adjustRightInd/>
      <w:ind w:left="1200" w:leftChars="1200"/>
    </w:pPr>
    <w:rPr>
      <w:color w:val="auto"/>
      <w:kern w:val="2"/>
      <w:szCs w:val="24"/>
    </w:rPr>
  </w:style>
  <w:style w:type="paragraph" w:styleId="22">
    <w:name w:val="toc 2"/>
    <w:basedOn w:val="1"/>
    <w:next w:val="1"/>
    <w:qFormat/>
    <w:uiPriority w:val="39"/>
    <w:pPr>
      <w:ind w:left="200" w:leftChars="200"/>
    </w:pPr>
  </w:style>
  <w:style w:type="paragraph" w:styleId="23">
    <w:name w:val="Body Text 2"/>
    <w:basedOn w:val="1"/>
    <w:qFormat/>
    <w:uiPriority w:val="0"/>
    <w:pPr>
      <w:tabs>
        <w:tab w:val="left" w:pos="0"/>
      </w:tabs>
      <w:spacing w:line="400" w:lineRule="atLeast"/>
    </w:pPr>
    <w:rPr>
      <w:rFonts w:ascii="Arial" w:hAnsi="Arial"/>
      <w:color w:val="000000"/>
    </w:rPr>
  </w:style>
  <w:style w:type="paragraph" w:styleId="24">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5">
    <w:name w:val="Title"/>
    <w:basedOn w:val="1"/>
    <w:next w:val="1"/>
    <w:qFormat/>
    <w:uiPriority w:val="99"/>
    <w:pPr>
      <w:spacing w:before="240" w:after="60"/>
      <w:jc w:val="center"/>
      <w:outlineLvl w:val="0"/>
    </w:pPr>
    <w:rPr>
      <w:rFonts w:ascii="新宋体" w:hAnsi="Cambria" w:eastAsia="新宋体"/>
      <w:b/>
      <w:bCs/>
      <w:sz w:val="40"/>
      <w:szCs w:val="32"/>
    </w:rPr>
  </w:style>
  <w:style w:type="paragraph" w:styleId="26">
    <w:name w:val="Body Text First Indent"/>
    <w:basedOn w:val="9"/>
    <w:next w:val="20"/>
    <w:unhideWhenUsed/>
    <w:qFormat/>
    <w:uiPriority w:val="0"/>
    <w:pPr>
      <w:adjustRightInd/>
      <w:spacing w:after="120" w:line="240" w:lineRule="auto"/>
      <w:ind w:firstLine="420" w:firstLineChars="100"/>
      <w:jc w:val="both"/>
    </w:pPr>
    <w:rPr>
      <w:rFonts w:ascii="Times New Roman"/>
      <w:kern w:val="2"/>
      <w:sz w:val="21"/>
      <w:szCs w:val="24"/>
    </w:rPr>
  </w:style>
  <w:style w:type="paragraph" w:styleId="27">
    <w:name w:val="Body Text First Indent 2"/>
    <w:basedOn w:val="10"/>
    <w:next w:val="9"/>
    <w:qFormat/>
    <w:uiPriority w:val="0"/>
    <w:pPr>
      <w:ind w:firstLine="420"/>
    </w:pPr>
  </w:style>
  <w:style w:type="character" w:styleId="30">
    <w:name w:val="Strong"/>
    <w:basedOn w:val="29"/>
    <w:qFormat/>
    <w:uiPriority w:val="0"/>
    <w:rPr>
      <w:b/>
    </w:rPr>
  </w:style>
  <w:style w:type="character" w:styleId="31">
    <w:name w:val="Hyperlink"/>
    <w:basedOn w:val="29"/>
    <w:qFormat/>
    <w:uiPriority w:val="99"/>
    <w:rPr>
      <w:color w:val="0000FF"/>
      <w:u w:val="none"/>
    </w:rPr>
  </w:style>
  <w:style w:type="character" w:styleId="32">
    <w:name w:val="annotation reference"/>
    <w:qFormat/>
    <w:uiPriority w:val="0"/>
    <w:rPr>
      <w:sz w:val="21"/>
      <w:szCs w:val="21"/>
    </w:rPr>
  </w:style>
  <w:style w:type="paragraph" w:customStyle="1" w:styleId="33">
    <w:name w:val="样式1"/>
    <w:basedOn w:val="1"/>
    <w:unhideWhenUsed/>
    <w:qFormat/>
    <w:uiPriority w:val="99"/>
    <w:pPr>
      <w:spacing w:beforeLines="0" w:afterLines="0"/>
    </w:pPr>
    <w:rPr>
      <w:rFonts w:hint="eastAsia"/>
      <w:sz w:val="21"/>
    </w:rPr>
  </w:style>
  <w:style w:type="paragraph" w:customStyle="1" w:styleId="34">
    <w:name w:val="Default"/>
    <w:basedOn w:val="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5">
    <w:name w:val="明显引用1"/>
    <w:next w:val="1"/>
    <w:qFormat/>
    <w:uiPriority w:val="0"/>
    <w:pPr>
      <w:wordWrap w:val="0"/>
      <w:spacing w:before="360" w:after="360"/>
      <w:ind w:left="950" w:right="950"/>
      <w:jc w:val="center"/>
    </w:pPr>
    <w:rPr>
      <w:rFonts w:ascii="宋体" w:hAnsi="宋体" w:eastAsia="Times New Roman" w:cs="Times New Roman"/>
      <w:i/>
      <w:sz w:val="21"/>
      <w:lang w:val="en-US" w:eastAsia="zh-CN" w:bidi="ar-SA"/>
    </w:rPr>
  </w:style>
  <w:style w:type="paragraph" w:customStyle="1" w:styleId="36">
    <w:name w:val="_Style 2"/>
    <w:basedOn w:val="1"/>
    <w:qFormat/>
    <w:uiPriority w:val="0"/>
    <w:pPr>
      <w:ind w:firstLine="200" w:firstLineChars="200"/>
    </w:pPr>
    <w:rPr>
      <w:rFonts w:ascii="Calibri" w:hAnsi="Calibri"/>
      <w:sz w:val="28"/>
      <w:szCs w:val="22"/>
    </w:rPr>
  </w:style>
  <w:style w:type="paragraph" w:styleId="37">
    <w:name w:val="No Spacing"/>
    <w:basedOn w:val="1"/>
    <w:qFormat/>
    <w:uiPriority w:val="1"/>
    <w:pPr>
      <w:widowControl w:val="0"/>
      <w:jc w:val="center"/>
    </w:pPr>
    <w:rPr>
      <w:rFonts w:eastAsia="黑体"/>
      <w:kern w:val="2"/>
      <w:sz w:val="30"/>
      <w:szCs w:val="24"/>
      <w:lang w:val="en-US" w:eastAsia="zh-CN" w:bidi="ar-SA"/>
    </w:rPr>
  </w:style>
  <w:style w:type="paragraph" w:customStyle="1" w:styleId="38">
    <w:name w:val="引用1"/>
    <w:next w:val="1"/>
    <w:qFormat/>
    <w:uiPriority w:val="0"/>
    <w:pPr>
      <w:wordWrap w:val="0"/>
      <w:spacing w:before="200" w:after="160"/>
      <w:ind w:left="864" w:right="864"/>
      <w:jc w:val="center"/>
    </w:pPr>
    <w:rPr>
      <w:rFonts w:ascii="Times New Roman" w:hAnsi="Times New Roman" w:eastAsia="宋体" w:cs="Times New Roman"/>
      <w:i/>
      <w:sz w:val="21"/>
      <w:szCs w:val="22"/>
      <w:lang w:val="en-US" w:eastAsia="zh-CN" w:bidi="ar-SA"/>
    </w:rPr>
  </w:style>
  <w:style w:type="character" w:customStyle="1" w:styleId="39">
    <w:name w:val="font21"/>
    <w:basedOn w:val="29"/>
    <w:qFormat/>
    <w:uiPriority w:val="0"/>
    <w:rPr>
      <w:rFonts w:hint="eastAsia" w:ascii="楷体" w:hAnsi="楷体" w:eastAsia="楷体" w:cs="楷体"/>
      <w:color w:val="000000"/>
      <w:sz w:val="24"/>
      <w:szCs w:val="24"/>
      <w:u w:val="none"/>
    </w:rPr>
  </w:style>
  <w:style w:type="character" w:customStyle="1" w:styleId="40">
    <w:name w:val="font01"/>
    <w:basedOn w:val="29"/>
    <w:qFormat/>
    <w:uiPriority w:val="0"/>
    <w:rPr>
      <w:rFonts w:hint="eastAsia" w:ascii="楷体" w:hAnsi="楷体" w:eastAsia="楷体" w:cs="楷体"/>
      <w:b/>
      <w:color w:val="000000"/>
      <w:sz w:val="24"/>
      <w:szCs w:val="24"/>
      <w:u w:val="none"/>
    </w:rPr>
  </w:style>
  <w:style w:type="paragraph" w:customStyle="1" w:styleId="41">
    <w:name w:val="样式 样式 左侧:  2 字符 + 左侧:  0.85 厘米 首行缩进:  2 字符1"/>
    <w:basedOn w:val="1"/>
    <w:qFormat/>
    <w:uiPriority w:val="0"/>
    <w:pPr>
      <w:ind w:left="482" w:firstLine="200" w:firstLineChars="200"/>
    </w:pPr>
    <w:rPr>
      <w:szCs w:val="20"/>
    </w:rPr>
  </w:style>
  <w:style w:type="paragraph" w:customStyle="1" w:styleId="42">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43">
    <w:name w:val="black1"/>
    <w:basedOn w:val="1"/>
    <w:qFormat/>
    <w:uiPriority w:val="0"/>
    <w:pPr>
      <w:widowControl/>
      <w:spacing w:before="100" w:beforeLines="0" w:beforeAutospacing="1" w:after="100" w:afterLines="0" w:afterAutospacing="1" w:line="280" w:lineRule="atLeast"/>
      <w:jc w:val="left"/>
    </w:pPr>
    <w:rPr>
      <w:rFonts w:ascii="_x000B__x000C_" w:hAnsi="_x000B__x000C_"/>
      <w:color w:val="000000"/>
      <w:kern w:val="0"/>
      <w:sz w:val="18"/>
      <w:szCs w:val="18"/>
    </w:rPr>
  </w:style>
  <w:style w:type="paragraph" w:customStyle="1" w:styleId="44">
    <w:name w:val="标书正文"/>
    <w:basedOn w:val="1"/>
    <w:qFormat/>
    <w:uiPriority w:val="0"/>
    <w:pPr>
      <w:spacing w:line="560" w:lineRule="exact"/>
      <w:ind w:firstLine="723" w:firstLineChars="200"/>
      <w:jc w:val="center"/>
    </w:pPr>
    <w:rPr>
      <w:rFonts w:ascii="仿宋_GB2312" w:eastAsia="仿宋_GB2312"/>
      <w:b/>
      <w:sz w:val="36"/>
    </w:rPr>
  </w:style>
  <w:style w:type="paragraph" w:customStyle="1" w:styleId="45">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46">
    <w:name w:val="Table Normal"/>
    <w:semiHidden/>
    <w:unhideWhenUsed/>
    <w:qFormat/>
    <w:uiPriority w:val="0"/>
    <w:tblPr>
      <w:tblCellMar>
        <w:top w:w="0" w:type="dxa"/>
        <w:left w:w="0" w:type="dxa"/>
        <w:bottom w:w="0" w:type="dxa"/>
        <w:right w:w="0" w:type="dxa"/>
      </w:tblCellMar>
    </w:tblPr>
  </w:style>
  <w:style w:type="character" w:customStyle="1" w:styleId="47">
    <w:name w:val="font51"/>
    <w:basedOn w:val="29"/>
    <w:qFormat/>
    <w:uiPriority w:val="0"/>
    <w:rPr>
      <w:rFonts w:hint="eastAsia" w:ascii="仿宋" w:hAnsi="仿宋" w:eastAsia="仿宋" w:cs="仿宋"/>
      <w:color w:val="FF0000"/>
      <w:sz w:val="22"/>
      <w:szCs w:val="22"/>
      <w:u w:val="none"/>
    </w:rPr>
  </w:style>
  <w:style w:type="character" w:customStyle="1" w:styleId="48">
    <w:name w:val="font81"/>
    <w:basedOn w:val="29"/>
    <w:qFormat/>
    <w:uiPriority w:val="0"/>
    <w:rPr>
      <w:rFonts w:hint="eastAsia" w:ascii="仿宋" w:hAnsi="仿宋" w:eastAsia="仿宋" w:cs="仿宋"/>
      <w:color w:val="FF0000"/>
      <w:sz w:val="22"/>
      <w:szCs w:val="22"/>
      <w:u w:val="none"/>
    </w:rPr>
  </w:style>
  <w:style w:type="character" w:customStyle="1" w:styleId="49">
    <w:name w:val="font41"/>
    <w:basedOn w:val="29"/>
    <w:qFormat/>
    <w:uiPriority w:val="0"/>
    <w:rPr>
      <w:rFonts w:hint="eastAsia" w:ascii="仿宋" w:hAnsi="仿宋" w:eastAsia="仿宋" w:cs="仿宋"/>
      <w:color w:val="000000"/>
      <w:sz w:val="22"/>
      <w:szCs w:val="22"/>
      <w:u w:val="none"/>
    </w:rPr>
  </w:style>
  <w:style w:type="character" w:customStyle="1" w:styleId="50">
    <w:name w:val="font31"/>
    <w:basedOn w:val="29"/>
    <w:qFormat/>
    <w:uiPriority w:val="0"/>
    <w:rPr>
      <w:rFonts w:hint="eastAsia" w:ascii="仿宋" w:hAnsi="仿宋" w:eastAsia="仿宋" w:cs="仿宋"/>
      <w:b/>
      <w:bCs/>
      <w:color w:val="000000"/>
      <w:sz w:val="22"/>
      <w:szCs w:val="22"/>
      <w:u w:val="none"/>
    </w:rPr>
  </w:style>
  <w:style w:type="character" w:customStyle="1" w:styleId="51">
    <w:name w:val="font71"/>
    <w:basedOn w:val="29"/>
    <w:qFormat/>
    <w:uiPriority w:val="0"/>
    <w:rPr>
      <w:rFonts w:hint="eastAsia" w:ascii="仿宋" w:hAnsi="仿宋" w:eastAsia="仿宋" w:cs="仿宋"/>
      <w:color w:val="000000"/>
      <w:sz w:val="22"/>
      <w:szCs w:val="22"/>
      <w:u w:val="none"/>
    </w:rPr>
  </w:style>
  <w:style w:type="paragraph" w:customStyle="1" w:styleId="52">
    <w:name w:val="首行缩进"/>
    <w:basedOn w:val="1"/>
    <w:qFormat/>
    <w:uiPriority w:val="0"/>
    <w:pPr>
      <w:ind w:firstLine="480" w:firstLineChars="200"/>
    </w:pPr>
    <w:rPr>
      <w:lang w:val="zh-CN"/>
    </w:rPr>
  </w:style>
  <w:style w:type="paragraph" w:customStyle="1" w:styleId="53">
    <w:name w:val="样式 左侧:  0 厘米 悬挂缩进: 2.5 字符"/>
    <w:basedOn w:val="1"/>
    <w:qFormat/>
    <w:uiPriority w:val="0"/>
    <w:pPr>
      <w:ind w:left="525" w:hanging="525" w:hangingChars="250"/>
    </w:pPr>
    <w:rPr>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11111111111</Company>
  <Pages>108</Pages>
  <Words>4684</Words>
  <Characters>5361</Characters>
  <Lines>0</Lines>
  <Paragraphs>0</Paragraphs>
  <TotalTime>9</TotalTime>
  <ScaleCrop>false</ScaleCrop>
  <LinksUpToDate>false</LinksUpToDate>
  <CharactersWithSpaces>5561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2025-03-06T13:15:00Z</dcterms:created>
  <dc:creator>yuanxiaoping</dc:creator>
  <cp:lastModifiedBy>Faith</cp:lastModifiedBy>
  <cp:lastPrinted>2026-11-02T03:11:00Z</cp:lastPrinted>
  <dcterms:modified xsi:type="dcterms:W3CDTF">2026-11-02T08:28:45Z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eyJoZGlkIjoiNzcwYzRhZjgxZTJlZGUxMDY1YmI2YmRlODEzMDQ5YWEiLCJ1c2VySWQiOiIzMjMyNzAyMzMifQ==</vt:lpwstr>
  </property>
  <property fmtid="{D5CDD505-2E9C-101B-9397-08002B2CF9AE}" pid="4" name="ICV">
    <vt:lpwstr>446493B331DB436B8E85C3C751518D20_13</vt:lpwstr>
  </property>
</Properties>
</file>