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75FBE">
      <w:pPr>
        <w:keepNext w:val="0"/>
        <w:keepLines w:val="0"/>
        <w:pageBreakBefore w:val="0"/>
        <w:widowControl/>
        <w:shd w:val="clear"/>
        <w:kinsoku w:val="0"/>
        <w:wordWrap/>
        <w:overflowPunct/>
        <w:topLinePunct w:val="0"/>
        <w:autoSpaceDE w:val="0"/>
        <w:autoSpaceDN w:val="0"/>
        <w:bidi w:val="0"/>
        <w:adjustRightInd w:val="0"/>
        <w:snapToGrid w:val="0"/>
        <w:spacing w:line="25" w:lineRule="atLeast"/>
        <w:ind w:left="0" w:leftChars="0" w:right="0" w:rightChars="0" w:firstLine="0" w:firstLineChars="0"/>
        <w:jc w:val="center"/>
        <w:textAlignment w:val="baseline"/>
        <w:rPr>
          <w:rFonts w:ascii="宋体" w:hAnsi="宋体" w:eastAsia="宋体" w:cs="宋体"/>
          <w:color w:val="auto"/>
          <w:spacing w:val="67"/>
          <w:sz w:val="71"/>
          <w:szCs w:val="71"/>
          <w:highlight w:val="none"/>
        </w:rPr>
      </w:pPr>
    </w:p>
    <w:p w14:paraId="08EAC626">
      <w:pPr>
        <w:keepNext w:val="0"/>
        <w:keepLines w:val="0"/>
        <w:pageBreakBefore w:val="0"/>
        <w:widowControl/>
        <w:shd w:val="clear"/>
        <w:kinsoku w:val="0"/>
        <w:wordWrap/>
        <w:overflowPunct/>
        <w:topLinePunct w:val="0"/>
        <w:autoSpaceDE w:val="0"/>
        <w:autoSpaceDN w:val="0"/>
        <w:bidi w:val="0"/>
        <w:adjustRightInd w:val="0"/>
        <w:snapToGrid w:val="0"/>
        <w:spacing w:line="25" w:lineRule="atLeast"/>
        <w:ind w:left="0" w:leftChars="0" w:right="0" w:rightChars="0" w:firstLine="0" w:firstLineChars="0"/>
        <w:jc w:val="center"/>
        <w:textAlignment w:val="baseline"/>
        <w:rPr>
          <w:rFonts w:ascii="宋体" w:hAnsi="宋体" w:eastAsia="宋体" w:cs="宋体"/>
          <w:color w:val="auto"/>
          <w:sz w:val="71"/>
          <w:szCs w:val="71"/>
          <w:highlight w:val="none"/>
        </w:rPr>
      </w:pPr>
      <w:r>
        <w:rPr>
          <w:rFonts w:ascii="宋体" w:hAnsi="宋体" w:eastAsia="宋体" w:cs="宋体"/>
          <w:color w:val="auto"/>
          <w:spacing w:val="67"/>
          <w:sz w:val="71"/>
          <w:szCs w:val="71"/>
          <w:highlight w:val="none"/>
        </w:rPr>
        <w:t>和田地区政府</w:t>
      </w:r>
      <w:r>
        <w:rPr>
          <w:rFonts w:hint="eastAsia" w:ascii="宋体" w:hAnsi="宋体" w:eastAsia="宋体" w:cs="宋体"/>
          <w:color w:val="auto"/>
          <w:spacing w:val="67"/>
          <w:sz w:val="71"/>
          <w:szCs w:val="71"/>
          <w:highlight w:val="none"/>
          <w:lang w:eastAsia="zh-CN"/>
        </w:rPr>
        <w:t>分散</w:t>
      </w:r>
      <w:r>
        <w:rPr>
          <w:rFonts w:ascii="宋体" w:hAnsi="宋体" w:eastAsia="宋体" w:cs="宋体"/>
          <w:color w:val="auto"/>
          <w:spacing w:val="67"/>
          <w:sz w:val="71"/>
          <w:szCs w:val="71"/>
          <w:highlight w:val="none"/>
        </w:rPr>
        <w:t>采购</w:t>
      </w:r>
    </w:p>
    <w:p w14:paraId="6CB51364">
      <w:pPr>
        <w:pageBreakBefore w:val="0"/>
        <w:shd w:val="clear"/>
        <w:wordWrap/>
        <w:overflowPunct/>
        <w:topLinePunct w:val="0"/>
        <w:bidi w:val="0"/>
        <w:spacing w:line="25" w:lineRule="atLeast"/>
        <w:rPr>
          <w:rFonts w:ascii="Arial"/>
          <w:color w:val="auto"/>
          <w:sz w:val="21"/>
          <w:highlight w:val="none"/>
        </w:rPr>
      </w:pPr>
    </w:p>
    <w:p w14:paraId="6810BA38">
      <w:pPr>
        <w:pageBreakBefore w:val="0"/>
        <w:shd w:val="clear"/>
        <w:wordWrap/>
        <w:overflowPunct/>
        <w:topLinePunct w:val="0"/>
        <w:bidi w:val="0"/>
        <w:spacing w:line="25" w:lineRule="atLeast"/>
        <w:rPr>
          <w:rFonts w:ascii="Arial"/>
          <w:color w:val="auto"/>
          <w:sz w:val="21"/>
          <w:highlight w:val="none"/>
        </w:rPr>
      </w:pPr>
    </w:p>
    <w:p w14:paraId="4F059D83">
      <w:pPr>
        <w:pageBreakBefore w:val="0"/>
        <w:shd w:val="clear"/>
        <w:wordWrap/>
        <w:overflowPunct/>
        <w:topLinePunct w:val="0"/>
        <w:bidi w:val="0"/>
        <w:spacing w:line="25" w:lineRule="atLeast"/>
        <w:rPr>
          <w:rFonts w:ascii="Arial"/>
          <w:color w:val="auto"/>
          <w:sz w:val="21"/>
          <w:highlight w:val="none"/>
        </w:rPr>
      </w:pPr>
    </w:p>
    <w:p w14:paraId="11EABBFE">
      <w:pPr>
        <w:pageBreakBefore w:val="0"/>
        <w:shd w:val="clear"/>
        <w:wordWrap/>
        <w:overflowPunct/>
        <w:topLinePunct w:val="0"/>
        <w:bidi w:val="0"/>
        <w:spacing w:line="25" w:lineRule="atLeast"/>
        <w:rPr>
          <w:rFonts w:ascii="Arial"/>
          <w:color w:val="auto"/>
          <w:sz w:val="21"/>
          <w:highlight w:val="none"/>
        </w:rPr>
      </w:pPr>
    </w:p>
    <w:p w14:paraId="15421609">
      <w:pPr>
        <w:pageBreakBefore w:val="0"/>
        <w:shd w:val="clear"/>
        <w:wordWrap/>
        <w:overflowPunct/>
        <w:topLinePunct w:val="0"/>
        <w:bidi w:val="0"/>
        <w:spacing w:line="25" w:lineRule="atLeast"/>
        <w:rPr>
          <w:rFonts w:ascii="Arial"/>
          <w:color w:val="auto"/>
          <w:sz w:val="21"/>
          <w:highlight w:val="none"/>
        </w:rPr>
      </w:pPr>
    </w:p>
    <w:p w14:paraId="332D1B18">
      <w:pPr>
        <w:pageBreakBefore w:val="0"/>
        <w:shd w:val="clear"/>
        <w:wordWrap/>
        <w:overflowPunct/>
        <w:topLinePunct w:val="0"/>
        <w:bidi w:val="0"/>
        <w:spacing w:before="270" w:line="25" w:lineRule="atLeast"/>
        <w:ind w:left="1662"/>
        <w:rPr>
          <w:rFonts w:ascii="宋体" w:hAnsi="宋体" w:eastAsia="宋体" w:cs="宋体"/>
          <w:color w:val="auto"/>
          <w:sz w:val="83"/>
          <w:szCs w:val="83"/>
          <w:highlight w:val="none"/>
        </w:rPr>
      </w:pPr>
      <w:r>
        <w:rPr>
          <w:rFonts w:ascii="宋体" w:hAnsi="宋体" w:eastAsia="宋体" w:cs="宋体"/>
          <w:b/>
          <w:bCs/>
          <w:color w:val="auto"/>
          <w:spacing w:val="-2"/>
          <w:sz w:val="83"/>
          <w:szCs w:val="83"/>
          <w:highlight w:val="none"/>
        </w:rPr>
        <w:t>公开招标文件</w:t>
      </w:r>
    </w:p>
    <w:p w14:paraId="12EDBFD3">
      <w:pPr>
        <w:pageBreakBefore w:val="0"/>
        <w:shd w:val="clear"/>
        <w:wordWrap/>
        <w:overflowPunct/>
        <w:topLinePunct w:val="0"/>
        <w:bidi w:val="0"/>
        <w:spacing w:line="25" w:lineRule="atLeast"/>
        <w:rPr>
          <w:rFonts w:ascii="Arial"/>
          <w:color w:val="auto"/>
          <w:sz w:val="21"/>
          <w:highlight w:val="none"/>
        </w:rPr>
      </w:pPr>
    </w:p>
    <w:p w14:paraId="6EB77621">
      <w:pPr>
        <w:pageBreakBefore w:val="0"/>
        <w:shd w:val="clear"/>
        <w:wordWrap/>
        <w:overflowPunct/>
        <w:topLinePunct w:val="0"/>
        <w:bidi w:val="0"/>
        <w:spacing w:line="25" w:lineRule="atLeast"/>
        <w:rPr>
          <w:rFonts w:ascii="Arial"/>
          <w:color w:val="auto"/>
          <w:sz w:val="21"/>
          <w:highlight w:val="none"/>
        </w:rPr>
      </w:pPr>
    </w:p>
    <w:p w14:paraId="7F7B1A78">
      <w:pPr>
        <w:pageBreakBefore w:val="0"/>
        <w:shd w:val="clear"/>
        <w:wordWrap/>
        <w:overflowPunct/>
        <w:topLinePunct w:val="0"/>
        <w:bidi w:val="0"/>
        <w:spacing w:line="25" w:lineRule="atLeast"/>
        <w:rPr>
          <w:rFonts w:ascii="Arial"/>
          <w:color w:val="auto"/>
          <w:sz w:val="21"/>
          <w:highlight w:val="none"/>
        </w:rPr>
      </w:pPr>
    </w:p>
    <w:p w14:paraId="2062B759">
      <w:pPr>
        <w:pageBreakBefore w:val="0"/>
        <w:shd w:val="clear"/>
        <w:wordWrap/>
        <w:overflowPunct/>
        <w:topLinePunct w:val="0"/>
        <w:bidi w:val="0"/>
        <w:spacing w:before="230" w:line="25" w:lineRule="atLeast"/>
        <w:ind w:left="2446"/>
        <w:rPr>
          <w:rFonts w:ascii="楷体" w:hAnsi="楷体" w:eastAsia="楷体" w:cs="楷体"/>
          <w:color w:val="auto"/>
          <w:sz w:val="71"/>
          <w:szCs w:val="71"/>
          <w:highlight w:val="none"/>
        </w:rPr>
      </w:pPr>
      <w:r>
        <w:rPr>
          <w:rFonts w:ascii="楷体" w:hAnsi="楷体" w:eastAsia="楷体" w:cs="楷体"/>
          <w:color w:val="auto"/>
          <w:spacing w:val="-9"/>
          <w:sz w:val="71"/>
          <w:szCs w:val="71"/>
          <w:highlight w:val="none"/>
        </w:rPr>
        <w:t>（服务类）</w:t>
      </w:r>
    </w:p>
    <w:p w14:paraId="4382DE92">
      <w:pPr>
        <w:pageBreakBefore w:val="0"/>
        <w:shd w:val="clear"/>
        <w:wordWrap/>
        <w:overflowPunct/>
        <w:topLinePunct w:val="0"/>
        <w:bidi w:val="0"/>
        <w:spacing w:line="25" w:lineRule="atLeast"/>
        <w:rPr>
          <w:rFonts w:ascii="Arial"/>
          <w:color w:val="auto"/>
          <w:sz w:val="21"/>
          <w:highlight w:val="none"/>
        </w:rPr>
      </w:pPr>
    </w:p>
    <w:p w14:paraId="620BC601">
      <w:pPr>
        <w:pageBreakBefore w:val="0"/>
        <w:shd w:val="clear"/>
        <w:wordWrap/>
        <w:overflowPunct/>
        <w:topLinePunct w:val="0"/>
        <w:bidi w:val="0"/>
        <w:spacing w:line="25" w:lineRule="atLeast"/>
        <w:rPr>
          <w:rFonts w:ascii="Arial"/>
          <w:color w:val="auto"/>
          <w:sz w:val="21"/>
          <w:highlight w:val="none"/>
        </w:rPr>
      </w:pPr>
    </w:p>
    <w:p w14:paraId="6FBFDA7E">
      <w:pPr>
        <w:pageBreakBefore w:val="0"/>
        <w:shd w:val="clear"/>
        <w:wordWrap/>
        <w:overflowPunct/>
        <w:topLinePunct w:val="0"/>
        <w:bidi w:val="0"/>
        <w:spacing w:line="25" w:lineRule="atLeast"/>
        <w:rPr>
          <w:rFonts w:ascii="Arial"/>
          <w:color w:val="auto"/>
          <w:sz w:val="21"/>
          <w:highlight w:val="none"/>
        </w:rPr>
      </w:pPr>
    </w:p>
    <w:p w14:paraId="690228FD">
      <w:pPr>
        <w:pageBreakBefore w:val="0"/>
        <w:shd w:val="clear"/>
        <w:wordWrap/>
        <w:overflowPunct/>
        <w:topLinePunct w:val="0"/>
        <w:bidi w:val="0"/>
        <w:spacing w:line="25" w:lineRule="atLeast"/>
        <w:rPr>
          <w:rFonts w:ascii="Arial"/>
          <w:color w:val="auto"/>
          <w:sz w:val="21"/>
          <w:highlight w:val="none"/>
        </w:rPr>
      </w:pPr>
    </w:p>
    <w:p w14:paraId="53C06F30">
      <w:pPr>
        <w:pageBreakBefore w:val="0"/>
        <w:shd w:val="clear"/>
        <w:wordWrap/>
        <w:overflowPunct/>
        <w:topLinePunct w:val="0"/>
        <w:bidi w:val="0"/>
        <w:spacing w:line="25" w:lineRule="atLeast"/>
        <w:rPr>
          <w:rFonts w:ascii="Arial"/>
          <w:color w:val="auto"/>
          <w:sz w:val="21"/>
          <w:highlight w:val="none"/>
        </w:rPr>
      </w:pPr>
    </w:p>
    <w:p w14:paraId="673E382E">
      <w:pPr>
        <w:pageBreakBefore w:val="0"/>
        <w:shd w:val="clear"/>
        <w:wordWrap/>
        <w:overflowPunct/>
        <w:topLinePunct w:val="0"/>
        <w:bidi w:val="0"/>
        <w:spacing w:line="25" w:lineRule="atLeast"/>
        <w:rPr>
          <w:rFonts w:ascii="Arial"/>
          <w:color w:val="auto"/>
          <w:sz w:val="21"/>
          <w:highlight w:val="none"/>
        </w:rPr>
      </w:pPr>
    </w:p>
    <w:p w14:paraId="3D3BC5FC">
      <w:pPr>
        <w:pageBreakBefore w:val="0"/>
        <w:shd w:val="clear"/>
        <w:wordWrap/>
        <w:overflowPunct/>
        <w:topLinePunct w:val="0"/>
        <w:bidi w:val="0"/>
        <w:spacing w:line="25" w:lineRule="atLeast"/>
        <w:rPr>
          <w:rFonts w:ascii="Arial"/>
          <w:color w:val="auto"/>
          <w:sz w:val="21"/>
          <w:highlight w:val="none"/>
        </w:rPr>
      </w:pPr>
    </w:p>
    <w:p w14:paraId="5FB8A75D">
      <w:pPr>
        <w:pageBreakBefore w:val="0"/>
        <w:shd w:val="clear"/>
        <w:wordWrap/>
        <w:overflowPunct/>
        <w:topLinePunct w:val="0"/>
        <w:bidi w:val="0"/>
        <w:spacing w:line="25" w:lineRule="atLeast"/>
        <w:rPr>
          <w:rFonts w:ascii="Arial"/>
          <w:color w:val="auto"/>
          <w:sz w:val="21"/>
          <w:highlight w:val="none"/>
        </w:rPr>
      </w:pPr>
    </w:p>
    <w:p w14:paraId="1973BCD8">
      <w:pPr>
        <w:pageBreakBefore w:val="0"/>
        <w:shd w:val="clear"/>
        <w:wordWrap/>
        <w:overflowPunct/>
        <w:topLinePunct w:val="0"/>
        <w:bidi w:val="0"/>
        <w:spacing w:line="25" w:lineRule="atLeast"/>
        <w:rPr>
          <w:rFonts w:ascii="Arial"/>
          <w:color w:val="auto"/>
          <w:sz w:val="21"/>
          <w:highlight w:val="none"/>
        </w:rPr>
      </w:pPr>
    </w:p>
    <w:p w14:paraId="20A53CE0">
      <w:pPr>
        <w:pageBreakBefore w:val="0"/>
        <w:shd w:val="clear"/>
        <w:wordWrap/>
        <w:overflowPunct/>
        <w:topLinePunct w:val="0"/>
        <w:bidi w:val="0"/>
        <w:spacing w:line="25" w:lineRule="atLeast"/>
        <w:rPr>
          <w:rFonts w:ascii="Arial"/>
          <w:color w:val="auto"/>
          <w:sz w:val="21"/>
          <w:highlight w:val="none"/>
        </w:rPr>
      </w:pPr>
    </w:p>
    <w:p w14:paraId="76280F10">
      <w:pPr>
        <w:pageBreakBefore w:val="0"/>
        <w:shd w:val="clear"/>
        <w:wordWrap/>
        <w:overflowPunct/>
        <w:topLinePunct w:val="0"/>
        <w:bidi w:val="0"/>
        <w:spacing w:line="25" w:lineRule="atLeast"/>
        <w:rPr>
          <w:rFonts w:ascii="Arial"/>
          <w:color w:val="auto"/>
          <w:sz w:val="21"/>
          <w:highlight w:val="none"/>
        </w:rPr>
      </w:pPr>
    </w:p>
    <w:p w14:paraId="6E220BC7">
      <w:pPr>
        <w:pageBreakBefore w:val="0"/>
        <w:shd w:val="clear"/>
        <w:wordWrap/>
        <w:overflowPunct/>
        <w:topLinePunct w:val="0"/>
        <w:bidi w:val="0"/>
        <w:spacing w:line="25" w:lineRule="atLeast"/>
        <w:rPr>
          <w:rFonts w:ascii="Arial"/>
          <w:color w:val="auto"/>
          <w:sz w:val="21"/>
          <w:highlight w:val="none"/>
        </w:rPr>
      </w:pPr>
    </w:p>
    <w:p w14:paraId="5252BDC9">
      <w:pPr>
        <w:pageBreakBefore w:val="0"/>
        <w:shd w:val="clear"/>
        <w:wordWrap/>
        <w:overflowPunct/>
        <w:topLinePunct w:val="0"/>
        <w:bidi w:val="0"/>
        <w:spacing w:line="25" w:lineRule="atLeast"/>
        <w:rPr>
          <w:rFonts w:ascii="Arial"/>
          <w:color w:val="auto"/>
          <w:sz w:val="21"/>
          <w:highlight w:val="none"/>
        </w:rPr>
      </w:pPr>
    </w:p>
    <w:p w14:paraId="095D3635">
      <w:pPr>
        <w:pageBreakBefore w:val="0"/>
        <w:shd w:val="clear"/>
        <w:wordWrap/>
        <w:overflowPunct/>
        <w:topLinePunct w:val="0"/>
        <w:bidi w:val="0"/>
        <w:spacing w:line="25" w:lineRule="atLeast"/>
        <w:rPr>
          <w:rFonts w:ascii="Arial"/>
          <w:color w:val="auto"/>
          <w:sz w:val="21"/>
          <w:highlight w:val="none"/>
        </w:rPr>
      </w:pPr>
    </w:p>
    <w:p w14:paraId="76252A54">
      <w:pPr>
        <w:pageBreakBefore w:val="0"/>
        <w:shd w:val="clear"/>
        <w:wordWrap/>
        <w:overflowPunct/>
        <w:topLinePunct w:val="0"/>
        <w:bidi w:val="0"/>
        <w:spacing w:line="25" w:lineRule="atLeast"/>
        <w:rPr>
          <w:rFonts w:ascii="Arial"/>
          <w:color w:val="auto"/>
          <w:sz w:val="21"/>
          <w:highlight w:val="none"/>
        </w:rPr>
      </w:pPr>
    </w:p>
    <w:p w14:paraId="1551047A">
      <w:pPr>
        <w:pStyle w:val="11"/>
        <w:pageBreakBefore w:val="0"/>
        <w:shd w:val="clear"/>
        <w:wordWrap/>
        <w:overflowPunct/>
        <w:topLinePunct w:val="0"/>
        <w:bidi w:val="0"/>
        <w:spacing w:before="101" w:line="25" w:lineRule="atLeast"/>
        <w:ind w:left="1334" w:leftChars="12" w:right="106" w:rightChars="0" w:hanging="1309" w:hangingChars="400"/>
        <w:rPr>
          <w:rFonts w:hint="eastAsia" w:eastAsia="仿宋"/>
          <w:color w:val="auto"/>
          <w:spacing w:val="8"/>
          <w:highlight w:val="none"/>
          <w:u w:val="single"/>
          <w:lang w:eastAsia="zh-CN"/>
        </w:rPr>
      </w:pPr>
      <w:r>
        <w:rPr>
          <w:b/>
          <w:bCs/>
          <w:color w:val="auto"/>
          <w:spacing w:val="8"/>
          <w:highlight w:val="none"/>
        </w:rPr>
        <w:t>项目名称</w:t>
      </w:r>
      <w:r>
        <w:rPr>
          <w:rFonts w:hint="eastAsia"/>
          <w:b/>
          <w:bCs/>
          <w:color w:val="auto"/>
          <w:spacing w:val="8"/>
          <w:highlight w:val="none"/>
          <w:lang w:eastAsia="zh-CN"/>
        </w:rPr>
        <w:t>：</w:t>
      </w:r>
      <w:r>
        <w:rPr>
          <w:rFonts w:hint="eastAsia"/>
          <w:color w:val="auto"/>
          <w:spacing w:val="8"/>
          <w:highlight w:val="none"/>
          <w:u w:val="single"/>
          <w:lang w:eastAsia="zh-CN"/>
        </w:rPr>
        <w:t>和田地区空气自动站设备更换及运维项目（标段2：和田地区空气自动站运维保障项目（2027—2028年））</w:t>
      </w:r>
    </w:p>
    <w:p w14:paraId="14332C6E">
      <w:pPr>
        <w:pStyle w:val="11"/>
        <w:keepNext w:val="0"/>
        <w:keepLines w:val="0"/>
        <w:pageBreakBefore w:val="0"/>
        <w:widowControl/>
        <w:shd w:val="clear"/>
        <w:kinsoku w:val="0"/>
        <w:wordWrap w:val="0"/>
        <w:overflowPunct/>
        <w:topLinePunct w:val="0"/>
        <w:autoSpaceDE w:val="0"/>
        <w:autoSpaceDN w:val="0"/>
        <w:bidi w:val="0"/>
        <w:adjustRightInd w:val="0"/>
        <w:snapToGrid w:val="0"/>
        <w:spacing w:before="253" w:line="224" w:lineRule="auto"/>
        <w:ind w:left="27"/>
        <w:textAlignment w:val="baseline"/>
        <w:rPr>
          <w:rFonts w:hint="default" w:eastAsia="仿宋"/>
          <w:color w:val="auto"/>
          <w:highlight w:val="none"/>
          <w:u w:val="single"/>
          <w:lang w:val="en-US" w:eastAsia="zh-CN"/>
        </w:rPr>
      </w:pPr>
      <w:r>
        <w:rPr>
          <w:b/>
          <w:bCs/>
          <w:color w:val="auto"/>
          <w:highlight w:val="none"/>
        </w:rPr>
        <w:t>项目编号：</w:t>
      </w:r>
      <w:r>
        <w:rPr>
          <w:rFonts w:hint="eastAsia"/>
          <w:b w:val="0"/>
          <w:bCs w:val="0"/>
          <w:color w:val="auto"/>
          <w:highlight w:val="none"/>
          <w:u w:val="single"/>
        </w:rPr>
        <w:t>XJL-ZB-2026-75</w:t>
      </w:r>
    </w:p>
    <w:p w14:paraId="43C6E446">
      <w:pPr>
        <w:pStyle w:val="11"/>
        <w:keepNext w:val="0"/>
        <w:keepLines w:val="0"/>
        <w:pageBreakBefore w:val="0"/>
        <w:widowControl/>
        <w:shd w:val="clear"/>
        <w:kinsoku w:val="0"/>
        <w:wordWrap w:val="0"/>
        <w:overflowPunct/>
        <w:topLinePunct w:val="0"/>
        <w:autoSpaceDE w:val="0"/>
        <w:autoSpaceDN w:val="0"/>
        <w:bidi w:val="0"/>
        <w:adjustRightInd w:val="0"/>
        <w:snapToGrid w:val="0"/>
        <w:spacing w:before="143" w:line="221" w:lineRule="auto"/>
        <w:ind w:left="24"/>
        <w:textAlignment w:val="baseline"/>
        <w:rPr>
          <w:color w:val="auto"/>
          <w:highlight w:val="none"/>
        </w:rPr>
      </w:pPr>
      <w:r>
        <w:rPr>
          <w:b/>
          <w:bCs/>
          <w:color w:val="auto"/>
          <w:spacing w:val="3"/>
          <w:highlight w:val="none"/>
        </w:rPr>
        <w:t>采购单位：</w:t>
      </w:r>
      <w:r>
        <w:rPr>
          <w:rFonts w:hint="eastAsia"/>
          <w:b w:val="0"/>
          <w:bCs w:val="0"/>
          <w:color w:val="auto"/>
          <w:spacing w:val="3"/>
          <w:highlight w:val="none"/>
          <w:u w:val="single"/>
          <w:lang w:val="en-US" w:eastAsia="zh-CN"/>
        </w:rPr>
        <w:t>和田地区生态环境局</w:t>
      </w:r>
    </w:p>
    <w:p w14:paraId="34DA6170">
      <w:pPr>
        <w:pStyle w:val="11"/>
        <w:keepNext w:val="0"/>
        <w:keepLines w:val="0"/>
        <w:pageBreakBefore w:val="0"/>
        <w:widowControl/>
        <w:shd w:val="clear"/>
        <w:kinsoku w:val="0"/>
        <w:wordWrap w:val="0"/>
        <w:overflowPunct/>
        <w:topLinePunct w:val="0"/>
        <w:autoSpaceDE w:val="0"/>
        <w:autoSpaceDN w:val="0"/>
        <w:bidi w:val="0"/>
        <w:adjustRightInd w:val="0"/>
        <w:snapToGrid w:val="0"/>
        <w:spacing w:before="150" w:line="222" w:lineRule="auto"/>
        <w:ind w:left="21"/>
        <w:textAlignment w:val="baseline"/>
        <w:rPr>
          <w:b/>
          <w:bCs/>
          <w:color w:val="auto"/>
          <w:spacing w:val="6"/>
          <w:highlight w:val="none"/>
        </w:rPr>
      </w:pPr>
      <w:r>
        <w:rPr>
          <w:b/>
          <w:bCs/>
          <w:color w:val="auto"/>
          <w:spacing w:val="6"/>
          <w:highlight w:val="none"/>
        </w:rPr>
        <w:t>代理机构：</w:t>
      </w:r>
      <w:r>
        <w:rPr>
          <w:rFonts w:hint="eastAsia"/>
          <w:b w:val="0"/>
          <w:bCs w:val="0"/>
          <w:color w:val="auto"/>
          <w:spacing w:val="6"/>
          <w:highlight w:val="none"/>
          <w:u w:val="single"/>
          <w:lang w:eastAsia="zh-CN"/>
        </w:rPr>
        <w:t>新疆新建联项目管理咨询有限公司</w:t>
      </w:r>
    </w:p>
    <w:p w14:paraId="07159271">
      <w:pPr>
        <w:pStyle w:val="11"/>
        <w:keepNext w:val="0"/>
        <w:keepLines w:val="0"/>
        <w:pageBreakBefore w:val="0"/>
        <w:widowControl/>
        <w:shd w:val="clear"/>
        <w:kinsoku w:val="0"/>
        <w:wordWrap w:val="0"/>
        <w:overflowPunct/>
        <w:topLinePunct w:val="0"/>
        <w:autoSpaceDE w:val="0"/>
        <w:autoSpaceDN w:val="0"/>
        <w:bidi w:val="0"/>
        <w:adjustRightInd w:val="0"/>
        <w:snapToGrid w:val="0"/>
        <w:spacing w:before="150" w:line="222" w:lineRule="auto"/>
        <w:ind w:left="21"/>
        <w:textAlignment w:val="baseline"/>
        <w:rPr>
          <w:rFonts w:hint="default" w:eastAsia="仿宋"/>
          <w:color w:val="auto"/>
          <w:highlight w:val="none"/>
          <w:lang w:val="en-US" w:eastAsia="zh-CN"/>
        </w:rPr>
      </w:pPr>
      <w:r>
        <w:rPr>
          <w:b/>
          <w:bCs/>
          <w:color w:val="auto"/>
          <w:spacing w:val="-14"/>
          <w:highlight w:val="none"/>
        </w:rPr>
        <w:t>日</w:t>
      </w:r>
      <w:r>
        <w:rPr>
          <w:color w:val="auto"/>
          <w:spacing w:val="11"/>
          <w:highlight w:val="none"/>
        </w:rPr>
        <w:t xml:space="preserve">    </w:t>
      </w:r>
      <w:r>
        <w:rPr>
          <w:b/>
          <w:bCs/>
          <w:color w:val="auto"/>
          <w:spacing w:val="-14"/>
          <w:highlight w:val="none"/>
        </w:rPr>
        <w:t>期：</w:t>
      </w:r>
      <w:r>
        <w:rPr>
          <w:rFonts w:hint="eastAsia"/>
          <w:b w:val="0"/>
          <w:bCs w:val="0"/>
          <w:color w:val="auto"/>
          <w:spacing w:val="-14"/>
          <w:highlight w:val="none"/>
          <w:u w:val="single"/>
          <w:lang w:val="en-US" w:eastAsia="zh-CN"/>
        </w:rPr>
        <w:t>2026年9月</w:t>
      </w:r>
    </w:p>
    <w:p w14:paraId="12A9FB78">
      <w:pPr>
        <w:pageBreakBefore w:val="0"/>
        <w:shd w:val="clear"/>
        <w:wordWrap/>
        <w:overflowPunct/>
        <w:topLinePunct w:val="0"/>
        <w:bidi w:val="0"/>
        <w:spacing w:line="25" w:lineRule="atLeast"/>
        <w:rPr>
          <w:color w:val="auto"/>
          <w:highlight w:val="none"/>
        </w:rPr>
      </w:pPr>
    </w:p>
    <w:p w14:paraId="41E64625">
      <w:pPr>
        <w:pageBreakBefore w:val="0"/>
        <w:shd w:val="clear"/>
        <w:wordWrap/>
        <w:overflowPunct/>
        <w:topLinePunct w:val="0"/>
        <w:bidi w:val="0"/>
        <w:spacing w:line="25" w:lineRule="atLeast"/>
        <w:rPr>
          <w:color w:val="auto"/>
          <w:highlight w:val="none"/>
        </w:rPr>
        <w:sectPr>
          <w:pgSz w:w="11906" w:h="16839"/>
          <w:pgMar w:top="1440" w:right="1800" w:bottom="1440" w:left="1800" w:header="0" w:footer="0" w:gutter="0"/>
          <w:cols w:space="720" w:num="1"/>
        </w:sectPr>
      </w:pPr>
    </w:p>
    <w:sdt>
      <w:sdtPr>
        <w:rPr>
          <w:rFonts w:ascii="宋体" w:hAnsi="宋体" w:eastAsia="宋体" w:cs="Arial"/>
          <w:b/>
          <w:bCs/>
          <w:snapToGrid w:val="0"/>
          <w:color w:val="auto"/>
          <w:kern w:val="0"/>
          <w:sz w:val="32"/>
          <w:szCs w:val="32"/>
          <w:highlight w:val="none"/>
          <w:lang w:val="en-US" w:eastAsia="en-US" w:bidi="ar-SA"/>
        </w:rPr>
        <w:id w:val="147454415"/>
        <w15:color w:val="DBDBDB"/>
        <w:docPartObj>
          <w:docPartGallery w:val="Table of Contents"/>
          <w:docPartUnique/>
        </w:docPartObj>
      </w:sdtPr>
      <w:sdtEndPr>
        <w:rPr>
          <w:rFonts w:ascii="Calibri" w:hAnsi="Calibri" w:eastAsia="Calibri" w:cs="Calibri"/>
          <w:b/>
          <w:bCs/>
          <w:snapToGrid w:val="0"/>
          <w:color w:val="auto"/>
          <w:kern w:val="0"/>
          <w:sz w:val="21"/>
          <w:szCs w:val="31"/>
          <w:highlight w:val="none"/>
          <w:lang w:val="en-US" w:eastAsia="en-US" w:bidi="ar-SA"/>
        </w:rPr>
      </w:sdtEndPr>
      <w:sdtContent>
        <w:p w14:paraId="6BD60C74">
          <w:pPr>
            <w:shd w:val="clear"/>
            <w:spacing w:before="0" w:beforeLines="0" w:after="0" w:afterLines="0" w:line="240" w:lineRule="auto"/>
            <w:ind w:left="0" w:leftChars="0" w:right="0" w:rightChars="0" w:firstLine="0" w:firstLineChars="0"/>
            <w:jc w:val="center"/>
            <w:rPr>
              <w:b/>
              <w:bCs/>
              <w:color w:val="auto"/>
              <w:sz w:val="32"/>
              <w:szCs w:val="32"/>
              <w:highlight w:val="none"/>
            </w:rPr>
          </w:pPr>
          <w:r>
            <w:rPr>
              <w:rFonts w:ascii="宋体" w:hAnsi="宋体" w:eastAsia="宋体"/>
              <w:b/>
              <w:bCs/>
              <w:color w:val="auto"/>
              <w:sz w:val="32"/>
              <w:szCs w:val="32"/>
              <w:highlight w:val="none"/>
            </w:rPr>
            <w:t>目录</w:t>
          </w:r>
        </w:p>
        <w:p w14:paraId="1AF292FD">
          <w:pPr>
            <w:pStyle w:val="3"/>
            <w:shd w:val="clear"/>
            <w:tabs>
              <w:tab w:val="right" w:leader="dot" w:pos="8306"/>
            </w:tabs>
            <w:spacing w:line="360" w:lineRule="auto"/>
            <w:rPr>
              <w:b/>
              <w:bCs/>
              <w:color w:val="auto"/>
              <w:sz w:val="28"/>
              <w:szCs w:val="28"/>
              <w:highlight w:val="none"/>
            </w:rPr>
          </w:pPr>
          <w:r>
            <w:rPr>
              <w:rFonts w:ascii="Calibri" w:hAnsi="Calibri" w:eastAsia="Calibri" w:cs="Calibri"/>
              <w:color w:val="auto"/>
              <w:sz w:val="31"/>
              <w:szCs w:val="31"/>
              <w:highlight w:val="none"/>
            </w:rPr>
            <w:fldChar w:fldCharType="begin"/>
          </w:r>
          <w:r>
            <w:rPr>
              <w:rFonts w:ascii="Calibri" w:hAnsi="Calibri" w:eastAsia="Calibri" w:cs="Calibri"/>
              <w:color w:val="auto"/>
              <w:sz w:val="31"/>
              <w:szCs w:val="31"/>
              <w:highlight w:val="none"/>
            </w:rPr>
            <w:instrText xml:space="preserve">TOC \o "1-1" \h \u </w:instrText>
          </w:r>
          <w:r>
            <w:rPr>
              <w:rFonts w:ascii="Calibri" w:hAnsi="Calibri" w:eastAsia="Calibri" w:cs="Calibri"/>
              <w:color w:val="auto"/>
              <w:sz w:val="31"/>
              <w:szCs w:val="31"/>
              <w:highlight w:val="none"/>
            </w:rPr>
            <w:fldChar w:fldCharType="separate"/>
          </w:r>
          <w:r>
            <w:rPr>
              <w:rFonts w:ascii="Calibri" w:hAnsi="Calibri" w:eastAsia="Calibri" w:cs="Calibri"/>
              <w:b/>
              <w:bCs/>
              <w:color w:val="auto"/>
              <w:sz w:val="28"/>
              <w:szCs w:val="40"/>
              <w:highlight w:val="none"/>
            </w:rPr>
            <w:fldChar w:fldCharType="begin"/>
          </w:r>
          <w:r>
            <w:rPr>
              <w:rFonts w:ascii="Calibri" w:hAnsi="Calibri" w:eastAsia="Calibri" w:cs="Calibri"/>
              <w:b/>
              <w:bCs/>
              <w:color w:val="auto"/>
              <w:sz w:val="28"/>
              <w:szCs w:val="40"/>
              <w:highlight w:val="none"/>
            </w:rPr>
            <w:instrText xml:space="preserve"> HYPERLINK \l _Toc26808 </w:instrText>
          </w:r>
          <w:r>
            <w:rPr>
              <w:rFonts w:ascii="Calibri" w:hAnsi="Calibri" w:eastAsia="Calibri" w:cs="Calibri"/>
              <w:b/>
              <w:bCs/>
              <w:color w:val="auto"/>
              <w:sz w:val="28"/>
              <w:szCs w:val="40"/>
              <w:highlight w:val="none"/>
            </w:rPr>
            <w:fldChar w:fldCharType="separate"/>
          </w:r>
          <w:r>
            <w:rPr>
              <w:b/>
              <w:bCs/>
              <w:color w:val="auto"/>
              <w:sz w:val="28"/>
              <w:szCs w:val="28"/>
              <w:highlight w:val="none"/>
            </w:rPr>
            <w:t>第一章 招标公告</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_Toc26808 \h </w:instrText>
          </w:r>
          <w:r>
            <w:rPr>
              <w:b/>
              <w:bCs/>
              <w:color w:val="auto"/>
              <w:sz w:val="28"/>
              <w:szCs w:val="28"/>
              <w:highlight w:val="none"/>
            </w:rPr>
            <w:fldChar w:fldCharType="separate"/>
          </w:r>
          <w:r>
            <w:rPr>
              <w:b/>
              <w:bCs/>
              <w:color w:val="auto"/>
              <w:sz w:val="28"/>
              <w:szCs w:val="28"/>
              <w:highlight w:val="none"/>
            </w:rPr>
            <w:t>1</w:t>
          </w:r>
          <w:r>
            <w:rPr>
              <w:b/>
              <w:bCs/>
              <w:color w:val="auto"/>
              <w:sz w:val="28"/>
              <w:szCs w:val="28"/>
              <w:highlight w:val="none"/>
            </w:rPr>
            <w:fldChar w:fldCharType="end"/>
          </w:r>
          <w:r>
            <w:rPr>
              <w:rFonts w:ascii="Calibri" w:hAnsi="Calibri" w:eastAsia="Calibri" w:cs="Calibri"/>
              <w:b/>
              <w:bCs/>
              <w:color w:val="auto"/>
              <w:sz w:val="28"/>
              <w:szCs w:val="40"/>
              <w:highlight w:val="none"/>
            </w:rPr>
            <w:fldChar w:fldCharType="end"/>
          </w:r>
        </w:p>
        <w:p w14:paraId="0A9AAB3F">
          <w:pPr>
            <w:pStyle w:val="3"/>
            <w:shd w:val="clear"/>
            <w:tabs>
              <w:tab w:val="right" w:leader="dot" w:pos="8306"/>
            </w:tabs>
            <w:spacing w:line="360" w:lineRule="auto"/>
            <w:rPr>
              <w:b/>
              <w:bCs/>
              <w:color w:val="auto"/>
              <w:sz w:val="28"/>
              <w:szCs w:val="28"/>
              <w:highlight w:val="none"/>
            </w:rPr>
          </w:pPr>
          <w:r>
            <w:rPr>
              <w:rFonts w:ascii="Calibri" w:hAnsi="Calibri" w:eastAsia="Calibri" w:cs="Calibri"/>
              <w:b/>
              <w:bCs/>
              <w:color w:val="auto"/>
              <w:sz w:val="28"/>
              <w:szCs w:val="40"/>
              <w:highlight w:val="none"/>
            </w:rPr>
            <w:fldChar w:fldCharType="begin"/>
          </w:r>
          <w:r>
            <w:rPr>
              <w:rFonts w:ascii="Calibri" w:hAnsi="Calibri" w:eastAsia="Calibri" w:cs="Calibri"/>
              <w:b/>
              <w:bCs/>
              <w:color w:val="auto"/>
              <w:sz w:val="28"/>
              <w:szCs w:val="40"/>
              <w:highlight w:val="none"/>
            </w:rPr>
            <w:instrText xml:space="preserve"> HYPERLINK \l _Toc19550 </w:instrText>
          </w:r>
          <w:r>
            <w:rPr>
              <w:rFonts w:ascii="Calibri" w:hAnsi="Calibri" w:eastAsia="Calibri" w:cs="Calibri"/>
              <w:b/>
              <w:bCs/>
              <w:color w:val="auto"/>
              <w:sz w:val="28"/>
              <w:szCs w:val="40"/>
              <w:highlight w:val="none"/>
            </w:rPr>
            <w:fldChar w:fldCharType="separate"/>
          </w:r>
          <w:r>
            <w:rPr>
              <w:b/>
              <w:bCs/>
              <w:color w:val="auto"/>
              <w:sz w:val="28"/>
              <w:szCs w:val="28"/>
              <w:highlight w:val="none"/>
            </w:rPr>
            <w:t>第二章 投标人须知</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_Toc19550 \h </w:instrText>
          </w:r>
          <w:r>
            <w:rPr>
              <w:b/>
              <w:bCs/>
              <w:color w:val="auto"/>
              <w:sz w:val="28"/>
              <w:szCs w:val="28"/>
              <w:highlight w:val="none"/>
            </w:rPr>
            <w:fldChar w:fldCharType="separate"/>
          </w:r>
          <w:r>
            <w:rPr>
              <w:b/>
              <w:bCs/>
              <w:color w:val="auto"/>
              <w:sz w:val="28"/>
              <w:szCs w:val="28"/>
              <w:highlight w:val="none"/>
            </w:rPr>
            <w:t>5</w:t>
          </w:r>
          <w:r>
            <w:rPr>
              <w:b/>
              <w:bCs/>
              <w:color w:val="auto"/>
              <w:sz w:val="28"/>
              <w:szCs w:val="28"/>
              <w:highlight w:val="none"/>
            </w:rPr>
            <w:fldChar w:fldCharType="end"/>
          </w:r>
          <w:r>
            <w:rPr>
              <w:rFonts w:ascii="Calibri" w:hAnsi="Calibri" w:eastAsia="Calibri" w:cs="Calibri"/>
              <w:b/>
              <w:bCs/>
              <w:color w:val="auto"/>
              <w:sz w:val="28"/>
              <w:szCs w:val="40"/>
              <w:highlight w:val="none"/>
            </w:rPr>
            <w:fldChar w:fldCharType="end"/>
          </w:r>
        </w:p>
        <w:p w14:paraId="51426C5E">
          <w:pPr>
            <w:pStyle w:val="3"/>
            <w:shd w:val="clear"/>
            <w:tabs>
              <w:tab w:val="right" w:leader="dot" w:pos="8306"/>
            </w:tabs>
            <w:spacing w:line="360" w:lineRule="auto"/>
            <w:rPr>
              <w:b/>
              <w:bCs/>
              <w:color w:val="auto"/>
              <w:sz w:val="28"/>
              <w:szCs w:val="28"/>
              <w:highlight w:val="none"/>
            </w:rPr>
          </w:pPr>
          <w:r>
            <w:rPr>
              <w:rFonts w:ascii="Calibri" w:hAnsi="Calibri" w:eastAsia="Calibri" w:cs="Calibri"/>
              <w:b/>
              <w:bCs/>
              <w:color w:val="auto"/>
              <w:sz w:val="28"/>
              <w:szCs w:val="40"/>
              <w:highlight w:val="none"/>
            </w:rPr>
            <w:fldChar w:fldCharType="begin"/>
          </w:r>
          <w:r>
            <w:rPr>
              <w:rFonts w:ascii="Calibri" w:hAnsi="Calibri" w:eastAsia="Calibri" w:cs="Calibri"/>
              <w:b/>
              <w:bCs/>
              <w:color w:val="auto"/>
              <w:sz w:val="28"/>
              <w:szCs w:val="40"/>
              <w:highlight w:val="none"/>
            </w:rPr>
            <w:instrText xml:space="preserve"> HYPERLINK \l _Toc31259 </w:instrText>
          </w:r>
          <w:r>
            <w:rPr>
              <w:rFonts w:ascii="Calibri" w:hAnsi="Calibri" w:eastAsia="Calibri" w:cs="Calibri"/>
              <w:b/>
              <w:bCs/>
              <w:color w:val="auto"/>
              <w:sz w:val="28"/>
              <w:szCs w:val="40"/>
              <w:highlight w:val="none"/>
            </w:rPr>
            <w:fldChar w:fldCharType="separate"/>
          </w:r>
          <w:r>
            <w:rPr>
              <w:b/>
              <w:bCs/>
              <w:color w:val="auto"/>
              <w:sz w:val="28"/>
              <w:szCs w:val="28"/>
              <w:highlight w:val="none"/>
            </w:rPr>
            <w:t>第三章</w:t>
          </w:r>
          <w:r>
            <w:rPr>
              <w:rFonts w:hint="eastAsia"/>
              <w:b/>
              <w:bCs/>
              <w:color w:val="auto"/>
              <w:sz w:val="28"/>
              <w:szCs w:val="28"/>
              <w:highlight w:val="none"/>
              <w:lang w:val="en-US" w:eastAsia="zh-CN"/>
            </w:rPr>
            <w:t xml:space="preserve"> </w:t>
          </w:r>
          <w:r>
            <w:rPr>
              <w:b/>
              <w:bCs/>
              <w:color w:val="auto"/>
              <w:sz w:val="28"/>
              <w:szCs w:val="28"/>
              <w:highlight w:val="none"/>
            </w:rPr>
            <w:t>采购需求</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_Toc31259 \h </w:instrText>
          </w:r>
          <w:r>
            <w:rPr>
              <w:b/>
              <w:bCs/>
              <w:color w:val="auto"/>
              <w:sz w:val="28"/>
              <w:szCs w:val="28"/>
              <w:highlight w:val="none"/>
            </w:rPr>
            <w:fldChar w:fldCharType="separate"/>
          </w:r>
          <w:r>
            <w:rPr>
              <w:b/>
              <w:bCs/>
              <w:color w:val="auto"/>
              <w:sz w:val="28"/>
              <w:szCs w:val="28"/>
              <w:highlight w:val="none"/>
            </w:rPr>
            <w:t>38</w:t>
          </w:r>
          <w:r>
            <w:rPr>
              <w:b/>
              <w:bCs/>
              <w:color w:val="auto"/>
              <w:sz w:val="28"/>
              <w:szCs w:val="28"/>
              <w:highlight w:val="none"/>
            </w:rPr>
            <w:fldChar w:fldCharType="end"/>
          </w:r>
          <w:r>
            <w:rPr>
              <w:rFonts w:ascii="Calibri" w:hAnsi="Calibri" w:eastAsia="Calibri" w:cs="Calibri"/>
              <w:b/>
              <w:bCs/>
              <w:color w:val="auto"/>
              <w:sz w:val="28"/>
              <w:szCs w:val="40"/>
              <w:highlight w:val="none"/>
            </w:rPr>
            <w:fldChar w:fldCharType="end"/>
          </w:r>
        </w:p>
        <w:p w14:paraId="78D80EEB">
          <w:pPr>
            <w:pStyle w:val="3"/>
            <w:shd w:val="clear"/>
            <w:tabs>
              <w:tab w:val="right" w:leader="dot" w:pos="8306"/>
            </w:tabs>
            <w:spacing w:line="360" w:lineRule="auto"/>
            <w:rPr>
              <w:b/>
              <w:bCs/>
              <w:color w:val="auto"/>
              <w:sz w:val="28"/>
              <w:szCs w:val="28"/>
              <w:highlight w:val="none"/>
            </w:rPr>
          </w:pPr>
          <w:r>
            <w:rPr>
              <w:rFonts w:ascii="Calibri" w:hAnsi="Calibri" w:eastAsia="Calibri" w:cs="Calibri"/>
              <w:b/>
              <w:bCs/>
              <w:color w:val="auto"/>
              <w:sz w:val="28"/>
              <w:szCs w:val="40"/>
              <w:highlight w:val="none"/>
            </w:rPr>
            <w:fldChar w:fldCharType="begin"/>
          </w:r>
          <w:r>
            <w:rPr>
              <w:rFonts w:ascii="Calibri" w:hAnsi="Calibri" w:eastAsia="Calibri" w:cs="Calibri"/>
              <w:b/>
              <w:bCs/>
              <w:color w:val="auto"/>
              <w:sz w:val="28"/>
              <w:szCs w:val="40"/>
              <w:highlight w:val="none"/>
            </w:rPr>
            <w:instrText xml:space="preserve"> HYPERLINK \l _Toc524 </w:instrText>
          </w:r>
          <w:r>
            <w:rPr>
              <w:rFonts w:ascii="Calibri" w:hAnsi="Calibri" w:eastAsia="Calibri" w:cs="Calibri"/>
              <w:b/>
              <w:bCs/>
              <w:color w:val="auto"/>
              <w:sz w:val="28"/>
              <w:szCs w:val="40"/>
              <w:highlight w:val="none"/>
            </w:rPr>
            <w:fldChar w:fldCharType="separate"/>
          </w:r>
          <w:r>
            <w:rPr>
              <w:b/>
              <w:bCs/>
              <w:color w:val="auto"/>
              <w:sz w:val="28"/>
              <w:szCs w:val="28"/>
              <w:highlight w:val="none"/>
            </w:rPr>
            <w:t>第四章</w:t>
          </w:r>
          <w:r>
            <w:rPr>
              <w:rFonts w:hint="eastAsia"/>
              <w:b/>
              <w:bCs/>
              <w:color w:val="auto"/>
              <w:sz w:val="28"/>
              <w:szCs w:val="28"/>
              <w:highlight w:val="none"/>
              <w:lang w:val="en-US" w:eastAsia="zh-CN"/>
            </w:rPr>
            <w:t xml:space="preserve"> </w:t>
          </w:r>
          <w:r>
            <w:rPr>
              <w:b/>
              <w:bCs/>
              <w:color w:val="auto"/>
              <w:sz w:val="28"/>
              <w:szCs w:val="28"/>
              <w:highlight w:val="none"/>
            </w:rPr>
            <w:t>评标办法</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_Toc524 \h </w:instrText>
          </w:r>
          <w:r>
            <w:rPr>
              <w:b/>
              <w:bCs/>
              <w:color w:val="auto"/>
              <w:sz w:val="28"/>
              <w:szCs w:val="28"/>
              <w:highlight w:val="none"/>
            </w:rPr>
            <w:fldChar w:fldCharType="separate"/>
          </w:r>
          <w:r>
            <w:rPr>
              <w:b/>
              <w:bCs/>
              <w:color w:val="auto"/>
              <w:sz w:val="28"/>
              <w:szCs w:val="28"/>
              <w:highlight w:val="none"/>
            </w:rPr>
            <w:t>56</w:t>
          </w:r>
          <w:r>
            <w:rPr>
              <w:b/>
              <w:bCs/>
              <w:color w:val="auto"/>
              <w:sz w:val="28"/>
              <w:szCs w:val="28"/>
              <w:highlight w:val="none"/>
            </w:rPr>
            <w:fldChar w:fldCharType="end"/>
          </w:r>
          <w:r>
            <w:rPr>
              <w:rFonts w:ascii="Calibri" w:hAnsi="Calibri" w:eastAsia="Calibri" w:cs="Calibri"/>
              <w:b/>
              <w:bCs/>
              <w:color w:val="auto"/>
              <w:sz w:val="28"/>
              <w:szCs w:val="40"/>
              <w:highlight w:val="none"/>
            </w:rPr>
            <w:fldChar w:fldCharType="end"/>
          </w:r>
        </w:p>
        <w:p w14:paraId="5E0A5495">
          <w:pPr>
            <w:pStyle w:val="3"/>
            <w:shd w:val="clear"/>
            <w:tabs>
              <w:tab w:val="right" w:leader="dot" w:pos="8306"/>
            </w:tabs>
            <w:spacing w:line="360" w:lineRule="auto"/>
            <w:rPr>
              <w:b/>
              <w:bCs/>
              <w:color w:val="auto"/>
              <w:sz w:val="28"/>
              <w:szCs w:val="28"/>
              <w:highlight w:val="none"/>
            </w:rPr>
          </w:pPr>
          <w:r>
            <w:rPr>
              <w:rFonts w:ascii="Calibri" w:hAnsi="Calibri" w:eastAsia="Calibri" w:cs="Calibri"/>
              <w:b/>
              <w:bCs/>
              <w:color w:val="auto"/>
              <w:sz w:val="28"/>
              <w:szCs w:val="40"/>
              <w:highlight w:val="none"/>
            </w:rPr>
            <w:fldChar w:fldCharType="begin"/>
          </w:r>
          <w:r>
            <w:rPr>
              <w:rFonts w:ascii="Calibri" w:hAnsi="Calibri" w:eastAsia="Calibri" w:cs="Calibri"/>
              <w:b/>
              <w:bCs/>
              <w:color w:val="auto"/>
              <w:sz w:val="28"/>
              <w:szCs w:val="40"/>
              <w:highlight w:val="none"/>
            </w:rPr>
            <w:instrText xml:space="preserve"> HYPERLINK \l _Toc32666 </w:instrText>
          </w:r>
          <w:r>
            <w:rPr>
              <w:rFonts w:ascii="Calibri" w:hAnsi="Calibri" w:eastAsia="Calibri" w:cs="Calibri"/>
              <w:b/>
              <w:bCs/>
              <w:color w:val="auto"/>
              <w:sz w:val="28"/>
              <w:szCs w:val="40"/>
              <w:highlight w:val="none"/>
            </w:rPr>
            <w:fldChar w:fldCharType="separate"/>
          </w:r>
          <w:r>
            <w:rPr>
              <w:b/>
              <w:bCs/>
              <w:color w:val="auto"/>
              <w:sz w:val="28"/>
              <w:szCs w:val="28"/>
              <w:highlight w:val="none"/>
            </w:rPr>
            <w:t>第五章</w:t>
          </w:r>
          <w:r>
            <w:rPr>
              <w:rFonts w:hint="eastAsia"/>
              <w:b/>
              <w:bCs/>
              <w:color w:val="auto"/>
              <w:sz w:val="28"/>
              <w:szCs w:val="28"/>
              <w:highlight w:val="none"/>
              <w:lang w:val="en-US" w:eastAsia="zh-CN"/>
            </w:rPr>
            <w:t xml:space="preserve"> </w:t>
          </w:r>
          <w:r>
            <w:rPr>
              <w:b/>
              <w:bCs/>
              <w:color w:val="auto"/>
              <w:sz w:val="28"/>
              <w:szCs w:val="28"/>
              <w:highlight w:val="none"/>
            </w:rPr>
            <w:t>签订合同及合同范本</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_Toc32666 \h </w:instrText>
          </w:r>
          <w:r>
            <w:rPr>
              <w:b/>
              <w:bCs/>
              <w:color w:val="auto"/>
              <w:sz w:val="28"/>
              <w:szCs w:val="28"/>
              <w:highlight w:val="none"/>
            </w:rPr>
            <w:fldChar w:fldCharType="separate"/>
          </w:r>
          <w:r>
            <w:rPr>
              <w:b/>
              <w:bCs/>
              <w:color w:val="auto"/>
              <w:sz w:val="28"/>
              <w:szCs w:val="28"/>
              <w:highlight w:val="none"/>
            </w:rPr>
            <w:t>61</w:t>
          </w:r>
          <w:r>
            <w:rPr>
              <w:b/>
              <w:bCs/>
              <w:color w:val="auto"/>
              <w:sz w:val="28"/>
              <w:szCs w:val="28"/>
              <w:highlight w:val="none"/>
            </w:rPr>
            <w:fldChar w:fldCharType="end"/>
          </w:r>
          <w:r>
            <w:rPr>
              <w:rFonts w:ascii="Calibri" w:hAnsi="Calibri" w:eastAsia="Calibri" w:cs="Calibri"/>
              <w:b/>
              <w:bCs/>
              <w:color w:val="auto"/>
              <w:sz w:val="28"/>
              <w:szCs w:val="40"/>
              <w:highlight w:val="none"/>
            </w:rPr>
            <w:fldChar w:fldCharType="end"/>
          </w:r>
        </w:p>
        <w:p w14:paraId="0516E94E">
          <w:pPr>
            <w:pStyle w:val="3"/>
            <w:shd w:val="clear"/>
            <w:tabs>
              <w:tab w:val="right" w:leader="dot" w:pos="8306"/>
            </w:tabs>
            <w:spacing w:line="360" w:lineRule="auto"/>
            <w:rPr>
              <w:b/>
              <w:bCs/>
              <w:color w:val="auto"/>
              <w:sz w:val="28"/>
              <w:szCs w:val="28"/>
              <w:highlight w:val="none"/>
            </w:rPr>
          </w:pPr>
          <w:r>
            <w:rPr>
              <w:rFonts w:ascii="Calibri" w:hAnsi="Calibri" w:eastAsia="Calibri" w:cs="Calibri"/>
              <w:b/>
              <w:bCs/>
              <w:color w:val="auto"/>
              <w:sz w:val="28"/>
              <w:szCs w:val="40"/>
              <w:highlight w:val="none"/>
            </w:rPr>
            <w:fldChar w:fldCharType="begin"/>
          </w:r>
          <w:r>
            <w:rPr>
              <w:rFonts w:ascii="Calibri" w:hAnsi="Calibri" w:eastAsia="Calibri" w:cs="Calibri"/>
              <w:b/>
              <w:bCs/>
              <w:color w:val="auto"/>
              <w:sz w:val="28"/>
              <w:szCs w:val="40"/>
              <w:highlight w:val="none"/>
            </w:rPr>
            <w:instrText xml:space="preserve"> HYPERLINK \l _Toc1748 </w:instrText>
          </w:r>
          <w:r>
            <w:rPr>
              <w:rFonts w:ascii="Calibri" w:hAnsi="Calibri" w:eastAsia="Calibri" w:cs="Calibri"/>
              <w:b/>
              <w:bCs/>
              <w:color w:val="auto"/>
              <w:sz w:val="28"/>
              <w:szCs w:val="40"/>
              <w:highlight w:val="none"/>
            </w:rPr>
            <w:fldChar w:fldCharType="separate"/>
          </w:r>
          <w:r>
            <w:rPr>
              <w:b/>
              <w:bCs/>
              <w:color w:val="auto"/>
              <w:sz w:val="28"/>
              <w:szCs w:val="28"/>
              <w:highlight w:val="none"/>
            </w:rPr>
            <w:t>第六章 投标文件格式</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_Toc1748 \h </w:instrText>
          </w:r>
          <w:r>
            <w:rPr>
              <w:b/>
              <w:bCs/>
              <w:color w:val="auto"/>
              <w:sz w:val="28"/>
              <w:szCs w:val="28"/>
              <w:highlight w:val="none"/>
            </w:rPr>
            <w:fldChar w:fldCharType="separate"/>
          </w:r>
          <w:r>
            <w:rPr>
              <w:b/>
              <w:bCs/>
              <w:color w:val="auto"/>
              <w:sz w:val="28"/>
              <w:szCs w:val="28"/>
              <w:highlight w:val="none"/>
            </w:rPr>
            <w:t>74</w:t>
          </w:r>
          <w:r>
            <w:rPr>
              <w:b/>
              <w:bCs/>
              <w:color w:val="auto"/>
              <w:sz w:val="28"/>
              <w:szCs w:val="28"/>
              <w:highlight w:val="none"/>
            </w:rPr>
            <w:fldChar w:fldCharType="end"/>
          </w:r>
          <w:r>
            <w:rPr>
              <w:rFonts w:ascii="Calibri" w:hAnsi="Calibri" w:eastAsia="Calibri" w:cs="Calibri"/>
              <w:b/>
              <w:bCs/>
              <w:color w:val="auto"/>
              <w:sz w:val="28"/>
              <w:szCs w:val="40"/>
              <w:highlight w:val="none"/>
            </w:rPr>
            <w:fldChar w:fldCharType="end"/>
          </w:r>
        </w:p>
        <w:p w14:paraId="10E2A450">
          <w:pPr>
            <w:pStyle w:val="3"/>
            <w:shd w:val="clear"/>
            <w:tabs>
              <w:tab w:val="right" w:leader="dot" w:pos="8306"/>
            </w:tabs>
            <w:rPr>
              <w:color w:val="auto"/>
              <w:highlight w:val="none"/>
            </w:rPr>
          </w:pPr>
        </w:p>
        <w:p w14:paraId="0333AC3D">
          <w:pPr>
            <w:pageBreakBefore w:val="0"/>
            <w:shd w:val="clear"/>
            <w:wordWrap/>
            <w:overflowPunct/>
            <w:topLinePunct w:val="0"/>
            <w:bidi w:val="0"/>
            <w:spacing w:line="25" w:lineRule="atLeast"/>
            <w:rPr>
              <w:rFonts w:ascii="Calibri" w:hAnsi="Calibri" w:eastAsia="Calibri" w:cs="Calibri"/>
              <w:snapToGrid w:val="0"/>
              <w:color w:val="auto"/>
              <w:kern w:val="0"/>
              <w:sz w:val="21"/>
              <w:szCs w:val="31"/>
              <w:highlight w:val="none"/>
              <w:lang w:val="en-US" w:eastAsia="en-US" w:bidi="ar-SA"/>
            </w:rPr>
          </w:pPr>
          <w:r>
            <w:rPr>
              <w:rFonts w:ascii="Calibri" w:hAnsi="Calibri" w:eastAsia="Calibri" w:cs="Calibri"/>
              <w:color w:val="auto"/>
              <w:szCs w:val="31"/>
              <w:highlight w:val="none"/>
            </w:rPr>
            <w:fldChar w:fldCharType="end"/>
          </w:r>
        </w:p>
      </w:sdtContent>
    </w:sdt>
    <w:p w14:paraId="4CEA2BAA">
      <w:pPr>
        <w:pStyle w:val="11"/>
        <w:shd w:val="clear"/>
        <w:rPr>
          <w:color w:val="auto"/>
          <w:highlight w:val="none"/>
        </w:rPr>
        <w:sectPr>
          <w:pgSz w:w="11906" w:h="16839"/>
          <w:pgMar w:top="1440" w:right="1800" w:bottom="1440" w:left="1800" w:header="0" w:footer="0" w:gutter="0"/>
          <w:cols w:space="720" w:num="1"/>
        </w:sectPr>
      </w:pPr>
    </w:p>
    <w:p w14:paraId="6F6F1083">
      <w:pPr>
        <w:pStyle w:val="2"/>
        <w:shd w:val="clear"/>
        <w:bidi w:val="0"/>
        <w:rPr>
          <w:color w:val="auto"/>
          <w:highlight w:val="none"/>
        </w:rPr>
      </w:pPr>
      <w:bookmarkStart w:id="0" w:name="bookmark1"/>
      <w:bookmarkEnd w:id="0"/>
      <w:bookmarkStart w:id="1" w:name="_Toc26808"/>
      <w:r>
        <w:rPr>
          <w:color w:val="auto"/>
          <w:highlight w:val="none"/>
        </w:rPr>
        <w:t>第一章 招标公告</w:t>
      </w:r>
      <w:bookmarkEnd w:id="1"/>
    </w:p>
    <w:tbl>
      <w:tblPr>
        <w:tblStyle w:val="24"/>
        <w:tblW w:w="847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79"/>
      </w:tblGrid>
      <w:tr w14:paraId="0493665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45" w:hRule="atLeast"/>
        </w:trPr>
        <w:tc>
          <w:tcPr>
            <w:tcW w:w="8479" w:type="dxa"/>
            <w:vAlign w:val="top"/>
          </w:tcPr>
          <w:p w14:paraId="4F788C57">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textAlignment w:val="baseline"/>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pacing w:val="-4"/>
                <w:sz w:val="24"/>
                <w:szCs w:val="24"/>
                <w:highlight w:val="none"/>
              </w:rPr>
              <w:t>项目概况：</w:t>
            </w:r>
          </w:p>
          <w:p w14:paraId="1D5D6DDF">
            <w:pPr>
              <w:pStyle w:val="25"/>
              <w:pageBreakBefore w:val="0"/>
              <w:shd w:val="clear"/>
              <w:tabs>
                <w:tab w:val="left" w:pos="203"/>
              </w:tabs>
              <w:wordWrap/>
              <w:overflowPunct/>
              <w:topLinePunct w:val="0"/>
              <w:bidi w:val="0"/>
              <w:spacing w:before="118" w:line="240" w:lineRule="auto"/>
              <w:ind w:left="84" w:right="82" w:firstLine="495"/>
              <w:jc w:val="both"/>
              <w:rPr>
                <w:color w:val="auto"/>
                <w:highlight w:val="none"/>
              </w:rPr>
            </w:pPr>
            <w:r>
              <w:rPr>
                <w:rFonts w:hint="eastAsia" w:cs="仿宋"/>
                <w:b w:val="0"/>
                <w:bCs w:val="0"/>
                <w:color w:val="auto"/>
                <w:sz w:val="24"/>
                <w:szCs w:val="24"/>
                <w:highlight w:val="none"/>
                <w:u w:val="none"/>
                <w:lang w:eastAsia="zh-CN"/>
              </w:rPr>
              <w:t>和田地区空气自动站设备更换及运维项目（标段2：和田地区空气自动站运维保障项目（2027—2028年））</w:t>
            </w:r>
            <w:r>
              <w:rPr>
                <w:rFonts w:hint="eastAsia" w:ascii="仿宋" w:hAnsi="仿宋" w:eastAsia="仿宋" w:cs="仿宋"/>
                <w:b w:val="0"/>
                <w:bCs w:val="0"/>
                <w:color w:val="auto"/>
                <w:sz w:val="24"/>
                <w:szCs w:val="24"/>
                <w:highlight w:val="none"/>
                <w:u w:val="none"/>
              </w:rPr>
              <w:t>招标项目的潜在投标人应在政采云平台线上获取招标文件，并于</w:t>
            </w:r>
            <w:r>
              <w:rPr>
                <w:rFonts w:hint="eastAsia" w:ascii="仿宋" w:hAnsi="仿宋" w:eastAsia="仿宋" w:cs="仿宋"/>
                <w:color w:val="auto"/>
                <w:spacing w:val="-19"/>
                <w:sz w:val="24"/>
                <w:szCs w:val="24"/>
                <w:u w:val="single"/>
              </w:rPr>
              <w:t>2026</w:t>
            </w:r>
            <w:r>
              <w:rPr>
                <w:rFonts w:hint="eastAsia" w:ascii="仿宋" w:hAnsi="仿宋" w:eastAsia="仿宋" w:cs="仿宋"/>
                <w:color w:val="auto"/>
                <w:spacing w:val="-19"/>
                <w:sz w:val="24"/>
                <w:szCs w:val="24"/>
              </w:rPr>
              <w:t>年</w:t>
            </w:r>
            <w:r>
              <w:rPr>
                <w:rFonts w:hint="eastAsia" w:cs="仿宋"/>
                <w:color w:val="auto"/>
                <w:spacing w:val="-19"/>
                <w:sz w:val="24"/>
                <w:szCs w:val="24"/>
                <w:u w:val="single"/>
                <w:lang w:val="en-US" w:eastAsia="zh-CN"/>
              </w:rPr>
              <w:t>10</w:t>
            </w:r>
            <w:r>
              <w:rPr>
                <w:rFonts w:hint="eastAsia" w:ascii="仿宋" w:hAnsi="仿宋" w:eastAsia="仿宋" w:cs="仿宋"/>
                <w:color w:val="auto"/>
                <w:spacing w:val="-19"/>
                <w:sz w:val="24"/>
                <w:szCs w:val="24"/>
              </w:rPr>
              <w:t>月</w:t>
            </w:r>
            <w:r>
              <w:rPr>
                <w:rFonts w:hint="eastAsia" w:cs="仿宋"/>
                <w:color w:val="auto"/>
                <w:spacing w:val="-19"/>
                <w:sz w:val="24"/>
                <w:szCs w:val="24"/>
                <w:u w:val="single"/>
                <w:lang w:val="en-US" w:eastAsia="zh-CN"/>
              </w:rPr>
              <w:t>29</w:t>
            </w:r>
            <w:r>
              <w:rPr>
                <w:rFonts w:hint="eastAsia" w:ascii="仿宋" w:hAnsi="仿宋" w:eastAsia="仿宋" w:cs="仿宋"/>
                <w:color w:val="auto"/>
                <w:spacing w:val="-19"/>
                <w:sz w:val="24"/>
                <w:szCs w:val="24"/>
              </w:rPr>
              <w:t>日</w:t>
            </w:r>
            <w:r>
              <w:rPr>
                <w:rFonts w:hint="eastAsia" w:ascii="仿宋" w:hAnsi="仿宋" w:eastAsia="仿宋" w:cs="仿宋"/>
                <w:color w:val="auto"/>
                <w:spacing w:val="-19"/>
                <w:sz w:val="24"/>
                <w:szCs w:val="24"/>
                <w:u w:val="single"/>
              </w:rPr>
              <w:t>11</w:t>
            </w:r>
            <w:r>
              <w:rPr>
                <w:rFonts w:hint="eastAsia" w:ascii="仿宋" w:hAnsi="仿宋" w:eastAsia="仿宋" w:cs="仿宋"/>
                <w:color w:val="auto"/>
                <w:spacing w:val="-19"/>
                <w:sz w:val="24"/>
                <w:szCs w:val="24"/>
              </w:rPr>
              <w:t>点</w:t>
            </w:r>
            <w:r>
              <w:rPr>
                <w:rFonts w:hint="eastAsia" w:ascii="仿宋" w:hAnsi="仿宋" w:eastAsia="仿宋" w:cs="仿宋"/>
                <w:color w:val="auto"/>
                <w:spacing w:val="-19"/>
                <w:sz w:val="24"/>
                <w:szCs w:val="24"/>
                <w:u w:val="single"/>
              </w:rPr>
              <w:t>00</w:t>
            </w:r>
            <w:r>
              <w:rPr>
                <w:rFonts w:hint="eastAsia" w:ascii="仿宋" w:hAnsi="仿宋" w:eastAsia="仿宋" w:cs="仿宋"/>
                <w:color w:val="auto"/>
                <w:spacing w:val="-19"/>
                <w:sz w:val="24"/>
                <w:szCs w:val="24"/>
              </w:rPr>
              <w:t>分</w:t>
            </w:r>
            <w:r>
              <w:rPr>
                <w:rFonts w:hint="eastAsia" w:ascii="仿宋" w:hAnsi="仿宋" w:eastAsia="仿宋" w:cs="仿宋"/>
                <w:color w:val="auto"/>
                <w:spacing w:val="-7"/>
                <w:sz w:val="24"/>
                <w:szCs w:val="24"/>
              </w:rPr>
              <w:t>（北京时间</w:t>
            </w:r>
            <w:r>
              <w:rPr>
                <w:rFonts w:hint="eastAsia" w:ascii="仿宋" w:hAnsi="仿宋" w:eastAsia="仿宋" w:cs="仿宋"/>
                <w:color w:val="auto"/>
                <w:spacing w:val="-4"/>
                <w:sz w:val="24"/>
                <w:szCs w:val="24"/>
              </w:rPr>
              <w:t>）</w:t>
            </w:r>
            <w:r>
              <w:rPr>
                <w:rFonts w:hint="eastAsia" w:ascii="仿宋" w:hAnsi="仿宋" w:eastAsia="仿宋" w:cs="仿宋"/>
                <w:b w:val="0"/>
                <w:bCs w:val="0"/>
                <w:color w:val="auto"/>
                <w:sz w:val="24"/>
                <w:szCs w:val="24"/>
                <w:highlight w:val="none"/>
                <w:u w:val="none"/>
              </w:rPr>
              <w:t>前递交投标文件。</w:t>
            </w:r>
          </w:p>
        </w:tc>
      </w:tr>
    </w:tbl>
    <w:p w14:paraId="0386F0C9">
      <w:pPr>
        <w:pageBreakBefore w:val="0"/>
        <w:shd w:val="clear"/>
        <w:wordWrap/>
        <w:overflowPunct/>
        <w:topLinePunct w:val="0"/>
        <w:bidi w:val="0"/>
        <w:spacing w:before="115" w:line="360" w:lineRule="auto"/>
        <w:ind w:left="583"/>
        <w:rPr>
          <w:rFonts w:ascii="黑体" w:hAnsi="黑体" w:eastAsia="黑体" w:cs="黑体"/>
          <w:color w:val="auto"/>
          <w:sz w:val="24"/>
          <w:szCs w:val="24"/>
          <w:highlight w:val="none"/>
        </w:rPr>
      </w:pPr>
      <w:r>
        <w:rPr>
          <w:rFonts w:ascii="黑体" w:hAnsi="黑体" w:eastAsia="黑体" w:cs="黑体"/>
          <w:color w:val="auto"/>
          <w:spacing w:val="-2"/>
          <w:sz w:val="24"/>
          <w:szCs w:val="24"/>
          <w:highlight w:val="none"/>
        </w:rPr>
        <w:t>一、项目基本情况</w:t>
      </w:r>
    </w:p>
    <w:p w14:paraId="058266E2">
      <w:pPr>
        <w:pStyle w:val="11"/>
        <w:keepNext w:val="0"/>
        <w:keepLines w:val="0"/>
        <w:pageBreakBefore w:val="0"/>
        <w:widowControl/>
        <w:shd w:val="clear"/>
        <w:wordWrap/>
        <w:overflowPunct/>
        <w:topLinePunct w:val="0"/>
        <w:autoSpaceDE w:val="0"/>
        <w:autoSpaceDN w:val="0"/>
        <w:bidi w:val="0"/>
        <w:adjustRightInd w:val="0"/>
        <w:snapToGrid w:val="0"/>
        <w:spacing w:line="360" w:lineRule="auto"/>
        <w:ind w:left="0" w:firstLine="476" w:firstLineChars="200"/>
        <w:textAlignment w:val="baseline"/>
        <w:rPr>
          <w:rFonts w:hint="default" w:eastAsia="仿宋"/>
          <w:color w:val="auto"/>
          <w:sz w:val="24"/>
          <w:szCs w:val="24"/>
          <w:highlight w:val="none"/>
          <w:lang w:val="en-US" w:eastAsia="zh-CN"/>
        </w:rPr>
      </w:pPr>
      <w:r>
        <w:rPr>
          <w:color w:val="auto"/>
          <w:spacing w:val="-1"/>
          <w:sz w:val="24"/>
          <w:szCs w:val="24"/>
          <w:highlight w:val="none"/>
        </w:rPr>
        <w:t>项目编号：</w:t>
      </w:r>
      <w:r>
        <w:rPr>
          <w:rFonts w:hint="eastAsia"/>
          <w:color w:val="auto"/>
          <w:spacing w:val="-1"/>
          <w:sz w:val="24"/>
          <w:szCs w:val="24"/>
          <w:highlight w:val="none"/>
          <w:u w:val="single"/>
        </w:rPr>
        <w:t>XJL-ZB-2026-75</w:t>
      </w:r>
    </w:p>
    <w:p w14:paraId="71D63BB3">
      <w:pPr>
        <w:pStyle w:val="11"/>
        <w:keepNext w:val="0"/>
        <w:keepLines w:val="0"/>
        <w:pageBreakBefore w:val="0"/>
        <w:widowControl/>
        <w:shd w:val="clear"/>
        <w:wordWrap/>
        <w:overflowPunct/>
        <w:topLinePunct w:val="0"/>
        <w:autoSpaceDE w:val="0"/>
        <w:autoSpaceDN w:val="0"/>
        <w:bidi w:val="0"/>
        <w:adjustRightInd w:val="0"/>
        <w:snapToGrid w:val="0"/>
        <w:spacing w:line="360" w:lineRule="auto"/>
        <w:ind w:left="0" w:firstLine="480" w:firstLineChars="200"/>
        <w:textAlignment w:val="baseline"/>
        <w:rPr>
          <w:rFonts w:hint="eastAsia" w:eastAsia="仿宋"/>
          <w:color w:val="auto"/>
          <w:sz w:val="24"/>
          <w:szCs w:val="24"/>
          <w:highlight w:val="none"/>
          <w:lang w:eastAsia="zh-CN"/>
        </w:rPr>
      </w:pPr>
      <w:r>
        <w:rPr>
          <w:color w:val="auto"/>
          <w:sz w:val="24"/>
          <w:szCs w:val="24"/>
          <w:highlight w:val="none"/>
        </w:rPr>
        <w:t>项目名称：</w:t>
      </w:r>
      <w:r>
        <w:rPr>
          <w:rFonts w:hint="eastAsia"/>
          <w:color w:val="auto"/>
          <w:sz w:val="24"/>
          <w:szCs w:val="24"/>
          <w:highlight w:val="none"/>
          <w:u w:val="single" w:color="auto"/>
          <w:lang w:eastAsia="zh-CN"/>
        </w:rPr>
        <w:t>和田地区空气自动站设备更换及运维项目（标段2：和田地区空气自动站运维保障项目（2027—2028年））</w:t>
      </w:r>
    </w:p>
    <w:p w14:paraId="50FA0A23">
      <w:pPr>
        <w:pStyle w:val="11"/>
        <w:keepNext w:val="0"/>
        <w:keepLines w:val="0"/>
        <w:pageBreakBefore w:val="0"/>
        <w:widowControl/>
        <w:shd w:val="clear"/>
        <w:wordWrap/>
        <w:overflowPunct/>
        <w:topLinePunct w:val="0"/>
        <w:autoSpaceDE w:val="0"/>
        <w:autoSpaceDN w:val="0"/>
        <w:bidi w:val="0"/>
        <w:adjustRightInd w:val="0"/>
        <w:snapToGrid w:val="0"/>
        <w:spacing w:line="360" w:lineRule="auto"/>
        <w:ind w:left="0" w:firstLine="472" w:firstLineChars="200"/>
        <w:textAlignment w:val="baseline"/>
        <w:rPr>
          <w:color w:val="auto"/>
          <w:sz w:val="24"/>
          <w:szCs w:val="24"/>
          <w:highlight w:val="none"/>
        </w:rPr>
      </w:pPr>
      <w:r>
        <w:rPr>
          <w:color w:val="auto"/>
          <w:spacing w:val="-2"/>
          <w:sz w:val="24"/>
          <w:szCs w:val="24"/>
          <w:highlight w:val="none"/>
        </w:rPr>
        <w:t>采购方式：</w:t>
      </w:r>
      <w:r>
        <w:rPr>
          <w:color w:val="auto"/>
          <w:spacing w:val="-2"/>
          <w:sz w:val="24"/>
          <w:szCs w:val="24"/>
          <w:highlight w:val="none"/>
          <w:u w:val="single" w:color="auto"/>
        </w:rPr>
        <w:t>公开招标</w:t>
      </w:r>
    </w:p>
    <w:p w14:paraId="3A36BE0A">
      <w:pPr>
        <w:pStyle w:val="11"/>
        <w:keepNext w:val="0"/>
        <w:keepLines w:val="0"/>
        <w:pageBreakBefore w:val="0"/>
        <w:widowControl/>
        <w:shd w:val="clear"/>
        <w:wordWrap/>
        <w:overflowPunct/>
        <w:topLinePunct w:val="0"/>
        <w:autoSpaceDE w:val="0"/>
        <w:autoSpaceDN w:val="0"/>
        <w:bidi w:val="0"/>
        <w:adjustRightInd w:val="0"/>
        <w:snapToGrid w:val="0"/>
        <w:spacing w:line="360" w:lineRule="auto"/>
        <w:ind w:left="0" w:firstLine="468" w:firstLineChars="200"/>
        <w:textAlignment w:val="baseline"/>
        <w:rPr>
          <w:rFonts w:hint="default" w:eastAsia="仿宋"/>
          <w:color w:val="auto"/>
          <w:sz w:val="24"/>
          <w:szCs w:val="24"/>
          <w:highlight w:val="none"/>
          <w:lang w:val="en-US" w:eastAsia="zh-CN"/>
        </w:rPr>
      </w:pPr>
      <w:r>
        <w:rPr>
          <w:color w:val="auto"/>
          <w:spacing w:val="-3"/>
          <w:sz w:val="24"/>
          <w:szCs w:val="24"/>
          <w:highlight w:val="none"/>
        </w:rPr>
        <w:t>预算金额</w:t>
      </w:r>
      <w:r>
        <w:rPr>
          <w:rFonts w:ascii="仿宋" w:hAnsi="仿宋" w:eastAsia="仿宋" w:cs="仿宋"/>
          <w:i w:val="0"/>
          <w:iCs w:val="0"/>
          <w:caps w:val="0"/>
          <w:color w:val="auto"/>
          <w:spacing w:val="0"/>
          <w:sz w:val="24"/>
          <w:szCs w:val="24"/>
          <w:highlight w:val="none"/>
        </w:rPr>
        <w:t>（元）：</w:t>
      </w:r>
      <w:r>
        <w:rPr>
          <w:rFonts w:hint="eastAsia" w:cs="仿宋"/>
          <w:i w:val="0"/>
          <w:iCs w:val="0"/>
          <w:caps w:val="0"/>
          <w:color w:val="auto"/>
          <w:spacing w:val="0"/>
          <w:sz w:val="24"/>
          <w:szCs w:val="24"/>
          <w:highlight w:val="none"/>
          <w:lang w:val="en-US" w:eastAsia="zh-CN"/>
        </w:rPr>
        <w:t>1950000</w:t>
      </w:r>
    </w:p>
    <w:p w14:paraId="75E31764">
      <w:pPr>
        <w:pStyle w:val="11"/>
        <w:keepNext w:val="0"/>
        <w:keepLines w:val="0"/>
        <w:pageBreakBefore w:val="0"/>
        <w:widowControl/>
        <w:shd w:val="clear"/>
        <w:wordWrap/>
        <w:overflowPunct/>
        <w:topLinePunct w:val="0"/>
        <w:autoSpaceDE w:val="0"/>
        <w:autoSpaceDN w:val="0"/>
        <w:bidi w:val="0"/>
        <w:adjustRightInd w:val="0"/>
        <w:snapToGrid w:val="0"/>
        <w:spacing w:line="360" w:lineRule="auto"/>
        <w:ind w:left="0" w:firstLine="468" w:firstLineChars="200"/>
        <w:textAlignment w:val="baseline"/>
        <w:rPr>
          <w:rFonts w:hint="eastAsia" w:eastAsia="仿宋"/>
          <w:color w:val="auto"/>
          <w:sz w:val="24"/>
          <w:szCs w:val="24"/>
          <w:highlight w:val="none"/>
          <w:lang w:eastAsia="zh-CN"/>
        </w:rPr>
      </w:pPr>
      <w:r>
        <w:rPr>
          <w:color w:val="auto"/>
          <w:spacing w:val="-3"/>
          <w:sz w:val="24"/>
          <w:szCs w:val="24"/>
          <w:highlight w:val="none"/>
        </w:rPr>
        <w:t>最高限价</w:t>
      </w:r>
      <w:r>
        <w:rPr>
          <w:rFonts w:ascii="仿宋" w:hAnsi="仿宋" w:eastAsia="仿宋" w:cs="仿宋"/>
          <w:i w:val="0"/>
          <w:iCs w:val="0"/>
          <w:caps w:val="0"/>
          <w:color w:val="auto"/>
          <w:spacing w:val="0"/>
          <w:sz w:val="24"/>
          <w:szCs w:val="24"/>
          <w:highlight w:val="none"/>
        </w:rPr>
        <w:t>（元）：</w:t>
      </w:r>
      <w:r>
        <w:rPr>
          <w:rFonts w:hint="eastAsia" w:cs="仿宋"/>
          <w:i w:val="0"/>
          <w:iCs w:val="0"/>
          <w:caps w:val="0"/>
          <w:color w:val="auto"/>
          <w:spacing w:val="0"/>
          <w:sz w:val="24"/>
          <w:szCs w:val="24"/>
          <w:highlight w:val="none"/>
          <w:lang w:val="en-US" w:eastAsia="zh-CN"/>
        </w:rPr>
        <w:t>1950000</w:t>
      </w:r>
    </w:p>
    <w:p w14:paraId="0F733482">
      <w:pPr>
        <w:pStyle w:val="11"/>
        <w:keepNext w:val="0"/>
        <w:keepLines w:val="0"/>
        <w:pageBreakBefore w:val="0"/>
        <w:widowControl/>
        <w:shd w:val="clear"/>
        <w:wordWrap/>
        <w:overflowPunct/>
        <w:topLinePunct w:val="0"/>
        <w:autoSpaceDE w:val="0"/>
        <w:autoSpaceDN w:val="0"/>
        <w:bidi w:val="0"/>
        <w:adjustRightInd w:val="0"/>
        <w:snapToGrid w:val="0"/>
        <w:spacing w:line="360" w:lineRule="auto"/>
        <w:ind w:left="0" w:firstLine="476" w:firstLineChars="200"/>
        <w:textAlignment w:val="baseline"/>
        <w:rPr>
          <w:rFonts w:hint="eastAsia" w:ascii="仿宋" w:hAnsi="仿宋" w:eastAsia="仿宋" w:cs="仿宋"/>
          <w:color w:val="auto"/>
          <w:spacing w:val="-3"/>
          <w:sz w:val="24"/>
          <w:szCs w:val="24"/>
          <w:highlight w:val="none"/>
        </w:rPr>
      </w:pPr>
      <w:r>
        <w:rPr>
          <w:color w:val="auto"/>
          <w:spacing w:val="-1"/>
          <w:sz w:val="24"/>
          <w:szCs w:val="24"/>
          <w:highlight w:val="none"/>
        </w:rPr>
        <w:t>采购需求：</w:t>
      </w:r>
      <w:r>
        <w:rPr>
          <w:rFonts w:hint="eastAsia"/>
          <w:color w:val="auto"/>
          <w:spacing w:val="-1"/>
          <w:sz w:val="24"/>
          <w:szCs w:val="24"/>
          <w:highlight w:val="none"/>
        </w:rPr>
        <w:t>所有监测仪器、气象仪器、质控设备、数据采集与传输设备、辅助设备等基础设施的日常维护、质量控制、故障维修、年度检修、检定等工作</w:t>
      </w:r>
      <w:r>
        <w:rPr>
          <w:rFonts w:hint="eastAsia" w:ascii="仿宋" w:hAnsi="仿宋" w:eastAsia="仿宋" w:cs="仿宋"/>
          <w:color w:val="auto"/>
          <w:kern w:val="2"/>
          <w:sz w:val="24"/>
          <w:szCs w:val="24"/>
          <w:highlight w:val="none"/>
          <w:lang w:val="en-US" w:eastAsia="zh-CN" w:bidi="ar"/>
        </w:rPr>
        <w:t>等。</w:t>
      </w:r>
      <w:r>
        <w:rPr>
          <w:rFonts w:hint="eastAsia" w:ascii="仿宋" w:hAnsi="仿宋" w:eastAsia="仿宋" w:cs="仿宋"/>
          <w:color w:val="auto"/>
          <w:spacing w:val="-1"/>
          <w:sz w:val="24"/>
          <w:szCs w:val="24"/>
          <w:highlight w:val="none"/>
        </w:rPr>
        <w:t>详见招标文件采购需求。</w:t>
      </w:r>
    </w:p>
    <w:p w14:paraId="627A6ED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lang w:eastAsia="zh-CN"/>
        </w:rPr>
      </w:pPr>
      <w:r>
        <w:rPr>
          <w:rFonts w:hint="eastAsia" w:ascii="仿宋" w:hAnsi="仿宋" w:eastAsia="仿宋" w:cs="仿宋"/>
          <w:color w:val="auto"/>
          <w:spacing w:val="-3"/>
          <w:sz w:val="24"/>
          <w:szCs w:val="24"/>
          <w:highlight w:val="none"/>
        </w:rPr>
        <w:t>标项名称</w:t>
      </w:r>
      <w:r>
        <w:rPr>
          <w:rFonts w:hint="eastAsia" w:cs="仿宋"/>
          <w:color w:val="auto"/>
          <w:spacing w:val="-3"/>
          <w:sz w:val="24"/>
          <w:szCs w:val="24"/>
          <w:highlight w:val="none"/>
          <w:lang w:eastAsia="zh-CN"/>
        </w:rPr>
        <w:t>：</w:t>
      </w:r>
    </w:p>
    <w:p w14:paraId="29E0658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default"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rPr>
        <w:t>数量</w:t>
      </w:r>
      <w:r>
        <w:rPr>
          <w:rFonts w:hint="eastAsia" w:cs="仿宋"/>
          <w:color w:val="auto"/>
          <w:spacing w:val="-3"/>
          <w:sz w:val="24"/>
          <w:szCs w:val="24"/>
          <w:highlight w:val="none"/>
          <w:lang w:eastAsia="zh-CN"/>
        </w:rPr>
        <w:t>：</w:t>
      </w:r>
      <w:r>
        <w:rPr>
          <w:rFonts w:hint="eastAsia" w:cs="仿宋"/>
          <w:color w:val="auto"/>
          <w:spacing w:val="-3"/>
          <w:sz w:val="24"/>
          <w:szCs w:val="24"/>
          <w:highlight w:val="none"/>
          <w:lang w:val="en-US" w:eastAsia="zh-CN"/>
        </w:rPr>
        <w:t>1</w:t>
      </w:r>
    </w:p>
    <w:p w14:paraId="67F4B3E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lang w:eastAsia="zh-CN"/>
        </w:rPr>
      </w:pPr>
      <w:r>
        <w:rPr>
          <w:rFonts w:hint="eastAsia" w:ascii="仿宋" w:hAnsi="仿宋" w:eastAsia="仿宋" w:cs="仿宋"/>
          <w:color w:val="auto"/>
          <w:spacing w:val="-3"/>
          <w:sz w:val="24"/>
          <w:szCs w:val="24"/>
          <w:highlight w:val="none"/>
        </w:rPr>
        <w:t>预算金额（元）</w:t>
      </w:r>
      <w:r>
        <w:rPr>
          <w:rFonts w:hint="eastAsia" w:cs="仿宋"/>
          <w:color w:val="auto"/>
          <w:spacing w:val="-3"/>
          <w:sz w:val="24"/>
          <w:szCs w:val="24"/>
          <w:highlight w:val="none"/>
          <w:lang w:eastAsia="zh-CN"/>
        </w:rPr>
        <w:t>：</w:t>
      </w:r>
      <w:r>
        <w:rPr>
          <w:rFonts w:hint="eastAsia" w:cs="仿宋"/>
          <w:i w:val="0"/>
          <w:iCs w:val="0"/>
          <w:caps w:val="0"/>
          <w:color w:val="auto"/>
          <w:spacing w:val="0"/>
          <w:sz w:val="24"/>
          <w:szCs w:val="24"/>
          <w:highlight w:val="none"/>
          <w:lang w:val="en-US" w:eastAsia="zh-CN"/>
        </w:rPr>
        <w:t>1950000</w:t>
      </w:r>
    </w:p>
    <w:p w14:paraId="0930092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default"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rPr>
        <w:t>单位：</w:t>
      </w:r>
      <w:r>
        <w:rPr>
          <w:rFonts w:hint="eastAsia" w:cs="仿宋"/>
          <w:color w:val="auto"/>
          <w:spacing w:val="-3"/>
          <w:sz w:val="24"/>
          <w:szCs w:val="24"/>
          <w:highlight w:val="none"/>
          <w:lang w:val="en-US" w:eastAsia="zh-CN"/>
        </w:rPr>
        <w:t>批</w:t>
      </w:r>
    </w:p>
    <w:p w14:paraId="5811BBE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lang w:eastAsia="zh-CN"/>
        </w:rPr>
      </w:pPr>
      <w:r>
        <w:rPr>
          <w:rFonts w:hint="eastAsia" w:ascii="仿宋" w:hAnsi="仿宋" w:eastAsia="仿宋" w:cs="仿宋"/>
          <w:color w:val="auto"/>
          <w:spacing w:val="-3"/>
          <w:sz w:val="24"/>
          <w:szCs w:val="24"/>
          <w:highlight w:val="none"/>
        </w:rPr>
        <w:t>简要规格描述或项目基本概况介绍、用途：</w:t>
      </w:r>
      <w:r>
        <w:rPr>
          <w:rFonts w:hint="eastAsia"/>
          <w:color w:val="auto"/>
          <w:spacing w:val="-1"/>
          <w:sz w:val="24"/>
          <w:szCs w:val="24"/>
          <w:highlight w:val="none"/>
        </w:rPr>
        <w:t>所有监测仪器、气象仪器、质控设备、数据采集与传输设备、辅助设备等基础设施的日常维护、质量控制、故障维修、年度检修、检定等工作</w:t>
      </w:r>
      <w:r>
        <w:rPr>
          <w:rFonts w:hint="eastAsia" w:ascii="仿宋" w:hAnsi="仿宋" w:eastAsia="仿宋" w:cs="仿宋"/>
          <w:color w:val="auto"/>
          <w:kern w:val="2"/>
          <w:sz w:val="24"/>
          <w:szCs w:val="24"/>
          <w:highlight w:val="none"/>
          <w:lang w:val="en-US" w:eastAsia="zh-CN" w:bidi="ar"/>
        </w:rPr>
        <w:t>等。</w:t>
      </w:r>
      <w:r>
        <w:rPr>
          <w:rFonts w:hint="eastAsia" w:ascii="仿宋" w:hAnsi="仿宋" w:eastAsia="仿宋" w:cs="仿宋"/>
          <w:color w:val="auto"/>
          <w:spacing w:val="-1"/>
          <w:sz w:val="24"/>
          <w:szCs w:val="24"/>
          <w:highlight w:val="none"/>
        </w:rPr>
        <w:t>详见招标文件采购需求。</w:t>
      </w:r>
    </w:p>
    <w:p w14:paraId="7EA9101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rPr>
      </w:pPr>
      <w:r>
        <w:rPr>
          <w:rFonts w:hint="eastAsia" w:ascii="仿宋" w:hAnsi="仿宋" w:eastAsia="仿宋" w:cs="仿宋"/>
          <w:color w:val="auto"/>
          <w:spacing w:val="-3"/>
          <w:sz w:val="24"/>
          <w:szCs w:val="24"/>
          <w:highlight w:val="none"/>
        </w:rPr>
        <w:t>备注：</w:t>
      </w:r>
    </w:p>
    <w:p w14:paraId="46010FB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default"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rPr>
        <w:t>合同履约期限</w:t>
      </w:r>
      <w:r>
        <w:rPr>
          <w:rFonts w:hint="eastAsia" w:cs="仿宋"/>
          <w:color w:val="auto"/>
          <w:spacing w:val="-3"/>
          <w:sz w:val="24"/>
          <w:szCs w:val="24"/>
          <w:highlight w:val="none"/>
          <w:lang w:eastAsia="zh-CN"/>
        </w:rPr>
        <w:t>：</w:t>
      </w:r>
      <w:r>
        <w:rPr>
          <w:rFonts w:hint="eastAsia" w:cs="仿宋"/>
          <w:color w:val="auto"/>
          <w:spacing w:val="-3"/>
          <w:sz w:val="24"/>
          <w:szCs w:val="24"/>
          <w:highlight w:val="none"/>
          <w:shd w:val="clear"/>
          <w:lang w:val="en-US" w:eastAsia="zh-CN"/>
        </w:rPr>
        <w:t>两年（2027年-2028年），具体以合同约定为准。</w:t>
      </w:r>
    </w:p>
    <w:p w14:paraId="256D953F">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本项目（否）接受联合体投标。</w:t>
      </w:r>
    </w:p>
    <w:p w14:paraId="507481CF">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4" w:firstLineChars="200"/>
        <w:textAlignment w:val="baseline"/>
        <w:rPr>
          <w:rFonts w:hint="eastAsia" w:ascii="仿宋" w:hAnsi="仿宋" w:eastAsia="仿宋" w:cs="仿宋"/>
          <w:b/>
          <w:bCs/>
          <w:color w:val="auto"/>
          <w:sz w:val="24"/>
          <w:szCs w:val="24"/>
          <w:highlight w:val="none"/>
        </w:rPr>
      </w:pPr>
      <w:r>
        <w:rPr>
          <w:rFonts w:hint="eastAsia" w:ascii="仿宋" w:hAnsi="仿宋" w:eastAsia="仿宋" w:cs="仿宋"/>
          <w:b/>
          <w:bCs/>
          <w:color w:val="auto"/>
          <w:spacing w:val="-2"/>
          <w:sz w:val="24"/>
          <w:szCs w:val="24"/>
          <w:highlight w:val="none"/>
        </w:rPr>
        <w:t>二、申请人的资格要求</w:t>
      </w:r>
    </w:p>
    <w:p w14:paraId="395B8B4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1.符合《中华人民共和国政府采购法》第二十二条之规定：</w:t>
      </w:r>
    </w:p>
    <w:p w14:paraId="1C98530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cs="仿宋"/>
          <w:color w:val="auto"/>
          <w:spacing w:val="-4"/>
          <w:sz w:val="24"/>
          <w:szCs w:val="24"/>
          <w:highlight w:val="none"/>
          <w:lang w:eastAsia="zh-CN"/>
        </w:rPr>
        <w:t>（1）</w:t>
      </w:r>
      <w:r>
        <w:rPr>
          <w:rFonts w:hint="eastAsia" w:ascii="仿宋" w:hAnsi="仿宋" w:eastAsia="仿宋" w:cs="仿宋"/>
          <w:color w:val="auto"/>
          <w:spacing w:val="-4"/>
          <w:sz w:val="24"/>
          <w:szCs w:val="24"/>
          <w:highlight w:val="none"/>
        </w:rPr>
        <w:t>具有独立承担民事责任的能力；</w:t>
      </w:r>
    </w:p>
    <w:p w14:paraId="2458BA7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cs="仿宋"/>
          <w:color w:val="auto"/>
          <w:spacing w:val="-3"/>
          <w:sz w:val="24"/>
          <w:szCs w:val="24"/>
          <w:highlight w:val="none"/>
          <w:lang w:eastAsia="zh-CN"/>
        </w:rPr>
        <w:t>（2）</w:t>
      </w:r>
      <w:r>
        <w:rPr>
          <w:rFonts w:hint="eastAsia" w:ascii="仿宋" w:hAnsi="仿宋" w:eastAsia="仿宋" w:cs="仿宋"/>
          <w:color w:val="auto"/>
          <w:spacing w:val="-3"/>
          <w:sz w:val="24"/>
          <w:szCs w:val="24"/>
          <w:highlight w:val="none"/>
        </w:rPr>
        <w:t>具有良好的商业信誉和健全的财务会计制度；</w:t>
      </w:r>
    </w:p>
    <w:p w14:paraId="7046060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cs="仿宋"/>
          <w:color w:val="auto"/>
          <w:spacing w:val="-3"/>
          <w:sz w:val="24"/>
          <w:szCs w:val="24"/>
          <w:highlight w:val="none"/>
          <w:lang w:eastAsia="zh-CN"/>
        </w:rPr>
        <w:t>（3）</w:t>
      </w:r>
      <w:r>
        <w:rPr>
          <w:rFonts w:hint="eastAsia" w:ascii="仿宋" w:hAnsi="仿宋" w:eastAsia="仿宋" w:cs="仿宋"/>
          <w:color w:val="auto"/>
          <w:spacing w:val="-3"/>
          <w:sz w:val="24"/>
          <w:szCs w:val="24"/>
          <w:highlight w:val="none"/>
        </w:rPr>
        <w:t>具有履行合同所必需的设备和专业技术能力；</w:t>
      </w:r>
    </w:p>
    <w:p w14:paraId="44F59EE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cs="仿宋"/>
          <w:color w:val="auto"/>
          <w:spacing w:val="-3"/>
          <w:sz w:val="24"/>
          <w:szCs w:val="24"/>
          <w:highlight w:val="none"/>
          <w:lang w:eastAsia="zh-CN"/>
        </w:rPr>
        <w:t>（4）</w:t>
      </w:r>
      <w:r>
        <w:rPr>
          <w:rFonts w:hint="eastAsia" w:ascii="仿宋" w:hAnsi="仿宋" w:eastAsia="仿宋" w:cs="仿宋"/>
          <w:color w:val="auto"/>
          <w:spacing w:val="-3"/>
          <w:sz w:val="24"/>
          <w:szCs w:val="24"/>
          <w:highlight w:val="none"/>
        </w:rPr>
        <w:t>有依法缴纳税收和社会保障资金的良好记录；</w:t>
      </w:r>
    </w:p>
    <w:p w14:paraId="4194E18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cs="仿宋"/>
          <w:color w:val="auto"/>
          <w:spacing w:val="-2"/>
          <w:sz w:val="24"/>
          <w:szCs w:val="24"/>
          <w:highlight w:val="none"/>
          <w:lang w:eastAsia="zh-CN"/>
        </w:rPr>
        <w:t>（5）</w:t>
      </w:r>
      <w:r>
        <w:rPr>
          <w:rFonts w:hint="eastAsia" w:ascii="仿宋" w:hAnsi="仿宋" w:eastAsia="仿宋" w:cs="仿宋"/>
          <w:color w:val="auto"/>
          <w:spacing w:val="-2"/>
          <w:sz w:val="24"/>
          <w:szCs w:val="24"/>
          <w:highlight w:val="none"/>
        </w:rPr>
        <w:t>参加政府采购活动前三年内，在经营活动中没有重大违法记录；</w:t>
      </w:r>
    </w:p>
    <w:p w14:paraId="23862F6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cs="仿宋"/>
          <w:color w:val="auto"/>
          <w:spacing w:val="-4"/>
          <w:sz w:val="24"/>
          <w:szCs w:val="24"/>
          <w:highlight w:val="none"/>
          <w:lang w:eastAsia="zh-CN"/>
        </w:rPr>
        <w:t>（6）</w:t>
      </w:r>
      <w:r>
        <w:rPr>
          <w:rFonts w:hint="eastAsia" w:ascii="仿宋" w:hAnsi="仿宋" w:eastAsia="仿宋" w:cs="仿宋"/>
          <w:color w:val="auto"/>
          <w:spacing w:val="-4"/>
          <w:sz w:val="24"/>
          <w:szCs w:val="24"/>
          <w:highlight w:val="none"/>
        </w:rPr>
        <w:t>法律、行政法规规定的其他条件。</w:t>
      </w:r>
    </w:p>
    <w:p w14:paraId="19BD636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2.落实政府采购政策需满足的资格要求：</w:t>
      </w:r>
    </w:p>
    <w:p w14:paraId="154CD8B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2.1是否专门面向中小企业采购：</w:t>
      </w:r>
      <w:r>
        <w:rPr>
          <w:rFonts w:hint="eastAsia" w:cs="仿宋"/>
          <w:color w:val="auto"/>
          <w:spacing w:val="-3"/>
          <w:sz w:val="24"/>
          <w:szCs w:val="24"/>
          <w:highlight w:val="none"/>
          <w:lang w:eastAsia="zh-CN"/>
        </w:rPr>
        <w:t>☑</w:t>
      </w:r>
      <w:r>
        <w:rPr>
          <w:rFonts w:hint="eastAsia" w:ascii="仿宋" w:hAnsi="仿宋" w:eastAsia="仿宋" w:cs="仿宋"/>
          <w:color w:val="auto"/>
          <w:spacing w:val="-3"/>
          <w:sz w:val="24"/>
          <w:szCs w:val="24"/>
          <w:highlight w:val="none"/>
        </w:rPr>
        <w:t>是</w:t>
      </w:r>
      <w:r>
        <w:rPr>
          <w:rFonts w:hint="eastAsia" w:cs="仿宋"/>
          <w:color w:val="auto"/>
          <w:spacing w:val="-3"/>
          <w:sz w:val="24"/>
          <w:szCs w:val="24"/>
          <w:highlight w:val="none"/>
          <w:lang w:eastAsia="zh-CN"/>
        </w:rPr>
        <w:t>□</w:t>
      </w:r>
      <w:r>
        <w:rPr>
          <w:rFonts w:hint="eastAsia" w:ascii="仿宋" w:hAnsi="仿宋" w:eastAsia="仿宋" w:cs="仿宋"/>
          <w:color w:val="auto"/>
          <w:spacing w:val="-4"/>
          <w:sz w:val="24"/>
          <w:szCs w:val="24"/>
          <w:highlight w:val="none"/>
        </w:rPr>
        <w:t>否；</w:t>
      </w:r>
    </w:p>
    <w:p w14:paraId="013281A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相关标准按以下文件执行：</w:t>
      </w:r>
    </w:p>
    <w:p w14:paraId="0BC1473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rPr>
        <w:t>（1）财政部、工业和信息化部《关于印发《政府采购促进中小企业发展管</w:t>
      </w:r>
      <w:r>
        <w:rPr>
          <w:rFonts w:hint="eastAsia" w:ascii="仿宋" w:hAnsi="仿宋" w:eastAsia="仿宋" w:cs="仿宋"/>
          <w:color w:val="auto"/>
          <w:spacing w:val="-3"/>
          <w:sz w:val="24"/>
          <w:szCs w:val="24"/>
          <w:highlight w:val="none"/>
        </w:rPr>
        <w:t>理办法》的通知》（财库</w:t>
      </w:r>
      <w:r>
        <w:rPr>
          <w:rFonts w:hint="eastAsia" w:cs="仿宋"/>
          <w:color w:val="auto"/>
          <w:spacing w:val="-3"/>
          <w:sz w:val="24"/>
          <w:szCs w:val="24"/>
          <w:highlight w:val="none"/>
          <w:lang w:eastAsia="zh-CN"/>
        </w:rPr>
        <w:t>〔2020〕46号</w:t>
      </w:r>
      <w:r>
        <w:rPr>
          <w:rFonts w:hint="eastAsia" w:ascii="仿宋" w:hAnsi="仿宋" w:eastAsia="仿宋" w:cs="仿宋"/>
          <w:color w:val="auto"/>
          <w:spacing w:val="-3"/>
          <w:sz w:val="24"/>
          <w:szCs w:val="24"/>
          <w:highlight w:val="none"/>
        </w:rPr>
        <w:t>文</w:t>
      </w:r>
      <w:r>
        <w:rPr>
          <w:rFonts w:hint="eastAsia" w:cs="仿宋"/>
          <w:color w:val="auto"/>
          <w:spacing w:val="-3"/>
          <w:sz w:val="24"/>
          <w:szCs w:val="24"/>
          <w:highlight w:val="none"/>
          <w:lang w:eastAsia="zh-CN"/>
        </w:rPr>
        <w:t>）和</w:t>
      </w:r>
      <w:r>
        <w:rPr>
          <w:rFonts w:hint="eastAsia" w:ascii="仿宋" w:hAnsi="仿宋" w:eastAsia="仿宋" w:cs="仿宋"/>
          <w:color w:val="auto"/>
          <w:spacing w:val="-3"/>
          <w:sz w:val="24"/>
          <w:szCs w:val="24"/>
          <w:highlight w:val="none"/>
        </w:rPr>
        <w:t>《关于进一步加大政府采购支持中小企</w:t>
      </w:r>
      <w:r>
        <w:rPr>
          <w:rFonts w:hint="eastAsia" w:ascii="仿宋" w:hAnsi="仿宋" w:eastAsia="仿宋" w:cs="仿宋"/>
          <w:color w:val="auto"/>
          <w:spacing w:val="-1"/>
          <w:sz w:val="24"/>
          <w:szCs w:val="24"/>
          <w:highlight w:val="none"/>
        </w:rPr>
        <w:t>业力度的通知》（财库</w:t>
      </w:r>
      <w:r>
        <w:rPr>
          <w:rFonts w:hint="eastAsia" w:cs="仿宋"/>
          <w:color w:val="auto"/>
          <w:spacing w:val="-1"/>
          <w:sz w:val="24"/>
          <w:szCs w:val="24"/>
          <w:highlight w:val="none"/>
          <w:lang w:eastAsia="zh-CN"/>
        </w:rPr>
        <w:t>〔2022〕19号</w:t>
      </w:r>
      <w:r>
        <w:rPr>
          <w:rFonts w:hint="eastAsia" w:ascii="仿宋" w:hAnsi="仿宋" w:eastAsia="仿宋" w:cs="仿宋"/>
          <w:color w:val="auto"/>
          <w:spacing w:val="-1"/>
          <w:sz w:val="24"/>
          <w:szCs w:val="24"/>
          <w:highlight w:val="none"/>
        </w:rPr>
        <w:t>文）执行</w:t>
      </w:r>
      <w:r>
        <w:rPr>
          <w:rFonts w:hint="eastAsia" w:cs="仿宋"/>
          <w:color w:val="auto"/>
          <w:spacing w:val="-1"/>
          <w:sz w:val="24"/>
          <w:szCs w:val="24"/>
          <w:highlight w:val="none"/>
          <w:lang w:eastAsia="zh-CN"/>
        </w:rPr>
        <w:t>。</w:t>
      </w:r>
    </w:p>
    <w:p w14:paraId="2E6DB3D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（2）根据财政部发布的《关于政府采购支持**企业发展有关问题的通知》规定，**企业视同小微企业。</w:t>
      </w:r>
    </w:p>
    <w:p w14:paraId="4501211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（3）根据财政部、民政部、中国残疾人联合会发布的《关于促进残疾人就</w:t>
      </w:r>
      <w:r>
        <w:rPr>
          <w:rFonts w:hint="eastAsia" w:ascii="仿宋" w:hAnsi="仿宋" w:eastAsia="仿宋" w:cs="仿宋"/>
          <w:color w:val="auto"/>
          <w:spacing w:val="-1"/>
          <w:sz w:val="24"/>
          <w:szCs w:val="24"/>
          <w:highlight w:val="none"/>
        </w:rPr>
        <w:t>业政府采购政策的通知》规定，残疾人福利性单位视同小微企业。</w:t>
      </w:r>
    </w:p>
    <w:p w14:paraId="6747360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注：中小微企业以投标人填写的《中小企业声明函</w:t>
      </w:r>
      <w:r>
        <w:rPr>
          <w:rFonts w:hint="eastAsia" w:ascii="仿宋" w:hAnsi="仿宋" w:eastAsia="仿宋" w:cs="仿宋"/>
          <w:color w:val="auto"/>
          <w:spacing w:val="-4"/>
          <w:sz w:val="24"/>
          <w:szCs w:val="24"/>
          <w:highlight w:val="none"/>
        </w:rPr>
        <w:t>》为判定标准，残疾人福</w:t>
      </w:r>
      <w:r>
        <w:rPr>
          <w:rFonts w:hint="eastAsia" w:ascii="仿宋" w:hAnsi="仿宋" w:eastAsia="仿宋" w:cs="仿宋"/>
          <w:color w:val="auto"/>
          <w:spacing w:val="-3"/>
          <w:sz w:val="24"/>
          <w:szCs w:val="24"/>
          <w:highlight w:val="none"/>
        </w:rPr>
        <w:t>利性单位以投标人填写的《残疾人福利性单位声明函》为判定标准，**企业须投标人提供由省级以上**管理局、戒毒管理局（含新疆生产建设兵团）出具的属于**企业的证明文件，否则不予认定。以上政策不重复享受。</w:t>
      </w:r>
    </w:p>
    <w:p w14:paraId="22895F1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rPr>
        <w:t>3.本项目的特定资格要求：</w:t>
      </w:r>
      <w:r>
        <w:rPr>
          <w:rFonts w:hint="eastAsia" w:ascii="仿宋" w:hAnsi="仿宋" w:eastAsia="仿宋" w:cs="仿宋"/>
          <w:color w:val="auto"/>
          <w:spacing w:val="-1"/>
          <w:sz w:val="24"/>
          <w:szCs w:val="24"/>
          <w:highlight w:val="none"/>
          <w:u w:val="single" w:color="auto"/>
        </w:rPr>
        <w:t>无</w:t>
      </w:r>
      <w:r>
        <w:rPr>
          <w:rFonts w:hint="eastAsia" w:cs="仿宋"/>
          <w:color w:val="auto"/>
          <w:spacing w:val="-1"/>
          <w:sz w:val="24"/>
          <w:szCs w:val="24"/>
          <w:highlight w:val="none"/>
          <w:u w:val="none" w:color="auto"/>
          <w:lang w:eastAsia="zh-CN"/>
        </w:rPr>
        <w:t>。</w:t>
      </w:r>
    </w:p>
    <w:p w14:paraId="3EBEF4A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00" w:firstLineChars="200"/>
        <w:textAlignment w:val="baseline"/>
        <w:rPr>
          <w:rFonts w:hint="eastAsia" w:ascii="仿宋" w:hAnsi="仿宋" w:eastAsia="仿宋" w:cs="仿宋"/>
          <w:color w:val="auto"/>
          <w:spacing w:val="5"/>
          <w:sz w:val="24"/>
          <w:szCs w:val="24"/>
          <w:highlight w:val="none"/>
        </w:rPr>
      </w:pPr>
      <w:r>
        <w:rPr>
          <w:rFonts w:hint="eastAsia" w:ascii="仿宋" w:hAnsi="仿宋" w:eastAsia="仿宋" w:cs="仿宋"/>
          <w:color w:val="auto"/>
          <w:spacing w:val="5"/>
          <w:sz w:val="24"/>
          <w:szCs w:val="24"/>
          <w:highlight w:val="none"/>
        </w:rPr>
        <w:t>4.通过“信用中国”网站（</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"https://www.creditchina.gov.cn" </w:instrText>
      </w:r>
      <w:r>
        <w:rPr>
          <w:rFonts w:hint="eastAsia" w:ascii="仿宋" w:hAnsi="仿宋" w:eastAsia="仿宋" w:cs="仿宋"/>
          <w:color w:val="auto"/>
          <w:highlight w:val="none"/>
        </w:rPr>
        <w:fldChar w:fldCharType="separate"/>
      </w:r>
      <w:r>
        <w:rPr>
          <w:rFonts w:hint="eastAsia" w:ascii="仿宋" w:hAnsi="仿宋" w:eastAsia="仿宋" w:cs="仿宋"/>
          <w:color w:val="auto"/>
          <w:sz w:val="24"/>
          <w:szCs w:val="24"/>
          <w:highlight w:val="none"/>
        </w:rPr>
        <w:t>www</w:t>
      </w:r>
      <w:r>
        <w:rPr>
          <w:rFonts w:hint="eastAsia" w:ascii="仿宋" w:hAnsi="仿宋" w:eastAsia="仿宋" w:cs="仿宋"/>
          <w:color w:val="auto"/>
          <w:spacing w:val="5"/>
          <w:sz w:val="24"/>
          <w:szCs w:val="24"/>
          <w:highlight w:val="none"/>
        </w:rPr>
        <w:t>.</w:t>
      </w:r>
      <w:r>
        <w:rPr>
          <w:rFonts w:hint="eastAsia" w:ascii="仿宋" w:hAnsi="仿宋" w:eastAsia="仿宋" w:cs="仿宋"/>
          <w:color w:val="auto"/>
          <w:sz w:val="24"/>
          <w:szCs w:val="24"/>
          <w:highlight w:val="none"/>
        </w:rPr>
        <w:t>creditchina</w:t>
      </w:r>
      <w:r>
        <w:rPr>
          <w:rFonts w:hint="eastAsia" w:ascii="仿宋" w:hAnsi="仿宋" w:eastAsia="仿宋" w:cs="仿宋"/>
          <w:color w:val="auto"/>
          <w:spacing w:val="5"/>
          <w:sz w:val="24"/>
          <w:szCs w:val="24"/>
          <w:highlight w:val="none"/>
        </w:rPr>
        <w:t>.</w:t>
      </w:r>
      <w:r>
        <w:rPr>
          <w:rFonts w:hint="eastAsia" w:ascii="仿宋" w:hAnsi="仿宋" w:eastAsia="仿宋" w:cs="仿宋"/>
          <w:color w:val="auto"/>
          <w:sz w:val="24"/>
          <w:szCs w:val="24"/>
          <w:highlight w:val="none"/>
        </w:rPr>
        <w:t>gov</w:t>
      </w:r>
      <w:r>
        <w:rPr>
          <w:rFonts w:hint="eastAsia" w:ascii="仿宋" w:hAnsi="仿宋" w:eastAsia="仿宋" w:cs="仿宋"/>
          <w:color w:val="auto"/>
          <w:spacing w:val="5"/>
          <w:sz w:val="24"/>
          <w:szCs w:val="24"/>
          <w:highlight w:val="none"/>
        </w:rPr>
        <w:t>.</w:t>
      </w:r>
      <w:r>
        <w:rPr>
          <w:rFonts w:hint="eastAsia" w:ascii="仿宋" w:hAnsi="仿宋" w:eastAsia="仿宋" w:cs="仿宋"/>
          <w:color w:val="auto"/>
          <w:sz w:val="24"/>
          <w:szCs w:val="24"/>
          <w:highlight w:val="none"/>
        </w:rPr>
        <w:t>cn</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pacing w:val="5"/>
          <w:sz w:val="24"/>
          <w:szCs w:val="24"/>
          <w:highlight w:val="none"/>
        </w:rPr>
        <w:t>）、中国政府采购网</w:t>
      </w:r>
      <w:r>
        <w:rPr>
          <w:rFonts w:hint="eastAsia" w:ascii="仿宋" w:hAnsi="仿宋" w:eastAsia="仿宋" w:cs="仿宋"/>
          <w:color w:val="auto"/>
          <w:spacing w:val="-3"/>
          <w:sz w:val="24"/>
          <w:szCs w:val="24"/>
          <w:highlight w:val="none"/>
        </w:rPr>
        <w:t>（</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"https://www.ccgp.gov.cn" </w:instrText>
      </w:r>
      <w:r>
        <w:rPr>
          <w:rFonts w:hint="eastAsia" w:ascii="仿宋" w:hAnsi="仿宋" w:eastAsia="仿宋" w:cs="仿宋"/>
          <w:color w:val="auto"/>
          <w:highlight w:val="none"/>
        </w:rPr>
        <w:fldChar w:fldCharType="separate"/>
      </w:r>
      <w:r>
        <w:rPr>
          <w:rFonts w:hint="eastAsia" w:ascii="仿宋" w:hAnsi="仿宋" w:eastAsia="仿宋" w:cs="仿宋"/>
          <w:color w:val="auto"/>
          <w:spacing w:val="-3"/>
          <w:sz w:val="24"/>
          <w:szCs w:val="24"/>
          <w:highlight w:val="none"/>
        </w:rPr>
        <w:t>www.ccgp.gov.cn</w:t>
      </w:r>
      <w:r>
        <w:rPr>
          <w:rFonts w:hint="eastAsia" w:ascii="仿宋" w:hAnsi="仿宋" w:eastAsia="仿宋" w:cs="仿宋"/>
          <w:color w:val="auto"/>
          <w:spacing w:val="-3"/>
          <w:sz w:val="24"/>
          <w:szCs w:val="24"/>
          <w:highlight w:val="none"/>
        </w:rPr>
        <w:fldChar w:fldCharType="end"/>
      </w:r>
      <w:r>
        <w:rPr>
          <w:rFonts w:hint="eastAsia" w:ascii="仿宋" w:hAnsi="仿宋" w:eastAsia="仿宋" w:cs="仿宋"/>
          <w:color w:val="auto"/>
          <w:spacing w:val="-3"/>
          <w:sz w:val="24"/>
          <w:szCs w:val="24"/>
          <w:highlight w:val="none"/>
        </w:rPr>
        <w:t>）查询，未被列</w:t>
      </w:r>
      <w:r>
        <w:rPr>
          <w:rFonts w:hint="eastAsia" w:ascii="仿宋" w:hAnsi="仿宋" w:eastAsia="仿宋" w:cs="仿宋"/>
          <w:color w:val="auto"/>
          <w:spacing w:val="-4"/>
          <w:sz w:val="24"/>
          <w:szCs w:val="24"/>
          <w:highlight w:val="none"/>
        </w:rPr>
        <w:t>入失信被执行人、重大税收违法案件当事人、</w:t>
      </w:r>
      <w:r>
        <w:rPr>
          <w:rFonts w:hint="eastAsia" w:ascii="仿宋" w:hAnsi="仿宋" w:eastAsia="仿宋" w:cs="仿宋"/>
          <w:color w:val="auto"/>
          <w:spacing w:val="-3"/>
          <w:sz w:val="24"/>
          <w:szCs w:val="24"/>
          <w:highlight w:val="none"/>
        </w:rPr>
        <w:t>政府采购严重违法失信行为记录名单（此项内容在开标环节由资格审查小组现场</w:t>
      </w:r>
      <w:r>
        <w:rPr>
          <w:rFonts w:hint="eastAsia" w:ascii="仿宋" w:hAnsi="仿宋" w:eastAsia="仿宋" w:cs="仿宋"/>
          <w:color w:val="auto"/>
          <w:spacing w:val="5"/>
          <w:sz w:val="24"/>
          <w:szCs w:val="24"/>
          <w:highlight w:val="none"/>
        </w:rPr>
        <w:t>查询）。</w:t>
      </w:r>
      <w:bookmarkStart w:id="2" w:name="bookmark9"/>
      <w:bookmarkEnd w:id="2"/>
    </w:p>
    <w:p w14:paraId="6A19899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5.单位负责人为同一人或者存在直接控股</w:t>
      </w:r>
      <w:r>
        <w:rPr>
          <w:rFonts w:hint="eastAsia" w:ascii="仿宋" w:hAnsi="仿宋" w:eastAsia="仿宋" w:cs="仿宋"/>
          <w:color w:val="auto"/>
          <w:spacing w:val="-4"/>
          <w:sz w:val="24"/>
          <w:szCs w:val="24"/>
          <w:highlight w:val="none"/>
        </w:rPr>
        <w:t>、管理关系的不同投标人，不得参</w:t>
      </w:r>
      <w:r>
        <w:rPr>
          <w:rFonts w:hint="eastAsia" w:ascii="仿宋" w:hAnsi="仿宋" w:eastAsia="仿宋" w:cs="仿宋"/>
          <w:color w:val="auto"/>
          <w:spacing w:val="-3"/>
          <w:sz w:val="24"/>
          <w:szCs w:val="24"/>
          <w:highlight w:val="none"/>
        </w:rPr>
        <w:t>加同一合同项下的政府采购活动。除单一来源采购项目外，为采购项目提供整体设计、规范编制或者项目管理、监理、检测等服务的投标人，不得再参加该采购项目的其他采购活动。处于被责令停业、财产被接管、冻结和破产状态，以及投</w:t>
      </w:r>
      <w:r>
        <w:rPr>
          <w:rFonts w:hint="eastAsia" w:ascii="仿宋" w:hAnsi="仿宋" w:eastAsia="仿宋" w:cs="仿宋"/>
          <w:color w:val="auto"/>
          <w:sz w:val="24"/>
          <w:szCs w:val="24"/>
          <w:highlight w:val="none"/>
        </w:rPr>
        <w:t>标资格被取消或者被暂停且在暂停期内的投标人将被拒绝</w:t>
      </w:r>
      <w:r>
        <w:rPr>
          <w:rFonts w:hint="eastAsia" w:ascii="仿宋" w:hAnsi="仿宋" w:eastAsia="仿宋" w:cs="仿宋"/>
          <w:color w:val="auto"/>
          <w:spacing w:val="-1"/>
          <w:sz w:val="24"/>
          <w:szCs w:val="24"/>
          <w:highlight w:val="none"/>
        </w:rPr>
        <w:t>参加本次采购活动。</w:t>
      </w:r>
    </w:p>
    <w:p w14:paraId="6636AC98">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4" w:firstLineChars="200"/>
        <w:textAlignment w:val="baseline"/>
        <w:rPr>
          <w:rFonts w:hint="eastAsia" w:ascii="仿宋" w:hAnsi="仿宋" w:eastAsia="仿宋" w:cs="仿宋"/>
          <w:b/>
          <w:bCs/>
          <w:color w:val="auto"/>
          <w:sz w:val="24"/>
          <w:szCs w:val="24"/>
          <w:highlight w:val="none"/>
        </w:rPr>
      </w:pPr>
      <w:r>
        <w:rPr>
          <w:rFonts w:hint="eastAsia" w:ascii="仿宋" w:hAnsi="仿宋" w:eastAsia="仿宋" w:cs="仿宋"/>
          <w:b/>
          <w:bCs/>
          <w:color w:val="auto"/>
          <w:spacing w:val="-2"/>
          <w:sz w:val="24"/>
          <w:szCs w:val="24"/>
          <w:highlight w:val="none"/>
        </w:rPr>
        <w:t>三、获取招标文件</w:t>
      </w:r>
    </w:p>
    <w:p w14:paraId="728AB5F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1.投标人须在开标前在新疆政府采购网上注册并关注该项目。</w:t>
      </w:r>
    </w:p>
    <w:p w14:paraId="5DDB5A7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0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9"/>
          <w:sz w:val="24"/>
          <w:szCs w:val="24"/>
          <w:highlight w:val="none"/>
        </w:rPr>
        <w:t>2.时间：</w:t>
      </w:r>
      <w:r>
        <w:rPr>
          <w:rFonts w:hint="eastAsia" w:ascii="仿宋" w:hAnsi="仿宋" w:eastAsia="仿宋" w:cs="仿宋"/>
          <w:color w:val="auto"/>
          <w:spacing w:val="-19"/>
          <w:sz w:val="24"/>
          <w:szCs w:val="24"/>
          <w:u w:val="single" w:color="auto"/>
        </w:rPr>
        <w:t>2026</w:t>
      </w:r>
      <w:r>
        <w:rPr>
          <w:rFonts w:hint="eastAsia" w:ascii="仿宋" w:hAnsi="仿宋" w:eastAsia="仿宋" w:cs="仿宋"/>
          <w:color w:val="auto"/>
          <w:spacing w:val="-19"/>
          <w:sz w:val="24"/>
          <w:szCs w:val="24"/>
        </w:rPr>
        <w:t>年</w:t>
      </w:r>
      <w:r>
        <w:rPr>
          <w:rFonts w:hint="eastAsia" w:cs="仿宋"/>
          <w:color w:val="auto"/>
          <w:spacing w:val="-19"/>
          <w:sz w:val="24"/>
          <w:szCs w:val="24"/>
          <w:u w:val="single" w:color="auto"/>
          <w:lang w:val="en-US" w:eastAsia="zh-CN"/>
        </w:rPr>
        <w:t>10</w:t>
      </w:r>
      <w:r>
        <w:rPr>
          <w:rFonts w:hint="eastAsia" w:ascii="仿宋" w:hAnsi="仿宋" w:eastAsia="仿宋" w:cs="仿宋"/>
          <w:color w:val="auto"/>
          <w:spacing w:val="-19"/>
          <w:sz w:val="24"/>
          <w:szCs w:val="24"/>
        </w:rPr>
        <w:t>月</w:t>
      </w:r>
      <w:r>
        <w:rPr>
          <w:rFonts w:hint="eastAsia" w:cs="仿宋"/>
          <w:color w:val="auto"/>
          <w:spacing w:val="-19"/>
          <w:sz w:val="24"/>
          <w:szCs w:val="24"/>
          <w:u w:val="single" w:color="auto"/>
          <w:lang w:val="en-US" w:eastAsia="zh-CN"/>
        </w:rPr>
        <w:t>8</w:t>
      </w:r>
      <w:r>
        <w:rPr>
          <w:rFonts w:hint="eastAsia" w:ascii="仿宋" w:hAnsi="仿宋" w:eastAsia="仿宋" w:cs="仿宋"/>
          <w:color w:val="auto"/>
          <w:spacing w:val="-19"/>
          <w:sz w:val="24"/>
          <w:szCs w:val="24"/>
        </w:rPr>
        <w:t>日至</w:t>
      </w:r>
      <w:r>
        <w:rPr>
          <w:rFonts w:hint="eastAsia" w:ascii="仿宋" w:hAnsi="仿宋" w:eastAsia="仿宋" w:cs="仿宋"/>
          <w:color w:val="auto"/>
          <w:spacing w:val="-19"/>
          <w:sz w:val="24"/>
          <w:szCs w:val="24"/>
          <w:u w:val="single" w:color="auto"/>
        </w:rPr>
        <w:t>2026</w:t>
      </w:r>
      <w:r>
        <w:rPr>
          <w:rFonts w:hint="eastAsia" w:ascii="仿宋" w:hAnsi="仿宋" w:eastAsia="仿宋" w:cs="仿宋"/>
          <w:color w:val="auto"/>
          <w:spacing w:val="-19"/>
          <w:sz w:val="24"/>
          <w:szCs w:val="24"/>
        </w:rPr>
        <w:t>年</w:t>
      </w:r>
      <w:r>
        <w:rPr>
          <w:rFonts w:hint="eastAsia" w:cs="仿宋"/>
          <w:color w:val="auto"/>
          <w:spacing w:val="-19"/>
          <w:sz w:val="24"/>
          <w:szCs w:val="24"/>
          <w:u w:val="single" w:color="auto"/>
          <w:lang w:val="en-US" w:eastAsia="zh-CN"/>
        </w:rPr>
        <w:t>10</w:t>
      </w:r>
      <w:r>
        <w:rPr>
          <w:rFonts w:hint="eastAsia" w:ascii="仿宋" w:hAnsi="仿宋" w:eastAsia="仿宋" w:cs="仿宋"/>
          <w:color w:val="auto"/>
          <w:spacing w:val="-19"/>
          <w:sz w:val="24"/>
          <w:szCs w:val="24"/>
        </w:rPr>
        <w:t>月</w:t>
      </w:r>
      <w:r>
        <w:rPr>
          <w:rFonts w:hint="eastAsia" w:cs="仿宋"/>
          <w:color w:val="auto"/>
          <w:spacing w:val="-19"/>
          <w:sz w:val="24"/>
          <w:szCs w:val="24"/>
          <w:u w:val="single" w:color="auto"/>
          <w:lang w:val="en-US" w:eastAsia="zh-CN"/>
        </w:rPr>
        <w:t>14</w:t>
      </w:r>
      <w:r>
        <w:rPr>
          <w:rFonts w:hint="eastAsia" w:ascii="仿宋" w:hAnsi="仿宋" w:eastAsia="仿宋" w:cs="仿宋"/>
          <w:color w:val="auto"/>
          <w:spacing w:val="-19"/>
          <w:sz w:val="24"/>
          <w:szCs w:val="24"/>
        </w:rPr>
        <w:t>日</w:t>
      </w:r>
      <w:r>
        <w:rPr>
          <w:rFonts w:hint="eastAsia" w:ascii="仿宋" w:hAnsi="仿宋" w:eastAsia="仿宋" w:cs="仿宋"/>
          <w:color w:val="auto"/>
          <w:spacing w:val="-19"/>
          <w:sz w:val="24"/>
          <w:szCs w:val="24"/>
          <w:highlight w:val="none"/>
        </w:rPr>
        <w:t>（北京时间，法定节假日除</w:t>
      </w:r>
      <w:r>
        <w:rPr>
          <w:rFonts w:hint="eastAsia" w:ascii="仿宋" w:hAnsi="仿宋" w:eastAsia="仿宋" w:cs="仿宋"/>
          <w:color w:val="auto"/>
          <w:spacing w:val="-20"/>
          <w:sz w:val="24"/>
          <w:szCs w:val="24"/>
          <w:highlight w:val="none"/>
        </w:rPr>
        <w:t>外）。</w:t>
      </w:r>
    </w:p>
    <w:p w14:paraId="01B3365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3.地点：新疆政府采购网</w:t>
      </w:r>
      <w:r>
        <w:rPr>
          <w:rFonts w:hint="eastAsia" w:cs="仿宋"/>
          <w:color w:val="auto"/>
          <w:spacing w:val="-1"/>
          <w:sz w:val="24"/>
          <w:szCs w:val="24"/>
          <w:highlight w:val="none"/>
          <w:lang w:eastAsia="zh-CN"/>
        </w:rPr>
        <w:t>登录</w:t>
      </w:r>
      <w:r>
        <w:rPr>
          <w:rFonts w:hint="eastAsia" w:ascii="仿宋" w:hAnsi="仿宋" w:eastAsia="仿宋" w:cs="仿宋"/>
          <w:color w:val="auto"/>
          <w:spacing w:val="-1"/>
          <w:sz w:val="24"/>
          <w:szCs w:val="24"/>
          <w:highlight w:val="none"/>
        </w:rPr>
        <w:t>政采云平台</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"https://www.zcygov.cn/" </w:instrText>
      </w:r>
      <w:r>
        <w:rPr>
          <w:rFonts w:hint="eastAsia" w:ascii="仿宋" w:hAnsi="仿宋" w:eastAsia="仿宋" w:cs="仿宋"/>
          <w:color w:val="auto"/>
          <w:highlight w:val="none"/>
        </w:rPr>
        <w:fldChar w:fldCharType="separate"/>
      </w:r>
      <w:r>
        <w:rPr>
          <w:rFonts w:hint="eastAsia" w:ascii="仿宋" w:hAnsi="仿宋" w:eastAsia="仿宋" w:cs="仿宋"/>
          <w:color w:val="auto"/>
          <w:spacing w:val="-1"/>
          <w:sz w:val="24"/>
          <w:szCs w:val="24"/>
          <w:highlight w:val="none"/>
        </w:rPr>
        <w:t>https</w:t>
      </w:r>
      <w:r>
        <w:rPr>
          <w:rFonts w:hint="eastAsia" w:cs="仿宋"/>
          <w:color w:val="auto"/>
          <w:spacing w:val="-1"/>
          <w:sz w:val="24"/>
          <w:szCs w:val="24"/>
          <w:highlight w:val="none"/>
          <w:lang w:eastAsia="zh-CN"/>
        </w:rPr>
        <w:t>：</w:t>
      </w:r>
      <w:r>
        <w:rPr>
          <w:rFonts w:hint="eastAsia" w:ascii="仿宋" w:hAnsi="仿宋" w:eastAsia="仿宋" w:cs="仿宋"/>
          <w:color w:val="auto"/>
          <w:spacing w:val="-1"/>
          <w:sz w:val="24"/>
          <w:szCs w:val="24"/>
          <w:highlight w:val="none"/>
        </w:rPr>
        <w:t>//www.zcygov.cn/</w:t>
      </w:r>
      <w:r>
        <w:rPr>
          <w:rFonts w:hint="eastAsia" w:ascii="仿宋" w:hAnsi="仿宋" w:eastAsia="仿宋" w:cs="仿宋"/>
          <w:color w:val="auto"/>
          <w:spacing w:val="-1"/>
          <w:sz w:val="24"/>
          <w:szCs w:val="24"/>
          <w:highlight w:val="none"/>
        </w:rPr>
        <w:fldChar w:fldCharType="end"/>
      </w:r>
      <w:r>
        <w:rPr>
          <w:rFonts w:hint="eastAsia" w:ascii="仿宋" w:hAnsi="仿宋" w:eastAsia="仿宋" w:cs="仿宋"/>
          <w:color w:val="auto"/>
          <w:spacing w:val="-1"/>
          <w:sz w:val="24"/>
          <w:szCs w:val="24"/>
          <w:highlight w:val="none"/>
        </w:rPr>
        <w:t>在线申</w:t>
      </w:r>
      <w:r>
        <w:rPr>
          <w:rFonts w:hint="eastAsia" w:ascii="仿宋" w:hAnsi="仿宋" w:eastAsia="仿宋" w:cs="仿宋"/>
          <w:color w:val="auto"/>
          <w:spacing w:val="-2"/>
          <w:sz w:val="24"/>
          <w:szCs w:val="24"/>
          <w:highlight w:val="none"/>
        </w:rPr>
        <w:t>请获取采购文件。</w:t>
      </w:r>
    </w:p>
    <w:p w14:paraId="441C82A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4.方式：投标人登录政采云平台</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"https://www.zcygov.cn/" </w:instrText>
      </w:r>
      <w:r>
        <w:rPr>
          <w:rFonts w:hint="eastAsia" w:ascii="仿宋" w:hAnsi="仿宋" w:eastAsia="仿宋" w:cs="仿宋"/>
          <w:color w:val="auto"/>
          <w:highlight w:val="none"/>
        </w:rPr>
        <w:fldChar w:fldCharType="separate"/>
      </w:r>
      <w:r>
        <w:rPr>
          <w:rFonts w:hint="eastAsia" w:ascii="仿宋" w:hAnsi="仿宋" w:eastAsia="仿宋" w:cs="仿宋"/>
          <w:color w:val="auto"/>
          <w:sz w:val="24"/>
          <w:szCs w:val="24"/>
          <w:highlight w:val="none"/>
        </w:rPr>
        <w:t>https</w:t>
      </w:r>
      <w:r>
        <w:rPr>
          <w:rFonts w:hint="eastAsia" w:cs="仿宋"/>
          <w:color w:val="auto"/>
          <w:spacing w:val="2"/>
          <w:sz w:val="24"/>
          <w:szCs w:val="24"/>
          <w:highlight w:val="none"/>
          <w:lang w:eastAsia="zh-CN"/>
        </w:rPr>
        <w:t>：</w:t>
      </w:r>
      <w:r>
        <w:rPr>
          <w:rFonts w:hint="eastAsia" w:ascii="仿宋" w:hAnsi="仿宋" w:eastAsia="仿宋" w:cs="仿宋"/>
          <w:color w:val="auto"/>
          <w:spacing w:val="2"/>
          <w:sz w:val="24"/>
          <w:szCs w:val="24"/>
          <w:highlight w:val="none"/>
        </w:rPr>
        <w:t>//</w:t>
      </w:r>
      <w:r>
        <w:rPr>
          <w:rFonts w:hint="eastAsia" w:ascii="仿宋" w:hAnsi="仿宋" w:eastAsia="仿宋" w:cs="仿宋"/>
          <w:color w:val="auto"/>
          <w:sz w:val="24"/>
          <w:szCs w:val="24"/>
          <w:highlight w:val="none"/>
        </w:rPr>
        <w:t>www</w:t>
      </w:r>
      <w:r>
        <w:rPr>
          <w:rFonts w:hint="eastAsia" w:ascii="仿宋" w:hAnsi="仿宋" w:eastAsia="仿宋" w:cs="仿宋"/>
          <w:color w:val="auto"/>
          <w:spacing w:val="2"/>
          <w:sz w:val="24"/>
          <w:szCs w:val="24"/>
          <w:highlight w:val="none"/>
        </w:rPr>
        <w:t>.</w:t>
      </w:r>
      <w:r>
        <w:rPr>
          <w:rFonts w:hint="eastAsia" w:ascii="仿宋" w:hAnsi="仿宋" w:eastAsia="仿宋" w:cs="仿宋"/>
          <w:color w:val="auto"/>
          <w:sz w:val="24"/>
          <w:szCs w:val="24"/>
          <w:highlight w:val="none"/>
        </w:rPr>
        <w:t>zcygov</w:t>
      </w:r>
      <w:r>
        <w:rPr>
          <w:rFonts w:hint="eastAsia" w:ascii="仿宋" w:hAnsi="仿宋" w:eastAsia="仿宋" w:cs="仿宋"/>
          <w:color w:val="auto"/>
          <w:spacing w:val="2"/>
          <w:sz w:val="24"/>
          <w:szCs w:val="24"/>
          <w:highlight w:val="none"/>
        </w:rPr>
        <w:t>.</w:t>
      </w:r>
      <w:r>
        <w:rPr>
          <w:rFonts w:hint="eastAsia" w:ascii="仿宋" w:hAnsi="仿宋" w:eastAsia="仿宋" w:cs="仿宋"/>
          <w:color w:val="auto"/>
          <w:sz w:val="24"/>
          <w:szCs w:val="24"/>
          <w:highlight w:val="none"/>
        </w:rPr>
        <w:t>cn</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2"/>
          <w:sz w:val="24"/>
          <w:szCs w:val="24"/>
          <w:highlight w:val="none"/>
        </w:rPr>
        <w:fldChar w:fldCharType="end"/>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1"/>
          <w:sz w:val="24"/>
          <w:szCs w:val="24"/>
          <w:highlight w:val="none"/>
        </w:rPr>
        <w:t>在本项目招标</w:t>
      </w:r>
      <w:r>
        <w:rPr>
          <w:rFonts w:hint="eastAsia" w:ascii="仿宋" w:hAnsi="仿宋" w:eastAsia="仿宋" w:cs="仿宋"/>
          <w:color w:val="auto"/>
          <w:spacing w:val="-3"/>
          <w:sz w:val="24"/>
          <w:szCs w:val="24"/>
          <w:highlight w:val="none"/>
        </w:rPr>
        <w:t>公告页面免费下载电子招标文件（进入“项目采购”应用，在获取采购文件菜单中选择项目，申请获取采购文件</w:t>
      </w:r>
      <w:r>
        <w:rPr>
          <w:rFonts w:hint="eastAsia" w:ascii="仿宋" w:hAnsi="仿宋" w:eastAsia="仿宋" w:cs="仿宋"/>
          <w:color w:val="auto"/>
          <w:spacing w:val="15"/>
          <w:sz w:val="24"/>
          <w:szCs w:val="24"/>
          <w:highlight w:val="none"/>
        </w:rPr>
        <w:t>）；</w:t>
      </w:r>
      <w:r>
        <w:rPr>
          <w:rFonts w:hint="eastAsia" w:ascii="仿宋" w:hAnsi="仿宋" w:eastAsia="仿宋" w:cs="仿宋"/>
          <w:color w:val="auto"/>
          <w:spacing w:val="15"/>
          <w:sz w:val="24"/>
          <w:szCs w:val="24"/>
          <w:highlight w:val="none"/>
          <w:lang w:eastAsia="zh-CN"/>
        </w:rPr>
        <w:t>招标代理</w:t>
      </w:r>
      <w:r>
        <w:rPr>
          <w:rFonts w:hint="eastAsia" w:ascii="仿宋" w:hAnsi="仿宋" w:eastAsia="仿宋" w:cs="仿宋"/>
          <w:color w:val="auto"/>
          <w:spacing w:val="15"/>
          <w:sz w:val="24"/>
          <w:szCs w:val="24"/>
          <w:highlight w:val="none"/>
        </w:rPr>
        <w:t>机构</w:t>
      </w:r>
      <w:r>
        <w:rPr>
          <w:rFonts w:hint="eastAsia" w:ascii="仿宋" w:hAnsi="仿宋" w:eastAsia="仿宋" w:cs="仿宋"/>
          <w:color w:val="auto"/>
          <w:spacing w:val="-3"/>
          <w:sz w:val="24"/>
          <w:szCs w:val="24"/>
          <w:highlight w:val="none"/>
        </w:rPr>
        <w:t>将不再发售纸质招标文件。</w:t>
      </w:r>
    </w:p>
    <w:p w14:paraId="51787A9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5.售价：0元</w:t>
      </w:r>
    </w:p>
    <w:p w14:paraId="2BED3F3B">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4" w:firstLineChars="200"/>
        <w:textAlignment w:val="baseline"/>
        <w:rPr>
          <w:rFonts w:hint="eastAsia" w:ascii="仿宋" w:hAnsi="仿宋" w:eastAsia="仿宋" w:cs="仿宋"/>
          <w:b/>
          <w:bCs/>
          <w:color w:val="auto"/>
          <w:sz w:val="24"/>
          <w:szCs w:val="24"/>
          <w:highlight w:val="none"/>
        </w:rPr>
      </w:pPr>
      <w:r>
        <w:rPr>
          <w:rFonts w:hint="eastAsia" w:ascii="仿宋" w:hAnsi="仿宋" w:eastAsia="仿宋" w:cs="仿宋"/>
          <w:b/>
          <w:bCs/>
          <w:color w:val="auto"/>
          <w:spacing w:val="-2"/>
          <w:sz w:val="24"/>
          <w:szCs w:val="24"/>
          <w:highlight w:val="none"/>
        </w:rPr>
        <w:t>四、提交投标文件截止时间、开标时间和地点</w:t>
      </w:r>
    </w:p>
    <w:p w14:paraId="2B72C77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1.提交投标文件截止时间</w:t>
      </w:r>
      <w:r>
        <w:rPr>
          <w:rFonts w:hint="eastAsia" w:cs="仿宋"/>
          <w:color w:val="auto"/>
          <w:spacing w:val="-6"/>
          <w:sz w:val="24"/>
          <w:szCs w:val="24"/>
          <w:highlight w:val="none"/>
          <w:lang w:eastAsia="zh-CN"/>
        </w:rPr>
        <w:t>：</w:t>
      </w:r>
      <w:r>
        <w:rPr>
          <w:rFonts w:hint="eastAsia" w:ascii="仿宋" w:hAnsi="仿宋" w:eastAsia="仿宋" w:cs="仿宋"/>
          <w:color w:val="auto"/>
          <w:spacing w:val="-19"/>
          <w:sz w:val="24"/>
          <w:szCs w:val="24"/>
          <w:u w:val="single"/>
        </w:rPr>
        <w:t>2026</w:t>
      </w:r>
      <w:r>
        <w:rPr>
          <w:rFonts w:hint="eastAsia" w:ascii="仿宋" w:hAnsi="仿宋" w:eastAsia="仿宋" w:cs="仿宋"/>
          <w:color w:val="auto"/>
          <w:spacing w:val="-19"/>
          <w:sz w:val="24"/>
          <w:szCs w:val="24"/>
        </w:rPr>
        <w:t>年</w:t>
      </w:r>
      <w:r>
        <w:rPr>
          <w:rFonts w:hint="eastAsia" w:cs="仿宋"/>
          <w:color w:val="auto"/>
          <w:spacing w:val="-19"/>
          <w:sz w:val="24"/>
          <w:szCs w:val="24"/>
          <w:u w:val="single"/>
          <w:lang w:val="en-US" w:eastAsia="zh-CN"/>
        </w:rPr>
        <w:t>10</w:t>
      </w:r>
      <w:r>
        <w:rPr>
          <w:rFonts w:hint="eastAsia" w:ascii="仿宋" w:hAnsi="仿宋" w:eastAsia="仿宋" w:cs="仿宋"/>
          <w:color w:val="auto"/>
          <w:spacing w:val="-19"/>
          <w:sz w:val="24"/>
          <w:szCs w:val="24"/>
        </w:rPr>
        <w:t>月</w:t>
      </w:r>
      <w:r>
        <w:rPr>
          <w:rFonts w:hint="eastAsia" w:cs="仿宋"/>
          <w:color w:val="auto"/>
          <w:spacing w:val="-19"/>
          <w:sz w:val="24"/>
          <w:szCs w:val="24"/>
          <w:u w:val="single"/>
          <w:lang w:val="en-US" w:eastAsia="zh-CN"/>
        </w:rPr>
        <w:t>29</w:t>
      </w:r>
      <w:r>
        <w:rPr>
          <w:rFonts w:hint="eastAsia" w:ascii="仿宋" w:hAnsi="仿宋" w:eastAsia="仿宋" w:cs="仿宋"/>
          <w:color w:val="auto"/>
          <w:spacing w:val="-19"/>
          <w:sz w:val="24"/>
          <w:szCs w:val="24"/>
        </w:rPr>
        <w:t>日</w:t>
      </w:r>
      <w:r>
        <w:rPr>
          <w:rFonts w:hint="eastAsia" w:ascii="仿宋" w:hAnsi="仿宋" w:eastAsia="仿宋" w:cs="仿宋"/>
          <w:color w:val="auto"/>
          <w:spacing w:val="-19"/>
          <w:sz w:val="24"/>
          <w:szCs w:val="24"/>
          <w:u w:val="single"/>
        </w:rPr>
        <w:t>11</w:t>
      </w:r>
      <w:r>
        <w:rPr>
          <w:rFonts w:hint="eastAsia" w:ascii="仿宋" w:hAnsi="仿宋" w:eastAsia="仿宋" w:cs="仿宋"/>
          <w:color w:val="auto"/>
          <w:spacing w:val="-19"/>
          <w:sz w:val="24"/>
          <w:szCs w:val="24"/>
        </w:rPr>
        <w:t>点</w:t>
      </w:r>
      <w:r>
        <w:rPr>
          <w:rFonts w:hint="eastAsia" w:ascii="仿宋" w:hAnsi="仿宋" w:eastAsia="仿宋" w:cs="仿宋"/>
          <w:color w:val="auto"/>
          <w:spacing w:val="-19"/>
          <w:sz w:val="24"/>
          <w:szCs w:val="24"/>
          <w:u w:val="single"/>
        </w:rPr>
        <w:t>00</w:t>
      </w:r>
      <w:r>
        <w:rPr>
          <w:rFonts w:hint="eastAsia" w:ascii="仿宋" w:hAnsi="仿宋" w:eastAsia="仿宋" w:cs="仿宋"/>
          <w:color w:val="auto"/>
          <w:spacing w:val="-19"/>
          <w:sz w:val="24"/>
          <w:szCs w:val="24"/>
        </w:rPr>
        <w:t>分</w:t>
      </w:r>
      <w:r>
        <w:rPr>
          <w:rFonts w:hint="eastAsia" w:ascii="仿宋" w:hAnsi="仿宋" w:eastAsia="仿宋" w:cs="仿宋"/>
          <w:color w:val="auto"/>
          <w:spacing w:val="-7"/>
          <w:sz w:val="24"/>
          <w:szCs w:val="24"/>
        </w:rPr>
        <w:t>（北京时间</w:t>
      </w:r>
      <w:r>
        <w:rPr>
          <w:rFonts w:hint="eastAsia" w:ascii="仿宋" w:hAnsi="仿宋" w:eastAsia="仿宋" w:cs="仿宋"/>
          <w:color w:val="auto"/>
          <w:spacing w:val="-4"/>
          <w:sz w:val="24"/>
          <w:szCs w:val="24"/>
        </w:rPr>
        <w:t>）</w:t>
      </w:r>
      <w:r>
        <w:rPr>
          <w:rFonts w:hint="eastAsia" w:ascii="仿宋" w:hAnsi="仿宋" w:eastAsia="仿宋" w:cs="仿宋"/>
          <w:color w:val="auto"/>
          <w:spacing w:val="-4"/>
          <w:sz w:val="24"/>
          <w:szCs w:val="24"/>
          <w:highlight w:val="none"/>
        </w:rPr>
        <w:t>；</w:t>
      </w:r>
    </w:p>
    <w:p w14:paraId="2E857B1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2.投标地点：投标人应在投标文件截止时间之前将加密的投标文件上传至新疆政府采购网政采云平台</w:t>
      </w:r>
      <w:r>
        <w:rPr>
          <w:rFonts w:hint="eastAsia" w:cs="仿宋"/>
          <w:color w:val="auto"/>
          <w:spacing w:val="-1"/>
          <w:sz w:val="24"/>
          <w:szCs w:val="24"/>
          <w:highlight w:val="none"/>
          <w:lang w:eastAsia="zh-CN"/>
        </w:rPr>
        <w:t>（</w:t>
      </w:r>
      <w:r>
        <w:rPr>
          <w:rFonts w:hint="eastAsia" w:ascii="仿宋" w:hAnsi="仿宋" w:eastAsia="仿宋" w:cs="仿宋"/>
          <w:color w:val="auto"/>
          <w:spacing w:val="-1"/>
          <w:sz w:val="24"/>
          <w:szCs w:val="24"/>
          <w:highlight w:val="none"/>
        </w:rPr>
        <w:t>逾期上传的投标文件将被系统自动拒收</w:t>
      </w:r>
      <w:r>
        <w:rPr>
          <w:rFonts w:hint="eastAsia" w:cs="仿宋"/>
          <w:color w:val="auto"/>
          <w:spacing w:val="-1"/>
          <w:sz w:val="24"/>
          <w:szCs w:val="24"/>
          <w:highlight w:val="none"/>
          <w:lang w:eastAsia="zh-CN"/>
        </w:rPr>
        <w:t>）</w:t>
      </w:r>
      <w:r>
        <w:rPr>
          <w:rFonts w:hint="eastAsia" w:ascii="仿宋" w:hAnsi="仿宋" w:eastAsia="仿宋" w:cs="仿宋"/>
          <w:color w:val="auto"/>
          <w:spacing w:val="-1"/>
          <w:sz w:val="24"/>
          <w:szCs w:val="24"/>
          <w:highlight w:val="none"/>
        </w:rPr>
        <w:t>；</w:t>
      </w:r>
    </w:p>
    <w:p w14:paraId="66EF0B4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3.开标时间：</w:t>
      </w:r>
      <w:r>
        <w:rPr>
          <w:rFonts w:hint="eastAsia" w:ascii="仿宋" w:hAnsi="仿宋" w:eastAsia="仿宋" w:cs="仿宋"/>
          <w:color w:val="auto"/>
          <w:spacing w:val="-19"/>
          <w:sz w:val="24"/>
          <w:szCs w:val="24"/>
          <w:u w:val="single"/>
        </w:rPr>
        <w:t>2026</w:t>
      </w:r>
      <w:r>
        <w:rPr>
          <w:rFonts w:hint="eastAsia" w:ascii="仿宋" w:hAnsi="仿宋" w:eastAsia="仿宋" w:cs="仿宋"/>
          <w:color w:val="auto"/>
          <w:spacing w:val="-19"/>
          <w:sz w:val="24"/>
          <w:szCs w:val="24"/>
        </w:rPr>
        <w:t>年</w:t>
      </w:r>
      <w:r>
        <w:rPr>
          <w:rFonts w:hint="eastAsia" w:cs="仿宋"/>
          <w:color w:val="auto"/>
          <w:spacing w:val="-19"/>
          <w:sz w:val="24"/>
          <w:szCs w:val="24"/>
          <w:u w:val="single"/>
          <w:lang w:val="en-US" w:eastAsia="zh-CN"/>
        </w:rPr>
        <w:t>10</w:t>
      </w:r>
      <w:r>
        <w:rPr>
          <w:rFonts w:hint="eastAsia" w:ascii="仿宋" w:hAnsi="仿宋" w:eastAsia="仿宋" w:cs="仿宋"/>
          <w:color w:val="auto"/>
          <w:spacing w:val="-19"/>
          <w:sz w:val="24"/>
          <w:szCs w:val="24"/>
        </w:rPr>
        <w:t>月</w:t>
      </w:r>
      <w:r>
        <w:rPr>
          <w:rFonts w:hint="eastAsia" w:cs="仿宋"/>
          <w:color w:val="auto"/>
          <w:spacing w:val="-19"/>
          <w:sz w:val="24"/>
          <w:szCs w:val="24"/>
          <w:u w:val="single"/>
          <w:lang w:val="en-US" w:eastAsia="zh-CN"/>
        </w:rPr>
        <w:t>29</w:t>
      </w:r>
      <w:r>
        <w:rPr>
          <w:rFonts w:hint="eastAsia" w:ascii="仿宋" w:hAnsi="仿宋" w:eastAsia="仿宋" w:cs="仿宋"/>
          <w:color w:val="auto"/>
          <w:spacing w:val="-19"/>
          <w:sz w:val="24"/>
          <w:szCs w:val="24"/>
        </w:rPr>
        <w:t>日</w:t>
      </w:r>
      <w:r>
        <w:rPr>
          <w:rFonts w:hint="eastAsia" w:ascii="仿宋" w:hAnsi="仿宋" w:eastAsia="仿宋" w:cs="仿宋"/>
          <w:color w:val="auto"/>
          <w:spacing w:val="-19"/>
          <w:sz w:val="24"/>
          <w:szCs w:val="24"/>
          <w:u w:val="single"/>
        </w:rPr>
        <w:t>11</w:t>
      </w:r>
      <w:r>
        <w:rPr>
          <w:rFonts w:hint="eastAsia" w:ascii="仿宋" w:hAnsi="仿宋" w:eastAsia="仿宋" w:cs="仿宋"/>
          <w:color w:val="auto"/>
          <w:spacing w:val="-19"/>
          <w:sz w:val="24"/>
          <w:szCs w:val="24"/>
        </w:rPr>
        <w:t>点</w:t>
      </w:r>
      <w:r>
        <w:rPr>
          <w:rFonts w:hint="eastAsia" w:ascii="仿宋" w:hAnsi="仿宋" w:eastAsia="仿宋" w:cs="仿宋"/>
          <w:color w:val="auto"/>
          <w:spacing w:val="-19"/>
          <w:sz w:val="24"/>
          <w:szCs w:val="24"/>
          <w:u w:val="single"/>
        </w:rPr>
        <w:t>00</w:t>
      </w:r>
      <w:r>
        <w:rPr>
          <w:rFonts w:hint="eastAsia" w:ascii="仿宋" w:hAnsi="仿宋" w:eastAsia="仿宋" w:cs="仿宋"/>
          <w:color w:val="auto"/>
          <w:spacing w:val="-19"/>
          <w:sz w:val="24"/>
          <w:szCs w:val="24"/>
        </w:rPr>
        <w:t>分</w:t>
      </w:r>
      <w:r>
        <w:rPr>
          <w:rFonts w:hint="eastAsia" w:ascii="仿宋" w:hAnsi="仿宋" w:eastAsia="仿宋" w:cs="仿宋"/>
          <w:color w:val="auto"/>
          <w:spacing w:val="-7"/>
          <w:sz w:val="24"/>
          <w:szCs w:val="24"/>
          <w:highlight w:val="none"/>
        </w:rPr>
        <w:t>（北京时间</w:t>
      </w:r>
      <w:r>
        <w:rPr>
          <w:rFonts w:hint="eastAsia" w:ascii="仿宋" w:hAnsi="仿宋" w:eastAsia="仿宋" w:cs="仿宋"/>
          <w:color w:val="auto"/>
          <w:spacing w:val="-4"/>
          <w:sz w:val="24"/>
          <w:szCs w:val="24"/>
          <w:highlight w:val="none"/>
        </w:rPr>
        <w:t>）；</w:t>
      </w:r>
    </w:p>
    <w:p w14:paraId="735C947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4.开标地点：本项目支持线上开标，开标地点为和</w:t>
      </w:r>
      <w:r>
        <w:rPr>
          <w:rFonts w:hint="eastAsia" w:ascii="仿宋" w:hAnsi="仿宋" w:eastAsia="仿宋" w:cs="仿宋"/>
          <w:color w:val="auto"/>
          <w:spacing w:val="-4"/>
          <w:sz w:val="24"/>
          <w:szCs w:val="24"/>
          <w:highlight w:val="none"/>
        </w:rPr>
        <w:t>田地区公共资源交易中心</w:t>
      </w:r>
      <w:r>
        <w:rPr>
          <w:rFonts w:hint="eastAsia" w:ascii="仿宋" w:hAnsi="仿宋" w:eastAsia="仿宋" w:cs="仿宋"/>
          <w:color w:val="auto"/>
          <w:spacing w:val="-3"/>
          <w:sz w:val="24"/>
          <w:szCs w:val="24"/>
          <w:highlight w:val="none"/>
        </w:rPr>
        <w:t>（政采云平台）本项目开标页面。投标人仅需按照采购文件要求登录政采云平台</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"https://www.zcygov.cn/" </w:instrText>
      </w:r>
      <w:r>
        <w:rPr>
          <w:rFonts w:hint="eastAsia" w:ascii="仿宋" w:hAnsi="仿宋" w:eastAsia="仿宋" w:cs="仿宋"/>
          <w:color w:val="auto"/>
          <w:highlight w:val="none"/>
        </w:rPr>
        <w:fldChar w:fldCharType="separate"/>
      </w:r>
      <w:r>
        <w:rPr>
          <w:rFonts w:hint="eastAsia" w:ascii="仿宋" w:hAnsi="仿宋" w:eastAsia="仿宋" w:cs="仿宋"/>
          <w:color w:val="auto"/>
          <w:sz w:val="24"/>
          <w:szCs w:val="24"/>
          <w:highlight w:val="none"/>
        </w:rPr>
        <w:t>https</w:t>
      </w:r>
      <w:r>
        <w:rPr>
          <w:rFonts w:hint="eastAsia" w:cs="仿宋"/>
          <w:color w:val="auto"/>
          <w:sz w:val="24"/>
          <w:szCs w:val="24"/>
          <w:highlight w:val="none"/>
          <w:lang w:eastAsia="zh-CN"/>
        </w:rPr>
        <w:t>：</w:t>
      </w:r>
      <w:r>
        <w:rPr>
          <w:rFonts w:hint="eastAsia" w:ascii="仿宋" w:hAnsi="仿宋" w:eastAsia="仿宋" w:cs="仿宋"/>
          <w:color w:val="auto"/>
          <w:sz w:val="24"/>
          <w:szCs w:val="24"/>
          <w:highlight w:val="none"/>
        </w:rPr>
        <w:t>//www.zcygov.cn/</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开标，无需到</w:t>
      </w:r>
      <w:r>
        <w:rPr>
          <w:rFonts w:hint="eastAsia" w:ascii="仿宋" w:hAnsi="仿宋" w:eastAsia="仿宋" w:cs="仿宋"/>
          <w:color w:val="auto"/>
          <w:spacing w:val="-1"/>
          <w:sz w:val="24"/>
          <w:szCs w:val="24"/>
          <w:highlight w:val="none"/>
        </w:rPr>
        <w:t>达开标现场。</w:t>
      </w:r>
    </w:p>
    <w:p w14:paraId="3F595853">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0" w:firstLineChars="200"/>
        <w:textAlignment w:val="baseline"/>
        <w:rPr>
          <w:rFonts w:hint="eastAsia" w:ascii="仿宋" w:hAnsi="仿宋" w:eastAsia="仿宋" w:cs="仿宋"/>
          <w:b/>
          <w:bCs/>
          <w:color w:val="auto"/>
          <w:sz w:val="24"/>
          <w:szCs w:val="24"/>
          <w:highlight w:val="none"/>
        </w:rPr>
      </w:pPr>
      <w:r>
        <w:rPr>
          <w:rFonts w:hint="eastAsia" w:ascii="仿宋" w:hAnsi="仿宋" w:eastAsia="仿宋" w:cs="仿宋"/>
          <w:b/>
          <w:bCs/>
          <w:color w:val="auto"/>
          <w:spacing w:val="-3"/>
          <w:sz w:val="24"/>
          <w:szCs w:val="24"/>
          <w:highlight w:val="none"/>
        </w:rPr>
        <w:t>五、公告期限</w:t>
      </w:r>
    </w:p>
    <w:p w14:paraId="3B1A566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自本公告发布之日起5个工作日。</w:t>
      </w:r>
    </w:p>
    <w:p w14:paraId="19876349">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0" w:firstLineChars="200"/>
        <w:textAlignment w:val="baseline"/>
        <w:rPr>
          <w:rFonts w:hint="eastAsia" w:ascii="仿宋" w:hAnsi="仿宋" w:eastAsia="仿宋" w:cs="仿宋"/>
          <w:b/>
          <w:bCs/>
          <w:color w:val="auto"/>
          <w:sz w:val="24"/>
          <w:szCs w:val="24"/>
          <w:highlight w:val="none"/>
        </w:rPr>
      </w:pPr>
      <w:r>
        <w:rPr>
          <w:rFonts w:hint="eastAsia" w:ascii="仿宋" w:hAnsi="仿宋" w:eastAsia="仿宋" w:cs="仿宋"/>
          <w:b/>
          <w:bCs/>
          <w:color w:val="auto"/>
          <w:spacing w:val="-3"/>
          <w:sz w:val="24"/>
          <w:szCs w:val="24"/>
          <w:highlight w:val="none"/>
        </w:rPr>
        <w:t>六、其他补充事宜</w:t>
      </w:r>
    </w:p>
    <w:p w14:paraId="06EE4AD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1.本项目实行网上投标，采用电子投标文件。</w:t>
      </w:r>
    </w:p>
    <w:p w14:paraId="55A069E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2.各供应商应在开标前确保成为正式注册入库供应商，并完成</w:t>
      </w:r>
      <w:r>
        <w:rPr>
          <w:rFonts w:hint="eastAsia" w:ascii="仿宋" w:hAnsi="仿宋" w:eastAsia="仿宋" w:cs="仿宋"/>
          <w:color w:val="auto"/>
          <w:sz w:val="24"/>
          <w:szCs w:val="24"/>
          <w:highlight w:val="none"/>
        </w:rPr>
        <w:t>CA</w:t>
      </w:r>
      <w:r>
        <w:rPr>
          <w:rFonts w:hint="eastAsia" w:ascii="仿宋" w:hAnsi="仿宋" w:eastAsia="仿宋" w:cs="仿宋"/>
          <w:color w:val="auto"/>
          <w:spacing w:val="1"/>
          <w:sz w:val="24"/>
          <w:szCs w:val="24"/>
          <w:highlight w:val="none"/>
        </w:rPr>
        <w:t>数字证书</w:t>
      </w:r>
      <w:r>
        <w:rPr>
          <w:rFonts w:hint="eastAsia" w:cs="仿宋"/>
          <w:color w:val="auto"/>
          <w:spacing w:val="1"/>
          <w:sz w:val="24"/>
          <w:szCs w:val="24"/>
          <w:highlight w:val="none"/>
          <w:lang w:eastAsia="zh-CN"/>
        </w:rPr>
        <w:t>（</w:t>
      </w:r>
      <w:r>
        <w:rPr>
          <w:rFonts w:hint="eastAsia" w:ascii="仿宋" w:hAnsi="仿宋" w:eastAsia="仿宋" w:cs="仿宋"/>
          <w:color w:val="auto"/>
          <w:spacing w:val="-2"/>
          <w:sz w:val="24"/>
          <w:szCs w:val="24"/>
          <w:highlight w:val="none"/>
        </w:rPr>
        <w:t>符合国密标准</w:t>
      </w:r>
      <w:r>
        <w:rPr>
          <w:rFonts w:hint="eastAsia" w:cs="仿宋"/>
          <w:color w:val="auto"/>
          <w:spacing w:val="-2"/>
          <w:sz w:val="24"/>
          <w:szCs w:val="24"/>
          <w:highlight w:val="none"/>
          <w:lang w:eastAsia="zh-CN"/>
        </w:rPr>
        <w:t>）</w:t>
      </w:r>
      <w:r>
        <w:rPr>
          <w:rFonts w:hint="eastAsia" w:ascii="仿宋" w:hAnsi="仿宋" w:eastAsia="仿宋" w:cs="仿宋"/>
          <w:color w:val="auto"/>
          <w:spacing w:val="-2"/>
          <w:sz w:val="24"/>
          <w:szCs w:val="24"/>
          <w:highlight w:val="none"/>
        </w:rPr>
        <w:t>申领。因未注册入库、未办理CA数字证书等原因造成无法投标</w:t>
      </w:r>
      <w:r>
        <w:rPr>
          <w:rFonts w:hint="eastAsia" w:ascii="仿宋" w:hAnsi="仿宋" w:eastAsia="仿宋" w:cs="仿宋"/>
          <w:color w:val="auto"/>
          <w:spacing w:val="13"/>
          <w:sz w:val="24"/>
          <w:szCs w:val="24"/>
          <w:highlight w:val="none"/>
        </w:rPr>
        <w:t>或投标失败等后果由供应商自行承担。如需</w:t>
      </w:r>
      <w:r>
        <w:rPr>
          <w:rFonts w:hint="eastAsia" w:ascii="仿宋" w:hAnsi="仿宋" w:eastAsia="仿宋" w:cs="仿宋"/>
          <w:color w:val="auto"/>
          <w:spacing w:val="12"/>
          <w:sz w:val="24"/>
          <w:szCs w:val="24"/>
          <w:highlight w:val="none"/>
        </w:rPr>
        <w:t>咨询，请联系新疆</w:t>
      </w:r>
      <w:r>
        <w:rPr>
          <w:rFonts w:hint="eastAsia" w:ascii="仿宋" w:hAnsi="仿宋" w:eastAsia="仿宋" w:cs="仿宋"/>
          <w:color w:val="auto"/>
          <w:sz w:val="24"/>
          <w:szCs w:val="24"/>
          <w:highlight w:val="none"/>
        </w:rPr>
        <w:t>CA</w:t>
      </w:r>
      <w:r>
        <w:rPr>
          <w:rFonts w:hint="eastAsia" w:ascii="仿宋" w:hAnsi="仿宋" w:eastAsia="仿宋" w:cs="仿宋"/>
          <w:color w:val="auto"/>
          <w:spacing w:val="12"/>
          <w:sz w:val="24"/>
          <w:szCs w:val="24"/>
          <w:highlight w:val="none"/>
        </w:rPr>
        <w:t>服务热线</w:t>
      </w:r>
      <w:r>
        <w:rPr>
          <w:rFonts w:hint="eastAsia" w:ascii="仿宋" w:hAnsi="仿宋" w:eastAsia="仿宋" w:cs="仿宋"/>
          <w:color w:val="auto"/>
          <w:spacing w:val="-1"/>
          <w:sz w:val="24"/>
          <w:szCs w:val="24"/>
          <w:highlight w:val="none"/>
        </w:rPr>
        <w:t>4000921999。</w:t>
      </w:r>
    </w:p>
    <w:p w14:paraId="7CA1EA1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9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3.供应商将政采云电子交易客户端下载、安装完成后，可通过账号密码或</w:t>
      </w:r>
      <w:r>
        <w:rPr>
          <w:rFonts w:hint="eastAsia" w:ascii="仿宋" w:hAnsi="仿宋" w:eastAsia="仿宋" w:cs="仿宋"/>
          <w:color w:val="auto"/>
          <w:spacing w:val="-5"/>
          <w:sz w:val="24"/>
          <w:szCs w:val="24"/>
          <w:highlight w:val="none"/>
        </w:rPr>
        <w:t>CA登录客户端进行投标文件的制作。在使用政采云投标客户端时，建议使用WIN7</w:t>
      </w:r>
      <w:r>
        <w:rPr>
          <w:rFonts w:hint="eastAsia" w:ascii="仿宋" w:hAnsi="仿宋" w:eastAsia="仿宋" w:cs="仿宋"/>
          <w:color w:val="auto"/>
          <w:spacing w:val="-1"/>
          <w:sz w:val="24"/>
          <w:szCs w:val="24"/>
          <w:highlight w:val="none"/>
        </w:rPr>
        <w:t>及以上操作系统。</w:t>
      </w:r>
    </w:p>
    <w:p w14:paraId="65AB3C4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4.其他事项：</w:t>
      </w:r>
    </w:p>
    <w:p w14:paraId="11AB899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①本项目采用不见面开标，投标人须在投标截止时间前通过CA上传加密的</w:t>
      </w:r>
      <w:r>
        <w:rPr>
          <w:rFonts w:hint="eastAsia" w:ascii="仿宋" w:hAnsi="仿宋" w:eastAsia="仿宋" w:cs="仿宋"/>
          <w:color w:val="auto"/>
          <w:spacing w:val="-5"/>
          <w:sz w:val="24"/>
          <w:szCs w:val="24"/>
          <w:highlight w:val="none"/>
        </w:rPr>
        <w:t>电子投标响应文件。</w:t>
      </w:r>
    </w:p>
    <w:p w14:paraId="1D323AF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②投标人对不见面开评标系统的技术操作咨询，可通过政采云帮助中心常见</w:t>
      </w:r>
      <w:r>
        <w:rPr>
          <w:rFonts w:hint="eastAsia" w:ascii="仿宋" w:hAnsi="仿宋" w:eastAsia="仿宋" w:cs="仿宋"/>
          <w:color w:val="auto"/>
          <w:spacing w:val="-14"/>
          <w:sz w:val="24"/>
          <w:szCs w:val="24"/>
          <w:highlight w:val="none"/>
        </w:rPr>
        <w:t>问题解答和操作流程讲解视频中自助查询</w:t>
      </w:r>
      <w:r>
        <w:rPr>
          <w:rFonts w:hint="eastAsia" w:ascii="仿宋" w:hAnsi="仿宋" w:eastAsia="仿宋" w:cs="仿宋"/>
          <w:color w:val="auto"/>
          <w:spacing w:val="-15"/>
          <w:sz w:val="24"/>
          <w:szCs w:val="24"/>
          <w:highlight w:val="none"/>
        </w:rPr>
        <w:t>，网址为：</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"https://helpcenter.zcygov.cn/document/#/document/dashboard?siteCode=beijing" </w:instrText>
      </w:r>
      <w:r>
        <w:rPr>
          <w:rFonts w:hint="eastAsia" w:ascii="仿宋" w:hAnsi="仿宋" w:eastAsia="仿宋" w:cs="仿宋"/>
          <w:color w:val="auto"/>
          <w:highlight w:val="none"/>
        </w:rPr>
        <w:fldChar w:fldCharType="separate"/>
      </w:r>
      <w:r>
        <w:rPr>
          <w:rFonts w:hint="eastAsia" w:ascii="仿宋" w:hAnsi="仿宋" w:eastAsia="仿宋" w:cs="仿宋"/>
          <w:color w:val="auto"/>
          <w:sz w:val="24"/>
          <w:szCs w:val="24"/>
          <w:highlight w:val="none"/>
        </w:rPr>
        <w:t>https</w:t>
      </w:r>
      <w:r>
        <w:rPr>
          <w:rFonts w:hint="eastAsia" w:cs="仿宋"/>
          <w:color w:val="auto"/>
          <w:sz w:val="24"/>
          <w:szCs w:val="24"/>
          <w:highlight w:val="none"/>
          <w:lang w:eastAsia="zh-CN"/>
        </w:rPr>
        <w:t>：</w:t>
      </w:r>
      <w:r>
        <w:rPr>
          <w:rFonts w:hint="eastAsia" w:ascii="仿宋" w:hAnsi="仿宋" w:eastAsia="仿宋" w:cs="仿宋"/>
          <w:color w:val="auto"/>
          <w:sz w:val="24"/>
          <w:szCs w:val="24"/>
          <w:highlight w:val="none"/>
        </w:rPr>
        <w:t>//helpcenter.zcygov.cn/document/#/document/dashboar</w:t>
      </w:r>
      <w:r>
        <w:rPr>
          <w:rFonts w:hint="eastAsia" w:ascii="仿宋" w:hAnsi="仿宋" w:eastAsia="仿宋" w:cs="仿宋"/>
          <w:color w:val="auto"/>
          <w:spacing w:val="-1"/>
          <w:sz w:val="24"/>
          <w:szCs w:val="24"/>
          <w:highlight w:val="none"/>
        </w:rPr>
        <w:t>d?siteCode=b</w:t>
      </w:r>
      <w:r>
        <w:rPr>
          <w:rFonts w:hint="eastAsia" w:ascii="仿宋" w:hAnsi="仿宋" w:eastAsia="仿宋" w:cs="仿宋"/>
          <w:color w:val="auto"/>
          <w:spacing w:val="-1"/>
          <w:sz w:val="24"/>
          <w:szCs w:val="24"/>
          <w:highlight w:val="none"/>
        </w:rPr>
        <w:fldChar w:fldCharType="end"/>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"https://helpcenter.zcygov.cn/document/#/document/dashboard?siteCode=beijing" </w:instrText>
      </w:r>
      <w:r>
        <w:rPr>
          <w:rFonts w:hint="eastAsia" w:ascii="仿宋" w:hAnsi="仿宋" w:eastAsia="仿宋" w:cs="仿宋"/>
          <w:color w:val="auto"/>
          <w:highlight w:val="none"/>
        </w:rPr>
        <w:fldChar w:fldCharType="separate"/>
      </w:r>
      <w:r>
        <w:rPr>
          <w:rFonts w:hint="eastAsia" w:ascii="仿宋" w:hAnsi="仿宋" w:eastAsia="仿宋" w:cs="仿宋"/>
          <w:color w:val="auto"/>
          <w:spacing w:val="-3"/>
          <w:sz w:val="24"/>
          <w:szCs w:val="24"/>
          <w:highlight w:val="none"/>
        </w:rPr>
        <w:t>eijing</w:t>
      </w:r>
      <w:r>
        <w:rPr>
          <w:rFonts w:hint="eastAsia" w:ascii="仿宋" w:hAnsi="仿宋" w:eastAsia="仿宋" w:cs="仿宋"/>
          <w:color w:val="auto"/>
          <w:spacing w:val="-3"/>
          <w:sz w:val="24"/>
          <w:szCs w:val="24"/>
          <w:highlight w:val="none"/>
        </w:rPr>
        <w:fldChar w:fldCharType="end"/>
      </w:r>
      <w:r>
        <w:rPr>
          <w:rFonts w:hint="eastAsia" w:ascii="仿宋" w:hAnsi="仿宋" w:eastAsia="仿宋" w:cs="仿宋"/>
          <w:color w:val="auto"/>
          <w:spacing w:val="-3"/>
          <w:sz w:val="24"/>
          <w:szCs w:val="24"/>
          <w:highlight w:val="none"/>
        </w:rPr>
        <w:t>，“项目采购”—“操作流程-电子招投标”—“政府采购项目电子交易</w:t>
      </w:r>
      <w:r>
        <w:rPr>
          <w:rFonts w:hint="eastAsia" w:ascii="仿宋" w:hAnsi="仿宋" w:eastAsia="仿宋" w:cs="仿宋"/>
          <w:color w:val="auto"/>
          <w:spacing w:val="-1"/>
          <w:sz w:val="24"/>
          <w:szCs w:val="24"/>
          <w:highlight w:val="none"/>
        </w:rPr>
        <w:t>管理操作指南-供应商”版面获取操作指南。</w:t>
      </w:r>
    </w:p>
    <w:p w14:paraId="433E0B3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③投标人应当在递交截止时间前</w:t>
      </w:r>
      <w:r>
        <w:rPr>
          <w:rFonts w:hint="eastAsia" w:cs="仿宋"/>
          <w:color w:val="auto"/>
          <w:spacing w:val="-2"/>
          <w:sz w:val="24"/>
          <w:szCs w:val="24"/>
          <w:highlight w:val="none"/>
          <w:lang w:eastAsia="zh-CN"/>
        </w:rPr>
        <w:t>，</w:t>
      </w:r>
      <w:r>
        <w:rPr>
          <w:rFonts w:hint="eastAsia" w:ascii="仿宋" w:hAnsi="仿宋" w:eastAsia="仿宋" w:cs="仿宋"/>
          <w:color w:val="auto"/>
          <w:spacing w:val="-2"/>
          <w:sz w:val="24"/>
          <w:szCs w:val="24"/>
          <w:highlight w:val="none"/>
        </w:rPr>
        <w:t>将生成的“电子加密响应文</w:t>
      </w:r>
      <w:r>
        <w:rPr>
          <w:rFonts w:hint="eastAsia" w:ascii="仿宋" w:hAnsi="仿宋" w:eastAsia="仿宋" w:cs="仿宋"/>
          <w:color w:val="auto"/>
          <w:spacing w:val="-3"/>
          <w:sz w:val="24"/>
          <w:szCs w:val="24"/>
          <w:highlight w:val="none"/>
        </w:rPr>
        <w:t>件”上传递交</w:t>
      </w:r>
      <w:r>
        <w:rPr>
          <w:rFonts w:hint="eastAsia" w:ascii="仿宋" w:hAnsi="仿宋" w:eastAsia="仿宋" w:cs="仿宋"/>
          <w:color w:val="auto"/>
          <w:spacing w:val="-2"/>
          <w:sz w:val="24"/>
          <w:szCs w:val="24"/>
          <w:highlight w:val="none"/>
        </w:rPr>
        <w:t>至“政府采购云平台”</w:t>
      </w:r>
      <w:r>
        <w:rPr>
          <w:rFonts w:hint="eastAsia" w:cs="仿宋"/>
          <w:color w:val="auto"/>
          <w:spacing w:val="-2"/>
          <w:sz w:val="24"/>
          <w:szCs w:val="24"/>
          <w:highlight w:val="none"/>
          <w:lang w:eastAsia="zh-CN"/>
        </w:rPr>
        <w:t>，</w:t>
      </w:r>
      <w:r>
        <w:rPr>
          <w:rFonts w:hint="eastAsia" w:ascii="仿宋" w:hAnsi="仿宋" w:eastAsia="仿宋" w:cs="仿宋"/>
          <w:color w:val="auto"/>
          <w:spacing w:val="-2"/>
          <w:sz w:val="24"/>
          <w:szCs w:val="24"/>
          <w:highlight w:val="none"/>
        </w:rPr>
        <w:t>递交截止时间以后上传递交的响应文件将被“政府采购</w:t>
      </w:r>
      <w:r>
        <w:rPr>
          <w:rFonts w:hint="eastAsia" w:ascii="仿宋" w:hAnsi="仿宋" w:eastAsia="仿宋" w:cs="仿宋"/>
          <w:color w:val="auto"/>
          <w:spacing w:val="-3"/>
          <w:sz w:val="24"/>
          <w:szCs w:val="24"/>
          <w:highlight w:val="none"/>
        </w:rPr>
        <w:t>云平台”拒收。</w:t>
      </w:r>
    </w:p>
    <w:p w14:paraId="3793406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④投标人在开标前须提前配置好电脑浏览器（建议</w:t>
      </w:r>
      <w:r>
        <w:rPr>
          <w:rFonts w:hint="eastAsia" w:ascii="仿宋" w:hAnsi="仿宋" w:eastAsia="仿宋" w:cs="仿宋"/>
          <w:color w:val="auto"/>
          <w:spacing w:val="-3"/>
          <w:sz w:val="24"/>
          <w:szCs w:val="24"/>
          <w:highlight w:val="none"/>
        </w:rPr>
        <w:t>使用谷歌浏览器</w:t>
      </w:r>
      <w:r>
        <w:rPr>
          <w:rFonts w:hint="eastAsia" w:ascii="仿宋" w:hAnsi="仿宋" w:eastAsia="仿宋" w:cs="仿宋"/>
          <w:color w:val="auto"/>
          <w:spacing w:val="-23"/>
          <w:sz w:val="24"/>
          <w:szCs w:val="24"/>
          <w:highlight w:val="none"/>
        </w:rPr>
        <w:t>），</w:t>
      </w:r>
      <w:r>
        <w:rPr>
          <w:rFonts w:hint="eastAsia" w:ascii="仿宋" w:hAnsi="仿宋" w:eastAsia="仿宋" w:cs="仿宋"/>
          <w:color w:val="auto"/>
          <w:spacing w:val="-3"/>
          <w:sz w:val="24"/>
          <w:szCs w:val="24"/>
          <w:highlight w:val="none"/>
        </w:rPr>
        <w:t>开标</w:t>
      </w:r>
      <w:r>
        <w:rPr>
          <w:rFonts w:hint="eastAsia" w:ascii="仿宋" w:hAnsi="仿宋" w:eastAsia="仿宋" w:cs="仿宋"/>
          <w:color w:val="auto"/>
          <w:spacing w:val="2"/>
          <w:sz w:val="24"/>
          <w:szCs w:val="24"/>
          <w:highlight w:val="none"/>
        </w:rPr>
        <w:t>时请使用制作加密电子响应文件的</w:t>
      </w:r>
      <w:r>
        <w:rPr>
          <w:rFonts w:hint="eastAsia" w:ascii="仿宋" w:hAnsi="仿宋" w:eastAsia="仿宋" w:cs="仿宋"/>
          <w:color w:val="auto"/>
          <w:sz w:val="24"/>
          <w:szCs w:val="24"/>
          <w:highlight w:val="none"/>
        </w:rPr>
        <w:t>CA</w:t>
      </w:r>
      <w:r>
        <w:rPr>
          <w:rFonts w:hint="eastAsia" w:ascii="仿宋" w:hAnsi="仿宋" w:eastAsia="仿宋" w:cs="仿宋"/>
          <w:color w:val="auto"/>
          <w:spacing w:val="2"/>
          <w:sz w:val="24"/>
          <w:szCs w:val="24"/>
          <w:highlight w:val="none"/>
        </w:rPr>
        <w:t>锁进行解密及报价确认。本项目投标文件</w:t>
      </w:r>
      <w:r>
        <w:rPr>
          <w:rFonts w:hint="eastAsia" w:ascii="仿宋" w:hAnsi="仿宋" w:eastAsia="仿宋" w:cs="仿宋"/>
          <w:color w:val="auto"/>
          <w:spacing w:val="-1"/>
          <w:sz w:val="24"/>
          <w:szCs w:val="24"/>
          <w:highlight w:val="none"/>
        </w:rPr>
        <w:t>解密时间定为30分钟，如因自身原因导致无法正常解密，后果由投标人自行承</w:t>
      </w:r>
      <w:r>
        <w:rPr>
          <w:rFonts w:hint="eastAsia" w:ascii="仿宋" w:hAnsi="仿宋" w:eastAsia="仿宋" w:cs="仿宋"/>
          <w:color w:val="auto"/>
          <w:spacing w:val="-6"/>
          <w:sz w:val="24"/>
          <w:szCs w:val="24"/>
          <w:highlight w:val="none"/>
        </w:rPr>
        <w:t>担。</w:t>
      </w:r>
    </w:p>
    <w:p w14:paraId="7EBDB44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⑤本项目的中标人可以</w:t>
      </w:r>
      <w:r>
        <w:rPr>
          <w:rFonts w:hint="eastAsia" w:cs="仿宋"/>
          <w:color w:val="auto"/>
          <w:spacing w:val="-3"/>
          <w:sz w:val="24"/>
          <w:szCs w:val="24"/>
          <w:highlight w:val="none"/>
          <w:lang w:eastAsia="zh-CN"/>
        </w:rPr>
        <w:t>登录</w:t>
      </w:r>
      <w:r>
        <w:rPr>
          <w:rFonts w:hint="eastAsia" w:ascii="仿宋" w:hAnsi="仿宋" w:eastAsia="仿宋" w:cs="仿宋"/>
          <w:color w:val="auto"/>
          <w:spacing w:val="-3"/>
          <w:sz w:val="24"/>
          <w:szCs w:val="24"/>
          <w:highlight w:val="none"/>
        </w:rPr>
        <w:t>新疆政府采购网</w:t>
      </w:r>
      <w:r>
        <w:rPr>
          <w:rFonts w:hint="eastAsia" w:cs="仿宋"/>
          <w:color w:val="auto"/>
          <w:spacing w:val="-3"/>
          <w:sz w:val="24"/>
          <w:szCs w:val="24"/>
          <w:highlight w:val="none"/>
          <w:lang w:eastAsia="zh-CN"/>
        </w:rPr>
        <w:t>，</w:t>
      </w:r>
      <w:r>
        <w:rPr>
          <w:rFonts w:hint="eastAsia" w:ascii="仿宋" w:hAnsi="仿宋" w:eastAsia="仿宋" w:cs="仿宋"/>
          <w:color w:val="auto"/>
          <w:spacing w:val="-3"/>
          <w:sz w:val="24"/>
          <w:szCs w:val="24"/>
          <w:highlight w:val="none"/>
        </w:rPr>
        <w:t>进入“项目采购”自行打印中</w:t>
      </w:r>
      <w:r>
        <w:rPr>
          <w:rFonts w:hint="eastAsia" w:ascii="仿宋" w:hAnsi="仿宋" w:eastAsia="仿宋" w:cs="仿宋"/>
          <w:color w:val="auto"/>
          <w:spacing w:val="-2"/>
          <w:sz w:val="24"/>
          <w:szCs w:val="24"/>
          <w:highlight w:val="none"/>
        </w:rPr>
        <w:t>标通知书。</w:t>
      </w:r>
    </w:p>
    <w:p w14:paraId="0FAD8D5D">
      <w:pPr>
        <w:pageBreakBefore w:val="0"/>
        <w:shd w:val="clear"/>
        <w:wordWrap/>
        <w:overflowPunct/>
        <w:topLinePunct w:val="0"/>
        <w:bidi w:val="0"/>
        <w:spacing w:before="96" w:line="360" w:lineRule="auto"/>
        <w:ind w:left="502"/>
        <w:rPr>
          <w:rFonts w:ascii="黑体" w:hAnsi="黑体" w:eastAsia="黑体" w:cs="黑体"/>
          <w:color w:val="auto"/>
          <w:sz w:val="24"/>
          <w:szCs w:val="24"/>
          <w:highlight w:val="none"/>
        </w:rPr>
      </w:pPr>
      <w:r>
        <w:rPr>
          <w:rFonts w:ascii="黑体" w:hAnsi="黑体" w:eastAsia="黑体" w:cs="黑体"/>
          <w:color w:val="auto"/>
          <w:spacing w:val="-1"/>
          <w:sz w:val="24"/>
          <w:szCs w:val="24"/>
          <w:highlight w:val="none"/>
        </w:rPr>
        <w:t>七、凡对本次采购提出询问，请按以下方式联系</w:t>
      </w:r>
    </w:p>
    <w:p w14:paraId="7794B09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1.采购人信息</w:t>
      </w:r>
    </w:p>
    <w:p w14:paraId="48D84D0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1"/>
          <w:sz w:val="24"/>
          <w:szCs w:val="24"/>
          <w:highlight w:val="none"/>
        </w:rPr>
        <w:t>名称：</w:t>
      </w:r>
      <w:r>
        <w:rPr>
          <w:rFonts w:hint="eastAsia" w:ascii="仿宋" w:hAnsi="仿宋" w:eastAsia="仿宋" w:cs="仿宋"/>
          <w:color w:val="auto"/>
          <w:spacing w:val="-1"/>
          <w:sz w:val="24"/>
          <w:szCs w:val="24"/>
          <w:highlight w:val="none"/>
          <w:u w:val="single"/>
          <w:lang w:eastAsia="zh-CN"/>
        </w:rPr>
        <w:t>和田地区生态环境局</w:t>
      </w:r>
    </w:p>
    <w:p w14:paraId="10815BD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地址：</w:t>
      </w:r>
      <w:r>
        <w:rPr>
          <w:rFonts w:hint="eastAsia" w:ascii="仿宋" w:hAnsi="仿宋" w:eastAsia="仿宋" w:cs="仿宋"/>
          <w:color w:val="auto"/>
          <w:spacing w:val="-2"/>
          <w:sz w:val="24"/>
          <w:szCs w:val="24"/>
          <w:highlight w:val="none"/>
          <w:u w:val="single"/>
          <w:lang w:eastAsia="zh-CN"/>
        </w:rPr>
        <w:t>新疆维吾尔自治区和田地区和田市古江南路277号</w:t>
      </w:r>
    </w:p>
    <w:p w14:paraId="314376C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联系人：</w:t>
      </w:r>
      <w:r>
        <w:rPr>
          <w:rFonts w:hint="eastAsia"/>
          <w:color w:val="auto"/>
          <w:spacing w:val="-4"/>
          <w:sz w:val="24"/>
          <w:szCs w:val="24"/>
          <w:highlight w:val="none"/>
          <w:u w:val="single" w:color="auto"/>
          <w:lang w:eastAsia="zh-CN"/>
        </w:rPr>
        <w:t>晁工</w:t>
      </w:r>
    </w:p>
    <w:p w14:paraId="57322AB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联系方式：</w:t>
      </w:r>
      <w:r>
        <w:rPr>
          <w:rFonts w:hint="eastAsia" w:ascii="仿宋" w:hAnsi="仿宋" w:eastAsia="仿宋" w:cs="仿宋"/>
          <w:color w:val="auto"/>
          <w:spacing w:val="-1"/>
          <w:sz w:val="24"/>
          <w:szCs w:val="24"/>
          <w:highlight w:val="none"/>
          <w:u w:val="single"/>
          <w:lang w:eastAsia="zh-CN"/>
        </w:rPr>
        <w:t>0903-2030379</w:t>
      </w:r>
    </w:p>
    <w:p w14:paraId="738A91A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2.采购代理机构信息</w:t>
      </w:r>
    </w:p>
    <w:p w14:paraId="5F2A512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u w:val="single"/>
          <w:lang w:val="en-US" w:eastAsia="zh-CN"/>
        </w:rPr>
      </w:pPr>
      <w:r>
        <w:rPr>
          <w:rFonts w:hint="eastAsia" w:ascii="仿宋" w:hAnsi="仿宋" w:eastAsia="仿宋" w:cs="仿宋"/>
          <w:color w:val="auto"/>
          <w:spacing w:val="-3"/>
          <w:sz w:val="24"/>
          <w:szCs w:val="24"/>
          <w:highlight w:val="none"/>
        </w:rPr>
        <w:t>名称：</w:t>
      </w:r>
      <w:r>
        <w:rPr>
          <w:rFonts w:hint="eastAsia" w:ascii="仿宋" w:hAnsi="仿宋" w:eastAsia="仿宋" w:cs="仿宋"/>
          <w:color w:val="auto"/>
          <w:spacing w:val="-3"/>
          <w:sz w:val="24"/>
          <w:szCs w:val="24"/>
          <w:highlight w:val="none"/>
          <w:u w:val="single"/>
          <w:lang w:val="en-US" w:eastAsia="zh-CN"/>
        </w:rPr>
        <w:t>新疆新建联项目管理咨询有限公司</w:t>
      </w:r>
    </w:p>
    <w:p w14:paraId="7B12B1C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地址：乌</w:t>
      </w:r>
      <w:r>
        <w:rPr>
          <w:rFonts w:hint="eastAsia" w:ascii="仿宋" w:hAnsi="仿宋" w:eastAsia="仿宋" w:cs="仿宋"/>
          <w:color w:val="auto"/>
          <w:spacing w:val="-3"/>
          <w:sz w:val="24"/>
          <w:szCs w:val="24"/>
          <w:highlight w:val="none"/>
          <w:u w:val="single"/>
          <w:lang w:val="en-US" w:eastAsia="zh-CN"/>
        </w:rPr>
        <w:t>鲁木齐市水磨沟区龙盛街898号中央公园商住小区S6栋14层</w:t>
      </w:r>
    </w:p>
    <w:p w14:paraId="11E9367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联系人：</w:t>
      </w:r>
      <w:r>
        <w:rPr>
          <w:rFonts w:hint="eastAsia" w:ascii="仿宋" w:hAnsi="仿宋" w:eastAsia="仿宋" w:cs="仿宋"/>
          <w:color w:val="auto"/>
          <w:spacing w:val="-3"/>
          <w:sz w:val="24"/>
          <w:szCs w:val="24"/>
          <w:highlight w:val="none"/>
          <w:u w:val="single"/>
          <w:lang w:val="en-US" w:eastAsia="zh-CN"/>
        </w:rPr>
        <w:t>邓学文、刁玉红、蒋林宏</w:t>
      </w:r>
    </w:p>
    <w:p w14:paraId="14F6441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lang w:val="en-US" w:eastAsia="zh-CN"/>
        </w:rPr>
      </w:pPr>
      <w:r>
        <w:rPr>
          <w:rFonts w:hint="eastAsia" w:ascii="仿宋" w:hAnsi="仿宋" w:eastAsia="仿宋" w:cs="仿宋"/>
          <w:color w:val="auto"/>
          <w:spacing w:val="-3"/>
          <w:sz w:val="24"/>
          <w:szCs w:val="24"/>
          <w:highlight w:val="none"/>
          <w:lang w:val="en-US" w:eastAsia="zh-CN"/>
        </w:rPr>
        <w:t>联系方式：</w:t>
      </w:r>
      <w:r>
        <w:rPr>
          <w:rFonts w:hint="eastAsia" w:ascii="仿宋" w:hAnsi="仿宋" w:eastAsia="仿宋" w:cs="仿宋"/>
          <w:color w:val="auto"/>
          <w:spacing w:val="-3"/>
          <w:sz w:val="24"/>
          <w:szCs w:val="24"/>
          <w:highlight w:val="none"/>
          <w:u w:val="single"/>
          <w:lang w:val="en-US" w:eastAsia="zh-CN"/>
        </w:rPr>
        <w:t>13999217501、18599020403、0991-8875119</w:t>
      </w:r>
    </w:p>
    <w:p w14:paraId="4D7F50C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3.同级政府采购监督管理部门</w:t>
      </w:r>
    </w:p>
    <w:p w14:paraId="5489B4D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名称：</w:t>
      </w:r>
      <w:r>
        <w:rPr>
          <w:rFonts w:hint="eastAsia" w:ascii="仿宋" w:hAnsi="仿宋" w:eastAsia="仿宋" w:cs="仿宋"/>
          <w:color w:val="auto"/>
          <w:spacing w:val="-1"/>
          <w:sz w:val="24"/>
          <w:szCs w:val="24"/>
          <w:highlight w:val="none"/>
          <w:u w:val="single" w:color="auto"/>
        </w:rPr>
        <w:t>和田地区财政局</w:t>
      </w:r>
    </w:p>
    <w:p w14:paraId="01FD0B3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color w:val="auto"/>
          <w:sz w:val="24"/>
          <w:szCs w:val="24"/>
          <w:highlight w:val="none"/>
        </w:rPr>
      </w:pPr>
      <w:r>
        <w:rPr>
          <w:rFonts w:hint="eastAsia" w:ascii="仿宋" w:hAnsi="仿宋" w:eastAsia="仿宋" w:cs="仿宋"/>
          <w:color w:val="auto"/>
          <w:spacing w:val="-1"/>
          <w:sz w:val="24"/>
          <w:szCs w:val="24"/>
          <w:highlight w:val="none"/>
        </w:rPr>
        <w:t>联系方式：</w:t>
      </w:r>
      <w:r>
        <w:rPr>
          <w:rFonts w:hint="eastAsia" w:ascii="仿宋" w:hAnsi="仿宋" w:eastAsia="仿宋" w:cs="仿宋"/>
          <w:color w:val="auto"/>
          <w:spacing w:val="-1"/>
          <w:sz w:val="24"/>
          <w:szCs w:val="24"/>
          <w:highlight w:val="none"/>
          <w:u w:val="single" w:color="auto"/>
        </w:rPr>
        <w:t>0903-2039229</w:t>
      </w:r>
    </w:p>
    <w:p w14:paraId="74EB1829">
      <w:pPr>
        <w:shd w:val="clear"/>
        <w:rPr>
          <w:color w:val="auto"/>
          <w:spacing w:val="-1"/>
          <w:sz w:val="24"/>
          <w:szCs w:val="24"/>
          <w:highlight w:val="none"/>
          <w:u w:val="single" w:color="auto"/>
        </w:rPr>
      </w:pPr>
    </w:p>
    <w:p w14:paraId="356607D4">
      <w:pPr>
        <w:shd w:val="clear"/>
        <w:rPr>
          <w:color w:val="auto"/>
          <w:spacing w:val="-1"/>
          <w:sz w:val="24"/>
          <w:szCs w:val="24"/>
          <w:highlight w:val="none"/>
          <w:u w:val="single" w:color="auto"/>
        </w:rPr>
        <w:sectPr>
          <w:headerReference r:id="rId5" w:type="default"/>
          <w:footerReference r:id="rId6" w:type="default"/>
          <w:pgSz w:w="11906" w:h="16839"/>
          <w:pgMar w:top="1440" w:right="1800" w:bottom="1440" w:left="1800" w:header="1090" w:footer="994" w:gutter="0"/>
          <w:pgNumType w:fmt="decimal" w:start="1"/>
          <w:cols w:space="720" w:num="1"/>
        </w:sectPr>
      </w:pPr>
    </w:p>
    <w:p w14:paraId="6659D4F0">
      <w:pPr>
        <w:pStyle w:val="2"/>
        <w:shd w:val="clear"/>
        <w:bidi w:val="0"/>
        <w:rPr>
          <w:color w:val="auto"/>
          <w:highlight w:val="none"/>
        </w:rPr>
      </w:pPr>
      <w:bookmarkStart w:id="3" w:name="bookmark2"/>
      <w:bookmarkEnd w:id="3"/>
      <w:bookmarkStart w:id="4" w:name="_Toc19550"/>
      <w:r>
        <w:rPr>
          <w:color w:val="auto"/>
          <w:highlight w:val="none"/>
        </w:rPr>
        <w:t>第二章 投标人须知</w:t>
      </w:r>
      <w:bookmarkEnd w:id="4"/>
    </w:p>
    <w:p w14:paraId="6D1BDDF3">
      <w:pPr>
        <w:pStyle w:val="5"/>
        <w:shd w:val="clear"/>
        <w:bidi w:val="0"/>
        <w:rPr>
          <w:color w:val="auto"/>
          <w:highlight w:val="none"/>
        </w:rPr>
      </w:pPr>
      <w:r>
        <w:rPr>
          <w:color w:val="auto"/>
          <w:highlight w:val="none"/>
        </w:rPr>
        <w:t>（一）投标人须知前附表</w:t>
      </w:r>
    </w:p>
    <w:tbl>
      <w:tblPr>
        <w:tblStyle w:val="24"/>
        <w:tblW w:w="83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31"/>
        <w:gridCol w:w="1583"/>
        <w:gridCol w:w="5998"/>
      </w:tblGrid>
      <w:tr w14:paraId="1D95A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top w:val="single" w:color="000000" w:sz="2" w:space="0"/>
              <w:left w:val="single" w:color="000000" w:sz="2" w:space="0"/>
            </w:tcBorders>
            <w:vAlign w:val="center"/>
          </w:tcPr>
          <w:p w14:paraId="61141FE6">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5"/>
                <w:highlight w:val="none"/>
              </w:rPr>
              <w:t>序列号</w:t>
            </w:r>
          </w:p>
        </w:tc>
        <w:tc>
          <w:tcPr>
            <w:tcW w:w="1583" w:type="dxa"/>
            <w:tcBorders>
              <w:top w:val="single" w:color="000000" w:sz="2" w:space="0"/>
            </w:tcBorders>
            <w:vAlign w:val="center"/>
          </w:tcPr>
          <w:p w14:paraId="4895525E">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5"/>
                <w:highlight w:val="none"/>
              </w:rPr>
              <w:t>条款名称</w:t>
            </w:r>
          </w:p>
        </w:tc>
        <w:tc>
          <w:tcPr>
            <w:tcW w:w="5998" w:type="dxa"/>
            <w:tcBorders>
              <w:top w:val="single" w:color="000000" w:sz="2" w:space="0"/>
              <w:right w:val="single" w:color="000000" w:sz="2" w:space="0"/>
            </w:tcBorders>
            <w:vAlign w:val="top"/>
          </w:tcPr>
          <w:p w14:paraId="20DC8A8A">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4"/>
                <w:highlight w:val="none"/>
              </w:rPr>
              <w:t>编列内容规定</w:t>
            </w:r>
          </w:p>
        </w:tc>
      </w:tr>
      <w:tr w14:paraId="6379C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vAlign w:val="center"/>
          </w:tcPr>
          <w:p w14:paraId="02D77277">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3"/>
                <w:highlight w:val="none"/>
              </w:rPr>
              <w:t>1</w:t>
            </w:r>
          </w:p>
        </w:tc>
        <w:tc>
          <w:tcPr>
            <w:tcW w:w="1583" w:type="dxa"/>
            <w:vAlign w:val="center"/>
          </w:tcPr>
          <w:p w14:paraId="112441EB">
            <w:pPr>
              <w:pStyle w:val="25"/>
              <w:keepNext w:val="0"/>
              <w:keepLines w:val="0"/>
              <w:pageBreakBefore w:val="0"/>
              <w:shd w:val="clear"/>
              <w:kinsoku/>
              <w:wordWrap w:val="0"/>
              <w:overflowPunct/>
              <w:topLinePunct w:val="0"/>
              <w:bidi w:val="0"/>
              <w:spacing w:line="240" w:lineRule="auto"/>
              <w:ind w:left="0" w:right="0" w:firstLine="0"/>
              <w:jc w:val="center"/>
              <w:rPr>
                <w:b/>
                <w:bCs/>
                <w:color w:val="auto"/>
                <w:spacing w:val="-4"/>
                <w:highlight w:val="none"/>
              </w:rPr>
            </w:pPr>
            <w:r>
              <w:rPr>
                <w:b/>
                <w:bCs/>
                <w:color w:val="auto"/>
                <w:spacing w:val="-4"/>
                <w:highlight w:val="none"/>
              </w:rPr>
              <w:t>项目名称及</w:t>
            </w:r>
          </w:p>
          <w:p w14:paraId="10FD9570">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4"/>
                <w:highlight w:val="none"/>
              </w:rPr>
              <w:t>项目</w:t>
            </w:r>
            <w:r>
              <w:rPr>
                <w:b/>
                <w:bCs/>
                <w:color w:val="auto"/>
                <w:spacing w:val="-8"/>
                <w:highlight w:val="none"/>
              </w:rPr>
              <w:t>编号</w:t>
            </w:r>
          </w:p>
        </w:tc>
        <w:tc>
          <w:tcPr>
            <w:tcW w:w="5998" w:type="dxa"/>
            <w:tcBorders>
              <w:right w:val="single" w:color="000000" w:sz="2" w:space="0"/>
            </w:tcBorders>
            <w:vAlign w:val="top"/>
          </w:tcPr>
          <w:p w14:paraId="793A69D1">
            <w:pPr>
              <w:pStyle w:val="25"/>
              <w:keepNext w:val="0"/>
              <w:keepLines w:val="0"/>
              <w:pageBreakBefore w:val="0"/>
              <w:shd w:val="clear"/>
              <w:kinsoku/>
              <w:wordWrap w:val="0"/>
              <w:overflowPunct/>
              <w:topLinePunct w:val="0"/>
              <w:bidi w:val="0"/>
              <w:spacing w:line="240" w:lineRule="auto"/>
              <w:ind w:left="0" w:right="0" w:firstLine="0"/>
              <w:rPr>
                <w:rFonts w:hint="eastAsia" w:eastAsia="仿宋"/>
                <w:color w:val="auto"/>
                <w:highlight w:val="none"/>
                <w:lang w:eastAsia="zh-CN"/>
              </w:rPr>
            </w:pPr>
            <w:r>
              <w:rPr>
                <w:color w:val="auto"/>
                <w:spacing w:val="1"/>
                <w:highlight w:val="none"/>
              </w:rPr>
              <w:t>项目名称：</w:t>
            </w:r>
            <w:r>
              <w:rPr>
                <w:rFonts w:hint="eastAsia"/>
                <w:color w:val="auto"/>
                <w:spacing w:val="1"/>
                <w:highlight w:val="none"/>
                <w:u w:val="single" w:color="auto"/>
                <w:lang w:eastAsia="zh-CN"/>
              </w:rPr>
              <w:t>和田地区空气自动站设备更换及运维项目（标段2：和田地区空气自动站运维保障项目（2027—2028年））</w:t>
            </w:r>
          </w:p>
          <w:p w14:paraId="744761F5">
            <w:pPr>
              <w:pStyle w:val="25"/>
              <w:keepNext w:val="0"/>
              <w:keepLines w:val="0"/>
              <w:pageBreakBefore w:val="0"/>
              <w:shd w:val="clear"/>
              <w:kinsoku/>
              <w:wordWrap w:val="0"/>
              <w:overflowPunct/>
              <w:topLinePunct w:val="0"/>
              <w:bidi w:val="0"/>
              <w:spacing w:line="240" w:lineRule="auto"/>
              <w:ind w:left="0" w:right="0" w:firstLine="0"/>
              <w:rPr>
                <w:rFonts w:hint="default" w:eastAsia="仿宋"/>
                <w:color w:val="auto"/>
                <w:highlight w:val="none"/>
                <w:lang w:val="en-US" w:eastAsia="zh-CN"/>
              </w:rPr>
            </w:pPr>
            <w:r>
              <w:rPr>
                <w:color w:val="auto"/>
                <w:spacing w:val="-1"/>
                <w:highlight w:val="none"/>
              </w:rPr>
              <w:t>项目编号：</w:t>
            </w:r>
            <w:r>
              <w:rPr>
                <w:rFonts w:hint="eastAsia"/>
                <w:color w:val="auto"/>
                <w:spacing w:val="-1"/>
                <w:highlight w:val="none"/>
                <w:u w:val="single"/>
              </w:rPr>
              <w:t>XJL-ZB-2026-75</w:t>
            </w:r>
          </w:p>
        </w:tc>
      </w:tr>
      <w:tr w14:paraId="150C1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vAlign w:val="center"/>
          </w:tcPr>
          <w:p w14:paraId="2462092B">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3"/>
                <w:highlight w:val="none"/>
              </w:rPr>
              <w:t>2</w:t>
            </w:r>
          </w:p>
        </w:tc>
        <w:tc>
          <w:tcPr>
            <w:tcW w:w="1583" w:type="dxa"/>
            <w:vAlign w:val="center"/>
          </w:tcPr>
          <w:p w14:paraId="27D53EC2">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5"/>
                <w:highlight w:val="none"/>
              </w:rPr>
              <w:t>采购人</w:t>
            </w:r>
          </w:p>
        </w:tc>
        <w:tc>
          <w:tcPr>
            <w:tcW w:w="5998" w:type="dxa"/>
            <w:tcBorders>
              <w:right w:val="single" w:color="000000" w:sz="2" w:space="0"/>
            </w:tcBorders>
            <w:vAlign w:val="top"/>
          </w:tcPr>
          <w:p w14:paraId="0EC3F56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textAlignment w:val="baseline"/>
              <w:rPr>
                <w:rFonts w:hint="eastAsia"/>
                <w:color w:val="auto"/>
                <w:highlight w:val="none"/>
                <w:lang w:eastAsia="zh-CN"/>
              </w:rPr>
            </w:pPr>
            <w:r>
              <w:rPr>
                <w:color w:val="auto"/>
                <w:highlight w:val="none"/>
              </w:rPr>
              <w:t>单位：</w:t>
            </w:r>
            <w:r>
              <w:rPr>
                <w:rFonts w:hint="eastAsia"/>
                <w:color w:val="auto"/>
                <w:highlight w:val="none"/>
                <w:u w:val="single"/>
                <w:lang w:eastAsia="zh-CN"/>
              </w:rPr>
              <w:t>和田地区生态环境局</w:t>
            </w:r>
          </w:p>
          <w:p w14:paraId="1A0C3486">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textAlignment w:val="baseline"/>
              <w:rPr>
                <w:rFonts w:hint="eastAsia"/>
                <w:color w:val="auto"/>
                <w:highlight w:val="none"/>
                <w:u w:val="single"/>
                <w:lang w:eastAsia="zh-CN"/>
              </w:rPr>
            </w:pPr>
            <w:r>
              <w:rPr>
                <w:color w:val="auto"/>
                <w:highlight w:val="none"/>
              </w:rPr>
              <w:t>地址：</w:t>
            </w:r>
            <w:r>
              <w:rPr>
                <w:rFonts w:hint="eastAsia"/>
                <w:color w:val="auto"/>
                <w:highlight w:val="none"/>
                <w:u w:val="single"/>
                <w:lang w:eastAsia="zh-CN"/>
              </w:rPr>
              <w:t>新疆维吾尔自治区和田地区和田市古江南路277号</w:t>
            </w:r>
          </w:p>
          <w:p w14:paraId="220AB1B2">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textAlignment w:val="baseline"/>
              <w:rPr>
                <w:rFonts w:hint="eastAsia" w:eastAsia="仿宋"/>
                <w:color w:val="auto"/>
                <w:highlight w:val="none"/>
                <w:lang w:eastAsia="zh-CN"/>
              </w:rPr>
            </w:pPr>
            <w:r>
              <w:rPr>
                <w:color w:val="auto"/>
                <w:highlight w:val="none"/>
              </w:rPr>
              <w:t>座机：</w:t>
            </w:r>
            <w:r>
              <w:rPr>
                <w:rFonts w:hint="eastAsia"/>
                <w:color w:val="auto"/>
                <w:highlight w:val="none"/>
                <w:u w:val="single"/>
                <w:lang w:eastAsia="zh-CN"/>
              </w:rPr>
              <w:t>0903-2030379</w:t>
            </w:r>
          </w:p>
        </w:tc>
      </w:tr>
      <w:tr w14:paraId="7342A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vAlign w:val="center"/>
          </w:tcPr>
          <w:p w14:paraId="514AE0C2">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3"/>
                <w:highlight w:val="none"/>
              </w:rPr>
              <w:t>3</w:t>
            </w:r>
          </w:p>
        </w:tc>
        <w:tc>
          <w:tcPr>
            <w:tcW w:w="1583" w:type="dxa"/>
            <w:vAlign w:val="center"/>
          </w:tcPr>
          <w:p w14:paraId="18E165BA">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4"/>
                <w:highlight w:val="none"/>
              </w:rPr>
              <w:t>采购代理机构</w:t>
            </w:r>
          </w:p>
        </w:tc>
        <w:tc>
          <w:tcPr>
            <w:tcW w:w="5998" w:type="dxa"/>
            <w:tcBorders>
              <w:right w:val="single" w:color="000000" w:sz="2" w:space="0"/>
            </w:tcBorders>
            <w:vAlign w:val="top"/>
          </w:tcPr>
          <w:p w14:paraId="60FBA60C">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textAlignment w:val="baseline"/>
              <w:rPr>
                <w:rFonts w:hint="eastAsia"/>
                <w:color w:val="auto"/>
                <w:spacing w:val="-1"/>
                <w:sz w:val="24"/>
                <w:szCs w:val="24"/>
                <w:highlight w:val="none"/>
                <w:u w:val="single" w:color="auto"/>
                <w:lang w:val="en-US" w:eastAsia="zh-CN"/>
              </w:rPr>
            </w:pPr>
            <w:r>
              <w:rPr>
                <w:color w:val="auto"/>
                <w:spacing w:val="-1"/>
                <w:highlight w:val="none"/>
              </w:rPr>
              <w:t>名称：</w:t>
            </w:r>
            <w:r>
              <w:rPr>
                <w:rFonts w:hint="eastAsia"/>
                <w:color w:val="auto"/>
                <w:spacing w:val="-1"/>
                <w:sz w:val="24"/>
                <w:szCs w:val="24"/>
                <w:highlight w:val="none"/>
                <w:u w:val="single" w:color="auto"/>
                <w:lang w:val="en-US" w:eastAsia="zh-CN"/>
              </w:rPr>
              <w:t>新疆新建联项目管理咨询有限公司</w:t>
            </w:r>
          </w:p>
          <w:p w14:paraId="785F1EA4">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textAlignment w:val="baseline"/>
              <w:rPr>
                <w:rFonts w:hint="eastAsia"/>
                <w:color w:val="auto"/>
                <w:spacing w:val="-1"/>
                <w:sz w:val="24"/>
                <w:szCs w:val="24"/>
                <w:highlight w:val="none"/>
                <w:u w:val="single" w:color="auto"/>
                <w:lang w:val="en-US" w:eastAsia="zh-CN"/>
              </w:rPr>
            </w:pPr>
            <w:r>
              <w:rPr>
                <w:rFonts w:hint="eastAsia"/>
                <w:color w:val="auto"/>
                <w:spacing w:val="-1"/>
                <w:sz w:val="24"/>
                <w:szCs w:val="24"/>
                <w:highlight w:val="none"/>
                <w:u w:val="single" w:color="auto"/>
                <w:lang w:val="en-US" w:eastAsia="zh-CN"/>
              </w:rPr>
              <w:t>地址：乌鲁木齐市水磨沟区龙盛街898号中央公园商住小区S6栋14层</w:t>
            </w:r>
          </w:p>
          <w:p w14:paraId="3D0082DA">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textAlignment w:val="baseline"/>
              <w:rPr>
                <w:rFonts w:hint="eastAsia"/>
                <w:color w:val="auto"/>
                <w:spacing w:val="-1"/>
                <w:sz w:val="24"/>
                <w:szCs w:val="24"/>
                <w:highlight w:val="none"/>
                <w:u w:val="single" w:color="auto"/>
                <w:lang w:val="en-US" w:eastAsia="zh-CN"/>
              </w:rPr>
            </w:pPr>
            <w:r>
              <w:rPr>
                <w:rFonts w:hint="eastAsia"/>
                <w:color w:val="auto"/>
                <w:spacing w:val="-1"/>
                <w:sz w:val="24"/>
                <w:szCs w:val="24"/>
                <w:highlight w:val="none"/>
                <w:u w:val="single" w:color="auto"/>
                <w:lang w:val="en-US" w:eastAsia="zh-CN"/>
              </w:rPr>
              <w:t>联系人：邓学文、</w:t>
            </w:r>
            <w:bookmarkStart w:id="32" w:name="_GoBack"/>
            <w:bookmarkEnd w:id="32"/>
            <w:r>
              <w:rPr>
                <w:rFonts w:hint="eastAsia"/>
                <w:color w:val="auto"/>
                <w:spacing w:val="-1"/>
                <w:sz w:val="24"/>
                <w:szCs w:val="24"/>
                <w:highlight w:val="none"/>
                <w:u w:val="single" w:color="auto"/>
                <w:lang w:val="en-US" w:eastAsia="zh-CN"/>
              </w:rPr>
              <w:t>刁玉红、蒋林宏</w:t>
            </w:r>
          </w:p>
          <w:p w14:paraId="3BC67B8B">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textAlignment w:val="baseline"/>
              <w:rPr>
                <w:rFonts w:hint="eastAsia" w:eastAsia="仿宋"/>
                <w:color w:val="auto"/>
                <w:highlight w:val="none"/>
                <w:lang w:eastAsia="zh-CN"/>
              </w:rPr>
            </w:pPr>
            <w:r>
              <w:rPr>
                <w:rFonts w:hint="eastAsia"/>
                <w:color w:val="auto"/>
                <w:spacing w:val="-1"/>
                <w:sz w:val="24"/>
                <w:szCs w:val="24"/>
                <w:highlight w:val="none"/>
                <w:u w:val="single" w:color="auto"/>
                <w:lang w:val="en-US" w:eastAsia="zh-CN"/>
              </w:rPr>
              <w:t>联系方式：13999217501、18599020403、0991-8875119</w:t>
            </w:r>
          </w:p>
        </w:tc>
      </w:tr>
      <w:tr w14:paraId="23AA7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vAlign w:val="center"/>
          </w:tcPr>
          <w:p w14:paraId="3EB48154">
            <w:pPr>
              <w:pStyle w:val="25"/>
              <w:keepNext w:val="0"/>
              <w:keepLines w:val="0"/>
              <w:pageBreakBefore w:val="0"/>
              <w:shd w:val="clear"/>
              <w:kinsoku/>
              <w:wordWrap w:val="0"/>
              <w:overflowPunct/>
              <w:topLinePunct w:val="0"/>
              <w:bidi w:val="0"/>
              <w:spacing w:line="240" w:lineRule="auto"/>
              <w:ind w:left="0" w:right="0" w:firstLine="0"/>
              <w:jc w:val="center"/>
              <w:rPr>
                <w:b/>
                <w:bCs/>
                <w:color w:val="auto"/>
                <w:highlight w:val="none"/>
              </w:rPr>
            </w:pPr>
            <w:r>
              <w:rPr>
                <w:b/>
                <w:bCs/>
                <w:color w:val="auto"/>
                <w:spacing w:val="-3"/>
                <w:highlight w:val="none"/>
              </w:rPr>
              <w:t>4</w:t>
            </w:r>
          </w:p>
        </w:tc>
        <w:tc>
          <w:tcPr>
            <w:tcW w:w="1583" w:type="dxa"/>
            <w:vAlign w:val="center"/>
          </w:tcPr>
          <w:p w14:paraId="411298F4">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7"/>
                <w:highlight w:val="none"/>
              </w:rPr>
              <w:t>监管部门</w:t>
            </w:r>
          </w:p>
        </w:tc>
        <w:tc>
          <w:tcPr>
            <w:tcW w:w="5998" w:type="dxa"/>
            <w:tcBorders>
              <w:right w:val="single" w:color="000000" w:sz="2" w:space="0"/>
            </w:tcBorders>
            <w:vAlign w:val="top"/>
          </w:tcPr>
          <w:p w14:paraId="6BA7EB11">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textAlignment w:val="baseline"/>
              <w:rPr>
                <w:color w:val="auto"/>
                <w:highlight w:val="none"/>
              </w:rPr>
            </w:pPr>
            <w:r>
              <w:rPr>
                <w:color w:val="auto"/>
                <w:spacing w:val="-1"/>
                <w:highlight w:val="none"/>
              </w:rPr>
              <w:t>名称：</w:t>
            </w:r>
            <w:r>
              <w:rPr>
                <w:color w:val="auto"/>
                <w:spacing w:val="-1"/>
                <w:highlight w:val="none"/>
                <w:u w:val="single" w:color="auto"/>
              </w:rPr>
              <w:t>和田地区财政局</w:t>
            </w:r>
          </w:p>
          <w:p w14:paraId="53BC15EE">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color w:val="auto"/>
                <w:spacing w:val="-1"/>
                <w:highlight w:val="none"/>
              </w:rPr>
              <w:t>监督投诉电话：</w:t>
            </w:r>
            <w:r>
              <w:rPr>
                <w:color w:val="auto"/>
                <w:spacing w:val="-1"/>
                <w:highlight w:val="none"/>
                <w:u w:val="single" w:color="auto"/>
              </w:rPr>
              <w:t>0903-2039229</w:t>
            </w:r>
          </w:p>
        </w:tc>
      </w:tr>
      <w:tr w14:paraId="082B1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vAlign w:val="center"/>
          </w:tcPr>
          <w:p w14:paraId="45F76B71">
            <w:pPr>
              <w:pStyle w:val="25"/>
              <w:keepNext w:val="0"/>
              <w:keepLines w:val="0"/>
              <w:pageBreakBefore w:val="0"/>
              <w:shd w:val="clear"/>
              <w:kinsoku/>
              <w:wordWrap w:val="0"/>
              <w:overflowPunct/>
              <w:topLinePunct w:val="0"/>
              <w:bidi w:val="0"/>
              <w:spacing w:line="240" w:lineRule="auto"/>
              <w:ind w:left="0" w:right="0" w:firstLine="0"/>
              <w:jc w:val="center"/>
              <w:rPr>
                <w:b/>
                <w:bCs/>
                <w:color w:val="auto"/>
                <w:highlight w:val="none"/>
              </w:rPr>
            </w:pPr>
            <w:r>
              <w:rPr>
                <w:b/>
                <w:bCs/>
                <w:color w:val="auto"/>
                <w:highlight w:val="none"/>
              </w:rPr>
              <w:t>5</w:t>
            </w:r>
          </w:p>
        </w:tc>
        <w:tc>
          <w:tcPr>
            <w:tcW w:w="1583" w:type="dxa"/>
            <w:vAlign w:val="center"/>
          </w:tcPr>
          <w:p w14:paraId="3ADD16E0">
            <w:pPr>
              <w:pStyle w:val="25"/>
              <w:keepNext w:val="0"/>
              <w:keepLines w:val="0"/>
              <w:pageBreakBefore w:val="0"/>
              <w:shd w:val="clear"/>
              <w:tabs>
                <w:tab w:val="left" w:pos="1470"/>
              </w:tabs>
              <w:kinsoku/>
              <w:wordWrap w:val="0"/>
              <w:overflowPunct/>
              <w:topLinePunct w:val="0"/>
              <w:bidi w:val="0"/>
              <w:spacing w:line="240" w:lineRule="auto"/>
              <w:ind w:left="0" w:right="0" w:rightChars="0" w:firstLine="0"/>
              <w:jc w:val="center"/>
              <w:rPr>
                <w:color w:val="auto"/>
                <w:highlight w:val="none"/>
              </w:rPr>
            </w:pPr>
            <w:r>
              <w:rPr>
                <w:b/>
                <w:bCs/>
                <w:color w:val="auto"/>
                <w:spacing w:val="-6"/>
                <w:highlight w:val="none"/>
              </w:rPr>
              <w:t>资金来源以及</w:t>
            </w:r>
            <w:r>
              <w:rPr>
                <w:b/>
                <w:bCs/>
                <w:color w:val="auto"/>
                <w:spacing w:val="-7"/>
                <w:highlight w:val="none"/>
              </w:rPr>
              <w:t>资金构成</w:t>
            </w:r>
          </w:p>
        </w:tc>
        <w:tc>
          <w:tcPr>
            <w:tcW w:w="5998" w:type="dxa"/>
            <w:tcBorders>
              <w:right w:val="single" w:color="000000" w:sz="2" w:space="0"/>
            </w:tcBorders>
            <w:vAlign w:val="top"/>
          </w:tcPr>
          <w:p w14:paraId="1DC3745F">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color w:val="auto"/>
                <w:spacing w:val="-3"/>
                <w:highlight w:val="none"/>
                <w:shd w:val="clear"/>
              </w:rPr>
              <w:t>预算金额为</w:t>
            </w:r>
            <w:r>
              <w:rPr>
                <w:rFonts w:hint="eastAsia"/>
                <w:color w:val="auto"/>
                <w:spacing w:val="-3"/>
                <w:highlight w:val="none"/>
                <w:u w:val="single" w:color="auto"/>
                <w:shd w:val="clear"/>
                <w:lang w:val="en-US" w:eastAsia="zh-CN"/>
              </w:rPr>
              <w:t>1950000</w:t>
            </w:r>
            <w:r>
              <w:rPr>
                <w:rFonts w:hint="eastAsia"/>
                <w:color w:val="auto"/>
                <w:spacing w:val="-3"/>
                <w:highlight w:val="none"/>
                <w:u w:val="single" w:color="auto"/>
                <w:shd w:val="clear"/>
                <w:lang w:eastAsia="zh-CN"/>
              </w:rPr>
              <w:t>元</w:t>
            </w:r>
            <w:r>
              <w:rPr>
                <w:color w:val="auto"/>
                <w:spacing w:val="-3"/>
                <w:highlight w:val="none"/>
                <w:shd w:val="clear"/>
              </w:rPr>
              <w:t>，其中</w:t>
            </w:r>
            <w:r>
              <w:rPr>
                <w:rFonts w:hint="eastAsia"/>
                <w:color w:val="auto"/>
                <w:spacing w:val="-3"/>
                <w:highlight w:val="none"/>
                <w:shd w:val="clear"/>
                <w:lang w:val="en-US" w:eastAsia="zh-CN"/>
              </w:rPr>
              <w:t>本级财力</w:t>
            </w:r>
            <w:r>
              <w:rPr>
                <w:rFonts w:hint="eastAsia"/>
                <w:color w:val="auto"/>
                <w:spacing w:val="-3"/>
                <w:highlight w:val="none"/>
                <w:shd w:val="clear"/>
              </w:rPr>
              <w:t>资金</w:t>
            </w:r>
            <w:r>
              <w:rPr>
                <w:color w:val="auto"/>
                <w:spacing w:val="-3"/>
                <w:highlight w:val="none"/>
                <w:shd w:val="clear"/>
              </w:rPr>
              <w:t>为</w:t>
            </w:r>
            <w:r>
              <w:rPr>
                <w:rFonts w:hint="eastAsia"/>
                <w:color w:val="auto"/>
                <w:spacing w:val="-3"/>
                <w:highlight w:val="none"/>
                <w:u w:val="single" w:color="auto"/>
                <w:shd w:val="clear"/>
                <w:lang w:val="en-US" w:eastAsia="zh-CN"/>
              </w:rPr>
              <w:t>1950000</w:t>
            </w:r>
            <w:r>
              <w:rPr>
                <w:rFonts w:hint="eastAsia"/>
                <w:color w:val="auto"/>
                <w:spacing w:val="-3"/>
                <w:highlight w:val="none"/>
                <w:u w:val="single" w:color="auto"/>
                <w:shd w:val="clear"/>
                <w:lang w:eastAsia="zh-CN"/>
              </w:rPr>
              <w:t>元</w:t>
            </w:r>
            <w:r>
              <w:rPr>
                <w:color w:val="auto"/>
                <w:spacing w:val="-3"/>
                <w:highlight w:val="none"/>
                <w:shd w:val="clear"/>
              </w:rPr>
              <w:t>，其</w:t>
            </w:r>
            <w:r>
              <w:rPr>
                <w:color w:val="auto"/>
                <w:spacing w:val="-8"/>
                <w:highlight w:val="none"/>
                <w:shd w:val="clear"/>
              </w:rPr>
              <w:t>他资金为</w:t>
            </w:r>
            <w:r>
              <w:rPr>
                <w:color w:val="auto"/>
                <w:spacing w:val="-8"/>
                <w:highlight w:val="none"/>
                <w:u w:val="single"/>
                <w:shd w:val="clear"/>
              </w:rPr>
              <w:t>0</w:t>
            </w:r>
            <w:r>
              <w:rPr>
                <w:color w:val="auto"/>
                <w:spacing w:val="-8"/>
                <w:highlight w:val="none"/>
                <w:shd w:val="clear"/>
              </w:rPr>
              <w:t>元。</w:t>
            </w:r>
          </w:p>
        </w:tc>
      </w:tr>
      <w:tr w14:paraId="17D81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vAlign w:val="center"/>
          </w:tcPr>
          <w:p w14:paraId="2DFB2E5D">
            <w:pPr>
              <w:pStyle w:val="25"/>
              <w:keepNext w:val="0"/>
              <w:keepLines w:val="0"/>
              <w:pageBreakBefore w:val="0"/>
              <w:shd w:val="clear"/>
              <w:kinsoku/>
              <w:wordWrap w:val="0"/>
              <w:overflowPunct/>
              <w:topLinePunct w:val="0"/>
              <w:bidi w:val="0"/>
              <w:spacing w:line="240" w:lineRule="auto"/>
              <w:ind w:left="0" w:right="0" w:firstLine="0"/>
              <w:jc w:val="center"/>
              <w:rPr>
                <w:b/>
                <w:bCs/>
                <w:color w:val="auto"/>
                <w:highlight w:val="none"/>
              </w:rPr>
            </w:pPr>
            <w:r>
              <w:rPr>
                <w:b/>
                <w:bCs/>
                <w:color w:val="auto"/>
                <w:highlight w:val="none"/>
              </w:rPr>
              <w:t>6</w:t>
            </w:r>
          </w:p>
        </w:tc>
        <w:tc>
          <w:tcPr>
            <w:tcW w:w="1583" w:type="dxa"/>
            <w:vAlign w:val="center"/>
          </w:tcPr>
          <w:p w14:paraId="4DAECBB6">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4"/>
                <w:highlight w:val="none"/>
              </w:rPr>
              <w:t>分包及中标规定</w:t>
            </w:r>
          </w:p>
        </w:tc>
        <w:tc>
          <w:tcPr>
            <w:tcW w:w="5998" w:type="dxa"/>
            <w:tcBorders>
              <w:right w:val="single" w:color="000000" w:sz="2" w:space="0"/>
            </w:tcBorders>
            <w:vAlign w:val="top"/>
          </w:tcPr>
          <w:p w14:paraId="03CDD12F">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rFonts w:hint="eastAsia"/>
                <w:color w:val="auto"/>
                <w:spacing w:val="-5"/>
                <w:highlight w:val="none"/>
                <w:lang w:eastAsia="zh-CN"/>
              </w:rPr>
              <w:t>☑</w:t>
            </w:r>
            <w:r>
              <w:rPr>
                <w:color w:val="auto"/>
                <w:spacing w:val="-5"/>
                <w:highlight w:val="none"/>
              </w:rPr>
              <w:t>本项目不分包。</w:t>
            </w:r>
          </w:p>
          <w:p w14:paraId="4452006A">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rFonts w:hint="eastAsia" w:ascii="MS UI Gothic" w:hAnsi="MS UI Gothic" w:eastAsia="宋体" w:cs="MS UI Gothic"/>
                <w:color w:val="auto"/>
                <w:spacing w:val="1"/>
                <w:highlight w:val="none"/>
                <w:lang w:eastAsia="zh-CN"/>
              </w:rPr>
              <w:t>□</w:t>
            </w:r>
            <w:r>
              <w:rPr>
                <w:color w:val="auto"/>
                <w:spacing w:val="1"/>
                <w:highlight w:val="none"/>
              </w:rPr>
              <w:t>本项目分为多个包，投标人可以选择多包投标，投标人</w:t>
            </w:r>
            <w:r>
              <w:rPr>
                <w:color w:val="auto"/>
                <w:spacing w:val="-5"/>
                <w:highlight w:val="none"/>
              </w:rPr>
              <w:t>中标包数不受限制。</w:t>
            </w:r>
          </w:p>
          <w:p w14:paraId="4AB5270D">
            <w:pPr>
              <w:pStyle w:val="25"/>
              <w:keepNext w:val="0"/>
              <w:keepLines w:val="0"/>
              <w:pageBreakBefore w:val="0"/>
              <w:shd w:val="clear"/>
              <w:kinsoku/>
              <w:wordWrap w:val="0"/>
              <w:overflowPunct/>
              <w:topLinePunct w:val="0"/>
              <w:bidi w:val="0"/>
              <w:spacing w:line="240" w:lineRule="auto"/>
              <w:ind w:left="0" w:right="0" w:firstLine="0"/>
              <w:jc w:val="both"/>
              <w:rPr>
                <w:color w:val="auto"/>
                <w:highlight w:val="none"/>
              </w:rPr>
            </w:pPr>
            <w:r>
              <w:rPr>
                <w:color w:val="auto"/>
                <w:highlight w:val="none"/>
              </w:rPr>
              <w:t>□本项目分为多个包，投标人可以选择多包投标，但投标</w:t>
            </w:r>
            <w:r>
              <w:rPr>
                <w:color w:val="auto"/>
                <w:spacing w:val="-1"/>
                <w:highlight w:val="none"/>
              </w:rPr>
              <w:t>人最多只能中标</w:t>
            </w:r>
            <w:r>
              <w:rPr>
                <w:color w:val="auto"/>
                <w:spacing w:val="-109"/>
                <w:highlight w:val="none"/>
              </w:rPr>
              <w:t xml:space="preserve"> </w:t>
            </w:r>
            <w:r>
              <w:rPr>
                <w:color w:val="auto"/>
                <w:spacing w:val="1"/>
                <w:highlight w:val="none"/>
                <w:u w:val="single" w:color="auto"/>
              </w:rPr>
              <w:t xml:space="preserve">      </w:t>
            </w:r>
            <w:r>
              <w:rPr>
                <w:color w:val="auto"/>
                <w:spacing w:val="-105"/>
                <w:highlight w:val="none"/>
              </w:rPr>
              <w:t xml:space="preserve"> </w:t>
            </w:r>
            <w:r>
              <w:rPr>
                <w:color w:val="auto"/>
                <w:spacing w:val="-1"/>
                <w:highlight w:val="none"/>
              </w:rPr>
              <w:t>个包。若同一投标人在2个及以上</w:t>
            </w:r>
            <w:r>
              <w:rPr>
                <w:color w:val="auto"/>
                <w:highlight w:val="none"/>
              </w:rPr>
              <w:t>包的投标排名均第一的，按照以下规则确定中</w:t>
            </w:r>
            <w:r>
              <w:rPr>
                <w:color w:val="auto"/>
                <w:spacing w:val="-1"/>
                <w:highlight w:val="none"/>
              </w:rPr>
              <w:t>标人：</w:t>
            </w:r>
            <w:r>
              <w:rPr>
                <w:color w:val="auto"/>
                <w:highlight w:val="none"/>
                <w:u w:val="single" w:color="auto"/>
              </w:rPr>
              <w:t xml:space="preserve">     </w:t>
            </w:r>
          </w:p>
        </w:tc>
      </w:tr>
      <w:tr w14:paraId="11DB3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vAlign w:val="center"/>
          </w:tcPr>
          <w:p w14:paraId="5D662AE4">
            <w:pPr>
              <w:pStyle w:val="25"/>
              <w:keepNext w:val="0"/>
              <w:keepLines w:val="0"/>
              <w:pageBreakBefore w:val="0"/>
              <w:shd w:val="clear"/>
              <w:kinsoku/>
              <w:wordWrap w:val="0"/>
              <w:overflowPunct/>
              <w:topLinePunct w:val="0"/>
              <w:bidi w:val="0"/>
              <w:spacing w:line="240" w:lineRule="auto"/>
              <w:ind w:left="0" w:right="0" w:firstLine="0"/>
              <w:jc w:val="center"/>
              <w:rPr>
                <w:color w:val="auto"/>
                <w:highlight w:val="none"/>
              </w:rPr>
            </w:pPr>
            <w:r>
              <w:rPr>
                <w:b/>
                <w:bCs/>
                <w:color w:val="auto"/>
                <w:spacing w:val="-3"/>
                <w:highlight w:val="none"/>
              </w:rPr>
              <w:t>7</w:t>
            </w:r>
          </w:p>
        </w:tc>
        <w:tc>
          <w:tcPr>
            <w:tcW w:w="1583" w:type="dxa"/>
            <w:vAlign w:val="center"/>
          </w:tcPr>
          <w:p w14:paraId="3743F8B0">
            <w:pPr>
              <w:pStyle w:val="25"/>
              <w:keepNext w:val="0"/>
              <w:keepLines w:val="0"/>
              <w:pageBreakBefore w:val="0"/>
              <w:shd w:val="clear"/>
              <w:tabs>
                <w:tab w:val="left" w:pos="1900"/>
              </w:tabs>
              <w:kinsoku/>
              <w:wordWrap w:val="0"/>
              <w:overflowPunct/>
              <w:topLinePunct w:val="0"/>
              <w:bidi w:val="0"/>
              <w:spacing w:line="240" w:lineRule="auto"/>
              <w:ind w:left="0" w:right="0" w:rightChars="0" w:firstLine="0"/>
              <w:jc w:val="center"/>
              <w:rPr>
                <w:color w:val="auto"/>
                <w:highlight w:val="none"/>
              </w:rPr>
            </w:pPr>
            <w:r>
              <w:rPr>
                <w:b/>
                <w:bCs/>
                <w:color w:val="auto"/>
                <w:spacing w:val="-3"/>
                <w:highlight w:val="none"/>
              </w:rPr>
              <w:t>是否接受联合体</w:t>
            </w:r>
            <w:r>
              <w:rPr>
                <w:b/>
                <w:bCs/>
                <w:color w:val="auto"/>
                <w:spacing w:val="-9"/>
                <w:highlight w:val="none"/>
              </w:rPr>
              <w:t>投标</w:t>
            </w:r>
          </w:p>
        </w:tc>
        <w:tc>
          <w:tcPr>
            <w:tcW w:w="5998" w:type="dxa"/>
            <w:tcBorders>
              <w:right w:val="single" w:color="000000" w:sz="2" w:space="0"/>
            </w:tcBorders>
            <w:vAlign w:val="top"/>
          </w:tcPr>
          <w:p w14:paraId="43757816">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rFonts w:ascii="MS UI Gothic" w:hAnsi="MS UI Gothic" w:eastAsia="MS UI Gothic" w:cs="MS UI Gothic"/>
                <w:color w:val="auto"/>
                <w:spacing w:val="-8"/>
                <w:highlight w:val="none"/>
              </w:rPr>
              <w:t>☑</w:t>
            </w:r>
            <w:r>
              <w:rPr>
                <w:color w:val="auto"/>
                <w:spacing w:val="-8"/>
                <w:highlight w:val="none"/>
              </w:rPr>
              <w:t>不接受</w:t>
            </w:r>
          </w:p>
          <w:p w14:paraId="130C7C0C">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color w:val="auto"/>
                <w:spacing w:val="-3"/>
                <w:highlight w:val="none"/>
              </w:rPr>
              <w:t>□接受，应满足下列要求：</w:t>
            </w:r>
            <w:r>
              <w:rPr>
                <w:color w:val="auto"/>
                <w:highlight w:val="none"/>
                <w:u w:val="single" w:color="auto"/>
              </w:rPr>
              <w:t xml:space="preserve">              </w:t>
            </w:r>
          </w:p>
        </w:tc>
      </w:tr>
      <w:tr w14:paraId="4D7A2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503EBA21">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3"/>
                <w:highlight w:val="none"/>
              </w:rPr>
              <w:t>8</w:t>
            </w:r>
          </w:p>
        </w:tc>
        <w:tc>
          <w:tcPr>
            <w:tcW w:w="1583" w:type="dxa"/>
            <w:shd w:val="clear" w:color="auto" w:fill="auto"/>
            <w:vAlign w:val="center"/>
          </w:tcPr>
          <w:p w14:paraId="7A42D0B2">
            <w:pPr>
              <w:pStyle w:val="25"/>
              <w:keepNext w:val="0"/>
              <w:keepLines w:val="0"/>
              <w:pageBreakBefore w:val="0"/>
              <w:shd w:val="clear"/>
              <w:kinsoku/>
              <w:wordWrap w:val="0"/>
              <w:overflowPunct/>
              <w:topLinePunct w:val="0"/>
              <w:bidi w:val="0"/>
              <w:spacing w:line="240" w:lineRule="auto"/>
              <w:ind w:left="0" w:right="0" w:rightChars="0" w:firstLine="0"/>
              <w:jc w:val="center"/>
              <w:rPr>
                <w:rFonts w:ascii="仿宋" w:hAnsi="仿宋" w:eastAsia="仿宋" w:cs="仿宋"/>
                <w:snapToGrid w:val="0"/>
                <w:color w:val="auto"/>
                <w:kern w:val="0"/>
                <w:sz w:val="24"/>
                <w:szCs w:val="24"/>
                <w:highlight w:val="none"/>
                <w:lang w:val="en-US" w:eastAsia="en-US" w:bidi="ar-SA"/>
              </w:rPr>
            </w:pPr>
            <w:r>
              <w:rPr>
                <w:b/>
                <w:bCs/>
                <w:color w:val="auto"/>
                <w:spacing w:val="-5"/>
                <w:highlight w:val="none"/>
              </w:rPr>
              <w:t>面向中小企业预留情况及小微企业报价扣除标准</w:t>
            </w:r>
          </w:p>
        </w:tc>
        <w:tc>
          <w:tcPr>
            <w:tcW w:w="5998" w:type="dxa"/>
            <w:tcBorders>
              <w:right w:val="single" w:color="000000" w:sz="2" w:space="0"/>
            </w:tcBorders>
            <w:shd w:val="clear" w:color="auto" w:fill="auto"/>
            <w:vAlign w:val="top"/>
          </w:tcPr>
          <w:p w14:paraId="5A1497AF">
            <w:pPr>
              <w:pStyle w:val="25"/>
              <w:keepNext w:val="0"/>
              <w:keepLines w:val="0"/>
              <w:pageBreakBefore w:val="0"/>
              <w:shd w:val="clear"/>
              <w:kinsoku/>
              <w:wordWrap w:val="0"/>
              <w:overflowPunct/>
              <w:topLinePunct w:val="0"/>
              <w:bidi w:val="0"/>
              <w:spacing w:line="240" w:lineRule="auto"/>
              <w:ind w:left="0" w:right="0" w:firstLine="0"/>
              <w:jc w:val="both"/>
              <w:rPr>
                <w:color w:val="auto"/>
                <w:highlight w:val="none"/>
              </w:rPr>
            </w:pPr>
            <w:r>
              <w:rPr>
                <w:rFonts w:ascii="MS UI Gothic" w:hAnsi="MS UI Gothic" w:eastAsia="MS UI Gothic" w:cs="MS UI Gothic"/>
                <w:color w:val="auto"/>
                <w:spacing w:val="1"/>
                <w:highlight w:val="none"/>
              </w:rPr>
              <w:t>☑</w:t>
            </w:r>
            <w:r>
              <w:rPr>
                <w:color w:val="auto"/>
                <w:spacing w:val="1"/>
                <w:highlight w:val="none"/>
              </w:rPr>
              <w:t>本包为面向中小企业预留份额的采购包，专门面向中小企业采购，有关要求详见招标公告。小微企业不享受价格</w:t>
            </w:r>
            <w:r>
              <w:rPr>
                <w:color w:val="auto"/>
                <w:spacing w:val="-3"/>
                <w:highlight w:val="none"/>
              </w:rPr>
              <w:t>折扣优惠。</w:t>
            </w:r>
          </w:p>
          <w:p w14:paraId="15A72725">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color w:val="auto"/>
                <w:highlight w:val="none"/>
              </w:rPr>
              <w:t>□本包为面向中小企业预留份额的采购包，要求投标人以</w:t>
            </w:r>
            <w:r>
              <w:rPr>
                <w:color w:val="auto"/>
                <w:spacing w:val="1"/>
                <w:highlight w:val="none"/>
              </w:rPr>
              <w:t>联合体形式参加采购活动，且联合体中中小企业承担的部分达到一定比例，有关要求详见招标公告。小微企业不享</w:t>
            </w:r>
            <w:r>
              <w:rPr>
                <w:color w:val="auto"/>
                <w:spacing w:val="-2"/>
                <w:highlight w:val="none"/>
              </w:rPr>
              <w:t>受价格折扣优惠。</w:t>
            </w:r>
          </w:p>
          <w:p w14:paraId="44D4C4AA">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color w:val="auto"/>
                <w:highlight w:val="none"/>
              </w:rPr>
              <w:t>□本包为面向中小企业预留份额的采购包，要求获得采购</w:t>
            </w:r>
            <w:r>
              <w:rPr>
                <w:color w:val="auto"/>
                <w:spacing w:val="1"/>
                <w:highlight w:val="none"/>
              </w:rPr>
              <w:t>合同的投标人将采购项目中的一定比例分包给一家或者多家中小企业，</w:t>
            </w:r>
            <w:r>
              <w:rPr>
                <w:rFonts w:hint="eastAsia"/>
                <w:color w:val="auto"/>
                <w:spacing w:val="1"/>
                <w:highlight w:val="none"/>
                <w:lang w:eastAsia="zh-CN"/>
              </w:rPr>
              <w:t>有</w:t>
            </w:r>
            <w:r>
              <w:rPr>
                <w:color w:val="auto"/>
                <w:spacing w:val="1"/>
                <w:highlight w:val="none"/>
              </w:rPr>
              <w:t>关要求详见招标公告。小微企业不享受</w:t>
            </w:r>
            <w:r>
              <w:rPr>
                <w:color w:val="auto"/>
                <w:spacing w:val="-2"/>
                <w:highlight w:val="none"/>
              </w:rPr>
              <w:t>价格折扣优惠。</w:t>
            </w:r>
          </w:p>
          <w:p w14:paraId="212181CB">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color w:val="auto"/>
                <w:highlight w:val="none"/>
              </w:rPr>
              <w:t>□本包为非面向中小企业预留份额的采购包。小微企业报</w:t>
            </w:r>
            <w:r>
              <w:rPr>
                <w:color w:val="auto"/>
                <w:spacing w:val="-2"/>
                <w:highlight w:val="none"/>
              </w:rPr>
              <w:t>价扣除标准如下：</w:t>
            </w:r>
          </w:p>
          <w:p w14:paraId="0E16A5A8">
            <w:pPr>
              <w:pStyle w:val="25"/>
              <w:keepNext w:val="0"/>
              <w:keepLines w:val="0"/>
              <w:pageBreakBefore w:val="0"/>
              <w:shd w:val="clear"/>
              <w:kinsoku/>
              <w:wordWrap w:val="0"/>
              <w:overflowPunct/>
              <w:topLinePunct w:val="0"/>
              <w:bidi w:val="0"/>
              <w:spacing w:line="240" w:lineRule="auto"/>
              <w:ind w:left="0" w:leftChars="0" w:right="0" w:firstLine="0"/>
              <w:rPr>
                <w:rFonts w:ascii="仿宋" w:hAnsi="仿宋" w:eastAsia="仿宋" w:cs="仿宋"/>
                <w:snapToGrid w:val="0"/>
                <w:color w:val="auto"/>
                <w:kern w:val="0"/>
                <w:sz w:val="24"/>
                <w:szCs w:val="24"/>
                <w:highlight w:val="none"/>
                <w:lang w:val="en-US" w:eastAsia="en-US" w:bidi="ar-SA"/>
              </w:rPr>
            </w:pPr>
            <w:r>
              <w:rPr>
                <w:color w:val="auto"/>
                <w:spacing w:val="9"/>
                <w:highlight w:val="none"/>
              </w:rPr>
              <w:t>对符合《政府采购促进中小企业发展管理办法》（财库</w:t>
            </w:r>
            <w:r>
              <w:rPr>
                <w:color w:val="auto"/>
                <w:spacing w:val="2"/>
                <w:highlight w:val="none"/>
              </w:rPr>
              <w:t>〔2020〕46号）规定的小微企业报价给予</w:t>
            </w:r>
            <w:r>
              <w:rPr>
                <w:color w:val="auto"/>
                <w:spacing w:val="-116"/>
                <w:highlight w:val="none"/>
              </w:rPr>
              <w:t xml:space="preserve"> </w:t>
            </w:r>
            <w:r>
              <w:rPr>
                <w:color w:val="auto"/>
                <w:spacing w:val="2"/>
                <w:highlight w:val="none"/>
                <w:u w:val="single" w:color="auto"/>
              </w:rPr>
              <w:t xml:space="preserve">  %</w:t>
            </w:r>
            <w:r>
              <w:rPr>
                <w:color w:val="auto"/>
                <w:spacing w:val="2"/>
                <w:highlight w:val="none"/>
              </w:rPr>
              <w:t>的扣除，用</w:t>
            </w:r>
            <w:r>
              <w:rPr>
                <w:color w:val="auto"/>
                <w:spacing w:val="-1"/>
                <w:highlight w:val="none"/>
              </w:rPr>
              <w:t>扣除后的价格参与评审。</w:t>
            </w:r>
          </w:p>
        </w:tc>
      </w:tr>
      <w:tr w14:paraId="008CF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4F062783">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3"/>
                <w:highlight w:val="none"/>
              </w:rPr>
              <w:t>9</w:t>
            </w:r>
          </w:p>
        </w:tc>
        <w:tc>
          <w:tcPr>
            <w:tcW w:w="1583" w:type="dxa"/>
            <w:shd w:val="clear" w:color="auto" w:fill="auto"/>
            <w:vAlign w:val="center"/>
          </w:tcPr>
          <w:p w14:paraId="3EEF723F">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5"/>
                <w:highlight w:val="none"/>
              </w:rPr>
              <w:t>节能环保产品强制优先采购优惠</w:t>
            </w:r>
            <w:r>
              <w:rPr>
                <w:b/>
                <w:bCs/>
                <w:color w:val="auto"/>
                <w:spacing w:val="-7"/>
                <w:highlight w:val="none"/>
              </w:rPr>
              <w:t>标准</w:t>
            </w:r>
          </w:p>
        </w:tc>
        <w:tc>
          <w:tcPr>
            <w:tcW w:w="5998" w:type="dxa"/>
            <w:tcBorders>
              <w:right w:val="single" w:color="000000" w:sz="2" w:space="0"/>
            </w:tcBorders>
            <w:shd w:val="clear" w:color="auto" w:fill="auto"/>
            <w:vAlign w:val="top"/>
          </w:tcPr>
          <w:p w14:paraId="52AC01A9">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color w:val="auto"/>
                <w:highlight w:val="none"/>
              </w:rPr>
              <w:t>1.采购标的物属于《节能产品政府采购品目清单》中</w:t>
            </w:r>
            <w:r>
              <w:rPr>
                <w:b/>
                <w:bCs/>
                <w:color w:val="auto"/>
                <w:highlight w:val="none"/>
              </w:rPr>
              <w:t>强制性采购产品</w:t>
            </w:r>
            <w:r>
              <w:rPr>
                <w:color w:val="auto"/>
                <w:highlight w:val="none"/>
              </w:rPr>
              <w:t>的（标记★符号的节能产品</w:t>
            </w:r>
            <w:r>
              <w:rPr>
                <w:color w:val="auto"/>
                <w:spacing w:val="9"/>
                <w:highlight w:val="none"/>
              </w:rPr>
              <w:t>），</w:t>
            </w:r>
            <w:r>
              <w:rPr>
                <w:color w:val="auto"/>
                <w:highlight w:val="none"/>
              </w:rPr>
              <w:t>投标人须提供</w:t>
            </w:r>
            <w:r>
              <w:rPr>
                <w:color w:val="auto"/>
                <w:spacing w:val="1"/>
                <w:highlight w:val="none"/>
              </w:rPr>
              <w:t>国家确定的认证机构出具的、处于有效期之内的节能产品</w:t>
            </w:r>
            <w:r>
              <w:rPr>
                <w:color w:val="auto"/>
                <w:spacing w:val="-3"/>
                <w:highlight w:val="none"/>
              </w:rPr>
              <w:t>认证证书。</w:t>
            </w:r>
          </w:p>
          <w:p w14:paraId="2DD932FA">
            <w:pPr>
              <w:pStyle w:val="25"/>
              <w:keepNext w:val="0"/>
              <w:keepLines w:val="0"/>
              <w:pageBreakBefore w:val="0"/>
              <w:shd w:val="clear"/>
              <w:kinsoku/>
              <w:wordWrap w:val="0"/>
              <w:overflowPunct/>
              <w:topLinePunct w:val="0"/>
              <w:bidi w:val="0"/>
              <w:spacing w:line="240" w:lineRule="auto"/>
              <w:ind w:left="0" w:leftChars="0" w:right="0" w:rightChars="0" w:firstLine="0" w:firstLineChars="0"/>
              <w:rPr>
                <w:rFonts w:ascii="仿宋" w:hAnsi="仿宋" w:eastAsia="仿宋" w:cs="仿宋"/>
                <w:snapToGrid w:val="0"/>
                <w:color w:val="auto"/>
                <w:kern w:val="0"/>
                <w:sz w:val="24"/>
                <w:szCs w:val="24"/>
                <w:highlight w:val="none"/>
                <w:lang w:val="en-US" w:eastAsia="en-US" w:bidi="ar-SA"/>
              </w:rPr>
            </w:pPr>
            <w:r>
              <w:rPr>
                <w:color w:val="auto"/>
                <w:spacing w:val="1"/>
                <w:highlight w:val="none"/>
              </w:rPr>
              <w:t>2.采购标的物属于《节能产品政府采购品目清单</w:t>
            </w:r>
            <w:r>
              <w:rPr>
                <w:rFonts w:hint="eastAsia"/>
                <w:color w:val="auto"/>
                <w:spacing w:val="1"/>
                <w:highlight w:val="none"/>
                <w:lang w:eastAsia="zh-CN"/>
              </w:rPr>
              <w:t>》《</w:t>
            </w:r>
            <w:r>
              <w:rPr>
                <w:color w:val="auto"/>
                <w:spacing w:val="1"/>
                <w:highlight w:val="none"/>
              </w:rPr>
              <w:t>环</w:t>
            </w:r>
            <w:r>
              <w:rPr>
                <w:color w:val="auto"/>
                <w:spacing w:val="-2"/>
                <w:highlight w:val="none"/>
              </w:rPr>
              <w:t>境标志产品政府采购品目清单》中</w:t>
            </w:r>
            <w:r>
              <w:rPr>
                <w:b/>
                <w:bCs/>
                <w:color w:val="auto"/>
                <w:spacing w:val="-2"/>
                <w:highlight w:val="none"/>
              </w:rPr>
              <w:t>非强制性采购产品</w:t>
            </w:r>
            <w:r>
              <w:rPr>
                <w:color w:val="auto"/>
                <w:spacing w:val="-2"/>
                <w:highlight w:val="none"/>
              </w:rPr>
              <w:t>（非</w:t>
            </w:r>
            <w:r>
              <w:rPr>
                <w:color w:val="auto"/>
                <w:spacing w:val="1"/>
                <w:highlight w:val="none"/>
              </w:rPr>
              <w:t>标记★符号的节能产品、环境标志产品）的，</w:t>
            </w:r>
            <w:r>
              <w:rPr>
                <w:b/>
                <w:bCs/>
                <w:color w:val="auto"/>
                <w:spacing w:val="1"/>
                <w:highlight w:val="none"/>
              </w:rPr>
              <w:t>对得分相同</w:t>
            </w:r>
            <w:r>
              <w:rPr>
                <w:b/>
                <w:bCs/>
                <w:color w:val="auto"/>
                <w:highlight w:val="none"/>
              </w:rPr>
              <w:t>（最低评标价法中价格相同）并能</w:t>
            </w:r>
            <w:r>
              <w:rPr>
                <w:color w:val="auto"/>
                <w:highlight w:val="none"/>
              </w:rPr>
              <w:t>提供国家确定的认证机</w:t>
            </w:r>
            <w:r>
              <w:rPr>
                <w:color w:val="auto"/>
                <w:spacing w:val="1"/>
                <w:highlight w:val="none"/>
              </w:rPr>
              <w:t>构出具的、处于有效期之内的节能产品、环境标志产品认</w:t>
            </w:r>
            <w:r>
              <w:rPr>
                <w:color w:val="auto"/>
                <w:spacing w:val="-1"/>
                <w:highlight w:val="none"/>
              </w:rPr>
              <w:t>证证书的产品采取</w:t>
            </w:r>
            <w:r>
              <w:rPr>
                <w:b/>
                <w:bCs/>
                <w:color w:val="auto"/>
                <w:spacing w:val="-1"/>
                <w:highlight w:val="none"/>
              </w:rPr>
              <w:t>优先采购</w:t>
            </w:r>
            <w:r>
              <w:rPr>
                <w:color w:val="auto"/>
                <w:spacing w:val="-1"/>
                <w:highlight w:val="none"/>
              </w:rPr>
              <w:t>。</w:t>
            </w:r>
          </w:p>
        </w:tc>
      </w:tr>
      <w:tr w14:paraId="3EC8C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54861AB9">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4"/>
                <w:highlight w:val="none"/>
              </w:rPr>
              <w:t>10</w:t>
            </w:r>
          </w:p>
        </w:tc>
        <w:tc>
          <w:tcPr>
            <w:tcW w:w="1583" w:type="dxa"/>
            <w:shd w:val="clear" w:color="auto" w:fill="auto"/>
            <w:vAlign w:val="center"/>
          </w:tcPr>
          <w:p w14:paraId="1C99E0D2">
            <w:pPr>
              <w:pStyle w:val="25"/>
              <w:keepNext w:val="0"/>
              <w:keepLines w:val="0"/>
              <w:pageBreakBefore w:val="0"/>
              <w:shd w:val="clear"/>
              <w:kinsoku/>
              <w:wordWrap w:val="0"/>
              <w:overflowPunct/>
              <w:topLinePunct w:val="0"/>
              <w:bidi w:val="0"/>
              <w:spacing w:line="240" w:lineRule="auto"/>
              <w:ind w:left="0" w:right="0" w:rightChars="0" w:firstLine="0"/>
              <w:jc w:val="center"/>
              <w:rPr>
                <w:rFonts w:ascii="仿宋" w:hAnsi="仿宋" w:eastAsia="仿宋" w:cs="仿宋"/>
                <w:snapToGrid w:val="0"/>
                <w:color w:val="auto"/>
                <w:kern w:val="0"/>
                <w:sz w:val="24"/>
                <w:szCs w:val="24"/>
                <w:highlight w:val="none"/>
                <w:lang w:val="en-US" w:eastAsia="en-US" w:bidi="ar-SA"/>
              </w:rPr>
            </w:pPr>
            <w:r>
              <w:rPr>
                <w:b/>
                <w:bCs/>
                <w:color w:val="auto"/>
                <w:spacing w:val="-3"/>
                <w:highlight w:val="none"/>
              </w:rPr>
              <w:t>是否允许递交备</w:t>
            </w:r>
            <w:r>
              <w:rPr>
                <w:b/>
                <w:bCs/>
                <w:color w:val="auto"/>
                <w:spacing w:val="-5"/>
                <w:highlight w:val="none"/>
              </w:rPr>
              <w:t>选投标方案</w:t>
            </w:r>
          </w:p>
        </w:tc>
        <w:tc>
          <w:tcPr>
            <w:tcW w:w="5998" w:type="dxa"/>
            <w:tcBorders>
              <w:right w:val="single" w:color="000000" w:sz="2" w:space="0"/>
            </w:tcBorders>
            <w:shd w:val="clear" w:color="auto" w:fill="auto"/>
            <w:vAlign w:val="top"/>
          </w:tcPr>
          <w:p w14:paraId="6DF76487">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rFonts w:ascii="MS UI Gothic" w:hAnsi="MS UI Gothic" w:eastAsia="MS UI Gothic" w:cs="MS UI Gothic"/>
                <w:color w:val="auto"/>
                <w:spacing w:val="-8"/>
                <w:highlight w:val="none"/>
              </w:rPr>
              <w:t>☑</w:t>
            </w:r>
            <w:r>
              <w:rPr>
                <w:color w:val="auto"/>
                <w:spacing w:val="-8"/>
                <w:highlight w:val="none"/>
              </w:rPr>
              <w:t>不允许</w:t>
            </w:r>
          </w:p>
          <w:p w14:paraId="7AB74D8E">
            <w:pPr>
              <w:pStyle w:val="25"/>
              <w:keepNext w:val="0"/>
              <w:keepLines w:val="0"/>
              <w:pageBreakBefore w:val="0"/>
              <w:shd w:val="clear"/>
              <w:kinsoku/>
              <w:wordWrap w:val="0"/>
              <w:overflowPunct/>
              <w:topLinePunct w:val="0"/>
              <w:bidi w:val="0"/>
              <w:spacing w:line="240" w:lineRule="auto"/>
              <w:ind w:left="0" w:leftChars="0" w:right="0" w:rightChars="0" w:firstLine="0" w:firstLineChars="0"/>
              <w:rPr>
                <w:rFonts w:ascii="仿宋" w:hAnsi="仿宋" w:eastAsia="仿宋" w:cs="仿宋"/>
                <w:snapToGrid w:val="0"/>
                <w:color w:val="auto"/>
                <w:kern w:val="0"/>
                <w:sz w:val="24"/>
                <w:szCs w:val="24"/>
                <w:highlight w:val="none"/>
                <w:lang w:val="en-US" w:eastAsia="en-US" w:bidi="ar-SA"/>
              </w:rPr>
            </w:pPr>
            <w:r>
              <w:rPr>
                <w:color w:val="auto"/>
                <w:spacing w:val="-5"/>
                <w:highlight w:val="none"/>
              </w:rPr>
              <w:t>□允许。要求：只有中标人所递交的备选投标方案方可予</w:t>
            </w:r>
            <w:r>
              <w:rPr>
                <w:color w:val="auto"/>
                <w:spacing w:val="-4"/>
                <w:highlight w:val="none"/>
              </w:rPr>
              <w:t>以考虑。评标委员会认为中标人的备选投标方案优于其按照招标文件要求的投标方案，采购人可以接受该备选</w:t>
            </w:r>
            <w:r>
              <w:rPr>
                <w:color w:val="auto"/>
                <w:spacing w:val="-3"/>
                <w:highlight w:val="none"/>
              </w:rPr>
              <w:t>投标方案。</w:t>
            </w:r>
          </w:p>
        </w:tc>
      </w:tr>
      <w:tr w14:paraId="7EDCA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55033598">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4"/>
                <w:highlight w:val="none"/>
              </w:rPr>
              <w:t>11</w:t>
            </w:r>
          </w:p>
        </w:tc>
        <w:tc>
          <w:tcPr>
            <w:tcW w:w="1583" w:type="dxa"/>
            <w:shd w:val="clear" w:color="auto" w:fill="auto"/>
            <w:vAlign w:val="center"/>
          </w:tcPr>
          <w:p w14:paraId="22DFBD7C">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进口产品投标</w:t>
            </w:r>
          </w:p>
        </w:tc>
        <w:tc>
          <w:tcPr>
            <w:tcW w:w="5998" w:type="dxa"/>
            <w:tcBorders>
              <w:right w:val="single" w:color="000000" w:sz="2" w:space="0"/>
            </w:tcBorders>
            <w:shd w:val="clear" w:color="auto" w:fill="auto"/>
            <w:vAlign w:val="top"/>
          </w:tcPr>
          <w:p w14:paraId="661C6798">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rFonts w:ascii="MS UI Gothic" w:hAnsi="MS UI Gothic" w:eastAsia="MS UI Gothic" w:cs="MS UI Gothic"/>
                <w:color w:val="auto"/>
                <w:spacing w:val="-8"/>
                <w:highlight w:val="none"/>
              </w:rPr>
              <w:t>☑</w:t>
            </w:r>
            <w:r>
              <w:rPr>
                <w:color w:val="auto"/>
                <w:spacing w:val="-8"/>
                <w:highlight w:val="none"/>
              </w:rPr>
              <w:t>不允许</w:t>
            </w:r>
          </w:p>
          <w:p w14:paraId="1076BD90">
            <w:pPr>
              <w:pStyle w:val="25"/>
              <w:keepNext w:val="0"/>
              <w:keepLines w:val="0"/>
              <w:pageBreakBefore w:val="0"/>
              <w:shd w:val="clear"/>
              <w:kinsoku/>
              <w:wordWrap w:val="0"/>
              <w:overflowPunct/>
              <w:topLinePunct w:val="0"/>
              <w:bidi w:val="0"/>
              <w:spacing w:line="240" w:lineRule="auto"/>
              <w:ind w:left="0" w:leftChars="0" w:right="0" w:firstLine="0"/>
              <w:rPr>
                <w:rFonts w:ascii="仿宋" w:hAnsi="仿宋" w:eastAsia="仿宋" w:cs="仿宋"/>
                <w:snapToGrid w:val="0"/>
                <w:color w:val="auto"/>
                <w:kern w:val="0"/>
                <w:sz w:val="24"/>
                <w:szCs w:val="24"/>
                <w:highlight w:val="none"/>
                <w:lang w:val="en-US" w:eastAsia="en-US" w:bidi="ar-SA"/>
              </w:rPr>
            </w:pPr>
            <w:r>
              <w:rPr>
                <w:color w:val="auto"/>
                <w:spacing w:val="-4"/>
                <w:highlight w:val="none"/>
              </w:rPr>
              <w:t>□允许，产品名目清单：</w:t>
            </w:r>
            <w:r>
              <w:rPr>
                <w:color w:val="auto"/>
                <w:highlight w:val="none"/>
                <w:u w:val="single" w:color="auto"/>
              </w:rPr>
              <w:t xml:space="preserve">           </w:t>
            </w:r>
          </w:p>
        </w:tc>
      </w:tr>
      <w:tr w14:paraId="0ED23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0C18256F">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4"/>
                <w:highlight w:val="none"/>
              </w:rPr>
              <w:t>12</w:t>
            </w:r>
          </w:p>
        </w:tc>
        <w:tc>
          <w:tcPr>
            <w:tcW w:w="1583" w:type="dxa"/>
            <w:shd w:val="clear" w:color="auto" w:fill="auto"/>
            <w:vAlign w:val="center"/>
          </w:tcPr>
          <w:p w14:paraId="6818BB3F">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投标截止时间</w:t>
            </w:r>
          </w:p>
        </w:tc>
        <w:tc>
          <w:tcPr>
            <w:tcW w:w="5998" w:type="dxa"/>
            <w:tcBorders>
              <w:right w:val="single" w:color="000000" w:sz="2" w:space="0"/>
            </w:tcBorders>
            <w:shd w:val="clear" w:color="auto" w:fill="auto"/>
            <w:vAlign w:val="center"/>
          </w:tcPr>
          <w:p w14:paraId="099C3490">
            <w:pPr>
              <w:pStyle w:val="25"/>
              <w:keepNext w:val="0"/>
              <w:keepLines w:val="0"/>
              <w:pageBreakBefore w:val="0"/>
              <w:shd w:val="clear"/>
              <w:kinsoku/>
              <w:wordWrap w:val="0"/>
              <w:overflowPunct/>
              <w:topLinePunct w:val="0"/>
              <w:bidi w:val="0"/>
              <w:spacing w:line="240" w:lineRule="auto"/>
              <w:ind w:left="0" w:leftChars="0" w:right="0" w:firstLine="0"/>
              <w:jc w:val="left"/>
              <w:rPr>
                <w:rFonts w:ascii="仿宋" w:hAnsi="仿宋" w:eastAsia="仿宋" w:cs="仿宋"/>
                <w:snapToGrid w:val="0"/>
                <w:color w:val="auto"/>
                <w:kern w:val="0"/>
                <w:sz w:val="24"/>
                <w:szCs w:val="24"/>
                <w:highlight w:val="none"/>
                <w:lang w:val="en-US" w:eastAsia="en-US" w:bidi="ar-SA"/>
              </w:rPr>
            </w:pPr>
            <w:r>
              <w:rPr>
                <w:color w:val="auto"/>
                <w:spacing w:val="-3"/>
                <w:highlight w:val="none"/>
              </w:rPr>
              <w:t>详见招标公告。</w:t>
            </w:r>
          </w:p>
        </w:tc>
      </w:tr>
      <w:tr w14:paraId="18040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61306147">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4"/>
                <w:highlight w:val="none"/>
              </w:rPr>
              <w:t>13</w:t>
            </w:r>
          </w:p>
        </w:tc>
        <w:tc>
          <w:tcPr>
            <w:tcW w:w="1583" w:type="dxa"/>
            <w:shd w:val="clear" w:color="auto" w:fill="auto"/>
            <w:vAlign w:val="center"/>
          </w:tcPr>
          <w:p w14:paraId="35068465">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投标报价的范围</w:t>
            </w:r>
          </w:p>
        </w:tc>
        <w:tc>
          <w:tcPr>
            <w:tcW w:w="5998" w:type="dxa"/>
            <w:tcBorders>
              <w:right w:val="single" w:color="000000" w:sz="2" w:space="0"/>
            </w:tcBorders>
            <w:shd w:val="clear" w:color="auto" w:fill="auto"/>
            <w:vAlign w:val="center"/>
          </w:tcPr>
          <w:p w14:paraId="69F9CB9F">
            <w:pPr>
              <w:pStyle w:val="25"/>
              <w:keepNext w:val="0"/>
              <w:keepLines w:val="0"/>
              <w:pageBreakBefore w:val="0"/>
              <w:shd w:val="clear"/>
              <w:kinsoku/>
              <w:wordWrap w:val="0"/>
              <w:overflowPunct/>
              <w:topLinePunct w:val="0"/>
              <w:bidi w:val="0"/>
              <w:spacing w:line="240" w:lineRule="auto"/>
              <w:ind w:left="0" w:leftChars="0" w:right="0" w:firstLine="0"/>
              <w:jc w:val="left"/>
              <w:rPr>
                <w:rFonts w:ascii="仿宋" w:hAnsi="仿宋" w:eastAsia="仿宋" w:cs="仿宋"/>
                <w:snapToGrid w:val="0"/>
                <w:color w:val="auto"/>
                <w:kern w:val="0"/>
                <w:sz w:val="24"/>
                <w:szCs w:val="24"/>
                <w:highlight w:val="none"/>
                <w:lang w:val="en-US" w:eastAsia="en-US" w:bidi="ar-SA"/>
              </w:rPr>
            </w:pPr>
            <w:r>
              <w:rPr>
                <w:color w:val="auto"/>
                <w:spacing w:val="-1"/>
                <w:highlight w:val="none"/>
              </w:rPr>
              <w:t>含税全包价。</w:t>
            </w:r>
          </w:p>
        </w:tc>
      </w:tr>
      <w:tr w14:paraId="71305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28D360B7">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4"/>
                <w:highlight w:val="none"/>
              </w:rPr>
              <w:t>14</w:t>
            </w:r>
          </w:p>
        </w:tc>
        <w:tc>
          <w:tcPr>
            <w:tcW w:w="1583" w:type="dxa"/>
            <w:shd w:val="clear" w:color="auto" w:fill="auto"/>
            <w:vAlign w:val="center"/>
          </w:tcPr>
          <w:p w14:paraId="010E3EB4">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投标报价的次数</w:t>
            </w:r>
          </w:p>
        </w:tc>
        <w:tc>
          <w:tcPr>
            <w:tcW w:w="5998" w:type="dxa"/>
            <w:tcBorders>
              <w:right w:val="single" w:color="000000" w:sz="2" w:space="0"/>
            </w:tcBorders>
            <w:shd w:val="clear" w:color="auto" w:fill="auto"/>
            <w:vAlign w:val="top"/>
          </w:tcPr>
          <w:p w14:paraId="30F04E81">
            <w:pPr>
              <w:pStyle w:val="25"/>
              <w:keepNext w:val="0"/>
              <w:keepLines w:val="0"/>
              <w:pageBreakBefore w:val="0"/>
              <w:shd w:val="clear"/>
              <w:kinsoku/>
              <w:wordWrap w:val="0"/>
              <w:overflowPunct/>
              <w:topLinePunct w:val="0"/>
              <w:bidi w:val="0"/>
              <w:spacing w:line="240" w:lineRule="auto"/>
              <w:ind w:left="0" w:leftChars="0" w:right="0" w:rightChars="0" w:firstLine="0" w:firstLineChars="0"/>
              <w:jc w:val="both"/>
              <w:rPr>
                <w:rFonts w:ascii="仿宋" w:hAnsi="仿宋" w:eastAsia="仿宋" w:cs="仿宋"/>
                <w:snapToGrid w:val="0"/>
                <w:color w:val="auto"/>
                <w:kern w:val="0"/>
                <w:sz w:val="24"/>
                <w:szCs w:val="24"/>
                <w:highlight w:val="none"/>
                <w:lang w:val="en-US" w:eastAsia="en-US" w:bidi="ar-SA"/>
              </w:rPr>
            </w:pPr>
            <w:r>
              <w:rPr>
                <w:color w:val="auto"/>
                <w:spacing w:val="1"/>
                <w:highlight w:val="none"/>
              </w:rPr>
              <w:t>本次投标报价为一次不得更改报价，投标人只有一次报价</w:t>
            </w:r>
            <w:r>
              <w:rPr>
                <w:color w:val="auto"/>
                <w:spacing w:val="-2"/>
                <w:highlight w:val="none"/>
              </w:rPr>
              <w:t>的机会。投标报价（即开标报价）不得有选择性报价和附</w:t>
            </w:r>
            <w:r>
              <w:rPr>
                <w:color w:val="auto"/>
                <w:spacing w:val="-1"/>
                <w:highlight w:val="none"/>
              </w:rPr>
              <w:t>有条件的报价，且不得高于最高限价。</w:t>
            </w:r>
          </w:p>
        </w:tc>
      </w:tr>
      <w:tr w14:paraId="49E41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31EAE26D">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4"/>
                <w:highlight w:val="none"/>
              </w:rPr>
              <w:t>15</w:t>
            </w:r>
          </w:p>
        </w:tc>
        <w:tc>
          <w:tcPr>
            <w:tcW w:w="1583" w:type="dxa"/>
            <w:shd w:val="clear" w:color="auto" w:fill="auto"/>
            <w:vAlign w:val="center"/>
          </w:tcPr>
          <w:p w14:paraId="0927BAA0">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5"/>
                <w:highlight w:val="none"/>
              </w:rPr>
              <w:t>询问和质疑</w:t>
            </w:r>
          </w:p>
        </w:tc>
        <w:tc>
          <w:tcPr>
            <w:tcW w:w="5998" w:type="dxa"/>
            <w:tcBorders>
              <w:right w:val="single" w:color="000000" w:sz="2" w:space="0"/>
            </w:tcBorders>
            <w:shd w:val="clear" w:color="auto" w:fill="auto"/>
            <w:vAlign w:val="top"/>
          </w:tcPr>
          <w:p w14:paraId="6164CD7C">
            <w:pPr>
              <w:pStyle w:val="25"/>
              <w:keepNext w:val="0"/>
              <w:keepLines w:val="0"/>
              <w:pageBreakBefore w:val="0"/>
              <w:widowControl/>
              <w:shd w:val="clear"/>
              <w:kinsoku w:val="0"/>
              <w:wordWrap w:val="0"/>
              <w:overflowPunct/>
              <w:topLinePunct w:val="0"/>
              <w:autoSpaceDE w:val="0"/>
              <w:autoSpaceDN w:val="0"/>
              <w:bidi w:val="0"/>
              <w:adjustRightInd w:val="0"/>
              <w:snapToGrid w:val="0"/>
              <w:spacing w:before="36"/>
              <w:ind w:left="116" w:right="117" w:firstLine="12"/>
              <w:textAlignment w:val="baseline"/>
              <w:rPr>
                <w:color w:val="auto"/>
                <w:highlight w:val="none"/>
              </w:rPr>
            </w:pPr>
            <w:r>
              <w:rPr>
                <w:color w:val="auto"/>
                <w:spacing w:val="1"/>
                <w:highlight w:val="none"/>
              </w:rPr>
              <w:t>1.关于第三章采购需求、参数及第四章评</w:t>
            </w:r>
            <w:r>
              <w:rPr>
                <w:color w:val="auto"/>
                <w:highlight w:val="none"/>
              </w:rPr>
              <w:t>标方法等内容的</w:t>
            </w:r>
            <w:r>
              <w:rPr>
                <w:color w:val="auto"/>
                <w:spacing w:val="-1"/>
                <w:highlight w:val="none"/>
              </w:rPr>
              <w:t>询问与质疑请联系采购单位。</w:t>
            </w:r>
          </w:p>
          <w:p w14:paraId="345954FB">
            <w:pPr>
              <w:pStyle w:val="25"/>
              <w:pageBreakBefore w:val="0"/>
              <w:shd w:val="clear"/>
              <w:wordWrap/>
              <w:overflowPunct/>
              <w:topLinePunct w:val="0"/>
              <w:bidi w:val="0"/>
              <w:spacing w:line="25" w:lineRule="atLeast"/>
              <w:ind w:left="113"/>
              <w:rPr>
                <w:rFonts w:hint="eastAsia" w:eastAsia="仿宋"/>
                <w:color w:val="auto"/>
                <w:highlight w:val="none"/>
                <w:lang w:eastAsia="zh-CN"/>
              </w:rPr>
            </w:pPr>
            <w:r>
              <w:rPr>
                <w:color w:val="auto"/>
                <w:spacing w:val="-4"/>
                <w:highlight w:val="none"/>
              </w:rPr>
              <w:t>联系人：</w:t>
            </w:r>
            <w:r>
              <w:rPr>
                <w:rFonts w:hint="eastAsia"/>
                <w:color w:val="auto"/>
                <w:spacing w:val="-4"/>
                <w:highlight w:val="none"/>
                <w:u w:val="single" w:color="auto"/>
                <w:lang w:eastAsia="zh-CN"/>
              </w:rPr>
              <w:t>晁工</w:t>
            </w:r>
          </w:p>
          <w:p w14:paraId="07962529">
            <w:pPr>
              <w:pStyle w:val="25"/>
              <w:pageBreakBefore w:val="0"/>
              <w:shd w:val="clear"/>
              <w:wordWrap/>
              <w:overflowPunct/>
              <w:topLinePunct w:val="0"/>
              <w:bidi w:val="0"/>
              <w:spacing w:before="27" w:line="25" w:lineRule="atLeast"/>
              <w:ind w:left="113"/>
              <w:rPr>
                <w:rFonts w:hint="eastAsia" w:eastAsia="仿宋"/>
                <w:color w:val="auto"/>
                <w:highlight w:val="none"/>
                <w:lang w:eastAsia="zh-CN"/>
              </w:rPr>
            </w:pPr>
            <w:r>
              <w:rPr>
                <w:color w:val="auto"/>
                <w:spacing w:val="-3"/>
                <w:highlight w:val="none"/>
              </w:rPr>
              <w:t>联系电话</w:t>
            </w:r>
            <w:r>
              <w:rPr>
                <w:rFonts w:hint="eastAsia"/>
                <w:color w:val="auto"/>
                <w:spacing w:val="-3"/>
                <w:highlight w:val="none"/>
                <w:lang w:eastAsia="zh-CN"/>
              </w:rPr>
              <w:t>：</w:t>
            </w:r>
            <w:r>
              <w:rPr>
                <w:rFonts w:hint="eastAsia"/>
                <w:color w:val="auto"/>
                <w:spacing w:val="-3"/>
                <w:highlight w:val="none"/>
                <w:u w:val="single" w:color="auto"/>
                <w:lang w:eastAsia="zh-CN"/>
              </w:rPr>
              <w:t>0903-2030379</w:t>
            </w:r>
          </w:p>
          <w:p w14:paraId="1477A3BC">
            <w:pPr>
              <w:pStyle w:val="25"/>
              <w:pageBreakBefore w:val="0"/>
              <w:shd w:val="clear"/>
              <w:wordWrap/>
              <w:overflowPunct/>
              <w:topLinePunct w:val="0"/>
              <w:bidi w:val="0"/>
              <w:spacing w:before="30" w:line="25" w:lineRule="atLeast"/>
              <w:ind w:left="123" w:right="117" w:hanging="1"/>
              <w:rPr>
                <w:rFonts w:hint="eastAsia"/>
                <w:color w:val="auto"/>
                <w:spacing w:val="-3"/>
                <w:highlight w:val="none"/>
                <w:u w:val="single" w:color="auto"/>
                <w:lang w:eastAsia="zh-CN"/>
              </w:rPr>
            </w:pPr>
            <w:r>
              <w:rPr>
                <w:color w:val="auto"/>
                <w:spacing w:val="-3"/>
                <w:highlight w:val="none"/>
              </w:rPr>
              <w:t>邮寄地址：</w:t>
            </w:r>
            <w:r>
              <w:rPr>
                <w:rFonts w:hint="eastAsia"/>
                <w:color w:val="auto"/>
                <w:spacing w:val="-3"/>
                <w:highlight w:val="none"/>
                <w:u w:val="single" w:color="auto"/>
                <w:lang w:eastAsia="zh-CN"/>
              </w:rPr>
              <w:t>新疆维吾尔自治区和田地区和田市古江南路277号</w:t>
            </w:r>
          </w:p>
          <w:p w14:paraId="366CE43E">
            <w:pPr>
              <w:pStyle w:val="25"/>
              <w:keepNext w:val="0"/>
              <w:keepLines w:val="0"/>
              <w:pageBreakBefore w:val="0"/>
              <w:widowControl/>
              <w:shd w:val="clear"/>
              <w:kinsoku w:val="0"/>
              <w:wordWrap w:val="0"/>
              <w:overflowPunct/>
              <w:topLinePunct w:val="0"/>
              <w:autoSpaceDE w:val="0"/>
              <w:autoSpaceDN w:val="0"/>
              <w:bidi w:val="0"/>
              <w:adjustRightInd w:val="0"/>
              <w:snapToGrid w:val="0"/>
              <w:spacing w:before="31"/>
              <w:ind w:left="123" w:right="117" w:hanging="1"/>
              <w:textAlignment w:val="baseline"/>
              <w:rPr>
                <w:color w:val="auto"/>
                <w:highlight w:val="none"/>
              </w:rPr>
            </w:pPr>
            <w:r>
              <w:rPr>
                <w:color w:val="auto"/>
                <w:spacing w:val="1"/>
                <w:highlight w:val="none"/>
              </w:rPr>
              <w:t>2.关于采购流程、获取采购文件等内容的询问与质疑请联</w:t>
            </w:r>
            <w:r>
              <w:rPr>
                <w:color w:val="auto"/>
                <w:spacing w:val="-3"/>
                <w:highlight w:val="none"/>
              </w:rPr>
              <w:t>系采购代理机构。</w:t>
            </w:r>
          </w:p>
          <w:p w14:paraId="704D1642">
            <w:pPr>
              <w:pStyle w:val="25"/>
              <w:keepNext w:val="0"/>
              <w:keepLines w:val="0"/>
              <w:pageBreakBefore w:val="0"/>
              <w:widowControl/>
              <w:shd w:val="clear"/>
              <w:kinsoku w:val="0"/>
              <w:wordWrap w:val="0"/>
              <w:overflowPunct/>
              <w:topLinePunct w:val="0"/>
              <w:autoSpaceDE w:val="0"/>
              <w:autoSpaceDN w:val="0"/>
              <w:bidi w:val="0"/>
              <w:adjustRightInd w:val="0"/>
              <w:snapToGrid w:val="0"/>
              <w:spacing w:line="218" w:lineRule="auto"/>
              <w:ind w:left="113"/>
              <w:textAlignment w:val="baseline"/>
              <w:rPr>
                <w:color w:val="auto"/>
                <w:highlight w:val="none"/>
              </w:rPr>
            </w:pPr>
            <w:r>
              <w:rPr>
                <w:color w:val="auto"/>
                <w:spacing w:val="-4"/>
                <w:highlight w:val="none"/>
              </w:rPr>
              <w:t>联系人：</w:t>
            </w:r>
            <w:r>
              <w:rPr>
                <w:rFonts w:hint="eastAsia"/>
                <w:color w:val="auto"/>
                <w:spacing w:val="-1"/>
                <w:sz w:val="24"/>
                <w:szCs w:val="24"/>
                <w:highlight w:val="none"/>
                <w:u w:val="single" w:color="auto"/>
                <w:lang w:val="en-US" w:eastAsia="zh-CN"/>
              </w:rPr>
              <w:t>邓学文、</w:t>
            </w:r>
            <w:r>
              <w:rPr>
                <w:rFonts w:hint="eastAsia"/>
                <w:color w:val="auto"/>
                <w:spacing w:val="-4"/>
                <w:highlight w:val="none"/>
                <w:u w:val="single" w:color="auto"/>
                <w:lang w:val="en-US" w:eastAsia="zh-CN"/>
              </w:rPr>
              <w:t>杨波</w:t>
            </w:r>
          </w:p>
          <w:p w14:paraId="64629FD1">
            <w:pPr>
              <w:pStyle w:val="25"/>
              <w:keepNext w:val="0"/>
              <w:keepLines w:val="0"/>
              <w:pageBreakBefore w:val="0"/>
              <w:widowControl/>
              <w:shd w:val="clear"/>
              <w:kinsoku w:val="0"/>
              <w:wordWrap w:val="0"/>
              <w:overflowPunct/>
              <w:topLinePunct w:val="0"/>
              <w:autoSpaceDE w:val="0"/>
              <w:autoSpaceDN w:val="0"/>
              <w:bidi w:val="0"/>
              <w:adjustRightInd w:val="0"/>
              <w:snapToGrid w:val="0"/>
              <w:spacing w:before="28" w:line="218" w:lineRule="auto"/>
              <w:ind w:left="113"/>
              <w:textAlignment w:val="baseline"/>
              <w:rPr>
                <w:color w:val="auto"/>
                <w:highlight w:val="none"/>
              </w:rPr>
            </w:pPr>
            <w:r>
              <w:rPr>
                <w:color w:val="auto"/>
                <w:spacing w:val="-1"/>
                <w:highlight w:val="none"/>
              </w:rPr>
              <w:t>联系电话：</w:t>
            </w:r>
            <w:r>
              <w:rPr>
                <w:rFonts w:hint="eastAsia"/>
                <w:color w:val="auto"/>
                <w:spacing w:val="-1"/>
                <w:sz w:val="24"/>
                <w:szCs w:val="24"/>
                <w:highlight w:val="none"/>
                <w:u w:val="single" w:color="auto"/>
                <w:lang w:val="en-US" w:eastAsia="zh-CN"/>
              </w:rPr>
              <w:t>13999217501、18599020403</w:t>
            </w:r>
          </w:p>
          <w:p w14:paraId="241CC66C">
            <w:pPr>
              <w:pStyle w:val="25"/>
              <w:keepNext w:val="0"/>
              <w:keepLines w:val="0"/>
              <w:pageBreakBefore w:val="0"/>
              <w:widowControl/>
              <w:shd w:val="clear"/>
              <w:kinsoku w:val="0"/>
              <w:wordWrap w:val="0"/>
              <w:overflowPunct/>
              <w:topLinePunct w:val="0"/>
              <w:autoSpaceDE w:val="0"/>
              <w:autoSpaceDN w:val="0"/>
              <w:bidi w:val="0"/>
              <w:adjustRightInd w:val="0"/>
              <w:snapToGrid w:val="0"/>
              <w:spacing w:before="28" w:line="216" w:lineRule="auto"/>
              <w:ind w:left="123"/>
              <w:textAlignment w:val="baseline"/>
              <w:rPr>
                <w:rFonts w:hint="default"/>
                <w:color w:val="auto"/>
                <w:highlight w:val="none"/>
                <w:lang w:val="en-US"/>
              </w:rPr>
            </w:pPr>
            <w:r>
              <w:rPr>
                <w:color w:val="auto"/>
                <w:spacing w:val="-1"/>
                <w:highlight w:val="none"/>
              </w:rPr>
              <w:t>邮箱：</w:t>
            </w:r>
            <w:r>
              <w:rPr>
                <w:rFonts w:hint="eastAsia"/>
                <w:color w:val="auto"/>
                <w:spacing w:val="-4"/>
                <w:highlight w:val="none"/>
                <w:u w:val="single" w:color="auto"/>
                <w:lang w:val="en-US" w:eastAsia="zh-CN"/>
              </w:rPr>
              <w:t>1550399455@qq.com</w:t>
            </w:r>
          </w:p>
          <w:p w14:paraId="6BB6EB66">
            <w:pPr>
              <w:pStyle w:val="25"/>
              <w:keepNext w:val="0"/>
              <w:keepLines w:val="0"/>
              <w:pageBreakBefore w:val="0"/>
              <w:widowControl/>
              <w:shd w:val="clear"/>
              <w:kinsoku w:val="0"/>
              <w:wordWrap w:val="0"/>
              <w:overflowPunct/>
              <w:topLinePunct w:val="0"/>
              <w:autoSpaceDE w:val="0"/>
              <w:autoSpaceDN w:val="0"/>
              <w:bidi w:val="0"/>
              <w:adjustRightInd w:val="0"/>
              <w:snapToGrid w:val="0"/>
              <w:spacing w:before="33" w:line="216" w:lineRule="auto"/>
              <w:ind w:left="123"/>
              <w:textAlignment w:val="baseline"/>
              <w:rPr>
                <w:color w:val="auto"/>
                <w:highlight w:val="none"/>
              </w:rPr>
            </w:pPr>
            <w:r>
              <w:rPr>
                <w:color w:val="auto"/>
                <w:spacing w:val="-2"/>
                <w:highlight w:val="none"/>
              </w:rPr>
              <w:t>邮寄地址：</w:t>
            </w:r>
            <w:r>
              <w:rPr>
                <w:rFonts w:hint="eastAsia"/>
                <w:color w:val="auto"/>
                <w:spacing w:val="-2"/>
                <w:highlight w:val="none"/>
                <w:u w:val="single"/>
                <w:lang w:val="en-US" w:eastAsia="zh-CN"/>
              </w:rPr>
              <w:t>乌鲁木齐市水磨沟区龙盛街898号中央公园商住小区S6栋14层</w:t>
            </w:r>
          </w:p>
          <w:p w14:paraId="3538EC5A">
            <w:pPr>
              <w:pStyle w:val="25"/>
              <w:keepNext w:val="0"/>
              <w:keepLines w:val="0"/>
              <w:pageBreakBefore w:val="0"/>
              <w:widowControl/>
              <w:shd w:val="clear"/>
              <w:kinsoku w:val="0"/>
              <w:wordWrap w:val="0"/>
              <w:overflowPunct/>
              <w:topLinePunct w:val="0"/>
              <w:autoSpaceDE w:val="0"/>
              <w:autoSpaceDN w:val="0"/>
              <w:bidi w:val="0"/>
              <w:adjustRightInd w:val="0"/>
              <w:snapToGrid w:val="0"/>
              <w:spacing w:before="30"/>
              <w:ind w:left="115" w:right="117" w:firstLine="3"/>
              <w:jc w:val="both"/>
              <w:textAlignment w:val="baseline"/>
              <w:rPr>
                <w:color w:val="auto"/>
                <w:highlight w:val="none"/>
              </w:rPr>
            </w:pPr>
            <w:r>
              <w:rPr>
                <w:b/>
                <w:bCs/>
                <w:color w:val="auto"/>
                <w:spacing w:val="-2"/>
                <w:highlight w:val="none"/>
              </w:rPr>
              <w:t>注：1.根据《中华人民共和国政府采购法》的规定，投标</w:t>
            </w:r>
            <w:r>
              <w:rPr>
                <w:b/>
                <w:bCs/>
                <w:color w:val="auto"/>
                <w:spacing w:val="-1"/>
                <w:highlight w:val="none"/>
              </w:rPr>
              <w:t>人质疑不得超出公开招标文件、公开招标过程</w:t>
            </w:r>
            <w:r>
              <w:rPr>
                <w:b/>
                <w:bCs/>
                <w:color w:val="auto"/>
                <w:spacing w:val="-2"/>
                <w:highlight w:val="none"/>
              </w:rPr>
              <w:t>及公开招标</w:t>
            </w:r>
            <w:r>
              <w:rPr>
                <w:b/>
                <w:bCs/>
                <w:color w:val="auto"/>
                <w:spacing w:val="-3"/>
                <w:highlight w:val="none"/>
              </w:rPr>
              <w:t>结果的范围及时效限制。</w:t>
            </w:r>
          </w:p>
          <w:p w14:paraId="30FCA51F">
            <w:pPr>
              <w:pStyle w:val="25"/>
              <w:keepNext w:val="0"/>
              <w:keepLines w:val="0"/>
              <w:pageBreakBefore w:val="0"/>
              <w:numPr>
                <w:ilvl w:val="0"/>
                <w:numId w:val="1"/>
              </w:numPr>
              <w:shd w:val="clear"/>
              <w:kinsoku/>
              <w:wordWrap w:val="0"/>
              <w:overflowPunct/>
              <w:topLinePunct w:val="0"/>
              <w:bidi w:val="0"/>
              <w:spacing w:line="240" w:lineRule="auto"/>
              <w:ind w:left="0" w:right="0" w:firstLine="0"/>
              <w:jc w:val="both"/>
              <w:rPr>
                <w:rFonts w:hint="eastAsia"/>
                <w:b/>
                <w:bCs/>
                <w:color w:val="auto"/>
                <w:spacing w:val="-1"/>
                <w:highlight w:val="none"/>
                <w:lang w:val="en-US" w:eastAsia="en-US"/>
              </w:rPr>
            </w:pPr>
            <w:r>
              <w:rPr>
                <w:b/>
                <w:bCs/>
                <w:color w:val="auto"/>
                <w:spacing w:val="7"/>
                <w:highlight w:val="none"/>
              </w:rPr>
              <w:t>2.质疑函请参照新疆政府采购网-下载专区-质疑函范本</w:t>
            </w:r>
            <w:r>
              <w:rPr>
                <w:b/>
                <w:bCs/>
                <w:color w:val="auto"/>
                <w:spacing w:val="-2"/>
                <w:highlight w:val="none"/>
              </w:rPr>
              <w:t>（</w:t>
            </w:r>
            <w:r>
              <w:rPr>
                <w:color w:val="auto"/>
                <w:highlight w:val="none"/>
              </w:rPr>
              <w:fldChar w:fldCharType="begin"/>
            </w:r>
            <w:r>
              <w:rPr>
                <w:color w:val="auto"/>
                <w:highlight w:val="none"/>
              </w:rPr>
              <w:instrText xml:space="preserve"> HYPERLINK "ite.site-PC-42166.1024-pc-wsg-secondLevelPage-front.2.dd6233e05eca11efbc5b930dcb75e3e2" </w:instrText>
            </w:r>
            <w:r>
              <w:rPr>
                <w:color w:val="auto"/>
                <w:highlight w:val="none"/>
              </w:rPr>
              <w:fldChar w:fldCharType="separate"/>
            </w:r>
            <w:r>
              <w:rPr>
                <w:b/>
                <w:bCs/>
                <w:color w:val="auto"/>
                <w:spacing w:val="-2"/>
                <w:highlight w:val="none"/>
              </w:rPr>
              <w:t>http</w:t>
            </w:r>
            <w:r>
              <w:rPr>
                <w:rFonts w:hint="eastAsia"/>
                <w:b/>
                <w:bCs/>
                <w:color w:val="auto"/>
                <w:spacing w:val="-2"/>
                <w:highlight w:val="none"/>
                <w:lang w:eastAsia="zh-CN"/>
              </w:rPr>
              <w:t>：</w:t>
            </w:r>
            <w:r>
              <w:rPr>
                <w:b/>
                <w:bCs/>
                <w:color w:val="auto"/>
                <w:spacing w:val="-2"/>
                <w:highlight w:val="none"/>
              </w:rPr>
              <w:t>//www.ccgp-xinjiang.gov.cn/site/detail?pare</w:t>
            </w:r>
            <w:r>
              <w:rPr>
                <w:b/>
                <w:bCs/>
                <w:color w:val="auto"/>
                <w:spacing w:val="-2"/>
                <w:highlight w:val="none"/>
              </w:rPr>
              <w:fldChar w:fldCharType="end"/>
            </w:r>
            <w:r>
              <w:rPr>
                <w:color w:val="auto"/>
                <w:highlight w:val="none"/>
              </w:rPr>
              <w:fldChar w:fldCharType="begin"/>
            </w:r>
            <w:r>
              <w:rPr>
                <w:color w:val="auto"/>
                <w:highlight w:val="none"/>
              </w:rPr>
              <w:instrText xml:space="preserve"> HYPERLINK "ite.site-PC-42166.1024-pc-wsg-secondLevelPage-front.2.dd6233e05eca11efbc5b930dcb75e3e2" </w:instrText>
            </w:r>
            <w:r>
              <w:rPr>
                <w:color w:val="auto"/>
                <w:highlight w:val="none"/>
              </w:rPr>
              <w:fldChar w:fldCharType="separate"/>
            </w:r>
            <w:r>
              <w:rPr>
                <w:b/>
                <w:bCs/>
                <w:color w:val="auto"/>
                <w:spacing w:val="-2"/>
                <w:highlight w:val="none"/>
              </w:rPr>
              <w:t>ntId=3338&amp;articleId=rwZbW</w:t>
            </w:r>
            <w:r>
              <w:rPr>
                <w:b/>
                <w:bCs/>
                <w:color w:val="auto"/>
                <w:spacing w:val="-2"/>
                <w:highlight w:val="none"/>
              </w:rPr>
              <w:fldChar w:fldCharType="end"/>
            </w:r>
            <w:r>
              <w:rPr>
                <w:b/>
                <w:bCs/>
                <w:color w:val="auto"/>
                <w:spacing w:val="-2"/>
                <w:highlight w:val="none"/>
              </w:rPr>
              <w:t>+cFXei/</w:t>
            </w:r>
            <w:r>
              <w:rPr>
                <w:b/>
                <w:bCs/>
                <w:color w:val="auto"/>
                <w:spacing w:val="-3"/>
                <w:highlight w:val="none"/>
              </w:rPr>
              <w:t>eAvAJQ2o+Q==&amp;utm=s</w:t>
            </w:r>
            <w:r>
              <w:rPr>
                <w:color w:val="auto"/>
                <w:highlight w:val="none"/>
              </w:rPr>
              <w:fldChar w:fldCharType="begin"/>
            </w:r>
            <w:r>
              <w:rPr>
                <w:color w:val="auto"/>
                <w:highlight w:val="none"/>
              </w:rPr>
              <w:instrText xml:space="preserve"> HYPERLINK "ite.site-PC-42166.1024-pc-wsg-secondLevelPage-front.2.dd6233e05eca11efbc5b930dcb75e3e2" </w:instrText>
            </w:r>
            <w:r>
              <w:rPr>
                <w:color w:val="auto"/>
                <w:highlight w:val="none"/>
              </w:rPr>
              <w:fldChar w:fldCharType="separate"/>
            </w:r>
            <w:r>
              <w:rPr>
                <w:b/>
                <w:bCs/>
                <w:color w:val="auto"/>
                <w:spacing w:val="-2"/>
                <w:highlight w:val="none"/>
              </w:rPr>
              <w:t>ite.site-PC-42166.1024-pc-wsg-secondLevelPage-fron</w:t>
            </w:r>
            <w:r>
              <w:rPr>
                <w:b/>
                <w:bCs/>
                <w:color w:val="auto"/>
                <w:spacing w:val="-2"/>
                <w:highlight w:val="none"/>
              </w:rPr>
              <w:fldChar w:fldCharType="end"/>
            </w:r>
            <w:r>
              <w:rPr>
                <w:color w:val="auto"/>
                <w:highlight w:val="none"/>
              </w:rPr>
              <w:fldChar w:fldCharType="begin"/>
            </w:r>
            <w:r>
              <w:rPr>
                <w:color w:val="auto"/>
                <w:highlight w:val="none"/>
              </w:rPr>
              <w:instrText xml:space="preserve"> HYPERLINK "ite.site-PC-42166.1024-pc-wsg-secondLevelPage-front.2.dd6233e05eca11efbc5b930dcb75e3e2" </w:instrText>
            </w:r>
            <w:r>
              <w:rPr>
                <w:color w:val="auto"/>
                <w:highlight w:val="none"/>
              </w:rPr>
              <w:fldChar w:fldCharType="separate"/>
            </w:r>
            <w:r>
              <w:rPr>
                <w:b/>
                <w:bCs/>
                <w:color w:val="auto"/>
                <w:spacing w:val="-2"/>
                <w:highlight w:val="none"/>
              </w:rPr>
              <w:t>t.2.dd6233e05eca11efbc5b930dcb75e3e2</w:t>
            </w:r>
            <w:r>
              <w:rPr>
                <w:b/>
                <w:bCs/>
                <w:color w:val="auto"/>
                <w:spacing w:val="-2"/>
                <w:highlight w:val="none"/>
              </w:rPr>
              <w:fldChar w:fldCharType="end"/>
            </w:r>
            <w:r>
              <w:rPr>
                <w:b/>
                <w:bCs/>
                <w:color w:val="auto"/>
                <w:spacing w:val="-2"/>
                <w:highlight w:val="none"/>
              </w:rPr>
              <w:t>）编制。</w:t>
            </w:r>
          </w:p>
        </w:tc>
      </w:tr>
      <w:tr w14:paraId="71AF2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6E36A867">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4"/>
                <w:highlight w:val="none"/>
              </w:rPr>
              <w:t>16</w:t>
            </w:r>
          </w:p>
        </w:tc>
        <w:tc>
          <w:tcPr>
            <w:tcW w:w="1583" w:type="dxa"/>
            <w:shd w:val="clear" w:color="auto" w:fill="auto"/>
            <w:vAlign w:val="center"/>
          </w:tcPr>
          <w:p w14:paraId="206255A9">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5"/>
                <w:highlight w:val="none"/>
              </w:rPr>
              <w:t>投标人投诉</w:t>
            </w:r>
          </w:p>
        </w:tc>
        <w:tc>
          <w:tcPr>
            <w:tcW w:w="5998" w:type="dxa"/>
            <w:tcBorders>
              <w:right w:val="single" w:color="000000" w:sz="2" w:space="0"/>
            </w:tcBorders>
            <w:shd w:val="clear" w:color="auto" w:fill="auto"/>
            <w:vAlign w:val="top"/>
          </w:tcPr>
          <w:p w14:paraId="25A1FC3C">
            <w:pPr>
              <w:pStyle w:val="25"/>
              <w:keepNext w:val="0"/>
              <w:keepLines w:val="0"/>
              <w:pageBreakBefore w:val="0"/>
              <w:shd w:val="clear"/>
              <w:kinsoku/>
              <w:wordWrap w:val="0"/>
              <w:overflowPunct/>
              <w:topLinePunct w:val="0"/>
              <w:bidi w:val="0"/>
              <w:spacing w:line="240" w:lineRule="auto"/>
              <w:ind w:left="0" w:right="0" w:firstLine="0"/>
              <w:jc w:val="both"/>
              <w:rPr>
                <w:color w:val="auto"/>
                <w:highlight w:val="none"/>
              </w:rPr>
            </w:pPr>
            <w:r>
              <w:rPr>
                <w:color w:val="auto"/>
                <w:spacing w:val="-6"/>
                <w:highlight w:val="none"/>
              </w:rPr>
              <w:t>投诉受理单位：本项目同级财政部门，即和田地区财政局。</w:t>
            </w:r>
            <w:r>
              <w:rPr>
                <w:color w:val="auto"/>
                <w:spacing w:val="1"/>
                <w:highlight w:val="none"/>
              </w:rPr>
              <w:t>注：1.根据《中华人民共和国政府采购法实施条例》的规</w:t>
            </w:r>
            <w:r>
              <w:rPr>
                <w:color w:val="auto"/>
                <w:spacing w:val="-1"/>
                <w:highlight w:val="none"/>
              </w:rPr>
              <w:t>定，投标人投诉事项不得超出已质疑事项的范围。</w:t>
            </w:r>
          </w:p>
          <w:p w14:paraId="7009B693">
            <w:pPr>
              <w:pStyle w:val="25"/>
              <w:keepNext w:val="0"/>
              <w:keepLines w:val="0"/>
              <w:pageBreakBefore w:val="0"/>
              <w:shd w:val="clear"/>
              <w:kinsoku/>
              <w:wordWrap w:val="0"/>
              <w:overflowPunct/>
              <w:topLinePunct w:val="0"/>
              <w:bidi w:val="0"/>
              <w:spacing w:line="240" w:lineRule="auto"/>
              <w:ind w:left="0" w:leftChars="0" w:right="0" w:rightChars="0" w:firstLine="0" w:firstLineChars="0"/>
              <w:jc w:val="left"/>
              <w:rPr>
                <w:rFonts w:ascii="仿宋" w:hAnsi="仿宋" w:eastAsia="仿宋" w:cs="仿宋"/>
                <w:snapToGrid w:val="0"/>
                <w:color w:val="auto"/>
                <w:kern w:val="0"/>
                <w:sz w:val="24"/>
                <w:szCs w:val="24"/>
                <w:highlight w:val="none"/>
                <w:lang w:val="en-US" w:eastAsia="en-US" w:bidi="ar-SA"/>
              </w:rPr>
            </w:pPr>
            <w:r>
              <w:rPr>
                <w:b/>
                <w:bCs/>
                <w:color w:val="auto"/>
                <w:spacing w:val="14"/>
                <w:highlight w:val="none"/>
              </w:rPr>
              <w:t>投诉书请参</w:t>
            </w:r>
            <w:r>
              <w:rPr>
                <w:color w:val="auto"/>
                <w:spacing w:val="-69"/>
                <w:highlight w:val="none"/>
              </w:rPr>
              <w:t xml:space="preserve"> </w:t>
            </w:r>
            <w:r>
              <w:rPr>
                <w:b/>
                <w:bCs/>
                <w:color w:val="auto"/>
                <w:spacing w:val="14"/>
                <w:highlight w:val="none"/>
              </w:rPr>
              <w:t>照新疆政府采购网-下载专</w:t>
            </w:r>
            <w:r>
              <w:rPr>
                <w:color w:val="auto"/>
                <w:spacing w:val="-54"/>
                <w:highlight w:val="none"/>
              </w:rPr>
              <w:t xml:space="preserve"> </w:t>
            </w:r>
            <w:r>
              <w:rPr>
                <w:b/>
                <w:bCs/>
                <w:color w:val="auto"/>
                <w:spacing w:val="14"/>
                <w:highlight w:val="none"/>
              </w:rPr>
              <w:t>区</w:t>
            </w:r>
            <w:r>
              <w:rPr>
                <w:rFonts w:hint="eastAsia"/>
                <w:b/>
                <w:bCs/>
                <w:color w:val="auto"/>
                <w:spacing w:val="14"/>
                <w:highlight w:val="none"/>
                <w:lang w:eastAsia="zh-CN"/>
              </w:rPr>
              <w:t>－</w:t>
            </w:r>
            <w:r>
              <w:rPr>
                <w:b/>
                <w:bCs/>
                <w:color w:val="auto"/>
                <w:spacing w:val="14"/>
                <w:highlight w:val="none"/>
              </w:rPr>
              <w:t>投</w:t>
            </w:r>
            <w:r>
              <w:rPr>
                <w:b/>
                <w:bCs/>
                <w:color w:val="auto"/>
                <w:spacing w:val="13"/>
                <w:highlight w:val="none"/>
              </w:rPr>
              <w:t>诉书范本</w:t>
            </w:r>
            <w:r>
              <w:rPr>
                <w:b/>
                <w:bCs/>
                <w:color w:val="auto"/>
                <w:spacing w:val="-2"/>
                <w:highlight w:val="none"/>
              </w:rPr>
              <w:t>（</w:t>
            </w:r>
            <w:r>
              <w:rPr>
                <w:color w:val="auto"/>
                <w:highlight w:val="none"/>
              </w:rPr>
              <w:fldChar w:fldCharType="begin"/>
            </w:r>
            <w:r>
              <w:rPr>
                <w:color w:val="auto"/>
                <w:highlight w:val="none"/>
              </w:rPr>
              <w:instrText xml:space="preserve"> HYPERLINK "http://www.ccgp-xinjiang.gov.cn/site/detail?parentId=3338&amp;articleId=8AgNKoBT6ite.site-PC-42166.1024-pc-wsg-secondLevelPage-front.1.dd6233e05eca11efbc5b930dcb75e3e2" </w:instrText>
            </w:r>
            <w:r>
              <w:rPr>
                <w:color w:val="auto"/>
                <w:highlight w:val="none"/>
              </w:rPr>
              <w:fldChar w:fldCharType="separate"/>
            </w:r>
            <w:r>
              <w:rPr>
                <w:b/>
                <w:bCs/>
                <w:color w:val="auto"/>
                <w:spacing w:val="-2"/>
                <w:highlight w:val="none"/>
              </w:rPr>
              <w:t>http://www.ccgp-xinjiang.gov.cn/site/detail?pare</w:t>
            </w:r>
            <w:r>
              <w:rPr>
                <w:b/>
                <w:bCs/>
                <w:color w:val="auto"/>
                <w:spacing w:val="-2"/>
                <w:highlight w:val="none"/>
              </w:rPr>
              <w:fldChar w:fldCharType="end"/>
            </w:r>
            <w:r>
              <w:rPr>
                <w:color w:val="auto"/>
                <w:highlight w:val="none"/>
              </w:rPr>
              <w:fldChar w:fldCharType="begin"/>
            </w:r>
            <w:r>
              <w:rPr>
                <w:color w:val="auto"/>
                <w:highlight w:val="none"/>
              </w:rPr>
              <w:instrText xml:space="preserve"> HYPERLINK "http://www.ccgp-xinjiang.gov.cn/site/detail?parentId=3338&amp;articleId=8AgNKoBT6ite.site-PC-42166.1024-pc-wsg-secondLevelPage-front.1.dd6233e05eca11efbc5b930dcb75e3e2" </w:instrText>
            </w:r>
            <w:r>
              <w:rPr>
                <w:color w:val="auto"/>
                <w:highlight w:val="none"/>
              </w:rPr>
              <w:fldChar w:fldCharType="separate"/>
            </w:r>
            <w:r>
              <w:rPr>
                <w:b/>
                <w:bCs/>
                <w:color w:val="auto"/>
                <w:spacing w:val="-2"/>
                <w:highlight w:val="none"/>
              </w:rPr>
              <w:t>ntId=3338&amp;articleId=8AgNKoBT6</w:t>
            </w:r>
            <w:r>
              <w:rPr>
                <w:b/>
                <w:bCs/>
                <w:color w:val="auto"/>
                <w:spacing w:val="-2"/>
                <w:highlight w:val="none"/>
              </w:rPr>
              <w:fldChar w:fldCharType="end"/>
            </w:r>
            <w:r>
              <w:rPr>
                <w:b/>
                <w:bCs/>
                <w:color w:val="auto"/>
                <w:spacing w:val="-2"/>
                <w:highlight w:val="none"/>
              </w:rPr>
              <w:t>+</w:t>
            </w:r>
            <w:r>
              <w:rPr>
                <w:color w:val="auto"/>
                <w:highlight w:val="none"/>
              </w:rPr>
              <w:fldChar w:fldCharType="begin"/>
            </w:r>
            <w:r>
              <w:rPr>
                <w:color w:val="auto"/>
                <w:highlight w:val="none"/>
              </w:rPr>
              <w:instrText xml:space="preserve"> HYPERLINK "eooi69tssU7w==&amp;utm=s" </w:instrText>
            </w:r>
            <w:r>
              <w:rPr>
                <w:color w:val="auto"/>
                <w:highlight w:val="none"/>
              </w:rPr>
              <w:fldChar w:fldCharType="separate"/>
            </w:r>
            <w:r>
              <w:rPr>
                <w:b/>
                <w:bCs/>
                <w:color w:val="auto"/>
                <w:spacing w:val="-2"/>
                <w:highlight w:val="none"/>
              </w:rPr>
              <w:t>eo</w:t>
            </w:r>
            <w:r>
              <w:rPr>
                <w:b/>
                <w:bCs/>
                <w:color w:val="auto"/>
                <w:spacing w:val="-3"/>
                <w:highlight w:val="none"/>
              </w:rPr>
              <w:t>oi69tssU7w==&amp;utm=s</w:t>
            </w:r>
            <w:r>
              <w:rPr>
                <w:b/>
                <w:bCs/>
                <w:color w:val="auto"/>
                <w:spacing w:val="-3"/>
                <w:highlight w:val="none"/>
              </w:rPr>
              <w:fldChar w:fldCharType="end"/>
            </w:r>
            <w:r>
              <w:rPr>
                <w:color w:val="auto"/>
                <w:highlight w:val="none"/>
              </w:rPr>
              <w:fldChar w:fldCharType="begin"/>
            </w:r>
            <w:r>
              <w:rPr>
                <w:color w:val="auto"/>
                <w:highlight w:val="none"/>
              </w:rPr>
              <w:instrText xml:space="preserve"> HYPERLINK "http://www.ccgp-xinjiang.gov.cn/site/detail?parentId=3338&amp;articleId=8AgNKoBT6ite.site-PC-42166.1024-pc-wsg-secondLevelPage-front.1.dd6233e05eca11efbc5b930dcb75e3e2" </w:instrText>
            </w:r>
            <w:r>
              <w:rPr>
                <w:color w:val="auto"/>
                <w:highlight w:val="none"/>
              </w:rPr>
              <w:fldChar w:fldCharType="separate"/>
            </w:r>
            <w:r>
              <w:rPr>
                <w:b/>
                <w:bCs/>
                <w:color w:val="auto"/>
                <w:spacing w:val="-2"/>
                <w:highlight w:val="none"/>
              </w:rPr>
              <w:t>ite.site-PC-42166.1024-pc-wsgsecondLevelPage-fron</w:t>
            </w:r>
            <w:r>
              <w:rPr>
                <w:b/>
                <w:bCs/>
                <w:color w:val="auto"/>
                <w:spacing w:val="-2"/>
                <w:highlight w:val="none"/>
              </w:rPr>
              <w:fldChar w:fldCharType="end"/>
            </w:r>
            <w:r>
              <w:rPr>
                <w:color w:val="auto"/>
                <w:spacing w:val="6"/>
                <w:highlight w:val="none"/>
              </w:rPr>
              <w:t xml:space="preserve"> </w:t>
            </w:r>
            <w:r>
              <w:rPr>
                <w:color w:val="auto"/>
                <w:highlight w:val="none"/>
              </w:rPr>
              <w:fldChar w:fldCharType="begin"/>
            </w:r>
            <w:r>
              <w:rPr>
                <w:color w:val="auto"/>
                <w:highlight w:val="none"/>
              </w:rPr>
              <w:instrText xml:space="preserve"> HYPERLINK "http://www.ccgp-xinjiang.gov.cn/site/detail?parentId=3338&amp;articleId=8AgNKoBT6ite.site-PC-42166.1024-pc-wsg-secondLevelPage-front.1.dd6233e05eca11efbc5b930dcb75e3e2" </w:instrText>
            </w:r>
            <w:r>
              <w:rPr>
                <w:color w:val="auto"/>
                <w:highlight w:val="none"/>
              </w:rPr>
              <w:fldChar w:fldCharType="separate"/>
            </w:r>
            <w:r>
              <w:rPr>
                <w:b/>
                <w:bCs/>
                <w:color w:val="auto"/>
                <w:spacing w:val="-2"/>
                <w:highlight w:val="none"/>
              </w:rPr>
              <w:t>t.1.dd6233e05eca11efbc5b930dcb75e3e2</w:t>
            </w:r>
            <w:r>
              <w:rPr>
                <w:b/>
                <w:bCs/>
                <w:color w:val="auto"/>
                <w:spacing w:val="-2"/>
                <w:highlight w:val="none"/>
              </w:rPr>
              <w:fldChar w:fldCharType="end"/>
            </w:r>
            <w:r>
              <w:rPr>
                <w:b/>
                <w:bCs/>
                <w:color w:val="auto"/>
                <w:spacing w:val="-2"/>
                <w:highlight w:val="none"/>
              </w:rPr>
              <w:t>）编制。</w:t>
            </w:r>
          </w:p>
        </w:tc>
      </w:tr>
      <w:tr w14:paraId="33010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64E2D8B8">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5"/>
                <w:highlight w:val="none"/>
              </w:rPr>
              <w:t>17</w:t>
            </w:r>
          </w:p>
        </w:tc>
        <w:tc>
          <w:tcPr>
            <w:tcW w:w="1583" w:type="dxa"/>
            <w:shd w:val="clear" w:color="auto" w:fill="auto"/>
            <w:vAlign w:val="center"/>
          </w:tcPr>
          <w:p w14:paraId="229A7557">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3"/>
                <w:highlight w:val="none"/>
              </w:rPr>
              <w:t>信息公告媒体</w:t>
            </w:r>
          </w:p>
        </w:tc>
        <w:tc>
          <w:tcPr>
            <w:tcW w:w="5998" w:type="dxa"/>
            <w:tcBorders>
              <w:right w:val="single" w:color="000000" w:sz="2" w:space="0"/>
            </w:tcBorders>
            <w:shd w:val="clear" w:color="auto" w:fill="auto"/>
            <w:vAlign w:val="top"/>
          </w:tcPr>
          <w:p w14:paraId="256F2886">
            <w:pPr>
              <w:pStyle w:val="25"/>
              <w:keepNext w:val="0"/>
              <w:keepLines w:val="0"/>
              <w:pageBreakBefore w:val="0"/>
              <w:shd w:val="clear"/>
              <w:kinsoku/>
              <w:wordWrap w:val="0"/>
              <w:overflowPunct/>
              <w:topLinePunct w:val="0"/>
              <w:bidi w:val="0"/>
              <w:spacing w:line="240" w:lineRule="auto"/>
              <w:ind w:left="0" w:leftChars="0" w:right="0" w:rightChars="0" w:firstLine="0" w:firstLineChars="0"/>
              <w:rPr>
                <w:rFonts w:ascii="仿宋" w:hAnsi="仿宋" w:eastAsia="仿宋" w:cs="仿宋"/>
                <w:snapToGrid w:val="0"/>
                <w:color w:val="auto"/>
                <w:kern w:val="0"/>
                <w:sz w:val="24"/>
                <w:szCs w:val="24"/>
                <w:highlight w:val="none"/>
                <w:lang w:val="en-US" w:eastAsia="en-US" w:bidi="ar-SA"/>
              </w:rPr>
            </w:pPr>
            <w:r>
              <w:rPr>
                <w:color w:val="auto"/>
                <w:highlight w:val="none"/>
              </w:rPr>
              <w:t>新疆政府采购网（</w:t>
            </w:r>
            <w:r>
              <w:rPr>
                <w:color w:val="auto"/>
                <w:highlight w:val="none"/>
              </w:rPr>
              <w:fldChar w:fldCharType="begin"/>
            </w:r>
            <w:r>
              <w:rPr>
                <w:color w:val="auto"/>
                <w:highlight w:val="none"/>
              </w:rPr>
              <w:instrText xml:space="preserve"> HYPERLINK "http://www.ccgp-xinjiang.gov.cn/" </w:instrText>
            </w:r>
            <w:r>
              <w:rPr>
                <w:color w:val="auto"/>
                <w:highlight w:val="none"/>
              </w:rPr>
              <w:fldChar w:fldCharType="separate"/>
            </w:r>
            <w:r>
              <w:rPr>
                <w:color w:val="auto"/>
                <w:highlight w:val="none"/>
              </w:rPr>
              <w:t>http://www.cc</w:t>
            </w:r>
            <w:r>
              <w:rPr>
                <w:color w:val="auto"/>
                <w:spacing w:val="-1"/>
                <w:highlight w:val="none"/>
              </w:rPr>
              <w:t>gp-xinjiang.gov.cn/</w:t>
            </w:r>
            <w:r>
              <w:rPr>
                <w:color w:val="auto"/>
                <w:spacing w:val="-1"/>
                <w:highlight w:val="none"/>
              </w:rPr>
              <w:fldChar w:fldCharType="end"/>
            </w:r>
            <w:r>
              <w:rPr>
                <w:color w:val="auto"/>
                <w:spacing w:val="-1"/>
                <w:highlight w:val="none"/>
              </w:rPr>
              <w:t>）</w:t>
            </w:r>
          </w:p>
        </w:tc>
      </w:tr>
      <w:tr w14:paraId="76D12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75D2F1AA">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4"/>
                <w:highlight w:val="none"/>
              </w:rPr>
              <w:t>18</w:t>
            </w:r>
          </w:p>
        </w:tc>
        <w:tc>
          <w:tcPr>
            <w:tcW w:w="1583" w:type="dxa"/>
            <w:shd w:val="clear" w:color="auto" w:fill="auto"/>
            <w:vAlign w:val="center"/>
          </w:tcPr>
          <w:p w14:paraId="421DADD8">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确定参加招标的</w:t>
            </w:r>
            <w:r>
              <w:rPr>
                <w:b/>
                <w:bCs/>
                <w:color w:val="auto"/>
                <w:spacing w:val="-5"/>
                <w:highlight w:val="none"/>
              </w:rPr>
              <w:t>投标人数量</w:t>
            </w:r>
            <w:r>
              <w:rPr>
                <w:b/>
                <w:bCs/>
                <w:color w:val="auto"/>
                <w:spacing w:val="-7"/>
                <w:highlight w:val="none"/>
              </w:rPr>
              <w:t>和方式</w:t>
            </w:r>
          </w:p>
        </w:tc>
        <w:tc>
          <w:tcPr>
            <w:tcW w:w="5998" w:type="dxa"/>
            <w:tcBorders>
              <w:right w:val="single" w:color="000000" w:sz="2" w:space="0"/>
            </w:tcBorders>
            <w:shd w:val="clear" w:color="auto" w:fill="auto"/>
            <w:vAlign w:val="center"/>
          </w:tcPr>
          <w:p w14:paraId="5D72AAF0">
            <w:pPr>
              <w:pStyle w:val="25"/>
              <w:keepNext w:val="0"/>
              <w:keepLines w:val="0"/>
              <w:pageBreakBefore w:val="0"/>
              <w:shd w:val="clear"/>
              <w:kinsoku/>
              <w:wordWrap w:val="0"/>
              <w:overflowPunct/>
              <w:topLinePunct w:val="0"/>
              <w:bidi w:val="0"/>
              <w:spacing w:line="240" w:lineRule="auto"/>
              <w:ind w:left="0" w:leftChars="0" w:right="0" w:rightChars="0" w:firstLine="0" w:firstLineChars="0"/>
              <w:jc w:val="both"/>
              <w:rPr>
                <w:rFonts w:ascii="仿宋" w:hAnsi="仿宋" w:eastAsia="仿宋" w:cs="仿宋"/>
                <w:snapToGrid w:val="0"/>
                <w:color w:val="auto"/>
                <w:kern w:val="0"/>
                <w:sz w:val="24"/>
                <w:szCs w:val="24"/>
                <w:highlight w:val="none"/>
                <w:lang w:val="en-US" w:eastAsia="en-US" w:bidi="ar-SA"/>
              </w:rPr>
            </w:pPr>
            <w:r>
              <w:rPr>
                <w:color w:val="auto"/>
                <w:spacing w:val="1"/>
                <w:highlight w:val="none"/>
              </w:rPr>
              <w:t>本次采购采取发布公告的方式邀请不少于三家合格的投标</w:t>
            </w:r>
            <w:r>
              <w:rPr>
                <w:color w:val="auto"/>
                <w:spacing w:val="-2"/>
                <w:highlight w:val="none"/>
              </w:rPr>
              <w:t>人参加公开招标。</w:t>
            </w:r>
          </w:p>
        </w:tc>
      </w:tr>
      <w:tr w14:paraId="614EE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55229A82">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4"/>
                <w:highlight w:val="none"/>
              </w:rPr>
              <w:t>19</w:t>
            </w:r>
          </w:p>
        </w:tc>
        <w:tc>
          <w:tcPr>
            <w:tcW w:w="1583" w:type="dxa"/>
            <w:shd w:val="clear" w:color="auto" w:fill="auto"/>
            <w:vAlign w:val="center"/>
          </w:tcPr>
          <w:p w14:paraId="6DF41FCD">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3"/>
                <w:highlight w:val="none"/>
              </w:rPr>
              <w:t>投标文件编制、递</w:t>
            </w:r>
            <w:r>
              <w:rPr>
                <w:b/>
                <w:bCs/>
                <w:color w:val="auto"/>
                <w:spacing w:val="-6"/>
                <w:highlight w:val="none"/>
              </w:rPr>
              <w:t>交与投标文件</w:t>
            </w:r>
            <w:r>
              <w:rPr>
                <w:b/>
                <w:bCs/>
                <w:color w:val="auto"/>
                <w:spacing w:val="-5"/>
                <w:highlight w:val="none"/>
              </w:rPr>
              <w:t>解密时间</w:t>
            </w:r>
          </w:p>
        </w:tc>
        <w:tc>
          <w:tcPr>
            <w:tcW w:w="5998" w:type="dxa"/>
            <w:tcBorders>
              <w:right w:val="single" w:color="000000" w:sz="2" w:space="0"/>
            </w:tcBorders>
            <w:shd w:val="clear" w:color="auto" w:fill="auto"/>
            <w:vAlign w:val="top"/>
          </w:tcPr>
          <w:p w14:paraId="3E71BB14">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color w:val="auto"/>
                <w:spacing w:val="-3"/>
                <w:highlight w:val="none"/>
              </w:rPr>
              <w:t>1.投标人使用【政采云平台投标文件制作工具】编制电子投标文件；</w:t>
            </w:r>
          </w:p>
          <w:p w14:paraId="5858FD23">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color w:val="auto"/>
                <w:spacing w:val="10"/>
                <w:highlight w:val="none"/>
              </w:rPr>
              <w:t>2.投标人应于开标截止时间之前将电子投标文件上传到</w:t>
            </w:r>
            <w:r>
              <w:rPr>
                <w:color w:val="auto"/>
                <w:highlight w:val="none"/>
              </w:rPr>
              <w:t>“政采云”平台。应按照本项目招标文件和政采云平台的</w:t>
            </w:r>
          </w:p>
          <w:p w14:paraId="51E49951">
            <w:pPr>
              <w:pStyle w:val="25"/>
              <w:keepNext w:val="0"/>
              <w:keepLines w:val="0"/>
              <w:pageBreakBefore w:val="0"/>
              <w:shd w:val="clear"/>
              <w:kinsoku/>
              <w:wordWrap w:val="0"/>
              <w:overflowPunct/>
              <w:topLinePunct w:val="0"/>
              <w:bidi w:val="0"/>
              <w:spacing w:line="240" w:lineRule="auto"/>
              <w:ind w:left="0" w:right="0" w:firstLine="0"/>
              <w:jc w:val="both"/>
              <w:rPr>
                <w:color w:val="auto"/>
                <w:highlight w:val="none"/>
              </w:rPr>
            </w:pPr>
            <w:r>
              <w:rPr>
                <w:color w:val="auto"/>
                <w:spacing w:val="1"/>
                <w:highlight w:val="none"/>
              </w:rPr>
              <w:t>要求编制、加密传输投标文件。投标人在使用系统进行投标的过程中遇到涉及平台使用的任何问题，可致电政采云</w:t>
            </w:r>
            <w:r>
              <w:rPr>
                <w:color w:val="auto"/>
                <w:spacing w:val="-1"/>
                <w:highlight w:val="none"/>
              </w:rPr>
              <w:t>平台技术支持热线咨询，联系方式：95763；</w:t>
            </w:r>
          </w:p>
          <w:p w14:paraId="18ABADEF">
            <w:pPr>
              <w:pStyle w:val="25"/>
              <w:keepNext w:val="0"/>
              <w:keepLines w:val="0"/>
              <w:pageBreakBefore w:val="0"/>
              <w:shd w:val="clear"/>
              <w:kinsoku/>
              <w:wordWrap w:val="0"/>
              <w:overflowPunct/>
              <w:topLinePunct w:val="0"/>
              <w:bidi w:val="0"/>
              <w:spacing w:line="240" w:lineRule="auto"/>
              <w:ind w:left="0" w:leftChars="0" w:right="0" w:rightChars="0" w:firstLine="0" w:firstLineChars="0"/>
              <w:jc w:val="both"/>
              <w:rPr>
                <w:rFonts w:ascii="仿宋" w:hAnsi="仿宋" w:eastAsia="仿宋" w:cs="仿宋"/>
                <w:snapToGrid w:val="0"/>
                <w:color w:val="auto"/>
                <w:kern w:val="0"/>
                <w:sz w:val="24"/>
                <w:szCs w:val="24"/>
                <w:highlight w:val="none"/>
                <w:lang w:val="en-US" w:eastAsia="en-US" w:bidi="ar-SA"/>
              </w:rPr>
            </w:pPr>
            <w:r>
              <w:rPr>
                <w:color w:val="auto"/>
                <w:spacing w:val="-6"/>
                <w:highlight w:val="none"/>
              </w:rPr>
              <w:t>3.开标时间后30分钟内投标人可以登录“政采云”平台，</w:t>
            </w:r>
            <w:r>
              <w:rPr>
                <w:color w:val="auto"/>
                <w:spacing w:val="-3"/>
                <w:highlight w:val="none"/>
              </w:rPr>
              <w:t>用“项目采购</w:t>
            </w:r>
            <w:r>
              <w:rPr>
                <w:rFonts w:hint="eastAsia"/>
                <w:color w:val="auto"/>
                <w:spacing w:val="-3"/>
                <w:highlight w:val="none"/>
                <w:lang w:eastAsia="zh-CN"/>
              </w:rPr>
              <w:t>－</w:t>
            </w:r>
            <w:r>
              <w:rPr>
                <w:color w:val="auto"/>
                <w:spacing w:val="-3"/>
                <w:highlight w:val="none"/>
              </w:rPr>
              <w:t>开标评标”功能进行解密投</w:t>
            </w:r>
            <w:r>
              <w:rPr>
                <w:color w:val="auto"/>
                <w:spacing w:val="-4"/>
                <w:highlight w:val="none"/>
              </w:rPr>
              <w:t>标文件。若投标</w:t>
            </w:r>
            <w:r>
              <w:rPr>
                <w:color w:val="auto"/>
                <w:spacing w:val="-1"/>
                <w:highlight w:val="none"/>
              </w:rPr>
              <w:t>人在规定时间内未按时解密的，视为投标文件撤回。</w:t>
            </w:r>
          </w:p>
        </w:tc>
      </w:tr>
      <w:tr w14:paraId="576A6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00C74136">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1"/>
                <w:highlight w:val="none"/>
              </w:rPr>
              <w:t>20</w:t>
            </w:r>
          </w:p>
        </w:tc>
        <w:tc>
          <w:tcPr>
            <w:tcW w:w="1583" w:type="dxa"/>
            <w:shd w:val="clear" w:color="auto" w:fill="auto"/>
            <w:vAlign w:val="center"/>
          </w:tcPr>
          <w:p w14:paraId="605E95C2">
            <w:pPr>
              <w:pStyle w:val="25"/>
              <w:keepNext w:val="0"/>
              <w:keepLines w:val="0"/>
              <w:pageBreakBefore w:val="0"/>
              <w:shd w:val="clear"/>
              <w:kinsoku/>
              <w:wordWrap w:val="0"/>
              <w:overflowPunct/>
              <w:topLinePunct w:val="0"/>
              <w:bidi w:val="0"/>
              <w:spacing w:line="240" w:lineRule="auto"/>
              <w:ind w:left="0" w:right="0" w:rightChars="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公开招标投标保证金</w:t>
            </w:r>
          </w:p>
        </w:tc>
        <w:tc>
          <w:tcPr>
            <w:tcW w:w="5998" w:type="dxa"/>
            <w:tcBorders>
              <w:right w:val="single" w:color="000000" w:sz="2" w:space="0"/>
            </w:tcBorders>
            <w:shd w:val="clear" w:color="auto" w:fill="auto"/>
            <w:vAlign w:val="top"/>
          </w:tcPr>
          <w:p w14:paraId="1C807684">
            <w:pPr>
              <w:pStyle w:val="25"/>
              <w:keepNext w:val="0"/>
              <w:keepLines w:val="0"/>
              <w:pageBreakBefore w:val="0"/>
              <w:widowControl/>
              <w:shd w:val="clear"/>
              <w:kinsoku w:val="0"/>
              <w:wordWrap w:val="0"/>
              <w:overflowPunct/>
              <w:topLinePunct w:val="0"/>
              <w:autoSpaceDE w:val="0"/>
              <w:autoSpaceDN w:val="0"/>
              <w:bidi w:val="0"/>
              <w:adjustRightInd w:val="0"/>
              <w:snapToGrid w:val="0"/>
              <w:spacing w:line="240" w:lineRule="auto"/>
              <w:ind w:left="0"/>
              <w:textAlignment w:val="baseline"/>
              <w:rPr>
                <w:rFonts w:hint="eastAsia"/>
                <w:color w:val="auto"/>
                <w:highlight w:val="none"/>
              </w:rPr>
            </w:pPr>
            <w:r>
              <w:rPr>
                <w:rFonts w:hint="eastAsia"/>
                <w:color w:val="auto"/>
                <w:highlight w:val="none"/>
              </w:rPr>
              <w:t>保证金形式：网上银行或电子保函等非现金形式</w:t>
            </w:r>
          </w:p>
          <w:p w14:paraId="06582F89">
            <w:pPr>
              <w:pStyle w:val="25"/>
              <w:keepNext w:val="0"/>
              <w:keepLines w:val="0"/>
              <w:pageBreakBefore w:val="0"/>
              <w:widowControl/>
              <w:shd w:val="clear"/>
              <w:kinsoku w:val="0"/>
              <w:wordWrap w:val="0"/>
              <w:overflowPunct/>
              <w:topLinePunct w:val="0"/>
              <w:autoSpaceDE w:val="0"/>
              <w:autoSpaceDN w:val="0"/>
              <w:bidi w:val="0"/>
              <w:adjustRightInd w:val="0"/>
              <w:snapToGrid w:val="0"/>
              <w:spacing w:line="240" w:lineRule="auto"/>
              <w:ind w:left="0"/>
              <w:textAlignment w:val="baseline"/>
              <w:rPr>
                <w:rFonts w:hint="default"/>
                <w:color w:val="auto"/>
                <w:highlight w:val="none"/>
                <w:lang w:val="en-US" w:eastAsia="zh-CN"/>
              </w:rPr>
            </w:pPr>
            <w:r>
              <w:rPr>
                <w:rFonts w:hint="eastAsia"/>
                <w:color w:val="auto"/>
                <w:highlight w:val="none"/>
              </w:rPr>
              <w:t>保证金数额：</w:t>
            </w:r>
            <w:r>
              <w:rPr>
                <w:rFonts w:hint="eastAsia"/>
                <w:color w:val="auto"/>
                <w:highlight w:val="none"/>
                <w:lang w:val="en-US" w:eastAsia="zh-CN"/>
              </w:rPr>
              <w:t>19500.00元（壹万玖仟伍佰元整）</w:t>
            </w:r>
          </w:p>
          <w:p w14:paraId="72C676CC">
            <w:pPr>
              <w:pStyle w:val="25"/>
              <w:keepNext w:val="0"/>
              <w:keepLines w:val="0"/>
              <w:pageBreakBefore w:val="0"/>
              <w:widowControl/>
              <w:shd w:val="clear"/>
              <w:kinsoku w:val="0"/>
              <w:wordWrap w:val="0"/>
              <w:overflowPunct/>
              <w:topLinePunct w:val="0"/>
              <w:autoSpaceDE w:val="0"/>
              <w:autoSpaceDN w:val="0"/>
              <w:bidi w:val="0"/>
              <w:adjustRightInd w:val="0"/>
              <w:snapToGrid w:val="0"/>
              <w:spacing w:line="240" w:lineRule="auto"/>
              <w:ind w:left="0"/>
              <w:textAlignment w:val="baseline"/>
              <w:rPr>
                <w:rFonts w:hint="eastAsia"/>
                <w:color w:val="auto"/>
                <w:highlight w:val="none"/>
              </w:rPr>
            </w:pPr>
            <w:r>
              <w:rPr>
                <w:rFonts w:hint="eastAsia"/>
                <w:color w:val="auto"/>
                <w:highlight w:val="none"/>
              </w:rPr>
              <w:t>开户单位名称：新疆新建联项目管理咨询有限公司</w:t>
            </w:r>
          </w:p>
          <w:p w14:paraId="498D6606">
            <w:pPr>
              <w:pStyle w:val="25"/>
              <w:keepNext w:val="0"/>
              <w:keepLines w:val="0"/>
              <w:pageBreakBefore w:val="0"/>
              <w:widowControl/>
              <w:shd w:val="clear"/>
              <w:kinsoku w:val="0"/>
              <w:wordWrap w:val="0"/>
              <w:overflowPunct/>
              <w:topLinePunct w:val="0"/>
              <w:autoSpaceDE w:val="0"/>
              <w:autoSpaceDN w:val="0"/>
              <w:bidi w:val="0"/>
              <w:adjustRightInd w:val="0"/>
              <w:snapToGrid w:val="0"/>
              <w:spacing w:line="240" w:lineRule="auto"/>
              <w:ind w:left="0"/>
              <w:textAlignment w:val="baseline"/>
              <w:rPr>
                <w:rFonts w:hint="eastAsia"/>
                <w:color w:val="auto"/>
                <w:highlight w:val="none"/>
              </w:rPr>
            </w:pPr>
            <w:r>
              <w:rPr>
                <w:rFonts w:hint="eastAsia"/>
                <w:color w:val="auto"/>
                <w:highlight w:val="none"/>
              </w:rPr>
              <w:t>开户行：中国工商银行</w:t>
            </w:r>
            <w:r>
              <w:rPr>
                <w:rFonts w:hint="eastAsia"/>
                <w:color w:val="auto"/>
                <w:highlight w:val="none"/>
                <w:lang w:val="en-US" w:eastAsia="zh-CN"/>
              </w:rPr>
              <w:t>有限公司</w:t>
            </w:r>
            <w:r>
              <w:rPr>
                <w:rFonts w:hint="eastAsia"/>
                <w:color w:val="auto"/>
                <w:highlight w:val="none"/>
              </w:rPr>
              <w:t>乌鲁木齐市中山路支行</w:t>
            </w:r>
          </w:p>
          <w:p w14:paraId="6D7195A8">
            <w:pPr>
              <w:pStyle w:val="25"/>
              <w:keepNext w:val="0"/>
              <w:keepLines w:val="0"/>
              <w:pageBreakBefore w:val="0"/>
              <w:widowControl/>
              <w:shd w:val="clear"/>
              <w:kinsoku w:val="0"/>
              <w:wordWrap w:val="0"/>
              <w:overflowPunct/>
              <w:topLinePunct w:val="0"/>
              <w:autoSpaceDE w:val="0"/>
              <w:autoSpaceDN w:val="0"/>
              <w:bidi w:val="0"/>
              <w:adjustRightInd w:val="0"/>
              <w:snapToGrid w:val="0"/>
              <w:spacing w:line="240" w:lineRule="auto"/>
              <w:ind w:left="0"/>
              <w:textAlignment w:val="baseline"/>
              <w:rPr>
                <w:rFonts w:hint="eastAsia"/>
                <w:color w:val="auto"/>
                <w:highlight w:val="none"/>
              </w:rPr>
            </w:pPr>
            <w:r>
              <w:rPr>
                <w:rFonts w:hint="eastAsia"/>
                <w:color w:val="auto"/>
                <w:highlight w:val="none"/>
                <w:lang w:eastAsia="zh-CN"/>
              </w:rPr>
              <w:t>银行账号：</w:t>
            </w:r>
            <w:r>
              <w:rPr>
                <w:rFonts w:hint="eastAsia"/>
                <w:color w:val="auto"/>
                <w:highlight w:val="none"/>
              </w:rPr>
              <w:t>3002010609024801713</w:t>
            </w:r>
          </w:p>
          <w:p w14:paraId="4E08CB0E">
            <w:pPr>
              <w:pStyle w:val="25"/>
              <w:keepNext w:val="0"/>
              <w:keepLines w:val="0"/>
              <w:pageBreakBefore w:val="0"/>
              <w:widowControl/>
              <w:shd w:val="clear"/>
              <w:kinsoku w:val="0"/>
              <w:wordWrap w:val="0"/>
              <w:overflowPunct/>
              <w:topLinePunct w:val="0"/>
              <w:autoSpaceDE w:val="0"/>
              <w:autoSpaceDN w:val="0"/>
              <w:bidi w:val="0"/>
              <w:adjustRightInd w:val="0"/>
              <w:snapToGrid w:val="0"/>
              <w:spacing w:line="240" w:lineRule="auto"/>
              <w:ind w:left="0"/>
              <w:textAlignment w:val="baseline"/>
              <w:rPr>
                <w:rFonts w:hint="eastAsia"/>
                <w:color w:val="auto"/>
                <w:highlight w:val="none"/>
              </w:rPr>
            </w:pPr>
            <w:r>
              <w:rPr>
                <w:rFonts w:hint="eastAsia"/>
                <w:color w:val="auto"/>
                <w:highlight w:val="none"/>
              </w:rPr>
              <w:t>行号：102881001021</w:t>
            </w:r>
          </w:p>
          <w:p w14:paraId="7C2819E4">
            <w:pPr>
              <w:pStyle w:val="25"/>
              <w:keepNext w:val="0"/>
              <w:keepLines w:val="0"/>
              <w:pageBreakBefore w:val="0"/>
              <w:widowControl/>
              <w:shd w:val="clear"/>
              <w:kinsoku w:val="0"/>
              <w:wordWrap w:val="0"/>
              <w:overflowPunct/>
              <w:topLinePunct w:val="0"/>
              <w:autoSpaceDE w:val="0"/>
              <w:autoSpaceDN w:val="0"/>
              <w:bidi w:val="0"/>
              <w:adjustRightInd w:val="0"/>
              <w:snapToGrid w:val="0"/>
              <w:spacing w:line="240" w:lineRule="auto"/>
              <w:ind w:left="0"/>
              <w:textAlignment w:val="baseline"/>
              <w:rPr>
                <w:rFonts w:hint="eastAsia"/>
                <w:color w:val="auto"/>
                <w:highlight w:val="none"/>
              </w:rPr>
            </w:pPr>
            <w:r>
              <w:rPr>
                <w:rFonts w:hint="eastAsia"/>
                <w:color w:val="auto"/>
                <w:highlight w:val="none"/>
              </w:rPr>
              <w:t>注：</w:t>
            </w:r>
          </w:p>
          <w:p w14:paraId="6FD4D50B">
            <w:pPr>
              <w:pStyle w:val="25"/>
              <w:keepNext w:val="0"/>
              <w:keepLines w:val="0"/>
              <w:pageBreakBefore w:val="0"/>
              <w:widowControl/>
              <w:shd w:val="clear"/>
              <w:kinsoku w:val="0"/>
              <w:wordWrap w:val="0"/>
              <w:overflowPunct/>
              <w:topLinePunct w:val="0"/>
              <w:autoSpaceDE w:val="0"/>
              <w:autoSpaceDN w:val="0"/>
              <w:bidi w:val="0"/>
              <w:adjustRightInd w:val="0"/>
              <w:snapToGrid w:val="0"/>
              <w:spacing w:line="240" w:lineRule="auto"/>
              <w:ind w:left="0"/>
              <w:textAlignment w:val="baseline"/>
              <w:rPr>
                <w:rFonts w:hint="eastAsia"/>
                <w:color w:val="auto"/>
                <w:highlight w:val="none"/>
              </w:rPr>
            </w:pPr>
            <w:r>
              <w:rPr>
                <w:rFonts w:hint="eastAsia"/>
                <w:color w:val="auto"/>
                <w:highlight w:val="none"/>
              </w:rPr>
              <w:t>1）从投标人账户以银行电汇或网银形式汇至投标保证金专用账户，投标人提交投标保证金应充分考虑资金在途时间</w:t>
            </w:r>
            <w:r>
              <w:rPr>
                <w:rFonts w:hint="eastAsia"/>
                <w:color w:val="auto"/>
                <w:highlight w:val="none"/>
                <w:lang w:eastAsia="zh-CN"/>
              </w:rPr>
              <w:t>，</w:t>
            </w:r>
            <w:r>
              <w:rPr>
                <w:rFonts w:hint="eastAsia"/>
                <w:color w:val="auto"/>
                <w:highlight w:val="none"/>
              </w:rPr>
              <w:t>保证金须在投标截止时间前到账</w:t>
            </w:r>
            <w:r>
              <w:rPr>
                <w:rFonts w:hint="eastAsia"/>
                <w:color w:val="auto"/>
                <w:highlight w:val="none"/>
                <w:lang w:eastAsia="zh-CN"/>
              </w:rPr>
              <w:t>，</w:t>
            </w:r>
            <w:r>
              <w:rPr>
                <w:rFonts w:hint="eastAsia"/>
                <w:color w:val="auto"/>
                <w:highlight w:val="none"/>
                <w:lang w:val="en-US" w:eastAsia="zh-CN"/>
              </w:rPr>
              <w:t>转账时需备注项目简称+项目编号+标项号保证金</w:t>
            </w:r>
            <w:r>
              <w:rPr>
                <w:rFonts w:hint="eastAsia"/>
                <w:color w:val="auto"/>
                <w:highlight w:val="none"/>
              </w:rPr>
              <w:t>。</w:t>
            </w:r>
          </w:p>
          <w:p w14:paraId="4D8E628B">
            <w:pPr>
              <w:pStyle w:val="25"/>
              <w:keepNext w:val="0"/>
              <w:keepLines w:val="0"/>
              <w:pageBreakBefore w:val="0"/>
              <w:widowControl/>
              <w:shd w:val="clear"/>
              <w:kinsoku w:val="0"/>
              <w:wordWrap w:val="0"/>
              <w:overflowPunct/>
              <w:topLinePunct w:val="0"/>
              <w:autoSpaceDE w:val="0"/>
              <w:autoSpaceDN w:val="0"/>
              <w:bidi w:val="0"/>
              <w:adjustRightInd w:val="0"/>
              <w:snapToGrid w:val="0"/>
              <w:spacing w:line="240" w:lineRule="auto"/>
              <w:ind w:left="0"/>
              <w:textAlignment w:val="baseline"/>
              <w:rPr>
                <w:rFonts w:hint="eastAsia"/>
                <w:color w:val="auto"/>
                <w:highlight w:val="none"/>
              </w:rPr>
            </w:pPr>
            <w:r>
              <w:rPr>
                <w:rFonts w:hint="eastAsia"/>
                <w:color w:val="auto"/>
                <w:highlight w:val="none"/>
                <w:lang w:val="en-US" w:eastAsia="zh-CN"/>
              </w:rPr>
              <w:t>2</w:t>
            </w:r>
            <w:r>
              <w:rPr>
                <w:rFonts w:hint="eastAsia"/>
                <w:color w:val="auto"/>
                <w:highlight w:val="none"/>
              </w:rPr>
              <w:t>）投标保证金有效期与投标有效期一致，投标文件中须提供加盖投标人公章的转账凭证或保证金收据证明材料复印件；</w:t>
            </w:r>
          </w:p>
          <w:p w14:paraId="4FCE81D5">
            <w:pPr>
              <w:pStyle w:val="25"/>
              <w:keepNext w:val="0"/>
              <w:keepLines w:val="0"/>
              <w:pageBreakBefore w:val="0"/>
              <w:widowControl/>
              <w:shd w:val="clear"/>
              <w:kinsoku w:val="0"/>
              <w:wordWrap w:val="0"/>
              <w:overflowPunct/>
              <w:topLinePunct w:val="0"/>
              <w:autoSpaceDE w:val="0"/>
              <w:autoSpaceDN w:val="0"/>
              <w:bidi w:val="0"/>
              <w:adjustRightInd w:val="0"/>
              <w:snapToGrid w:val="0"/>
              <w:spacing w:line="240" w:lineRule="auto"/>
              <w:ind w:left="0"/>
              <w:textAlignment w:val="baseline"/>
              <w:rPr>
                <w:rFonts w:hint="eastAsia"/>
                <w:color w:val="auto"/>
                <w:highlight w:val="none"/>
              </w:rPr>
            </w:pPr>
            <w:r>
              <w:rPr>
                <w:rFonts w:hint="eastAsia"/>
                <w:color w:val="auto"/>
                <w:highlight w:val="none"/>
                <w:lang w:val="en-US" w:eastAsia="zh-CN"/>
              </w:rPr>
              <w:t>3</w:t>
            </w:r>
            <w:r>
              <w:rPr>
                <w:rFonts w:hint="eastAsia"/>
                <w:color w:val="auto"/>
                <w:highlight w:val="none"/>
              </w:rPr>
              <w:t>）开标前投标人不能按照招标文件要求缴纳投标保证金的，投标文件将被拒绝；</w:t>
            </w:r>
          </w:p>
          <w:p w14:paraId="3DE828B9">
            <w:pPr>
              <w:pStyle w:val="25"/>
              <w:keepNext w:val="0"/>
              <w:keepLines w:val="0"/>
              <w:pageBreakBefore w:val="0"/>
              <w:widowControl/>
              <w:shd w:val="clear"/>
              <w:kinsoku w:val="0"/>
              <w:wordWrap w:val="0"/>
              <w:overflowPunct/>
              <w:topLinePunct w:val="0"/>
              <w:autoSpaceDE w:val="0"/>
              <w:autoSpaceDN w:val="0"/>
              <w:bidi w:val="0"/>
              <w:adjustRightInd w:val="0"/>
              <w:snapToGrid w:val="0"/>
              <w:spacing w:line="240" w:lineRule="auto"/>
              <w:ind w:left="0"/>
              <w:textAlignment w:val="baseline"/>
              <w:rPr>
                <w:rFonts w:hint="default"/>
                <w:color w:val="auto"/>
                <w:highlight w:val="none"/>
                <w:lang w:val="en-US"/>
              </w:rPr>
            </w:pPr>
            <w:r>
              <w:rPr>
                <w:rFonts w:hint="eastAsia"/>
                <w:color w:val="auto"/>
                <w:highlight w:val="none"/>
                <w:lang w:val="en-US" w:eastAsia="zh-CN"/>
              </w:rPr>
              <w:t>4</w:t>
            </w:r>
            <w:r>
              <w:rPr>
                <w:rFonts w:hint="eastAsia"/>
                <w:color w:val="auto"/>
                <w:highlight w:val="none"/>
              </w:rPr>
              <w:t>）退保金流程：投标单位</w:t>
            </w:r>
            <w:r>
              <w:rPr>
                <w:rFonts w:hint="eastAsia"/>
                <w:color w:val="auto"/>
                <w:highlight w:val="none"/>
                <w:lang w:val="en-US" w:eastAsia="zh-CN"/>
              </w:rPr>
              <w:t>提供账户信息</w:t>
            </w:r>
            <w:r>
              <w:rPr>
                <w:rFonts w:hint="eastAsia"/>
                <w:color w:val="auto"/>
                <w:highlight w:val="none"/>
              </w:rPr>
              <w:t>，</w:t>
            </w:r>
            <w:r>
              <w:rPr>
                <w:rFonts w:hint="eastAsia"/>
                <w:color w:val="auto"/>
                <w:highlight w:val="none"/>
                <w:lang w:val="en-US" w:eastAsia="zh-CN"/>
              </w:rPr>
              <w:t>每周四周五进行保证金退还</w:t>
            </w:r>
            <w:r>
              <w:rPr>
                <w:rFonts w:hint="eastAsia"/>
                <w:color w:val="auto"/>
                <w:highlight w:val="none"/>
              </w:rPr>
              <w:t>。</w:t>
            </w:r>
          </w:p>
          <w:p w14:paraId="61BE05A3">
            <w:pPr>
              <w:pStyle w:val="25"/>
              <w:keepNext w:val="0"/>
              <w:keepLines w:val="0"/>
              <w:pageBreakBefore w:val="0"/>
              <w:shd w:val="clear"/>
              <w:kinsoku/>
              <w:wordWrap w:val="0"/>
              <w:overflowPunct/>
              <w:topLinePunct w:val="0"/>
              <w:bidi w:val="0"/>
              <w:spacing w:line="240" w:lineRule="auto"/>
              <w:ind w:left="0" w:leftChars="0" w:right="0" w:rightChars="0" w:firstLine="0" w:firstLineChars="0"/>
              <w:jc w:val="both"/>
              <w:rPr>
                <w:rFonts w:ascii="仿宋" w:hAnsi="仿宋" w:eastAsia="仿宋" w:cs="仿宋"/>
                <w:snapToGrid w:val="0"/>
                <w:color w:val="auto"/>
                <w:kern w:val="0"/>
                <w:sz w:val="24"/>
                <w:szCs w:val="24"/>
                <w:highlight w:val="none"/>
                <w:lang w:val="en-US" w:eastAsia="en-US" w:bidi="ar-SA"/>
              </w:rPr>
            </w:pPr>
            <w:r>
              <w:rPr>
                <w:rFonts w:hint="eastAsia"/>
                <w:color w:val="auto"/>
                <w:highlight w:val="none"/>
                <w:lang w:val="en-US" w:eastAsia="zh-CN"/>
              </w:rPr>
              <w:t>5</w:t>
            </w:r>
            <w:r>
              <w:rPr>
                <w:rFonts w:hint="eastAsia"/>
                <w:color w:val="auto"/>
                <w:highlight w:val="none"/>
              </w:rPr>
              <w:t>）财务电话：0991-4181876</w:t>
            </w:r>
          </w:p>
        </w:tc>
      </w:tr>
      <w:tr w14:paraId="3AD24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29ED3A0D">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1"/>
                <w:highlight w:val="none"/>
              </w:rPr>
              <w:t>21</w:t>
            </w:r>
          </w:p>
        </w:tc>
        <w:tc>
          <w:tcPr>
            <w:tcW w:w="1583" w:type="dxa"/>
            <w:shd w:val="clear" w:color="auto" w:fill="auto"/>
            <w:vAlign w:val="center"/>
          </w:tcPr>
          <w:p w14:paraId="5CC0E6BF">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5"/>
                <w:highlight w:val="none"/>
              </w:rPr>
              <w:t>评标办法</w:t>
            </w:r>
          </w:p>
        </w:tc>
        <w:tc>
          <w:tcPr>
            <w:tcW w:w="5998" w:type="dxa"/>
            <w:tcBorders>
              <w:right w:val="single" w:color="000000" w:sz="2" w:space="0"/>
            </w:tcBorders>
            <w:shd w:val="clear" w:color="auto" w:fill="auto"/>
            <w:vAlign w:val="center"/>
          </w:tcPr>
          <w:p w14:paraId="5DC687FB">
            <w:pPr>
              <w:pStyle w:val="25"/>
              <w:keepNext w:val="0"/>
              <w:keepLines w:val="0"/>
              <w:pageBreakBefore w:val="0"/>
              <w:shd w:val="clear"/>
              <w:kinsoku/>
              <w:wordWrap w:val="0"/>
              <w:overflowPunct/>
              <w:topLinePunct w:val="0"/>
              <w:bidi w:val="0"/>
              <w:spacing w:line="240" w:lineRule="auto"/>
              <w:ind w:left="0" w:leftChars="0" w:right="0" w:firstLine="0"/>
              <w:jc w:val="both"/>
              <w:rPr>
                <w:rFonts w:ascii="仿宋" w:hAnsi="仿宋" w:eastAsia="仿宋" w:cs="仿宋"/>
                <w:snapToGrid w:val="0"/>
                <w:color w:val="auto"/>
                <w:kern w:val="0"/>
                <w:sz w:val="24"/>
                <w:szCs w:val="24"/>
                <w:highlight w:val="none"/>
                <w:lang w:val="en-US" w:eastAsia="en-US" w:bidi="ar-SA"/>
              </w:rPr>
            </w:pPr>
            <w:r>
              <w:rPr>
                <w:color w:val="auto"/>
                <w:spacing w:val="-1"/>
                <w:highlight w:val="none"/>
              </w:rPr>
              <w:t>本项目评审采用：综合评分法</w:t>
            </w:r>
          </w:p>
        </w:tc>
      </w:tr>
      <w:tr w14:paraId="0BF15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4764261B">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1"/>
                <w:highlight w:val="none"/>
              </w:rPr>
              <w:t>22</w:t>
            </w:r>
          </w:p>
        </w:tc>
        <w:tc>
          <w:tcPr>
            <w:tcW w:w="1583" w:type="dxa"/>
            <w:shd w:val="clear" w:color="auto" w:fill="auto"/>
            <w:vAlign w:val="center"/>
          </w:tcPr>
          <w:p w14:paraId="36F15DD4">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5"/>
                <w:highlight w:val="none"/>
              </w:rPr>
              <w:t>投标有效期</w:t>
            </w:r>
          </w:p>
        </w:tc>
        <w:tc>
          <w:tcPr>
            <w:tcW w:w="5998" w:type="dxa"/>
            <w:tcBorders>
              <w:right w:val="single" w:color="000000" w:sz="2" w:space="0"/>
            </w:tcBorders>
            <w:shd w:val="clear" w:color="auto" w:fill="auto"/>
            <w:vAlign w:val="center"/>
          </w:tcPr>
          <w:p w14:paraId="149A92A4">
            <w:pPr>
              <w:pStyle w:val="25"/>
              <w:keepNext w:val="0"/>
              <w:keepLines w:val="0"/>
              <w:pageBreakBefore w:val="0"/>
              <w:shd w:val="clear"/>
              <w:kinsoku/>
              <w:wordWrap w:val="0"/>
              <w:overflowPunct/>
              <w:topLinePunct w:val="0"/>
              <w:bidi w:val="0"/>
              <w:spacing w:line="240" w:lineRule="auto"/>
              <w:ind w:left="0" w:leftChars="0" w:right="0" w:firstLine="0"/>
              <w:jc w:val="both"/>
              <w:rPr>
                <w:rFonts w:ascii="仿宋" w:hAnsi="仿宋" w:eastAsia="仿宋" w:cs="仿宋"/>
                <w:snapToGrid w:val="0"/>
                <w:color w:val="auto"/>
                <w:kern w:val="0"/>
                <w:sz w:val="24"/>
                <w:szCs w:val="24"/>
                <w:highlight w:val="none"/>
                <w:lang w:val="en-US" w:eastAsia="en-US" w:bidi="ar-SA"/>
              </w:rPr>
            </w:pPr>
            <w:r>
              <w:rPr>
                <w:color w:val="auto"/>
                <w:spacing w:val="-4"/>
                <w:highlight w:val="none"/>
              </w:rPr>
              <w:t>自投标截止之日起</w:t>
            </w:r>
            <w:r>
              <w:rPr>
                <w:color w:val="auto"/>
                <w:spacing w:val="-4"/>
                <w:highlight w:val="none"/>
                <w:u w:val="single" w:color="auto"/>
              </w:rPr>
              <w:t>90</w:t>
            </w:r>
            <w:r>
              <w:rPr>
                <w:color w:val="auto"/>
                <w:spacing w:val="-4"/>
                <w:highlight w:val="none"/>
              </w:rPr>
              <w:t>个日历天。</w:t>
            </w:r>
          </w:p>
        </w:tc>
      </w:tr>
      <w:tr w14:paraId="1BC1E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5711AC95">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1"/>
                <w:highlight w:val="none"/>
              </w:rPr>
              <w:t>23</w:t>
            </w:r>
          </w:p>
        </w:tc>
        <w:tc>
          <w:tcPr>
            <w:tcW w:w="1583" w:type="dxa"/>
            <w:shd w:val="clear" w:color="auto" w:fill="auto"/>
            <w:vAlign w:val="center"/>
          </w:tcPr>
          <w:p w14:paraId="3BF26B35">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评标委员会</w:t>
            </w:r>
          </w:p>
        </w:tc>
        <w:tc>
          <w:tcPr>
            <w:tcW w:w="5998" w:type="dxa"/>
            <w:tcBorders>
              <w:right w:val="single" w:color="000000" w:sz="2" w:space="0"/>
            </w:tcBorders>
            <w:shd w:val="clear" w:color="auto" w:fill="auto"/>
            <w:vAlign w:val="top"/>
          </w:tcPr>
          <w:p w14:paraId="18E5381A">
            <w:pPr>
              <w:pStyle w:val="25"/>
              <w:keepNext w:val="0"/>
              <w:keepLines w:val="0"/>
              <w:pageBreakBefore w:val="0"/>
              <w:shd w:val="clear"/>
              <w:kinsoku/>
              <w:wordWrap w:val="0"/>
              <w:overflowPunct/>
              <w:topLinePunct w:val="0"/>
              <w:bidi w:val="0"/>
              <w:spacing w:line="240" w:lineRule="auto"/>
              <w:ind w:left="0" w:leftChars="0" w:right="0" w:rightChars="0" w:firstLine="0"/>
              <w:rPr>
                <w:rFonts w:ascii="仿宋" w:hAnsi="仿宋" w:eastAsia="仿宋" w:cs="仿宋"/>
                <w:snapToGrid w:val="0"/>
                <w:color w:val="auto"/>
                <w:kern w:val="0"/>
                <w:sz w:val="24"/>
                <w:szCs w:val="24"/>
                <w:highlight w:val="none"/>
                <w:lang w:val="en-US" w:eastAsia="en-US" w:bidi="ar-SA"/>
              </w:rPr>
            </w:pPr>
            <w:r>
              <w:rPr>
                <w:color w:val="auto"/>
                <w:highlight w:val="none"/>
              </w:rPr>
              <w:t>采购单位依法组建评标委员会共</w:t>
            </w:r>
            <w:r>
              <w:rPr>
                <w:color w:val="auto"/>
                <w:highlight w:val="none"/>
                <w:u w:val="single" w:color="auto"/>
              </w:rPr>
              <w:t>5</w:t>
            </w:r>
            <w:r>
              <w:rPr>
                <w:color w:val="auto"/>
                <w:highlight w:val="none"/>
              </w:rPr>
              <w:t>人组成，其中：采购人</w:t>
            </w:r>
            <w:r>
              <w:rPr>
                <w:color w:val="auto"/>
                <w:spacing w:val="-7"/>
                <w:highlight w:val="none"/>
              </w:rPr>
              <w:t>代表</w:t>
            </w:r>
            <w:r>
              <w:rPr>
                <w:rFonts w:hint="eastAsia"/>
                <w:color w:val="auto"/>
                <w:spacing w:val="-7"/>
                <w:highlight w:val="none"/>
                <w:u w:val="single" w:color="auto"/>
                <w:lang w:val="en-US" w:eastAsia="zh-CN"/>
              </w:rPr>
              <w:t>0</w:t>
            </w:r>
            <w:r>
              <w:rPr>
                <w:color w:val="auto"/>
                <w:spacing w:val="-7"/>
                <w:highlight w:val="none"/>
              </w:rPr>
              <w:t>人，评标专家</w:t>
            </w:r>
            <w:r>
              <w:rPr>
                <w:rFonts w:hint="eastAsia"/>
                <w:color w:val="auto"/>
                <w:spacing w:val="-7"/>
                <w:highlight w:val="none"/>
                <w:u w:val="single" w:color="auto"/>
                <w:lang w:val="en-US" w:eastAsia="zh-CN"/>
              </w:rPr>
              <w:t>5</w:t>
            </w:r>
            <w:r>
              <w:rPr>
                <w:color w:val="auto"/>
                <w:spacing w:val="-7"/>
                <w:highlight w:val="none"/>
              </w:rPr>
              <w:t>人。</w:t>
            </w:r>
          </w:p>
        </w:tc>
      </w:tr>
      <w:tr w14:paraId="70F8B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17F4F7AD">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1"/>
                <w:highlight w:val="none"/>
              </w:rPr>
              <w:t>24</w:t>
            </w:r>
          </w:p>
        </w:tc>
        <w:tc>
          <w:tcPr>
            <w:tcW w:w="1583" w:type="dxa"/>
            <w:shd w:val="clear" w:color="auto" w:fill="auto"/>
            <w:vAlign w:val="center"/>
          </w:tcPr>
          <w:p w14:paraId="217E32B8">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8"/>
                <w:highlight w:val="none"/>
              </w:rPr>
              <w:t>中标人确定方式</w:t>
            </w:r>
          </w:p>
        </w:tc>
        <w:tc>
          <w:tcPr>
            <w:tcW w:w="5998" w:type="dxa"/>
            <w:tcBorders>
              <w:right w:val="single" w:color="000000" w:sz="2" w:space="0"/>
            </w:tcBorders>
            <w:shd w:val="clear" w:color="auto" w:fill="auto"/>
            <w:vAlign w:val="top"/>
          </w:tcPr>
          <w:p w14:paraId="60090E41">
            <w:pPr>
              <w:pStyle w:val="25"/>
              <w:keepNext w:val="0"/>
              <w:keepLines w:val="0"/>
              <w:pageBreakBefore w:val="0"/>
              <w:widowControl/>
              <w:shd w:val="clear"/>
              <w:kinsoku w:val="0"/>
              <w:wordWrap w:val="0"/>
              <w:overflowPunct/>
              <w:topLinePunct w:val="0"/>
              <w:autoSpaceDE w:val="0"/>
              <w:autoSpaceDN w:val="0"/>
              <w:bidi w:val="0"/>
              <w:adjustRightInd w:val="0"/>
              <w:snapToGrid w:val="0"/>
              <w:spacing w:before="34"/>
              <w:ind w:left="115" w:right="117" w:firstLine="7"/>
              <w:textAlignment w:val="baseline"/>
              <w:rPr>
                <w:color w:val="auto"/>
                <w:highlight w:val="none"/>
              </w:rPr>
            </w:pPr>
            <w:r>
              <w:rPr>
                <w:rFonts w:ascii="MS UI Gothic" w:hAnsi="MS UI Gothic" w:eastAsia="MS UI Gothic" w:cs="MS UI Gothic"/>
                <w:color w:val="auto"/>
                <w:spacing w:val="-1"/>
                <w:highlight w:val="none"/>
              </w:rPr>
              <w:t>☑</w:t>
            </w:r>
            <w:r>
              <w:rPr>
                <w:color w:val="auto"/>
                <w:spacing w:val="-1"/>
                <w:highlight w:val="none"/>
              </w:rPr>
              <w:t>评标委员会确定</w:t>
            </w:r>
            <w:r>
              <w:rPr>
                <w:color w:val="auto"/>
                <w:spacing w:val="-1"/>
                <w:highlight w:val="none"/>
                <w:u w:val="single" w:color="auto"/>
              </w:rPr>
              <w:t>3</w:t>
            </w:r>
            <w:r>
              <w:rPr>
                <w:color w:val="auto"/>
                <w:spacing w:val="-1"/>
                <w:highlight w:val="none"/>
              </w:rPr>
              <w:t>名中标候选人，采购人按照中标候选人排名顺序，确定排名第一的为中标人。</w:t>
            </w:r>
          </w:p>
          <w:p w14:paraId="4E375AAD">
            <w:pPr>
              <w:pStyle w:val="25"/>
              <w:keepNext w:val="0"/>
              <w:keepLines w:val="0"/>
              <w:pageBreakBefore w:val="0"/>
              <w:widowControl/>
              <w:shd w:val="clear"/>
              <w:kinsoku w:val="0"/>
              <w:wordWrap w:val="0"/>
              <w:overflowPunct/>
              <w:topLinePunct w:val="0"/>
              <w:autoSpaceDE w:val="0"/>
              <w:autoSpaceDN w:val="0"/>
              <w:bidi w:val="0"/>
              <w:adjustRightInd w:val="0"/>
              <w:snapToGrid w:val="0"/>
              <w:ind w:left="109" w:right="117" w:firstLine="31"/>
              <w:textAlignment w:val="baseline"/>
              <w:rPr>
                <w:color w:val="auto"/>
                <w:highlight w:val="none"/>
              </w:rPr>
            </w:pPr>
            <w:r>
              <w:rPr>
                <w:color w:val="auto"/>
                <w:highlight w:val="none"/>
              </w:rPr>
              <w:t>□评标委员会确定</w:t>
            </w:r>
            <w:r>
              <w:rPr>
                <w:rFonts w:hint="eastAsia"/>
                <w:color w:val="auto"/>
                <w:highlight w:val="none"/>
                <w:u w:val="single" w:color="auto"/>
                <w:lang w:val="en-US" w:eastAsia="zh-CN"/>
              </w:rPr>
              <w:t xml:space="preserve"> </w:t>
            </w:r>
            <w:r>
              <w:rPr>
                <w:color w:val="auto"/>
                <w:spacing w:val="1"/>
                <w:highlight w:val="none"/>
                <w:u w:val="single" w:color="auto"/>
              </w:rPr>
              <w:t xml:space="preserve">  </w:t>
            </w:r>
            <w:r>
              <w:rPr>
                <w:color w:val="auto"/>
                <w:highlight w:val="none"/>
              </w:rPr>
              <w:t>名中标候选人，并按照中标</w:t>
            </w:r>
            <w:r>
              <w:rPr>
                <w:color w:val="auto"/>
                <w:spacing w:val="-1"/>
                <w:highlight w:val="none"/>
              </w:rPr>
              <w:t>候选人排名顺序，确定排名第一的为中标人。</w:t>
            </w:r>
          </w:p>
          <w:p w14:paraId="16ABDB9E">
            <w:pPr>
              <w:pStyle w:val="25"/>
              <w:keepNext w:val="0"/>
              <w:keepLines w:val="0"/>
              <w:pageBreakBefore w:val="0"/>
              <w:shd w:val="clear"/>
              <w:kinsoku/>
              <w:wordWrap w:val="0"/>
              <w:overflowPunct/>
              <w:topLinePunct w:val="0"/>
              <w:bidi w:val="0"/>
              <w:spacing w:line="240" w:lineRule="auto"/>
              <w:ind w:left="0" w:leftChars="0" w:right="0" w:rightChars="0" w:firstLine="0" w:firstLineChars="0"/>
              <w:rPr>
                <w:rFonts w:ascii="仿宋" w:hAnsi="仿宋" w:eastAsia="仿宋" w:cs="仿宋"/>
                <w:snapToGrid w:val="0"/>
                <w:color w:val="auto"/>
                <w:kern w:val="0"/>
                <w:sz w:val="24"/>
                <w:szCs w:val="24"/>
                <w:highlight w:val="none"/>
                <w:lang w:val="en-US" w:eastAsia="en-US" w:bidi="ar-SA"/>
              </w:rPr>
            </w:pPr>
            <w:r>
              <w:rPr>
                <w:b/>
                <w:bCs/>
                <w:color w:val="auto"/>
                <w:spacing w:val="1"/>
                <w:highlight w:val="none"/>
              </w:rPr>
              <w:t>注：</w:t>
            </w:r>
            <w:r>
              <w:rPr>
                <w:color w:val="auto"/>
                <w:spacing w:val="1"/>
                <w:highlight w:val="none"/>
              </w:rPr>
              <w:t>根据《中华人民共和国政府采购法实施条例》第四十</w:t>
            </w:r>
            <w:r>
              <w:rPr>
                <w:color w:val="auto"/>
                <w:spacing w:val="-6"/>
                <w:highlight w:val="none"/>
              </w:rPr>
              <w:t>九条规定，中标或者成交供应商拒绝与采购人签订合同的，</w:t>
            </w:r>
            <w:r>
              <w:rPr>
                <w:color w:val="auto"/>
                <w:spacing w:val="1"/>
                <w:highlight w:val="none"/>
              </w:rPr>
              <w:t>采购人可以按评审报告推荐的中标或者成交候选人名单排序，确定下一候选人为中标或者成交供应商，也可以重新</w:t>
            </w:r>
            <w:r>
              <w:rPr>
                <w:color w:val="auto"/>
                <w:spacing w:val="-1"/>
                <w:highlight w:val="none"/>
              </w:rPr>
              <w:t>开展政府采购活动。</w:t>
            </w:r>
          </w:p>
        </w:tc>
      </w:tr>
      <w:tr w14:paraId="577BB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20EE5BDF">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1"/>
                <w:highlight w:val="none"/>
              </w:rPr>
              <w:t>25</w:t>
            </w:r>
          </w:p>
        </w:tc>
        <w:tc>
          <w:tcPr>
            <w:tcW w:w="1583" w:type="dxa"/>
            <w:shd w:val="clear" w:color="auto" w:fill="auto"/>
            <w:vAlign w:val="center"/>
          </w:tcPr>
          <w:p w14:paraId="1CF1D59E">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5"/>
                <w:highlight w:val="none"/>
              </w:rPr>
              <w:t>合同分包</w:t>
            </w:r>
          </w:p>
        </w:tc>
        <w:tc>
          <w:tcPr>
            <w:tcW w:w="5998" w:type="dxa"/>
            <w:tcBorders>
              <w:right w:val="single" w:color="000000" w:sz="2" w:space="0"/>
            </w:tcBorders>
            <w:shd w:val="clear" w:color="auto" w:fill="auto"/>
            <w:vAlign w:val="center"/>
          </w:tcPr>
          <w:p w14:paraId="22F58DF7">
            <w:pPr>
              <w:pStyle w:val="25"/>
              <w:keepNext w:val="0"/>
              <w:keepLines w:val="0"/>
              <w:pageBreakBefore w:val="0"/>
              <w:shd w:val="clear"/>
              <w:kinsoku/>
              <w:wordWrap w:val="0"/>
              <w:overflowPunct/>
              <w:topLinePunct w:val="0"/>
              <w:bidi w:val="0"/>
              <w:spacing w:line="240" w:lineRule="auto"/>
              <w:ind w:left="0" w:leftChars="0" w:right="0" w:firstLine="0"/>
              <w:jc w:val="both"/>
              <w:rPr>
                <w:rFonts w:ascii="仿宋" w:hAnsi="仿宋" w:eastAsia="仿宋" w:cs="仿宋"/>
                <w:snapToGrid w:val="0"/>
                <w:color w:val="auto"/>
                <w:kern w:val="0"/>
                <w:sz w:val="24"/>
                <w:szCs w:val="24"/>
                <w:highlight w:val="none"/>
                <w:lang w:val="en-US" w:eastAsia="en-US" w:bidi="ar-SA"/>
              </w:rPr>
            </w:pPr>
            <w:r>
              <w:rPr>
                <w:color w:val="auto"/>
                <w:spacing w:val="-1"/>
                <w:highlight w:val="none"/>
              </w:rPr>
              <w:t>本项目</w:t>
            </w:r>
            <w:r>
              <w:rPr>
                <w:color w:val="auto"/>
                <w:spacing w:val="-1"/>
                <w:highlight w:val="none"/>
                <w:u w:val="single" w:color="auto"/>
              </w:rPr>
              <w:t>不接受</w:t>
            </w:r>
            <w:r>
              <w:rPr>
                <w:color w:val="auto"/>
                <w:spacing w:val="-1"/>
                <w:highlight w:val="none"/>
              </w:rPr>
              <w:t>合同分包。</w:t>
            </w:r>
          </w:p>
        </w:tc>
      </w:tr>
      <w:tr w14:paraId="69ED6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75329B3E">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1"/>
                <w:highlight w:val="none"/>
              </w:rPr>
              <w:t>26</w:t>
            </w:r>
          </w:p>
        </w:tc>
        <w:tc>
          <w:tcPr>
            <w:tcW w:w="1583" w:type="dxa"/>
            <w:shd w:val="clear" w:color="auto" w:fill="auto"/>
            <w:vAlign w:val="center"/>
          </w:tcPr>
          <w:p w14:paraId="17F4B115">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2"/>
                <w:highlight w:val="none"/>
              </w:rPr>
              <w:t>中标公告</w:t>
            </w:r>
          </w:p>
        </w:tc>
        <w:tc>
          <w:tcPr>
            <w:tcW w:w="5998" w:type="dxa"/>
            <w:tcBorders>
              <w:right w:val="single" w:color="000000" w:sz="2" w:space="0"/>
            </w:tcBorders>
            <w:shd w:val="clear" w:color="auto" w:fill="auto"/>
            <w:vAlign w:val="top"/>
          </w:tcPr>
          <w:p w14:paraId="2848898B">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color w:val="auto"/>
                <w:spacing w:val="-2"/>
                <w:highlight w:val="none"/>
              </w:rPr>
              <w:t>中标结果在新疆政府采购网</w:t>
            </w:r>
            <w:r>
              <w:rPr>
                <w:color w:val="auto"/>
                <w:spacing w:val="-3"/>
                <w:highlight w:val="none"/>
              </w:rPr>
              <w:t>公告，</w:t>
            </w:r>
            <w:r>
              <w:rPr>
                <w:color w:val="auto"/>
                <w:spacing w:val="-5"/>
                <w:highlight w:val="none"/>
              </w:rPr>
              <w:t>公告期限为1个工作日。</w:t>
            </w:r>
          </w:p>
          <w:p w14:paraId="2BE42C3B">
            <w:pPr>
              <w:pStyle w:val="25"/>
              <w:keepNext w:val="0"/>
              <w:keepLines w:val="0"/>
              <w:pageBreakBefore w:val="0"/>
              <w:shd w:val="clear"/>
              <w:kinsoku/>
              <w:wordWrap w:val="0"/>
              <w:overflowPunct/>
              <w:topLinePunct w:val="0"/>
              <w:bidi w:val="0"/>
              <w:spacing w:line="240" w:lineRule="auto"/>
              <w:ind w:left="0" w:leftChars="0" w:right="0" w:rightChars="0" w:firstLine="0" w:firstLineChars="0"/>
              <w:rPr>
                <w:rFonts w:ascii="仿宋" w:hAnsi="仿宋" w:eastAsia="仿宋" w:cs="仿宋"/>
                <w:snapToGrid w:val="0"/>
                <w:color w:val="auto"/>
                <w:kern w:val="0"/>
                <w:sz w:val="24"/>
                <w:szCs w:val="24"/>
                <w:highlight w:val="none"/>
                <w:lang w:val="en-US" w:eastAsia="en-US" w:bidi="ar-SA"/>
              </w:rPr>
            </w:pPr>
            <w:r>
              <w:rPr>
                <w:color w:val="auto"/>
                <w:highlight w:val="none"/>
              </w:rPr>
              <w:t>中标结果公告中，同时对中标投标人提供的中小企业声明</w:t>
            </w:r>
            <w:r>
              <w:rPr>
                <w:color w:val="auto"/>
                <w:spacing w:val="-4"/>
                <w:highlight w:val="none"/>
              </w:rPr>
              <w:t>函（若有）进行公告。</w:t>
            </w:r>
          </w:p>
        </w:tc>
      </w:tr>
      <w:tr w14:paraId="4D51A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145421B4">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2"/>
                <w:highlight w:val="none"/>
              </w:rPr>
              <w:t>27</w:t>
            </w:r>
          </w:p>
        </w:tc>
        <w:tc>
          <w:tcPr>
            <w:tcW w:w="1583" w:type="dxa"/>
            <w:shd w:val="clear" w:color="auto" w:fill="auto"/>
            <w:vAlign w:val="center"/>
          </w:tcPr>
          <w:p w14:paraId="6871D0F9">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7"/>
                <w:highlight w:val="none"/>
              </w:rPr>
              <w:t>踏勘现场</w:t>
            </w:r>
          </w:p>
        </w:tc>
        <w:tc>
          <w:tcPr>
            <w:tcW w:w="5998" w:type="dxa"/>
            <w:tcBorders>
              <w:right w:val="single" w:color="000000" w:sz="2" w:space="0"/>
            </w:tcBorders>
            <w:shd w:val="clear" w:color="auto" w:fill="auto"/>
            <w:vAlign w:val="top"/>
          </w:tcPr>
          <w:p w14:paraId="740D9B44">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rFonts w:ascii="MS UI Gothic" w:hAnsi="MS UI Gothic" w:eastAsia="MS UI Gothic" w:cs="MS UI Gothic"/>
                <w:color w:val="auto"/>
                <w:spacing w:val="-4"/>
                <w:highlight w:val="none"/>
              </w:rPr>
              <w:t>☑</w:t>
            </w:r>
            <w:r>
              <w:rPr>
                <w:color w:val="auto"/>
                <w:spacing w:val="-4"/>
                <w:highlight w:val="none"/>
              </w:rPr>
              <w:t>自行踏勘。</w:t>
            </w:r>
          </w:p>
          <w:p w14:paraId="6ADD3826">
            <w:pPr>
              <w:pStyle w:val="25"/>
              <w:keepNext w:val="0"/>
              <w:keepLines w:val="0"/>
              <w:pageBreakBefore w:val="0"/>
              <w:shd w:val="clear"/>
              <w:kinsoku/>
              <w:wordWrap w:val="0"/>
              <w:overflowPunct/>
              <w:topLinePunct w:val="0"/>
              <w:bidi w:val="0"/>
              <w:spacing w:line="240" w:lineRule="auto"/>
              <w:ind w:left="0" w:leftChars="0" w:right="0" w:firstLine="0"/>
              <w:rPr>
                <w:rFonts w:ascii="仿宋" w:hAnsi="仿宋" w:eastAsia="仿宋" w:cs="仿宋"/>
                <w:snapToGrid w:val="0"/>
                <w:color w:val="auto"/>
                <w:kern w:val="0"/>
                <w:sz w:val="24"/>
                <w:szCs w:val="24"/>
                <w:highlight w:val="none"/>
                <w:lang w:val="en-US" w:eastAsia="en-US" w:bidi="ar-SA"/>
              </w:rPr>
            </w:pPr>
            <w:r>
              <w:rPr>
                <w:color w:val="auto"/>
                <w:spacing w:val="-3"/>
                <w:highlight w:val="none"/>
              </w:rPr>
              <w:t>□由采购单位组织统一踏勘。</w:t>
            </w:r>
          </w:p>
        </w:tc>
      </w:tr>
      <w:tr w14:paraId="64365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2F4813BC">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12"/>
                <w:highlight w:val="none"/>
              </w:rPr>
              <w:t>28</w:t>
            </w:r>
          </w:p>
        </w:tc>
        <w:tc>
          <w:tcPr>
            <w:tcW w:w="1583" w:type="dxa"/>
            <w:shd w:val="clear" w:color="auto" w:fill="auto"/>
            <w:vAlign w:val="center"/>
          </w:tcPr>
          <w:p w14:paraId="44A92A78">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代理服务费</w:t>
            </w:r>
          </w:p>
        </w:tc>
        <w:tc>
          <w:tcPr>
            <w:tcW w:w="5998" w:type="dxa"/>
            <w:tcBorders>
              <w:right w:val="single" w:color="000000" w:sz="2" w:space="0"/>
            </w:tcBorders>
            <w:shd w:val="clear" w:color="auto" w:fill="auto"/>
            <w:vAlign w:val="center"/>
          </w:tcPr>
          <w:p w14:paraId="43E790A8">
            <w:pPr>
              <w:pStyle w:val="25"/>
              <w:keepNext w:val="0"/>
              <w:keepLines w:val="0"/>
              <w:pageBreakBefore w:val="0"/>
              <w:shd w:val="clear"/>
              <w:kinsoku/>
              <w:wordWrap w:val="0"/>
              <w:overflowPunct/>
              <w:topLinePunct w:val="0"/>
              <w:bidi w:val="0"/>
              <w:spacing w:line="240" w:lineRule="auto"/>
              <w:ind w:left="0" w:right="0" w:firstLine="0"/>
              <w:rPr>
                <w:rFonts w:hint="eastAsia"/>
                <w:color w:val="auto"/>
                <w:highlight w:val="none"/>
              </w:rPr>
            </w:pPr>
            <w:r>
              <w:rPr>
                <w:rFonts w:hint="eastAsia"/>
                <w:color w:val="auto"/>
                <w:highlight w:val="none"/>
              </w:rPr>
              <w:t>是否由中标人缴纳招标代理费：</w:t>
            </w:r>
          </w:p>
          <w:p w14:paraId="2331B1C0">
            <w:pPr>
              <w:pStyle w:val="25"/>
              <w:keepNext w:val="0"/>
              <w:keepLines w:val="0"/>
              <w:pageBreakBefore w:val="0"/>
              <w:shd w:val="clear"/>
              <w:kinsoku/>
              <w:wordWrap w:val="0"/>
              <w:overflowPunct/>
              <w:topLinePunct w:val="0"/>
              <w:bidi w:val="0"/>
              <w:spacing w:line="240" w:lineRule="auto"/>
              <w:ind w:left="0" w:right="0" w:firstLine="0"/>
              <w:rPr>
                <w:color w:val="auto"/>
                <w:spacing w:val="-8"/>
                <w:highlight w:val="none"/>
              </w:rPr>
            </w:pPr>
            <w:r>
              <w:rPr>
                <w:rFonts w:hint="eastAsia" w:ascii="MS UI Gothic" w:hAnsi="MS UI Gothic" w:eastAsia="宋体" w:cs="MS UI Gothic"/>
                <w:color w:val="auto"/>
                <w:spacing w:val="-8"/>
                <w:highlight w:val="none"/>
                <w:lang w:eastAsia="zh-CN"/>
              </w:rPr>
              <w:t>□</w:t>
            </w:r>
            <w:r>
              <w:rPr>
                <w:color w:val="auto"/>
                <w:spacing w:val="-8"/>
                <w:highlight w:val="none"/>
              </w:rPr>
              <w:t>不需要</w:t>
            </w:r>
          </w:p>
          <w:p w14:paraId="7920A14F">
            <w:pPr>
              <w:pStyle w:val="25"/>
              <w:keepNext w:val="0"/>
              <w:keepLines w:val="0"/>
              <w:pageBreakBefore w:val="0"/>
              <w:shd w:val="clear"/>
              <w:kinsoku/>
              <w:wordWrap w:val="0"/>
              <w:overflowPunct/>
              <w:topLinePunct w:val="0"/>
              <w:bidi w:val="0"/>
              <w:spacing w:line="240" w:lineRule="auto"/>
              <w:ind w:left="0" w:right="0" w:firstLine="0"/>
              <w:rPr>
                <w:rFonts w:hint="eastAsia"/>
                <w:color w:val="auto"/>
                <w:highlight w:val="none"/>
              </w:rPr>
            </w:pPr>
            <w:r>
              <w:rPr>
                <w:rFonts w:hint="eastAsia"/>
                <w:color w:val="auto"/>
                <w:spacing w:val="-2"/>
                <w:highlight w:val="none"/>
                <w:lang w:eastAsia="zh-CN"/>
              </w:rPr>
              <w:t>☑</w:t>
            </w:r>
            <w:r>
              <w:rPr>
                <w:color w:val="auto"/>
                <w:spacing w:val="-2"/>
                <w:highlight w:val="none"/>
              </w:rPr>
              <w:t>需要</w:t>
            </w:r>
          </w:p>
          <w:p w14:paraId="4A7D16D3">
            <w:pPr>
              <w:pStyle w:val="25"/>
              <w:keepNext w:val="0"/>
              <w:keepLines w:val="0"/>
              <w:pageBreakBefore w:val="0"/>
              <w:widowControl/>
              <w:shd w:val="clear"/>
              <w:kinsoku w:val="0"/>
              <w:wordWrap w:val="0"/>
              <w:overflowPunct/>
              <w:topLinePunct w:val="0"/>
              <w:autoSpaceDE w:val="0"/>
              <w:autoSpaceDN w:val="0"/>
              <w:bidi w:val="0"/>
              <w:adjustRightInd w:val="0"/>
              <w:snapToGrid w:val="0"/>
              <w:spacing w:before="37" w:line="207" w:lineRule="auto"/>
              <w:ind w:left="120"/>
              <w:textAlignment w:val="baseline"/>
              <w:rPr>
                <w:rFonts w:hint="eastAsia"/>
                <w:color w:val="auto"/>
                <w:highlight w:val="none"/>
              </w:rPr>
            </w:pPr>
            <w:r>
              <w:rPr>
                <w:rFonts w:hint="eastAsia"/>
                <w:color w:val="auto"/>
                <w:highlight w:val="none"/>
              </w:rPr>
              <w:t>招标代理费：采购代理服务费按国家计委计价格</w:t>
            </w:r>
            <w:r>
              <w:rPr>
                <w:rFonts w:hint="eastAsia"/>
                <w:color w:val="auto"/>
                <w:highlight w:val="none"/>
                <w:lang w:eastAsia="zh-CN"/>
              </w:rPr>
              <w:t>〔2002〕1980号</w:t>
            </w:r>
            <w:r>
              <w:rPr>
                <w:rFonts w:hint="eastAsia"/>
                <w:color w:val="auto"/>
                <w:highlight w:val="none"/>
              </w:rPr>
              <w:t>文件和发改委</w:t>
            </w:r>
            <w:r>
              <w:rPr>
                <w:rFonts w:hint="eastAsia"/>
                <w:color w:val="auto"/>
                <w:highlight w:val="none"/>
                <w:lang w:eastAsia="zh-CN"/>
              </w:rPr>
              <w:t>〔2003〕857号</w:t>
            </w:r>
            <w:r>
              <w:rPr>
                <w:rFonts w:hint="eastAsia"/>
                <w:color w:val="auto"/>
                <w:highlight w:val="none"/>
              </w:rPr>
              <w:t>文件规定的收费标准。</w:t>
            </w:r>
          </w:p>
          <w:p w14:paraId="696E484C">
            <w:pPr>
              <w:pStyle w:val="25"/>
              <w:keepNext w:val="0"/>
              <w:keepLines w:val="0"/>
              <w:pageBreakBefore w:val="0"/>
              <w:widowControl/>
              <w:shd w:val="clear"/>
              <w:kinsoku w:val="0"/>
              <w:wordWrap w:val="0"/>
              <w:overflowPunct/>
              <w:topLinePunct w:val="0"/>
              <w:autoSpaceDE w:val="0"/>
              <w:autoSpaceDN w:val="0"/>
              <w:bidi w:val="0"/>
              <w:adjustRightInd w:val="0"/>
              <w:snapToGrid w:val="0"/>
              <w:spacing w:before="37" w:line="207" w:lineRule="auto"/>
              <w:textAlignment w:val="baseline"/>
              <w:rPr>
                <w:rFonts w:hint="eastAsia"/>
                <w:color w:val="auto"/>
                <w:highlight w:val="none"/>
                <w:lang w:val="en-US" w:eastAsia="zh-CN"/>
              </w:rPr>
            </w:pPr>
            <w:r>
              <w:rPr>
                <w:rFonts w:hint="eastAsia"/>
                <w:color w:val="auto"/>
                <w:highlight w:val="none"/>
                <w:lang w:val="en-US" w:eastAsia="zh-CN"/>
              </w:rPr>
              <w:t>支付形式：转账、电汇等形式</w:t>
            </w:r>
          </w:p>
          <w:p w14:paraId="0766601E">
            <w:pPr>
              <w:pStyle w:val="25"/>
              <w:keepNext w:val="0"/>
              <w:keepLines w:val="0"/>
              <w:pageBreakBefore w:val="0"/>
              <w:shd w:val="clear"/>
              <w:kinsoku/>
              <w:wordWrap w:val="0"/>
              <w:overflowPunct/>
              <w:topLinePunct w:val="0"/>
              <w:bidi w:val="0"/>
              <w:spacing w:line="240" w:lineRule="auto"/>
              <w:ind w:left="0" w:leftChars="0" w:right="0" w:firstLine="0"/>
              <w:jc w:val="both"/>
              <w:rPr>
                <w:rFonts w:ascii="仿宋" w:hAnsi="仿宋" w:eastAsia="仿宋" w:cs="仿宋"/>
                <w:snapToGrid w:val="0"/>
                <w:color w:val="auto"/>
                <w:kern w:val="0"/>
                <w:sz w:val="24"/>
                <w:szCs w:val="24"/>
                <w:highlight w:val="none"/>
                <w:lang w:val="en-US" w:eastAsia="en-US" w:bidi="ar-SA"/>
              </w:rPr>
            </w:pPr>
            <w:r>
              <w:rPr>
                <w:rFonts w:hint="eastAsia"/>
                <w:color w:val="auto"/>
                <w:highlight w:val="none"/>
                <w:lang w:val="en-US" w:eastAsia="zh-CN"/>
              </w:rPr>
              <w:t>支付时间：《中标通知书》核发前。</w:t>
            </w:r>
          </w:p>
        </w:tc>
      </w:tr>
      <w:tr w14:paraId="3B82D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60ECD2B6">
            <w:pPr>
              <w:pStyle w:val="25"/>
              <w:keepNext w:val="0"/>
              <w:keepLines w:val="0"/>
              <w:pageBreakBefore w:val="0"/>
              <w:shd w:val="clear"/>
              <w:kinsoku/>
              <w:wordWrap w:val="0"/>
              <w:overflowPunct/>
              <w:topLinePunct w:val="0"/>
              <w:bidi w:val="0"/>
              <w:spacing w:line="240" w:lineRule="auto"/>
              <w:ind w:left="0" w:right="0" w:firstLine="0"/>
              <w:jc w:val="center"/>
              <w:rPr>
                <w:rFonts w:hint="default" w:eastAsia="仿宋"/>
                <w:b/>
                <w:bCs/>
                <w:color w:val="auto"/>
                <w:spacing w:val="-12"/>
                <w:highlight w:val="none"/>
                <w:lang w:val="en-US" w:eastAsia="zh-CN"/>
              </w:rPr>
            </w:pPr>
            <w:r>
              <w:rPr>
                <w:rFonts w:hint="eastAsia"/>
                <w:b/>
                <w:bCs/>
                <w:color w:val="auto"/>
                <w:spacing w:val="-12"/>
                <w:highlight w:val="none"/>
                <w:lang w:val="en-US" w:eastAsia="zh-CN"/>
              </w:rPr>
              <w:t>29</w:t>
            </w:r>
          </w:p>
        </w:tc>
        <w:tc>
          <w:tcPr>
            <w:tcW w:w="1583" w:type="dxa"/>
            <w:shd w:val="clear" w:color="auto" w:fill="auto"/>
            <w:vAlign w:val="center"/>
          </w:tcPr>
          <w:p w14:paraId="7C392B0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b/>
                <w:bCs/>
                <w:color w:val="auto"/>
                <w:spacing w:val="-8"/>
                <w:highlight w:val="none"/>
              </w:rPr>
            </w:pPr>
            <w:r>
              <w:rPr>
                <w:rFonts w:hint="eastAsia"/>
                <w:b/>
                <w:bCs/>
                <w:color w:val="auto"/>
                <w:spacing w:val="-4"/>
                <w:highlight w:val="none"/>
                <w:lang w:val="en-US" w:eastAsia="zh-CN"/>
              </w:rPr>
              <w:t>合同履行期限</w:t>
            </w:r>
          </w:p>
        </w:tc>
        <w:tc>
          <w:tcPr>
            <w:tcW w:w="5998" w:type="dxa"/>
            <w:tcBorders>
              <w:right w:val="single" w:color="000000" w:sz="2" w:space="0"/>
            </w:tcBorders>
            <w:shd w:val="clear" w:color="auto" w:fill="auto"/>
            <w:vAlign w:val="center"/>
          </w:tcPr>
          <w:p w14:paraId="167F9F0F">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spacing w:val="-6"/>
                <w:highlight w:val="none"/>
              </w:rPr>
            </w:pPr>
            <w:r>
              <w:rPr>
                <w:rFonts w:hint="eastAsia" w:cs="仿宋"/>
                <w:color w:val="auto"/>
                <w:spacing w:val="-3"/>
                <w:sz w:val="24"/>
                <w:szCs w:val="24"/>
                <w:highlight w:val="none"/>
                <w:shd w:val="clear"/>
                <w:lang w:val="en-US" w:eastAsia="zh-CN"/>
              </w:rPr>
              <w:t>两年（2027年-2028年），具体以合同约定为准。</w:t>
            </w:r>
          </w:p>
        </w:tc>
      </w:tr>
      <w:tr w14:paraId="03A07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454DC008">
            <w:pPr>
              <w:pStyle w:val="25"/>
              <w:keepNext w:val="0"/>
              <w:keepLines w:val="0"/>
              <w:pageBreakBefore w:val="0"/>
              <w:shd w:val="clear"/>
              <w:kinsoku/>
              <w:wordWrap w:val="0"/>
              <w:overflowPunct/>
              <w:topLinePunct w:val="0"/>
              <w:bidi w:val="0"/>
              <w:spacing w:line="240" w:lineRule="auto"/>
              <w:ind w:left="0" w:right="0" w:firstLine="0"/>
              <w:jc w:val="center"/>
              <w:rPr>
                <w:rFonts w:hint="default" w:eastAsia="仿宋"/>
                <w:b/>
                <w:bCs/>
                <w:color w:val="auto"/>
                <w:spacing w:val="-12"/>
                <w:highlight w:val="none"/>
                <w:lang w:val="en-US" w:eastAsia="zh-CN"/>
              </w:rPr>
            </w:pPr>
            <w:r>
              <w:rPr>
                <w:rFonts w:hint="eastAsia"/>
                <w:b/>
                <w:bCs/>
                <w:color w:val="auto"/>
                <w:spacing w:val="-12"/>
                <w:highlight w:val="none"/>
                <w:lang w:val="en-US" w:eastAsia="zh-CN"/>
              </w:rPr>
              <w:t>30</w:t>
            </w:r>
          </w:p>
        </w:tc>
        <w:tc>
          <w:tcPr>
            <w:tcW w:w="1583" w:type="dxa"/>
            <w:shd w:val="clear" w:color="auto" w:fill="auto"/>
            <w:vAlign w:val="center"/>
          </w:tcPr>
          <w:p w14:paraId="3D18599D">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b/>
                <w:bCs/>
                <w:color w:val="auto"/>
                <w:spacing w:val="-8"/>
                <w:highlight w:val="none"/>
              </w:rPr>
            </w:pPr>
            <w:r>
              <w:rPr>
                <w:rFonts w:hint="eastAsia"/>
                <w:b/>
                <w:bCs/>
                <w:color w:val="auto"/>
                <w:spacing w:val="-4"/>
                <w:highlight w:val="none"/>
                <w:lang w:val="en-US" w:eastAsia="zh-CN"/>
              </w:rPr>
              <w:t>合同履行地点</w:t>
            </w:r>
          </w:p>
        </w:tc>
        <w:tc>
          <w:tcPr>
            <w:tcW w:w="5998" w:type="dxa"/>
            <w:tcBorders>
              <w:right w:val="single" w:color="000000" w:sz="2" w:space="0"/>
            </w:tcBorders>
            <w:shd w:val="clear" w:color="auto" w:fill="auto"/>
            <w:vAlign w:val="center"/>
          </w:tcPr>
          <w:p w14:paraId="11F4E170">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spacing w:val="-6"/>
                <w:highlight w:val="none"/>
              </w:rPr>
            </w:pPr>
            <w:r>
              <w:rPr>
                <w:rFonts w:hint="eastAsia" w:ascii="仿宋" w:hAnsi="仿宋" w:eastAsia="仿宋" w:cs="仿宋"/>
                <w:b w:val="0"/>
                <w:bCs w:val="0"/>
                <w:color w:val="auto"/>
                <w:spacing w:val="-3"/>
                <w:sz w:val="24"/>
                <w:szCs w:val="24"/>
                <w:highlight w:val="none"/>
                <w:lang w:val="en-US" w:eastAsia="zh-CN"/>
              </w:rPr>
              <w:t>用户指定地点</w:t>
            </w:r>
            <w:r>
              <w:rPr>
                <w:rFonts w:hint="eastAsia" w:cs="仿宋"/>
                <w:b w:val="0"/>
                <w:bCs w:val="0"/>
                <w:color w:val="auto"/>
                <w:spacing w:val="-3"/>
                <w:sz w:val="24"/>
                <w:szCs w:val="24"/>
                <w:highlight w:val="none"/>
                <w:lang w:val="en-US" w:eastAsia="zh-CN"/>
              </w:rPr>
              <w:t>。</w:t>
            </w:r>
          </w:p>
        </w:tc>
      </w:tr>
      <w:tr w14:paraId="64203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0D789D11">
            <w:pPr>
              <w:pStyle w:val="25"/>
              <w:keepNext w:val="0"/>
              <w:keepLines w:val="0"/>
              <w:pageBreakBefore w:val="0"/>
              <w:shd w:val="clear"/>
              <w:kinsoku/>
              <w:wordWrap w:val="0"/>
              <w:overflowPunct/>
              <w:topLinePunct w:val="0"/>
              <w:bidi w:val="0"/>
              <w:spacing w:line="240" w:lineRule="auto"/>
              <w:ind w:left="0" w:right="0" w:firstLine="0"/>
              <w:jc w:val="center"/>
              <w:rPr>
                <w:rFonts w:hint="default" w:ascii="仿宋" w:hAnsi="仿宋" w:eastAsia="仿宋" w:cs="仿宋"/>
                <w:b/>
                <w:bCs/>
                <w:snapToGrid w:val="0"/>
                <w:color w:val="auto"/>
                <w:kern w:val="0"/>
                <w:sz w:val="24"/>
                <w:szCs w:val="24"/>
                <w:highlight w:val="none"/>
                <w:lang w:val="en-US" w:eastAsia="zh-CN" w:bidi="ar-SA"/>
              </w:rPr>
            </w:pPr>
            <w:r>
              <w:rPr>
                <w:rFonts w:hint="eastAsia" w:cs="仿宋"/>
                <w:b/>
                <w:bCs/>
                <w:snapToGrid w:val="0"/>
                <w:color w:val="auto"/>
                <w:kern w:val="0"/>
                <w:sz w:val="24"/>
                <w:szCs w:val="24"/>
                <w:highlight w:val="none"/>
                <w:lang w:val="en-US" w:eastAsia="zh-CN" w:bidi="ar-SA"/>
              </w:rPr>
              <w:t>31</w:t>
            </w:r>
          </w:p>
        </w:tc>
        <w:tc>
          <w:tcPr>
            <w:tcW w:w="1583" w:type="dxa"/>
            <w:shd w:val="clear" w:color="auto" w:fill="auto"/>
            <w:vAlign w:val="center"/>
          </w:tcPr>
          <w:p w14:paraId="0CD745ED">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8"/>
                <w:highlight w:val="none"/>
              </w:rPr>
              <w:t>付款方式</w:t>
            </w:r>
          </w:p>
        </w:tc>
        <w:tc>
          <w:tcPr>
            <w:tcW w:w="5998" w:type="dxa"/>
            <w:tcBorders>
              <w:right w:val="single" w:color="000000" w:sz="2" w:space="0"/>
            </w:tcBorders>
            <w:shd w:val="clear" w:color="auto" w:fill="auto"/>
            <w:vAlign w:val="center"/>
          </w:tcPr>
          <w:p w14:paraId="572A2FBD">
            <w:pPr>
              <w:pStyle w:val="25"/>
              <w:keepNext w:val="0"/>
              <w:keepLines w:val="0"/>
              <w:pageBreakBefore w:val="0"/>
              <w:shd w:val="clear"/>
              <w:kinsoku/>
              <w:wordWrap w:val="0"/>
              <w:overflowPunct/>
              <w:topLinePunct w:val="0"/>
              <w:bidi w:val="0"/>
              <w:spacing w:line="240" w:lineRule="auto"/>
              <w:ind w:left="0" w:leftChars="0" w:right="0" w:rightChars="0" w:firstLine="0" w:firstLineChars="0"/>
              <w:jc w:val="both"/>
              <w:rPr>
                <w:rFonts w:ascii="仿宋" w:hAnsi="仿宋" w:eastAsia="仿宋" w:cs="仿宋"/>
                <w:snapToGrid w:val="0"/>
                <w:color w:val="auto"/>
                <w:kern w:val="0"/>
                <w:sz w:val="24"/>
                <w:szCs w:val="24"/>
                <w:highlight w:val="none"/>
                <w:lang w:val="en-US" w:eastAsia="en-US" w:bidi="ar-SA"/>
              </w:rPr>
            </w:pPr>
            <w:r>
              <w:rPr>
                <w:rFonts w:hint="eastAsia" w:cs="仿宋"/>
                <w:color w:val="auto"/>
                <w:spacing w:val="-3"/>
                <w:sz w:val="24"/>
                <w:szCs w:val="24"/>
                <w:highlight w:val="none"/>
                <w:shd w:val="clear"/>
                <w:lang w:val="en-US" w:eastAsia="zh-CN"/>
              </w:rPr>
              <w:t>具体以合同约定为准。</w:t>
            </w:r>
          </w:p>
        </w:tc>
      </w:tr>
      <w:tr w14:paraId="2216C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25B1D72E">
            <w:pPr>
              <w:pStyle w:val="25"/>
              <w:keepNext w:val="0"/>
              <w:keepLines w:val="0"/>
              <w:pageBreakBefore w:val="0"/>
              <w:shd w:val="clear"/>
              <w:kinsoku/>
              <w:wordWrap w:val="0"/>
              <w:overflowPunct/>
              <w:topLinePunct w:val="0"/>
              <w:bidi w:val="0"/>
              <w:spacing w:line="240" w:lineRule="auto"/>
              <w:ind w:left="0" w:right="0" w:firstLine="0"/>
              <w:jc w:val="center"/>
              <w:rPr>
                <w:rFonts w:hint="default" w:ascii="仿宋" w:hAnsi="仿宋" w:eastAsia="仿宋" w:cs="仿宋"/>
                <w:b/>
                <w:bCs/>
                <w:snapToGrid w:val="0"/>
                <w:color w:val="auto"/>
                <w:kern w:val="0"/>
                <w:sz w:val="24"/>
                <w:szCs w:val="24"/>
                <w:highlight w:val="none"/>
                <w:lang w:val="en-US" w:eastAsia="zh-CN" w:bidi="ar-SA"/>
              </w:rPr>
            </w:pPr>
            <w:r>
              <w:rPr>
                <w:rFonts w:hint="eastAsia" w:cs="仿宋"/>
                <w:b/>
                <w:bCs/>
                <w:snapToGrid w:val="0"/>
                <w:color w:val="auto"/>
                <w:kern w:val="0"/>
                <w:sz w:val="24"/>
                <w:szCs w:val="24"/>
                <w:highlight w:val="none"/>
                <w:lang w:val="en-US" w:eastAsia="zh-CN" w:bidi="ar-SA"/>
              </w:rPr>
              <w:t>32</w:t>
            </w:r>
          </w:p>
        </w:tc>
        <w:tc>
          <w:tcPr>
            <w:tcW w:w="1583" w:type="dxa"/>
            <w:shd w:val="clear" w:color="auto" w:fill="auto"/>
            <w:vAlign w:val="center"/>
          </w:tcPr>
          <w:p w14:paraId="439CC79D">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履约保证金</w:t>
            </w:r>
          </w:p>
        </w:tc>
        <w:tc>
          <w:tcPr>
            <w:tcW w:w="5998" w:type="dxa"/>
            <w:tcBorders>
              <w:right w:val="single" w:color="000000" w:sz="2" w:space="0"/>
            </w:tcBorders>
            <w:shd w:val="clear" w:color="auto" w:fill="auto"/>
            <w:vAlign w:val="top"/>
          </w:tcPr>
          <w:p w14:paraId="6DD04508">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rFonts w:ascii="MS UI Gothic" w:hAnsi="MS UI Gothic" w:eastAsia="MS UI Gothic" w:cs="MS UI Gothic"/>
                <w:color w:val="auto"/>
                <w:spacing w:val="-8"/>
                <w:highlight w:val="none"/>
              </w:rPr>
              <w:t>☑</w:t>
            </w:r>
            <w:r>
              <w:rPr>
                <w:color w:val="auto"/>
                <w:spacing w:val="-8"/>
                <w:highlight w:val="none"/>
              </w:rPr>
              <w:t>不需要</w:t>
            </w:r>
          </w:p>
          <w:p w14:paraId="031375F3">
            <w:pPr>
              <w:pStyle w:val="25"/>
              <w:keepNext w:val="0"/>
              <w:keepLines w:val="0"/>
              <w:pageBreakBefore w:val="0"/>
              <w:shd w:val="clear"/>
              <w:kinsoku/>
              <w:wordWrap w:val="0"/>
              <w:overflowPunct/>
              <w:topLinePunct w:val="0"/>
              <w:bidi w:val="0"/>
              <w:spacing w:line="240" w:lineRule="auto"/>
              <w:ind w:left="0" w:leftChars="0" w:right="0" w:rightChars="0" w:firstLine="0" w:firstLineChars="0"/>
              <w:jc w:val="both"/>
              <w:rPr>
                <w:rFonts w:ascii="仿宋" w:hAnsi="仿宋" w:eastAsia="仿宋" w:cs="仿宋"/>
                <w:snapToGrid w:val="0"/>
                <w:color w:val="auto"/>
                <w:kern w:val="0"/>
                <w:sz w:val="24"/>
                <w:szCs w:val="24"/>
                <w:highlight w:val="none"/>
                <w:lang w:val="en-US" w:eastAsia="en-US" w:bidi="ar-SA"/>
              </w:rPr>
            </w:pPr>
            <w:r>
              <w:rPr>
                <w:color w:val="auto"/>
                <w:spacing w:val="-2"/>
                <w:highlight w:val="none"/>
              </w:rPr>
              <w:t>□需要，履约保证金的金额：中标合同金额的</w:t>
            </w:r>
            <w:r>
              <w:rPr>
                <w:color w:val="auto"/>
                <w:spacing w:val="-2"/>
                <w:highlight w:val="none"/>
                <w:u w:val="single" w:color="auto"/>
              </w:rPr>
              <w:t xml:space="preserve">  </w:t>
            </w:r>
            <w:r>
              <w:rPr>
                <w:rFonts w:hint="eastAsia"/>
                <w:color w:val="auto"/>
                <w:spacing w:val="-2"/>
                <w:highlight w:val="none"/>
                <w:u w:val="single" w:color="auto"/>
                <w:lang w:val="en-US" w:eastAsia="zh-CN"/>
              </w:rPr>
              <w:t xml:space="preserve"> </w:t>
            </w:r>
            <w:r>
              <w:rPr>
                <w:color w:val="auto"/>
                <w:spacing w:val="-2"/>
                <w:highlight w:val="none"/>
                <w:u w:val="single" w:color="auto"/>
              </w:rPr>
              <w:t>%</w:t>
            </w:r>
            <w:r>
              <w:rPr>
                <w:color w:val="auto"/>
                <w:spacing w:val="-2"/>
                <w:highlight w:val="none"/>
              </w:rPr>
              <w:t>（履约</w:t>
            </w:r>
            <w:r>
              <w:rPr>
                <w:color w:val="auto"/>
                <w:spacing w:val="1"/>
                <w:highlight w:val="none"/>
              </w:rPr>
              <w:t>保证金允许以担保支票、押金证明、保险单、保函、信用</w:t>
            </w:r>
            <w:r>
              <w:rPr>
                <w:color w:val="auto"/>
                <w:spacing w:val="-1"/>
                <w:highlight w:val="none"/>
              </w:rPr>
              <w:t>证等形式提交）。</w:t>
            </w:r>
          </w:p>
        </w:tc>
      </w:tr>
      <w:tr w14:paraId="2035A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76B857C4">
            <w:pPr>
              <w:pStyle w:val="25"/>
              <w:keepNext w:val="0"/>
              <w:keepLines w:val="0"/>
              <w:pageBreakBefore w:val="0"/>
              <w:shd w:val="clear"/>
              <w:kinsoku/>
              <w:wordWrap w:val="0"/>
              <w:overflowPunct/>
              <w:topLinePunct w:val="0"/>
              <w:bidi w:val="0"/>
              <w:spacing w:line="240" w:lineRule="auto"/>
              <w:ind w:left="0" w:right="0" w:firstLine="0"/>
              <w:jc w:val="center"/>
              <w:rPr>
                <w:rFonts w:hint="default" w:ascii="仿宋" w:hAnsi="仿宋" w:eastAsia="仿宋" w:cs="仿宋"/>
                <w:b/>
                <w:bCs/>
                <w:snapToGrid w:val="0"/>
                <w:color w:val="auto"/>
                <w:kern w:val="0"/>
                <w:sz w:val="24"/>
                <w:szCs w:val="24"/>
                <w:highlight w:val="none"/>
                <w:lang w:val="en-US" w:eastAsia="zh-CN" w:bidi="ar-SA"/>
              </w:rPr>
            </w:pPr>
            <w:r>
              <w:rPr>
                <w:rFonts w:hint="eastAsia" w:cs="仿宋"/>
                <w:b/>
                <w:bCs/>
                <w:snapToGrid w:val="0"/>
                <w:color w:val="auto"/>
                <w:kern w:val="0"/>
                <w:sz w:val="24"/>
                <w:szCs w:val="24"/>
                <w:highlight w:val="none"/>
                <w:lang w:val="en-US" w:eastAsia="zh-CN" w:bidi="ar-SA"/>
              </w:rPr>
              <w:t>33</w:t>
            </w:r>
          </w:p>
        </w:tc>
        <w:tc>
          <w:tcPr>
            <w:tcW w:w="1583" w:type="dxa"/>
            <w:shd w:val="clear" w:color="auto" w:fill="auto"/>
            <w:vAlign w:val="center"/>
          </w:tcPr>
          <w:p w14:paraId="7757AA9E">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采购标的对应的投标人中小企业</w:t>
            </w:r>
            <w:r>
              <w:rPr>
                <w:b/>
                <w:bCs/>
                <w:color w:val="auto"/>
                <w:spacing w:val="-5"/>
                <w:highlight w:val="none"/>
              </w:rPr>
              <w:t>划分标准所属行</w:t>
            </w:r>
            <w:r>
              <w:rPr>
                <w:b/>
                <w:bCs/>
                <w:color w:val="auto"/>
                <w:spacing w:val="-3"/>
                <w:highlight w:val="none"/>
              </w:rPr>
              <w:t>业</w:t>
            </w:r>
          </w:p>
        </w:tc>
        <w:tc>
          <w:tcPr>
            <w:tcW w:w="5998" w:type="dxa"/>
            <w:tcBorders>
              <w:right w:val="single" w:color="000000" w:sz="2" w:space="0"/>
            </w:tcBorders>
            <w:shd w:val="clear" w:color="auto" w:fill="auto"/>
            <w:vAlign w:val="top"/>
          </w:tcPr>
          <w:p w14:paraId="5D444CEA">
            <w:pPr>
              <w:pStyle w:val="25"/>
              <w:keepNext w:val="0"/>
              <w:keepLines w:val="0"/>
              <w:pageBreakBefore w:val="0"/>
              <w:shd w:val="clear"/>
              <w:kinsoku/>
              <w:wordWrap w:val="0"/>
              <w:overflowPunct/>
              <w:topLinePunct w:val="0"/>
              <w:bidi w:val="0"/>
              <w:spacing w:line="240" w:lineRule="auto"/>
              <w:ind w:left="0" w:right="0" w:firstLine="0"/>
              <w:jc w:val="both"/>
              <w:rPr>
                <w:color w:val="auto"/>
                <w:highlight w:val="none"/>
              </w:rPr>
            </w:pPr>
            <w:r>
              <w:rPr>
                <w:color w:val="auto"/>
                <w:spacing w:val="1"/>
                <w:highlight w:val="none"/>
              </w:rPr>
              <w:t>本项目采购标的对应的中小企业划分标准所属行业为：</w:t>
            </w:r>
            <w:r>
              <w:rPr>
                <w:rFonts w:hint="eastAsia"/>
                <w:b/>
                <w:bCs/>
                <w:color w:val="auto"/>
                <w:spacing w:val="1"/>
                <w:highlight w:val="none"/>
                <w:u w:val="single" w:color="auto"/>
              </w:rPr>
              <w:t>其他未列明行业</w:t>
            </w:r>
            <w:r>
              <w:rPr>
                <w:b/>
                <w:bCs/>
                <w:color w:val="auto"/>
                <w:spacing w:val="-9"/>
                <w:highlight w:val="none"/>
                <w:u w:val="single" w:color="auto"/>
              </w:rPr>
              <w:t>；</w:t>
            </w:r>
            <w:r>
              <w:rPr>
                <w:color w:val="auto"/>
                <w:spacing w:val="-9"/>
                <w:highlight w:val="none"/>
              </w:rPr>
              <w:t>所属行业对应的中小企业划型标准：</w:t>
            </w:r>
            <w:r>
              <w:rPr>
                <w:rFonts w:hint="eastAsia"/>
                <w:b/>
                <w:bCs/>
                <w:color w:val="auto"/>
                <w:spacing w:val="-4"/>
                <w:highlight w:val="none"/>
              </w:rPr>
              <w:t>从业人员300人以下的</w:t>
            </w:r>
            <w:r>
              <w:rPr>
                <w:b/>
                <w:bCs/>
                <w:color w:val="auto"/>
                <w:spacing w:val="-4"/>
                <w:highlight w:val="none"/>
              </w:rPr>
              <w:t>为中小微型企业。其中，</w:t>
            </w:r>
            <w:r>
              <w:rPr>
                <w:rFonts w:hint="eastAsia"/>
                <w:b/>
                <w:bCs/>
                <w:color w:val="auto"/>
                <w:spacing w:val="-4"/>
                <w:highlight w:val="none"/>
              </w:rPr>
              <w:t>从业人员100—300人</w:t>
            </w:r>
            <w:r>
              <w:rPr>
                <w:b/>
                <w:bCs/>
                <w:color w:val="auto"/>
                <w:spacing w:val="-4"/>
                <w:highlight w:val="none"/>
              </w:rPr>
              <w:t>的为中型企业；</w:t>
            </w:r>
            <w:r>
              <w:rPr>
                <w:rFonts w:hint="eastAsia"/>
                <w:b/>
                <w:bCs/>
                <w:color w:val="auto"/>
                <w:spacing w:val="-4"/>
                <w:highlight w:val="none"/>
              </w:rPr>
              <w:t>从业人员10人一100人</w:t>
            </w:r>
            <w:r>
              <w:rPr>
                <w:b/>
                <w:bCs/>
                <w:color w:val="auto"/>
                <w:spacing w:val="-4"/>
                <w:highlight w:val="none"/>
              </w:rPr>
              <w:t>的为小型企业；</w:t>
            </w:r>
            <w:r>
              <w:rPr>
                <w:rFonts w:hint="eastAsia"/>
                <w:b/>
                <w:bCs/>
                <w:color w:val="auto"/>
                <w:spacing w:val="-4"/>
                <w:highlight w:val="none"/>
              </w:rPr>
              <w:t>从业人员10人以下</w:t>
            </w:r>
            <w:r>
              <w:rPr>
                <w:b/>
                <w:bCs/>
                <w:color w:val="auto"/>
                <w:spacing w:val="-4"/>
                <w:highlight w:val="none"/>
              </w:rPr>
              <w:t>的为微型企业。</w:t>
            </w:r>
          </w:p>
          <w:p w14:paraId="0F754F51">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b/>
                <w:bCs/>
                <w:color w:val="auto"/>
                <w:spacing w:val="1"/>
                <w:highlight w:val="none"/>
              </w:rPr>
              <w:t>注：</w:t>
            </w:r>
            <w:r>
              <w:rPr>
                <w:color w:val="auto"/>
                <w:spacing w:val="1"/>
                <w:highlight w:val="none"/>
              </w:rPr>
              <w:t>1.其他所属行业划分标准按照《关于落实</w:t>
            </w:r>
            <w:r>
              <w:rPr>
                <w:color w:val="auto"/>
                <w:highlight w:val="none"/>
              </w:rPr>
              <w:t>好政府采购</w:t>
            </w:r>
            <w:r>
              <w:rPr>
                <w:color w:val="auto"/>
                <w:spacing w:val="-4"/>
                <w:highlight w:val="none"/>
              </w:rPr>
              <w:t>支持中小企业发展的通知》（新财购〔2022〕22</w:t>
            </w:r>
            <w:r>
              <w:rPr>
                <w:color w:val="auto"/>
                <w:spacing w:val="-40"/>
                <w:highlight w:val="none"/>
              </w:rPr>
              <w:t xml:space="preserve"> </w:t>
            </w:r>
            <w:r>
              <w:rPr>
                <w:color w:val="auto"/>
                <w:spacing w:val="-4"/>
                <w:highlight w:val="none"/>
              </w:rPr>
              <w:t>号</w:t>
            </w:r>
            <w:r>
              <w:rPr>
                <w:rFonts w:hint="eastAsia"/>
                <w:color w:val="auto"/>
                <w:spacing w:val="-4"/>
                <w:highlight w:val="none"/>
                <w:lang w:eastAsia="zh-CN"/>
              </w:rPr>
              <w:t>）</w:t>
            </w:r>
            <w:r>
              <w:rPr>
                <w:color w:val="auto"/>
                <w:spacing w:val="-5"/>
                <w:highlight w:val="none"/>
              </w:rPr>
              <w:t>执行；</w:t>
            </w:r>
          </w:p>
          <w:p w14:paraId="19808347">
            <w:pPr>
              <w:pStyle w:val="25"/>
              <w:keepNext w:val="0"/>
              <w:keepLines w:val="0"/>
              <w:pageBreakBefore w:val="0"/>
              <w:shd w:val="clear"/>
              <w:kinsoku/>
              <w:wordWrap w:val="0"/>
              <w:overflowPunct/>
              <w:topLinePunct w:val="0"/>
              <w:bidi w:val="0"/>
              <w:spacing w:line="240" w:lineRule="auto"/>
              <w:ind w:left="0" w:leftChars="0" w:right="0" w:rightChars="0" w:firstLine="0" w:firstLineChars="0"/>
              <w:jc w:val="both"/>
              <w:rPr>
                <w:rFonts w:ascii="仿宋" w:hAnsi="仿宋" w:eastAsia="仿宋" w:cs="仿宋"/>
                <w:snapToGrid w:val="0"/>
                <w:color w:val="auto"/>
                <w:kern w:val="0"/>
                <w:sz w:val="24"/>
                <w:szCs w:val="24"/>
                <w:highlight w:val="none"/>
                <w:lang w:val="en-US" w:eastAsia="en-US" w:bidi="ar-SA"/>
              </w:rPr>
            </w:pPr>
            <w:r>
              <w:rPr>
                <w:color w:val="auto"/>
                <w:spacing w:val="1"/>
                <w:highlight w:val="none"/>
              </w:rPr>
              <w:t>2.根据《国家统计局关于印发〈统计上大中小微型企业划</w:t>
            </w:r>
            <w:r>
              <w:rPr>
                <w:color w:val="auto"/>
                <w:spacing w:val="-6"/>
                <w:highlight w:val="none"/>
              </w:rPr>
              <w:t>分办法</w:t>
            </w:r>
            <w:r>
              <w:rPr>
                <w:rFonts w:hint="eastAsia"/>
                <w:color w:val="auto"/>
                <w:spacing w:val="-6"/>
                <w:highlight w:val="none"/>
                <w:lang w:eastAsia="zh-CN"/>
              </w:rPr>
              <w:t>（</w:t>
            </w:r>
            <w:r>
              <w:rPr>
                <w:color w:val="auto"/>
                <w:spacing w:val="-6"/>
                <w:highlight w:val="none"/>
              </w:rPr>
              <w:t>2017</w:t>
            </w:r>
            <w:r>
              <w:rPr>
                <w:rFonts w:hint="eastAsia"/>
                <w:color w:val="auto"/>
                <w:spacing w:val="-6"/>
                <w:highlight w:val="none"/>
                <w:lang w:eastAsia="zh-CN"/>
              </w:rPr>
              <w:t>）</w:t>
            </w:r>
            <w:r>
              <w:rPr>
                <w:color w:val="auto"/>
                <w:spacing w:val="-6"/>
                <w:highlight w:val="none"/>
              </w:rPr>
              <w:t>〉的通知》</w:t>
            </w:r>
            <w:r>
              <w:rPr>
                <w:rFonts w:hint="eastAsia"/>
                <w:color w:val="auto"/>
                <w:spacing w:val="-6"/>
                <w:highlight w:val="none"/>
                <w:lang w:eastAsia="zh-CN"/>
              </w:rPr>
              <w:t>（</w:t>
            </w:r>
            <w:r>
              <w:rPr>
                <w:color w:val="auto"/>
                <w:spacing w:val="-6"/>
                <w:highlight w:val="none"/>
              </w:rPr>
              <w:t>国统字</w:t>
            </w:r>
            <w:r>
              <w:rPr>
                <w:rFonts w:hint="eastAsia"/>
                <w:color w:val="auto"/>
                <w:spacing w:val="-6"/>
                <w:highlight w:val="none"/>
                <w:lang w:eastAsia="zh-CN"/>
              </w:rPr>
              <w:t>〔2017〕213号）</w:t>
            </w:r>
            <w:r>
              <w:rPr>
                <w:color w:val="auto"/>
                <w:spacing w:val="-6"/>
                <w:highlight w:val="none"/>
              </w:rPr>
              <w:t>要求：大</w:t>
            </w:r>
            <w:r>
              <w:rPr>
                <w:color w:val="auto"/>
                <w:spacing w:val="-2"/>
                <w:highlight w:val="none"/>
              </w:rPr>
              <w:t>型、中型和小型企业须同时满足所列指标（即：从业人员</w:t>
            </w:r>
            <w:r>
              <w:rPr>
                <w:color w:val="auto"/>
                <w:spacing w:val="1"/>
                <w:highlight w:val="none"/>
              </w:rPr>
              <w:t>和营业收入）的下限</w:t>
            </w:r>
            <w:r>
              <w:rPr>
                <w:rFonts w:hint="eastAsia"/>
                <w:color w:val="auto"/>
                <w:spacing w:val="1"/>
                <w:highlight w:val="none"/>
                <w:lang w:eastAsia="zh-CN"/>
              </w:rPr>
              <w:t>，</w:t>
            </w:r>
            <w:r>
              <w:rPr>
                <w:color w:val="auto"/>
                <w:spacing w:val="1"/>
                <w:highlight w:val="none"/>
              </w:rPr>
              <w:t>否则下划一档</w:t>
            </w:r>
            <w:r>
              <w:rPr>
                <w:rFonts w:hint="eastAsia"/>
                <w:color w:val="auto"/>
                <w:spacing w:val="1"/>
                <w:highlight w:val="none"/>
                <w:lang w:eastAsia="zh-CN"/>
              </w:rPr>
              <w:t>；</w:t>
            </w:r>
            <w:r>
              <w:rPr>
                <w:color w:val="auto"/>
                <w:spacing w:val="1"/>
                <w:highlight w:val="none"/>
              </w:rPr>
              <w:t>微型企业只</w:t>
            </w:r>
            <w:r>
              <w:rPr>
                <w:rFonts w:hint="eastAsia"/>
                <w:color w:val="auto"/>
                <w:spacing w:val="1"/>
                <w:highlight w:val="none"/>
                <w:lang w:eastAsia="zh-CN"/>
              </w:rPr>
              <w:t>需</w:t>
            </w:r>
            <w:r>
              <w:rPr>
                <w:color w:val="auto"/>
                <w:spacing w:val="1"/>
                <w:highlight w:val="none"/>
              </w:rPr>
              <w:t>满足所</w:t>
            </w:r>
            <w:r>
              <w:rPr>
                <w:color w:val="auto"/>
                <w:spacing w:val="-2"/>
                <w:highlight w:val="none"/>
              </w:rPr>
              <w:t>列指标中的一项即可。</w:t>
            </w:r>
          </w:p>
        </w:tc>
      </w:tr>
      <w:tr w14:paraId="2D89B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23CBAA78">
            <w:pPr>
              <w:pStyle w:val="25"/>
              <w:keepNext w:val="0"/>
              <w:keepLines w:val="0"/>
              <w:pageBreakBefore w:val="0"/>
              <w:shd w:val="clear"/>
              <w:kinsoku/>
              <w:wordWrap w:val="0"/>
              <w:overflowPunct/>
              <w:topLinePunct w:val="0"/>
              <w:bidi w:val="0"/>
              <w:spacing w:line="240" w:lineRule="auto"/>
              <w:ind w:left="0" w:right="0" w:firstLine="0"/>
              <w:jc w:val="center"/>
              <w:rPr>
                <w:rFonts w:hint="default" w:ascii="仿宋" w:hAnsi="仿宋" w:eastAsia="仿宋" w:cs="仿宋"/>
                <w:b/>
                <w:bCs/>
                <w:snapToGrid w:val="0"/>
                <w:color w:val="auto"/>
                <w:kern w:val="0"/>
                <w:sz w:val="24"/>
                <w:szCs w:val="24"/>
                <w:highlight w:val="none"/>
                <w:lang w:val="en-US" w:eastAsia="zh-CN" w:bidi="ar-SA"/>
              </w:rPr>
            </w:pPr>
            <w:r>
              <w:rPr>
                <w:rFonts w:hint="eastAsia" w:cs="仿宋"/>
                <w:b/>
                <w:bCs/>
                <w:snapToGrid w:val="0"/>
                <w:color w:val="auto"/>
                <w:kern w:val="0"/>
                <w:sz w:val="24"/>
                <w:szCs w:val="24"/>
                <w:highlight w:val="none"/>
                <w:lang w:val="en-US" w:eastAsia="zh-CN" w:bidi="ar-SA"/>
              </w:rPr>
              <w:t>34</w:t>
            </w:r>
          </w:p>
        </w:tc>
        <w:tc>
          <w:tcPr>
            <w:tcW w:w="1583" w:type="dxa"/>
            <w:shd w:val="clear" w:color="auto" w:fill="auto"/>
            <w:vAlign w:val="center"/>
          </w:tcPr>
          <w:p w14:paraId="38FF7211">
            <w:pPr>
              <w:pStyle w:val="25"/>
              <w:keepNext w:val="0"/>
              <w:keepLines w:val="0"/>
              <w:pageBreakBefore w:val="0"/>
              <w:shd w:val="clear"/>
              <w:kinsoku/>
              <w:wordWrap w:val="0"/>
              <w:overflowPunct/>
              <w:topLinePunct w:val="0"/>
              <w:bidi w:val="0"/>
              <w:spacing w:line="240" w:lineRule="auto"/>
              <w:ind w:left="0" w:right="0" w:rightChars="0" w:firstLine="0"/>
              <w:jc w:val="center"/>
              <w:rPr>
                <w:b/>
                <w:bCs/>
                <w:color w:val="auto"/>
                <w:spacing w:val="-4"/>
                <w:highlight w:val="none"/>
              </w:rPr>
            </w:pPr>
            <w:r>
              <w:rPr>
                <w:b/>
                <w:bCs/>
                <w:color w:val="auto"/>
                <w:spacing w:val="-4"/>
                <w:highlight w:val="none"/>
              </w:rPr>
              <w:t>优惠率的解释</w:t>
            </w:r>
          </w:p>
          <w:p w14:paraId="2FA7F079">
            <w:pPr>
              <w:pStyle w:val="25"/>
              <w:keepNext w:val="0"/>
              <w:keepLines w:val="0"/>
              <w:pageBreakBefore w:val="0"/>
              <w:shd w:val="clear"/>
              <w:kinsoku/>
              <w:wordWrap w:val="0"/>
              <w:overflowPunct/>
              <w:topLinePunct w:val="0"/>
              <w:bidi w:val="0"/>
              <w:spacing w:line="240" w:lineRule="auto"/>
              <w:ind w:left="0" w:right="0" w:rightChars="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（如有）</w:t>
            </w:r>
          </w:p>
        </w:tc>
        <w:tc>
          <w:tcPr>
            <w:tcW w:w="5998" w:type="dxa"/>
            <w:tcBorders>
              <w:right w:val="single" w:color="000000" w:sz="2" w:space="0"/>
            </w:tcBorders>
            <w:shd w:val="clear" w:color="auto" w:fill="auto"/>
            <w:vAlign w:val="top"/>
          </w:tcPr>
          <w:p w14:paraId="1ADA53D9">
            <w:pPr>
              <w:pStyle w:val="25"/>
              <w:keepNext w:val="0"/>
              <w:keepLines w:val="0"/>
              <w:pageBreakBefore w:val="0"/>
              <w:shd w:val="clear"/>
              <w:kinsoku/>
              <w:wordWrap w:val="0"/>
              <w:overflowPunct/>
              <w:topLinePunct w:val="0"/>
              <w:bidi w:val="0"/>
              <w:spacing w:line="240" w:lineRule="auto"/>
              <w:ind w:left="0" w:leftChars="0" w:right="0" w:rightChars="0" w:firstLine="0" w:firstLineChars="0"/>
              <w:jc w:val="both"/>
              <w:rPr>
                <w:rFonts w:ascii="仿宋" w:hAnsi="仿宋" w:eastAsia="仿宋" w:cs="仿宋"/>
                <w:snapToGrid w:val="0"/>
                <w:color w:val="auto"/>
                <w:kern w:val="0"/>
                <w:sz w:val="24"/>
                <w:szCs w:val="24"/>
                <w:highlight w:val="none"/>
                <w:lang w:val="en-US" w:eastAsia="en-US" w:bidi="ar-SA"/>
              </w:rPr>
            </w:pPr>
            <w:r>
              <w:rPr>
                <w:color w:val="auto"/>
                <w:spacing w:val="6"/>
                <w:highlight w:val="none"/>
              </w:rPr>
              <w:t>项目采用优惠率报价的</w:t>
            </w:r>
            <w:r>
              <w:rPr>
                <w:rFonts w:hint="eastAsia"/>
                <w:color w:val="auto"/>
                <w:spacing w:val="6"/>
                <w:highlight w:val="none"/>
                <w:lang w:eastAsia="zh-CN"/>
              </w:rPr>
              <w:t>，</w:t>
            </w:r>
            <w:r>
              <w:rPr>
                <w:color w:val="auto"/>
                <w:spacing w:val="6"/>
                <w:highlight w:val="none"/>
              </w:rPr>
              <w:t>优惠率是指在采购文件约定的基</w:t>
            </w:r>
            <w:r>
              <w:rPr>
                <w:color w:val="auto"/>
                <w:spacing w:val="-2"/>
                <w:highlight w:val="none"/>
              </w:rPr>
              <w:t>准价基础上进行下浮的比例。例如供应商填入0.2（20%优</w:t>
            </w:r>
            <w:r>
              <w:rPr>
                <w:color w:val="auto"/>
                <w:spacing w:val="-3"/>
                <w:highlight w:val="none"/>
              </w:rPr>
              <w:t>惠率）则优惠后的报价</w:t>
            </w:r>
            <w:r>
              <w:rPr>
                <w:color w:val="auto"/>
                <w:spacing w:val="-49"/>
                <w:highlight w:val="none"/>
              </w:rPr>
              <w:t>＝（</w:t>
            </w:r>
            <w:r>
              <w:rPr>
                <w:color w:val="auto"/>
                <w:spacing w:val="-3"/>
                <w:highlight w:val="none"/>
              </w:rPr>
              <w:t>1-0.2）×基准价。</w:t>
            </w:r>
          </w:p>
        </w:tc>
      </w:tr>
      <w:tr w14:paraId="27AD0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4EBEB4C2">
            <w:pPr>
              <w:pStyle w:val="25"/>
              <w:keepNext w:val="0"/>
              <w:keepLines w:val="0"/>
              <w:pageBreakBefore w:val="0"/>
              <w:shd w:val="clear"/>
              <w:kinsoku/>
              <w:wordWrap w:val="0"/>
              <w:overflowPunct/>
              <w:topLinePunct w:val="0"/>
              <w:bidi w:val="0"/>
              <w:spacing w:line="240" w:lineRule="auto"/>
              <w:ind w:left="0" w:right="0" w:firstLine="0"/>
              <w:jc w:val="center"/>
              <w:rPr>
                <w:rFonts w:hint="default" w:ascii="仿宋" w:hAnsi="仿宋" w:eastAsia="仿宋" w:cs="仿宋"/>
                <w:b/>
                <w:bCs/>
                <w:snapToGrid w:val="0"/>
                <w:color w:val="auto"/>
                <w:kern w:val="0"/>
                <w:sz w:val="24"/>
                <w:szCs w:val="24"/>
                <w:highlight w:val="none"/>
                <w:lang w:val="en-US" w:eastAsia="zh-CN" w:bidi="ar-SA"/>
              </w:rPr>
            </w:pPr>
            <w:r>
              <w:rPr>
                <w:rFonts w:hint="eastAsia" w:cs="仿宋"/>
                <w:b/>
                <w:bCs/>
                <w:snapToGrid w:val="0"/>
                <w:color w:val="auto"/>
                <w:kern w:val="0"/>
                <w:sz w:val="24"/>
                <w:szCs w:val="24"/>
                <w:highlight w:val="none"/>
                <w:lang w:val="en-US" w:eastAsia="zh-CN" w:bidi="ar-SA"/>
              </w:rPr>
              <w:t>35</w:t>
            </w:r>
          </w:p>
        </w:tc>
        <w:tc>
          <w:tcPr>
            <w:tcW w:w="1583" w:type="dxa"/>
            <w:shd w:val="clear" w:color="auto" w:fill="auto"/>
            <w:vAlign w:val="center"/>
          </w:tcPr>
          <w:p w14:paraId="2918FBC0">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snapToGrid w:val="0"/>
                <w:color w:val="auto"/>
                <w:kern w:val="0"/>
                <w:sz w:val="24"/>
                <w:szCs w:val="24"/>
                <w:highlight w:val="none"/>
                <w:lang w:val="en-US" w:eastAsia="en-US" w:bidi="ar-SA"/>
              </w:rPr>
            </w:pPr>
            <w:r>
              <w:rPr>
                <w:b/>
                <w:bCs/>
                <w:color w:val="auto"/>
                <w:spacing w:val="-3"/>
                <w:highlight w:val="none"/>
              </w:rPr>
              <w:t>利害关系人处理</w:t>
            </w:r>
          </w:p>
        </w:tc>
        <w:tc>
          <w:tcPr>
            <w:tcW w:w="5998" w:type="dxa"/>
            <w:tcBorders>
              <w:right w:val="single" w:color="000000" w:sz="2" w:space="0"/>
            </w:tcBorders>
            <w:shd w:val="clear" w:color="auto" w:fill="auto"/>
            <w:vAlign w:val="top"/>
          </w:tcPr>
          <w:p w14:paraId="78F97618">
            <w:pPr>
              <w:pStyle w:val="25"/>
              <w:keepNext w:val="0"/>
              <w:keepLines w:val="0"/>
              <w:pageBreakBefore w:val="0"/>
              <w:shd w:val="clear"/>
              <w:kinsoku/>
              <w:wordWrap w:val="0"/>
              <w:overflowPunct/>
              <w:topLinePunct w:val="0"/>
              <w:bidi w:val="0"/>
              <w:spacing w:line="240" w:lineRule="auto"/>
              <w:ind w:left="0" w:right="0" w:firstLine="0"/>
              <w:rPr>
                <w:color w:val="auto"/>
                <w:highlight w:val="none"/>
              </w:rPr>
            </w:pPr>
            <w:r>
              <w:rPr>
                <w:color w:val="auto"/>
                <w:spacing w:val="1"/>
                <w:highlight w:val="none"/>
              </w:rPr>
              <w:t>1.2家以上的投标人不得在同一合同项下的采</w:t>
            </w:r>
            <w:r>
              <w:rPr>
                <w:color w:val="auto"/>
                <w:highlight w:val="none"/>
              </w:rPr>
              <w:t>购项目中，</w:t>
            </w:r>
            <w:r>
              <w:rPr>
                <w:color w:val="auto"/>
                <w:spacing w:val="1"/>
                <w:highlight w:val="none"/>
              </w:rPr>
              <w:t>同时委托同一个自然人、同一家庭的人员、</w:t>
            </w:r>
            <w:r>
              <w:rPr>
                <w:color w:val="auto"/>
                <w:highlight w:val="none"/>
              </w:rPr>
              <w:t>同一单位的人</w:t>
            </w:r>
            <w:r>
              <w:rPr>
                <w:color w:val="auto"/>
                <w:spacing w:val="-2"/>
                <w:highlight w:val="none"/>
              </w:rPr>
              <w:t>员作为其代理人，否则，其投标文件作为无效处理。</w:t>
            </w:r>
          </w:p>
          <w:p w14:paraId="7D78CA12">
            <w:pPr>
              <w:pStyle w:val="25"/>
              <w:keepNext w:val="0"/>
              <w:keepLines w:val="0"/>
              <w:pageBreakBefore w:val="0"/>
              <w:shd w:val="clear"/>
              <w:kinsoku/>
              <w:wordWrap w:val="0"/>
              <w:overflowPunct/>
              <w:topLinePunct w:val="0"/>
              <w:bidi w:val="0"/>
              <w:spacing w:line="240" w:lineRule="auto"/>
              <w:ind w:left="0" w:leftChars="0" w:right="0" w:rightChars="0" w:firstLine="0" w:firstLineChars="0"/>
              <w:rPr>
                <w:rFonts w:ascii="仿宋" w:hAnsi="仿宋" w:eastAsia="仿宋" w:cs="仿宋"/>
                <w:snapToGrid w:val="0"/>
                <w:color w:val="auto"/>
                <w:kern w:val="0"/>
                <w:sz w:val="24"/>
                <w:szCs w:val="24"/>
                <w:highlight w:val="none"/>
                <w:lang w:val="en-US" w:eastAsia="en-US" w:bidi="ar-SA"/>
              </w:rPr>
            </w:pPr>
            <w:r>
              <w:rPr>
                <w:color w:val="auto"/>
                <w:spacing w:val="1"/>
                <w:highlight w:val="none"/>
              </w:rPr>
              <w:t>2.单位负责人为同一人或者存在直接控股、管理关系的不同投标人不得参加同一合同项下的政府采购活动。采购项目实行资格预审的，单位负责人为同一人或者存在直接控股、管理关系的不同投标人可以参加资格预审，但只能由投标人确定其中一家符合条件的投标人参加后续的政府采</w:t>
            </w:r>
            <w:r>
              <w:rPr>
                <w:color w:val="auto"/>
                <w:spacing w:val="-1"/>
                <w:highlight w:val="none"/>
              </w:rPr>
              <w:t>购活动，否则，其投标文件作为无效处理。</w:t>
            </w:r>
          </w:p>
        </w:tc>
      </w:tr>
      <w:tr w14:paraId="535C0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center"/>
          </w:tcPr>
          <w:p w14:paraId="040C982E">
            <w:pPr>
              <w:pStyle w:val="25"/>
              <w:keepNext w:val="0"/>
              <w:keepLines w:val="0"/>
              <w:pageBreakBefore w:val="0"/>
              <w:shd w:val="clear"/>
              <w:kinsoku/>
              <w:wordWrap w:val="0"/>
              <w:overflowPunct/>
              <w:topLinePunct w:val="0"/>
              <w:bidi w:val="0"/>
              <w:spacing w:line="240" w:lineRule="auto"/>
              <w:ind w:left="0" w:right="0" w:firstLine="0"/>
              <w:jc w:val="center"/>
              <w:rPr>
                <w:rFonts w:hint="default" w:ascii="仿宋" w:hAnsi="仿宋" w:eastAsia="仿宋" w:cs="仿宋"/>
                <w:b/>
                <w:bCs/>
                <w:snapToGrid w:val="0"/>
                <w:color w:val="auto"/>
                <w:kern w:val="0"/>
                <w:sz w:val="24"/>
                <w:szCs w:val="24"/>
                <w:highlight w:val="none"/>
                <w:lang w:val="en-US" w:eastAsia="zh-CN" w:bidi="ar-SA"/>
              </w:rPr>
            </w:pPr>
            <w:r>
              <w:rPr>
                <w:rFonts w:hint="eastAsia" w:cs="仿宋"/>
                <w:b/>
                <w:bCs/>
                <w:snapToGrid w:val="0"/>
                <w:color w:val="auto"/>
                <w:kern w:val="0"/>
                <w:sz w:val="24"/>
                <w:szCs w:val="24"/>
                <w:highlight w:val="none"/>
                <w:lang w:val="en-US" w:eastAsia="zh-CN" w:bidi="ar-SA"/>
              </w:rPr>
              <w:t>36</w:t>
            </w:r>
          </w:p>
        </w:tc>
        <w:tc>
          <w:tcPr>
            <w:tcW w:w="1583" w:type="dxa"/>
            <w:shd w:val="clear" w:color="auto" w:fill="auto"/>
            <w:vAlign w:val="center"/>
          </w:tcPr>
          <w:p w14:paraId="159B602B">
            <w:pPr>
              <w:pStyle w:val="25"/>
              <w:keepNext w:val="0"/>
              <w:keepLines w:val="0"/>
              <w:pageBreakBefore w:val="0"/>
              <w:shd w:val="clear"/>
              <w:kinsoku/>
              <w:wordWrap w:val="0"/>
              <w:overflowPunct/>
              <w:topLinePunct w:val="0"/>
              <w:bidi w:val="0"/>
              <w:spacing w:line="240" w:lineRule="auto"/>
              <w:ind w:left="0" w:right="0" w:rightChars="0" w:firstLine="0"/>
              <w:jc w:val="center"/>
              <w:rPr>
                <w:rFonts w:ascii="仿宋" w:hAnsi="仿宋" w:eastAsia="仿宋" w:cs="仿宋"/>
                <w:snapToGrid w:val="0"/>
                <w:color w:val="auto"/>
                <w:kern w:val="0"/>
                <w:sz w:val="24"/>
                <w:szCs w:val="24"/>
                <w:highlight w:val="none"/>
                <w:lang w:val="en-US" w:eastAsia="en-US" w:bidi="ar-SA"/>
              </w:rPr>
            </w:pPr>
            <w:r>
              <w:rPr>
                <w:b/>
                <w:bCs/>
                <w:color w:val="auto"/>
                <w:spacing w:val="-4"/>
                <w:highlight w:val="none"/>
              </w:rPr>
              <w:t>其他需补充的</w:t>
            </w:r>
            <w:r>
              <w:rPr>
                <w:b/>
                <w:bCs/>
                <w:color w:val="auto"/>
                <w:spacing w:val="-25"/>
                <w:highlight w:val="none"/>
              </w:rPr>
              <w:t>内容</w:t>
            </w:r>
          </w:p>
        </w:tc>
        <w:tc>
          <w:tcPr>
            <w:tcW w:w="5998" w:type="dxa"/>
            <w:tcBorders>
              <w:right w:val="single" w:color="000000" w:sz="2" w:space="0"/>
            </w:tcBorders>
            <w:shd w:val="clear" w:color="auto" w:fill="auto"/>
            <w:vAlign w:val="top"/>
          </w:tcPr>
          <w:p w14:paraId="633D125F">
            <w:pPr>
              <w:pStyle w:val="25"/>
              <w:keepNext w:val="0"/>
              <w:keepLines w:val="0"/>
              <w:pageBreakBefore w:val="0"/>
              <w:widowControl/>
              <w:shd w:val="clear"/>
              <w:kinsoku w:val="0"/>
              <w:wordWrap w:val="0"/>
              <w:overflowPunct/>
              <w:topLinePunct w:val="0"/>
              <w:autoSpaceDE w:val="0"/>
              <w:autoSpaceDN w:val="0"/>
              <w:bidi w:val="0"/>
              <w:adjustRightInd w:val="0"/>
              <w:snapToGrid w:val="0"/>
              <w:spacing w:before="100" w:line="218" w:lineRule="auto"/>
              <w:ind w:left="116"/>
              <w:textAlignment w:val="baseline"/>
              <w:rPr>
                <w:color w:val="auto"/>
                <w:highlight w:val="none"/>
              </w:rPr>
            </w:pPr>
            <w:r>
              <w:rPr>
                <w:b/>
                <w:bCs/>
                <w:color w:val="auto"/>
                <w:spacing w:val="-5"/>
                <w:highlight w:val="none"/>
              </w:rPr>
              <w:t>特别提醒：</w:t>
            </w:r>
          </w:p>
          <w:p w14:paraId="41A77854">
            <w:pPr>
              <w:pStyle w:val="25"/>
              <w:keepNext w:val="0"/>
              <w:keepLines w:val="0"/>
              <w:pageBreakBefore w:val="0"/>
              <w:widowControl/>
              <w:shd w:val="clear"/>
              <w:kinsoku w:val="0"/>
              <w:wordWrap w:val="0"/>
              <w:overflowPunct/>
              <w:topLinePunct w:val="0"/>
              <w:autoSpaceDE w:val="0"/>
              <w:autoSpaceDN w:val="0"/>
              <w:bidi w:val="0"/>
              <w:adjustRightInd w:val="0"/>
              <w:snapToGrid w:val="0"/>
              <w:spacing w:before="94" w:line="269" w:lineRule="auto"/>
              <w:ind w:left="117" w:right="117" w:firstLine="11"/>
              <w:textAlignment w:val="baseline"/>
              <w:rPr>
                <w:color w:val="auto"/>
                <w:highlight w:val="none"/>
              </w:rPr>
            </w:pPr>
            <w:r>
              <w:rPr>
                <w:color w:val="auto"/>
                <w:highlight w:val="none"/>
              </w:rPr>
              <w:t>1.所有投标人的报价</w:t>
            </w:r>
            <w:r>
              <w:rPr>
                <w:b/>
                <w:bCs/>
                <w:color w:val="auto"/>
                <w:highlight w:val="none"/>
              </w:rPr>
              <w:t>高于</w:t>
            </w:r>
            <w:r>
              <w:rPr>
                <w:color w:val="auto"/>
                <w:highlight w:val="none"/>
              </w:rPr>
              <w:t>本项目（标项）最高限价额度的</w:t>
            </w:r>
            <w:r>
              <w:rPr>
                <w:color w:val="auto"/>
                <w:spacing w:val="-5"/>
                <w:highlight w:val="none"/>
              </w:rPr>
              <w:t>视为无效报价（即作否决投标处理）。</w:t>
            </w:r>
          </w:p>
          <w:p w14:paraId="050C2E40">
            <w:pPr>
              <w:pStyle w:val="25"/>
              <w:keepNext w:val="0"/>
              <w:keepLines w:val="0"/>
              <w:pageBreakBefore w:val="0"/>
              <w:widowControl/>
              <w:shd w:val="clear"/>
              <w:kinsoku w:val="0"/>
              <w:wordWrap w:val="0"/>
              <w:overflowPunct/>
              <w:topLinePunct w:val="0"/>
              <w:autoSpaceDE w:val="0"/>
              <w:autoSpaceDN w:val="0"/>
              <w:bidi w:val="0"/>
              <w:adjustRightInd w:val="0"/>
              <w:snapToGrid w:val="0"/>
              <w:spacing w:before="9" w:line="239" w:lineRule="auto"/>
              <w:ind w:left="111" w:right="114" w:firstLine="11"/>
              <w:textAlignment w:val="baseline"/>
              <w:rPr>
                <w:color w:val="auto"/>
                <w:highlight w:val="none"/>
              </w:rPr>
            </w:pPr>
            <w:r>
              <w:rPr>
                <w:color w:val="auto"/>
                <w:highlight w:val="none"/>
              </w:rPr>
              <w:t>2.使用</w:t>
            </w:r>
            <w:r>
              <w:rPr>
                <w:b/>
                <w:bCs/>
                <w:color w:val="auto"/>
                <w:highlight w:val="none"/>
              </w:rPr>
              <w:t>综合评分法</w:t>
            </w:r>
            <w:r>
              <w:rPr>
                <w:color w:val="auto"/>
                <w:highlight w:val="none"/>
              </w:rPr>
              <w:t>的采购项目，提供相同品牌产品且通过</w:t>
            </w:r>
            <w:r>
              <w:rPr>
                <w:color w:val="auto"/>
                <w:spacing w:val="1"/>
                <w:highlight w:val="none"/>
              </w:rPr>
              <w:t>资格审查、符合性审查的不同投标人参加同一合同项下投</w:t>
            </w:r>
            <w:r>
              <w:rPr>
                <w:color w:val="auto"/>
                <w:spacing w:val="-1"/>
                <w:highlight w:val="none"/>
              </w:rPr>
              <w:t>标的，按1家投标人计算，评审后</w:t>
            </w:r>
            <w:r>
              <w:rPr>
                <w:b/>
                <w:bCs/>
                <w:color w:val="auto"/>
                <w:spacing w:val="-1"/>
                <w:highlight w:val="none"/>
              </w:rPr>
              <w:t>得分最高</w:t>
            </w:r>
            <w:r>
              <w:rPr>
                <w:color w:val="auto"/>
                <w:spacing w:val="-1"/>
                <w:highlight w:val="none"/>
              </w:rPr>
              <w:t>的同品牌投标人获得中标人推荐资格；评审得分</w:t>
            </w:r>
            <w:r>
              <w:rPr>
                <w:b/>
                <w:bCs/>
                <w:color w:val="auto"/>
                <w:spacing w:val="-1"/>
                <w:highlight w:val="none"/>
              </w:rPr>
              <w:t>相同</w:t>
            </w:r>
            <w:r>
              <w:rPr>
                <w:color w:val="auto"/>
                <w:spacing w:val="-1"/>
                <w:highlight w:val="none"/>
              </w:rPr>
              <w:t>的，由采购人或者</w:t>
            </w:r>
            <w:r>
              <w:rPr>
                <w:color w:val="auto"/>
                <w:highlight w:val="none"/>
              </w:rPr>
              <w:t>采购人委托评标委员会按照招标文件规定的方式确定</w:t>
            </w:r>
            <w:r>
              <w:rPr>
                <w:color w:val="auto"/>
                <w:spacing w:val="-1"/>
                <w:highlight w:val="none"/>
              </w:rPr>
              <w:t>1个</w:t>
            </w:r>
            <w:r>
              <w:rPr>
                <w:color w:val="auto"/>
                <w:spacing w:val="1"/>
                <w:highlight w:val="none"/>
              </w:rPr>
              <w:t>投标人获得中标人推荐资格，招标文件未规定的采取随机</w:t>
            </w:r>
            <w:r>
              <w:rPr>
                <w:color w:val="auto"/>
                <w:spacing w:val="-1"/>
                <w:highlight w:val="none"/>
              </w:rPr>
              <w:t>抽取方式确定，其他同品牌投标人不作为中标候选人。</w:t>
            </w:r>
          </w:p>
          <w:p w14:paraId="1BF5EEA9">
            <w:pPr>
              <w:pStyle w:val="25"/>
              <w:keepNext w:val="0"/>
              <w:keepLines w:val="0"/>
              <w:pageBreakBefore w:val="0"/>
              <w:widowControl/>
              <w:shd w:val="clear"/>
              <w:kinsoku w:val="0"/>
              <w:wordWrap w:val="0"/>
              <w:overflowPunct/>
              <w:topLinePunct w:val="0"/>
              <w:autoSpaceDE w:val="0"/>
              <w:autoSpaceDN w:val="0"/>
              <w:bidi w:val="0"/>
              <w:adjustRightInd w:val="0"/>
              <w:snapToGrid w:val="0"/>
              <w:spacing w:before="2" w:line="239" w:lineRule="auto"/>
              <w:ind w:left="109" w:right="116" w:firstLine="22"/>
              <w:textAlignment w:val="baseline"/>
              <w:rPr>
                <w:color w:val="auto"/>
                <w:highlight w:val="none"/>
              </w:rPr>
            </w:pPr>
            <w:r>
              <w:rPr>
                <w:color w:val="auto"/>
                <w:spacing w:val="-8"/>
                <w:highlight w:val="none"/>
              </w:rPr>
              <w:t>3.根据《关于推动解决政府采购异常低价</w:t>
            </w:r>
            <w:r>
              <w:rPr>
                <w:color w:val="auto"/>
                <w:spacing w:val="-9"/>
                <w:highlight w:val="none"/>
              </w:rPr>
              <w:t>问题的通知》（财</w:t>
            </w:r>
            <w:r>
              <w:rPr>
                <w:color w:val="auto"/>
                <w:spacing w:val="-2"/>
                <w:highlight w:val="none"/>
              </w:rPr>
              <w:t>库〔2026〕2号）文件规定及采购人要求：</w:t>
            </w:r>
          </w:p>
          <w:p w14:paraId="71721252">
            <w:pPr>
              <w:pStyle w:val="25"/>
              <w:keepNext w:val="0"/>
              <w:keepLines w:val="0"/>
              <w:pageBreakBefore w:val="0"/>
              <w:widowControl/>
              <w:shd w:val="clear"/>
              <w:kinsoku w:val="0"/>
              <w:wordWrap w:val="0"/>
              <w:overflowPunct/>
              <w:topLinePunct w:val="0"/>
              <w:autoSpaceDE w:val="0"/>
              <w:autoSpaceDN w:val="0"/>
              <w:bidi w:val="0"/>
              <w:adjustRightInd w:val="0"/>
              <w:snapToGrid w:val="0"/>
              <w:ind w:left="118" w:right="114" w:hanging="10"/>
              <w:textAlignment w:val="baseline"/>
              <w:rPr>
                <w:color w:val="auto"/>
                <w:highlight w:val="none"/>
              </w:rPr>
            </w:pPr>
            <w:r>
              <w:rPr>
                <w:color w:val="auto"/>
                <w:spacing w:val="-1"/>
                <w:highlight w:val="none"/>
              </w:rPr>
              <w:t>（一）政府采购评审中出现下列情形之一的，评审委员会应当启动异常低价投标（响应）审查程序：</w:t>
            </w:r>
          </w:p>
          <w:p w14:paraId="4D47332D">
            <w:pPr>
              <w:pStyle w:val="25"/>
              <w:keepNext w:val="0"/>
              <w:keepLines w:val="0"/>
              <w:pageBreakBefore w:val="0"/>
              <w:widowControl/>
              <w:shd w:val="clear"/>
              <w:kinsoku w:val="0"/>
              <w:wordWrap w:val="0"/>
              <w:overflowPunct/>
              <w:topLinePunct w:val="0"/>
              <w:autoSpaceDE w:val="0"/>
              <w:autoSpaceDN w:val="0"/>
              <w:bidi w:val="0"/>
              <w:adjustRightInd w:val="0"/>
              <w:snapToGrid w:val="0"/>
              <w:spacing w:before="4" w:line="234" w:lineRule="auto"/>
              <w:ind w:left="118" w:right="56" w:hanging="5"/>
              <w:jc w:val="both"/>
              <w:textAlignment w:val="baseline"/>
              <w:rPr>
                <w:color w:val="auto"/>
                <w:spacing w:val="-2"/>
                <w:highlight w:val="none"/>
              </w:rPr>
            </w:pPr>
            <w:r>
              <w:rPr>
                <w:rFonts w:hint="eastAsia"/>
                <w:color w:val="auto"/>
                <w:spacing w:val="-2"/>
                <w:highlight w:val="none"/>
              </w:rPr>
              <w:t>1.投标（响应）报价低于全部通过符合性审查供应商投标（响应）报价平均值50%的，即投标（响应）报价</w:t>
            </w:r>
            <w:r>
              <w:rPr>
                <w:rFonts w:hint="eastAsia"/>
                <w:color w:val="auto"/>
                <w:spacing w:val="-2"/>
                <w:highlight w:val="none"/>
                <w:lang w:eastAsia="zh-CN"/>
              </w:rPr>
              <w:t>〈</w:t>
            </w:r>
            <w:r>
              <w:rPr>
                <w:rFonts w:hint="eastAsia"/>
                <w:color w:val="auto"/>
                <w:spacing w:val="-2"/>
                <w:highlight w:val="none"/>
              </w:rPr>
              <w:t>全部通过符合性审查供应商投标（响应）报价平均值×50%；</w:t>
            </w:r>
          </w:p>
          <w:p w14:paraId="1E72702B">
            <w:pPr>
              <w:pStyle w:val="25"/>
              <w:keepNext w:val="0"/>
              <w:keepLines w:val="0"/>
              <w:pageBreakBefore w:val="0"/>
              <w:widowControl/>
              <w:shd w:val="clear"/>
              <w:kinsoku w:val="0"/>
              <w:wordWrap w:val="0"/>
              <w:overflowPunct/>
              <w:topLinePunct w:val="0"/>
              <w:autoSpaceDE w:val="0"/>
              <w:autoSpaceDN w:val="0"/>
              <w:bidi w:val="0"/>
              <w:adjustRightInd w:val="0"/>
              <w:snapToGrid w:val="0"/>
              <w:spacing w:before="4" w:line="234" w:lineRule="auto"/>
              <w:ind w:left="118" w:right="56" w:hanging="5"/>
              <w:jc w:val="both"/>
              <w:textAlignment w:val="baseline"/>
              <w:rPr>
                <w:rFonts w:hint="default"/>
                <w:color w:val="auto"/>
                <w:spacing w:val="-2"/>
                <w:highlight w:val="none"/>
              </w:rPr>
            </w:pPr>
            <w:r>
              <w:rPr>
                <w:rFonts w:hint="eastAsia"/>
                <w:color w:val="auto"/>
                <w:spacing w:val="-2"/>
                <w:highlight w:val="none"/>
              </w:rPr>
              <w:t>2.投标（响应）报价低于通过符合性审查的次低报价供应商投标（响应）报价50%的，即投标（响应）报价</w:t>
            </w:r>
            <w:r>
              <w:rPr>
                <w:rFonts w:hint="eastAsia"/>
                <w:color w:val="auto"/>
                <w:spacing w:val="-2"/>
                <w:highlight w:val="none"/>
                <w:lang w:eastAsia="zh-CN"/>
              </w:rPr>
              <w:t>〈</w:t>
            </w:r>
            <w:r>
              <w:rPr>
                <w:rFonts w:hint="eastAsia"/>
                <w:color w:val="auto"/>
                <w:spacing w:val="-2"/>
                <w:highlight w:val="none"/>
              </w:rPr>
              <w:t>通过符合性审查的次低报价供应商投标（响应）报价×50%；</w:t>
            </w:r>
          </w:p>
          <w:p w14:paraId="676EF347">
            <w:pPr>
              <w:pStyle w:val="25"/>
              <w:keepNext w:val="0"/>
              <w:keepLines w:val="0"/>
              <w:pageBreakBefore w:val="0"/>
              <w:widowControl/>
              <w:shd w:val="clear"/>
              <w:kinsoku w:val="0"/>
              <w:wordWrap w:val="0"/>
              <w:overflowPunct/>
              <w:topLinePunct w:val="0"/>
              <w:autoSpaceDE w:val="0"/>
              <w:autoSpaceDN w:val="0"/>
              <w:bidi w:val="0"/>
              <w:adjustRightInd w:val="0"/>
              <w:snapToGrid w:val="0"/>
              <w:spacing w:before="4" w:line="234" w:lineRule="auto"/>
              <w:ind w:left="118" w:right="56" w:hanging="5"/>
              <w:jc w:val="both"/>
              <w:textAlignment w:val="baseline"/>
              <w:rPr>
                <w:rFonts w:hint="default"/>
                <w:color w:val="auto"/>
                <w:spacing w:val="-2"/>
                <w:highlight w:val="none"/>
              </w:rPr>
            </w:pPr>
            <w:r>
              <w:rPr>
                <w:rFonts w:hint="eastAsia"/>
                <w:color w:val="auto"/>
                <w:spacing w:val="-2"/>
                <w:highlight w:val="none"/>
              </w:rPr>
              <w:t>3.投标（响应）报价低于采购项目最高限价45%的，即投标（响应）报价</w:t>
            </w:r>
            <w:r>
              <w:rPr>
                <w:rFonts w:hint="eastAsia"/>
                <w:color w:val="auto"/>
                <w:spacing w:val="-2"/>
                <w:highlight w:val="none"/>
                <w:lang w:eastAsia="zh-CN"/>
              </w:rPr>
              <w:t>〈</w:t>
            </w:r>
            <w:r>
              <w:rPr>
                <w:rFonts w:hint="eastAsia"/>
                <w:color w:val="auto"/>
                <w:spacing w:val="-2"/>
                <w:highlight w:val="none"/>
              </w:rPr>
              <w:t>采购项目最高限价×45%；</w:t>
            </w:r>
          </w:p>
          <w:p w14:paraId="07C5F3C6">
            <w:pPr>
              <w:pStyle w:val="25"/>
              <w:keepNext w:val="0"/>
              <w:keepLines w:val="0"/>
              <w:pageBreakBefore w:val="0"/>
              <w:widowControl/>
              <w:shd w:val="clear"/>
              <w:kinsoku w:val="0"/>
              <w:wordWrap w:val="0"/>
              <w:overflowPunct/>
              <w:topLinePunct w:val="0"/>
              <w:autoSpaceDE w:val="0"/>
              <w:autoSpaceDN w:val="0"/>
              <w:bidi w:val="0"/>
              <w:adjustRightInd w:val="0"/>
              <w:snapToGrid w:val="0"/>
              <w:spacing w:before="4" w:line="234" w:lineRule="auto"/>
              <w:ind w:left="118" w:right="56" w:hanging="5"/>
              <w:jc w:val="both"/>
              <w:textAlignment w:val="baseline"/>
              <w:rPr>
                <w:rFonts w:hint="default"/>
                <w:color w:val="auto"/>
                <w:spacing w:val="-2"/>
                <w:highlight w:val="none"/>
              </w:rPr>
            </w:pPr>
            <w:r>
              <w:rPr>
                <w:rFonts w:hint="eastAsia"/>
                <w:color w:val="auto"/>
                <w:spacing w:val="-2"/>
                <w:highlight w:val="none"/>
              </w:rPr>
              <w:t>4.评审委员会基于专业判断，认为供应商报价过低，有可能影响产品质量或者不能诚信履约的其他情形。</w:t>
            </w:r>
          </w:p>
          <w:p w14:paraId="493E590B">
            <w:pPr>
              <w:pStyle w:val="25"/>
              <w:keepNext w:val="0"/>
              <w:keepLines w:val="0"/>
              <w:pageBreakBefore w:val="0"/>
              <w:widowControl/>
              <w:shd w:val="clear"/>
              <w:kinsoku w:val="0"/>
              <w:wordWrap w:val="0"/>
              <w:overflowPunct/>
              <w:topLinePunct w:val="0"/>
              <w:autoSpaceDE w:val="0"/>
              <w:autoSpaceDN w:val="0"/>
              <w:bidi w:val="0"/>
              <w:adjustRightInd w:val="0"/>
              <w:snapToGrid w:val="0"/>
              <w:spacing w:before="4" w:line="234" w:lineRule="auto"/>
              <w:ind w:left="118" w:right="56" w:hanging="5"/>
              <w:jc w:val="both"/>
              <w:textAlignment w:val="baseline"/>
              <w:rPr>
                <w:color w:val="auto"/>
                <w:spacing w:val="-2"/>
                <w:highlight w:val="none"/>
              </w:rPr>
            </w:pPr>
            <w:r>
              <w:rPr>
                <w:color w:val="auto"/>
                <w:spacing w:val="-2"/>
                <w:highlight w:val="none"/>
              </w:rPr>
              <w:t>采购人可以结合具体项目实际情况，提高上述第1项至第</w:t>
            </w:r>
            <w:r>
              <w:rPr>
                <w:color w:val="auto"/>
                <w:spacing w:val="3"/>
                <w:highlight w:val="none"/>
              </w:rPr>
              <w:t>3项中启动异常低价投标（响应）审查的数值标准，但是</w:t>
            </w:r>
            <w:r>
              <w:rPr>
                <w:color w:val="auto"/>
                <w:spacing w:val="-4"/>
                <w:highlight w:val="none"/>
              </w:rPr>
              <w:t>最高不得超过65%。相关法律法规对供应商报价有规</w:t>
            </w:r>
            <w:r>
              <w:rPr>
                <w:color w:val="auto"/>
                <w:spacing w:val="-5"/>
                <w:highlight w:val="none"/>
              </w:rPr>
              <w:t>定的，</w:t>
            </w:r>
            <w:r>
              <w:rPr>
                <w:color w:val="auto"/>
                <w:spacing w:val="-4"/>
                <w:highlight w:val="none"/>
              </w:rPr>
              <w:t>从其规定。</w:t>
            </w:r>
          </w:p>
          <w:p w14:paraId="0993300C">
            <w:pPr>
              <w:pStyle w:val="25"/>
              <w:keepNext w:val="0"/>
              <w:keepLines w:val="0"/>
              <w:pageBreakBefore w:val="0"/>
              <w:widowControl/>
              <w:shd w:val="clear"/>
              <w:kinsoku w:val="0"/>
              <w:wordWrap w:val="0"/>
              <w:overflowPunct/>
              <w:topLinePunct w:val="0"/>
              <w:autoSpaceDE w:val="0"/>
              <w:autoSpaceDN w:val="0"/>
              <w:bidi w:val="0"/>
              <w:adjustRightInd w:val="0"/>
              <w:snapToGrid w:val="0"/>
              <w:spacing w:before="47"/>
              <w:ind w:left="112" w:right="96" w:hanging="4"/>
              <w:jc w:val="both"/>
              <w:textAlignment w:val="baseline"/>
              <w:rPr>
                <w:color w:val="auto"/>
                <w:highlight w:val="none"/>
              </w:rPr>
            </w:pPr>
            <w:r>
              <w:rPr>
                <w:color w:val="auto"/>
                <w:spacing w:val="-1"/>
                <w:highlight w:val="none"/>
              </w:rPr>
              <w:t>（二）评审委员会启动异常低价投标（响应）审查后，属</w:t>
            </w:r>
            <w:r>
              <w:rPr>
                <w:color w:val="auto"/>
                <w:spacing w:val="-2"/>
                <w:highlight w:val="none"/>
              </w:rPr>
              <w:t>于前述第1项至第4项情形的，应当要求相关供应商在评</w:t>
            </w:r>
            <w:r>
              <w:rPr>
                <w:color w:val="auto"/>
                <w:spacing w:val="1"/>
                <w:highlight w:val="none"/>
              </w:rPr>
              <w:t>审现场合理的时间内对投标（响应）价格作出解释</w:t>
            </w:r>
            <w:r>
              <w:rPr>
                <w:rFonts w:hint="eastAsia"/>
                <w:color w:val="auto"/>
                <w:spacing w:val="1"/>
                <w:highlight w:val="none"/>
                <w:lang w:eastAsia="zh-CN"/>
              </w:rPr>
              <w:t>，并</w:t>
            </w:r>
            <w:r>
              <w:rPr>
                <w:color w:val="auto"/>
                <w:spacing w:val="1"/>
                <w:highlight w:val="none"/>
              </w:rPr>
              <w:t>提供项目具体成本测算等与报价合理性相关的书面说明及必要的证明材料，包括但不限于原材料成本、人工成本、制造</w:t>
            </w:r>
            <w:r>
              <w:rPr>
                <w:color w:val="auto"/>
                <w:spacing w:val="-4"/>
                <w:highlight w:val="none"/>
              </w:rPr>
              <w:t>费用等，给予相关供应商的合理时间一般不少于30分钟。</w:t>
            </w:r>
            <w:r>
              <w:rPr>
                <w:color w:val="auto"/>
                <w:spacing w:val="-1"/>
                <w:highlight w:val="none"/>
              </w:rPr>
              <w:t>其中，属于第3项情形，供应商已随投标（响应）文件一</w:t>
            </w:r>
            <w:r>
              <w:rPr>
                <w:color w:val="auto"/>
                <w:spacing w:val="1"/>
                <w:highlight w:val="none"/>
              </w:rPr>
              <w:t>并提交相关书面说明及必要的证明材料的，在评审现场可</w:t>
            </w:r>
            <w:r>
              <w:rPr>
                <w:color w:val="auto"/>
                <w:spacing w:val="-2"/>
                <w:highlight w:val="none"/>
              </w:rPr>
              <w:t>不再重复提交。</w:t>
            </w:r>
          </w:p>
          <w:p w14:paraId="7EF6AD3A">
            <w:pPr>
              <w:pStyle w:val="25"/>
              <w:keepNext w:val="0"/>
              <w:keepLines w:val="0"/>
              <w:pageBreakBefore w:val="0"/>
              <w:widowControl/>
              <w:shd w:val="clear"/>
              <w:kinsoku w:val="0"/>
              <w:wordWrap w:val="0"/>
              <w:overflowPunct/>
              <w:topLinePunct w:val="0"/>
              <w:autoSpaceDE w:val="0"/>
              <w:autoSpaceDN w:val="0"/>
              <w:bidi w:val="0"/>
              <w:adjustRightInd w:val="0"/>
              <w:snapToGrid w:val="0"/>
              <w:ind w:left="111" w:right="114" w:firstLine="4"/>
              <w:jc w:val="both"/>
              <w:textAlignment w:val="baseline"/>
              <w:rPr>
                <w:color w:val="auto"/>
                <w:highlight w:val="none"/>
              </w:rPr>
            </w:pPr>
            <w:r>
              <w:rPr>
                <w:color w:val="auto"/>
                <w:spacing w:val="1"/>
                <w:highlight w:val="none"/>
              </w:rPr>
              <w:t>投标（响应）供应商不能提供书面说明、证明材料，或者提供的书面说明、证明材料不能证明其报价合理性的，评</w:t>
            </w:r>
            <w:r>
              <w:rPr>
                <w:color w:val="auto"/>
                <w:spacing w:val="-1"/>
                <w:highlight w:val="none"/>
              </w:rPr>
              <w:t>审委员会应当将其作为无效投标（响应）处理。</w:t>
            </w:r>
          </w:p>
          <w:p w14:paraId="2DA86398">
            <w:pPr>
              <w:pStyle w:val="25"/>
              <w:keepNext w:val="0"/>
              <w:keepLines w:val="0"/>
              <w:pageBreakBefore w:val="0"/>
              <w:widowControl/>
              <w:shd w:val="clear"/>
              <w:kinsoku w:val="0"/>
              <w:wordWrap w:val="0"/>
              <w:overflowPunct/>
              <w:topLinePunct w:val="0"/>
              <w:autoSpaceDE w:val="0"/>
              <w:autoSpaceDN w:val="0"/>
              <w:bidi w:val="0"/>
              <w:adjustRightInd w:val="0"/>
              <w:snapToGrid w:val="0"/>
              <w:spacing w:before="61" w:line="215" w:lineRule="auto"/>
              <w:ind w:left="121"/>
              <w:textAlignment w:val="baseline"/>
              <w:rPr>
                <w:color w:val="auto"/>
                <w:highlight w:val="none"/>
              </w:rPr>
            </w:pPr>
            <w:r>
              <w:rPr>
                <w:color w:val="auto"/>
                <w:spacing w:val="-1"/>
                <w:highlight w:val="none"/>
              </w:rPr>
              <w:t>4.更正补充公告请自行登录新疆政府采购网查看下载。</w:t>
            </w:r>
          </w:p>
          <w:p w14:paraId="1A168FDE">
            <w:pPr>
              <w:pStyle w:val="25"/>
              <w:keepNext w:val="0"/>
              <w:keepLines w:val="0"/>
              <w:pageBreakBefore w:val="0"/>
              <w:widowControl/>
              <w:shd w:val="clear"/>
              <w:kinsoku w:val="0"/>
              <w:wordWrap w:val="0"/>
              <w:overflowPunct/>
              <w:topLinePunct w:val="0"/>
              <w:autoSpaceDE w:val="0"/>
              <w:autoSpaceDN w:val="0"/>
              <w:bidi w:val="0"/>
              <w:adjustRightInd w:val="0"/>
              <w:snapToGrid w:val="0"/>
              <w:spacing w:before="98" w:line="293" w:lineRule="auto"/>
              <w:ind w:left="133" w:right="117" w:hanging="8"/>
              <w:textAlignment w:val="baseline"/>
              <w:rPr>
                <w:color w:val="auto"/>
                <w:highlight w:val="none"/>
              </w:rPr>
            </w:pPr>
            <w:r>
              <w:rPr>
                <w:color w:val="auto"/>
                <w:spacing w:val="1"/>
                <w:highlight w:val="none"/>
              </w:rPr>
              <w:t>5.采购代理机构将拒绝接受未在政采云平台获取</w:t>
            </w:r>
            <w:r>
              <w:rPr>
                <w:color w:val="auto"/>
                <w:highlight w:val="none"/>
              </w:rPr>
              <w:t>招标文件</w:t>
            </w:r>
            <w:r>
              <w:rPr>
                <w:color w:val="auto"/>
                <w:spacing w:val="-3"/>
                <w:highlight w:val="none"/>
              </w:rPr>
              <w:t>的投标人的投标文件。</w:t>
            </w:r>
          </w:p>
          <w:p w14:paraId="094778B2">
            <w:pPr>
              <w:pStyle w:val="25"/>
              <w:keepNext w:val="0"/>
              <w:keepLines w:val="0"/>
              <w:pageBreakBefore w:val="0"/>
              <w:widowControl/>
              <w:shd w:val="clear"/>
              <w:kinsoku w:val="0"/>
              <w:wordWrap w:val="0"/>
              <w:overflowPunct/>
              <w:topLinePunct w:val="0"/>
              <w:autoSpaceDE w:val="0"/>
              <w:autoSpaceDN w:val="0"/>
              <w:bidi w:val="0"/>
              <w:adjustRightInd w:val="0"/>
              <w:snapToGrid w:val="0"/>
              <w:spacing w:before="2" w:line="291" w:lineRule="auto"/>
              <w:ind w:left="116" w:right="117" w:firstLine="8"/>
              <w:textAlignment w:val="baseline"/>
              <w:rPr>
                <w:color w:val="auto"/>
                <w:highlight w:val="none"/>
              </w:rPr>
            </w:pPr>
            <w:r>
              <w:rPr>
                <w:color w:val="auto"/>
                <w:spacing w:val="1"/>
                <w:highlight w:val="none"/>
              </w:rPr>
              <w:t>6.所有投标单位对招标文件中所有条款如有疑问或</w:t>
            </w:r>
            <w:r>
              <w:rPr>
                <w:color w:val="auto"/>
                <w:highlight w:val="none"/>
              </w:rPr>
              <w:t>异议请</w:t>
            </w:r>
            <w:r>
              <w:rPr>
                <w:color w:val="auto"/>
                <w:spacing w:val="-2"/>
                <w:highlight w:val="none"/>
              </w:rPr>
              <w:t>在</w:t>
            </w:r>
            <w:r>
              <w:rPr>
                <w:b/>
                <w:bCs/>
                <w:color w:val="auto"/>
                <w:spacing w:val="-2"/>
                <w:highlight w:val="none"/>
              </w:rPr>
              <w:t>开标前</w:t>
            </w:r>
            <w:r>
              <w:rPr>
                <w:color w:val="auto"/>
                <w:spacing w:val="-2"/>
                <w:highlight w:val="none"/>
              </w:rPr>
              <w:t>以书面形式提出，否则</w:t>
            </w:r>
            <w:r>
              <w:rPr>
                <w:b/>
                <w:bCs/>
                <w:color w:val="auto"/>
                <w:spacing w:val="-2"/>
                <w:highlight w:val="none"/>
              </w:rPr>
              <w:t>不予受理</w:t>
            </w:r>
            <w:r>
              <w:rPr>
                <w:color w:val="auto"/>
                <w:spacing w:val="-2"/>
                <w:highlight w:val="none"/>
              </w:rPr>
              <w:t>。</w:t>
            </w:r>
          </w:p>
          <w:p w14:paraId="0EAEC644">
            <w:pPr>
              <w:pStyle w:val="25"/>
              <w:keepNext w:val="0"/>
              <w:keepLines w:val="0"/>
              <w:pageBreakBefore w:val="0"/>
              <w:widowControl/>
              <w:shd w:val="clear"/>
              <w:kinsoku w:val="0"/>
              <w:wordWrap w:val="0"/>
              <w:overflowPunct/>
              <w:topLinePunct w:val="0"/>
              <w:autoSpaceDE w:val="0"/>
              <w:autoSpaceDN w:val="0"/>
              <w:bidi w:val="0"/>
              <w:adjustRightInd w:val="0"/>
              <w:snapToGrid w:val="0"/>
              <w:spacing w:before="3" w:line="292" w:lineRule="auto"/>
              <w:ind w:left="116" w:right="114" w:firstLine="8"/>
              <w:textAlignment w:val="baseline"/>
              <w:rPr>
                <w:color w:val="auto"/>
                <w:highlight w:val="none"/>
              </w:rPr>
            </w:pPr>
            <w:r>
              <w:rPr>
                <w:color w:val="auto"/>
                <w:spacing w:val="1"/>
                <w:highlight w:val="none"/>
              </w:rPr>
              <w:t>7.投标人在投标截止时间（开标时间）至评标结束期间，应派工作人员及时关注系统平台信息，并确保所留联系人</w:t>
            </w:r>
            <w:r>
              <w:rPr>
                <w:color w:val="auto"/>
                <w:highlight w:val="none"/>
              </w:rPr>
              <w:t>的</w:t>
            </w:r>
            <w:r>
              <w:rPr>
                <w:b/>
                <w:bCs/>
                <w:color w:val="auto"/>
                <w:highlight w:val="none"/>
              </w:rPr>
              <w:t>电话保持畅通，</w:t>
            </w:r>
            <w:r>
              <w:rPr>
                <w:color w:val="auto"/>
                <w:highlight w:val="none"/>
              </w:rPr>
              <w:t>如因联系不上或未及时答复造成的相关</w:t>
            </w:r>
            <w:r>
              <w:rPr>
                <w:color w:val="auto"/>
                <w:spacing w:val="-2"/>
                <w:highlight w:val="none"/>
              </w:rPr>
              <w:t>后果由投标人自行负责。</w:t>
            </w:r>
          </w:p>
          <w:p w14:paraId="55A9B0D4">
            <w:pPr>
              <w:pStyle w:val="25"/>
              <w:keepNext w:val="0"/>
              <w:keepLines w:val="0"/>
              <w:pageBreakBefore w:val="0"/>
              <w:widowControl/>
              <w:shd w:val="clear"/>
              <w:kinsoku w:val="0"/>
              <w:wordWrap w:val="0"/>
              <w:overflowPunct/>
              <w:topLinePunct w:val="0"/>
              <w:autoSpaceDE w:val="0"/>
              <w:autoSpaceDN w:val="0"/>
              <w:bidi w:val="0"/>
              <w:adjustRightInd w:val="0"/>
              <w:snapToGrid w:val="0"/>
              <w:spacing w:before="1" w:line="292" w:lineRule="auto"/>
              <w:ind w:left="113" w:right="117" w:firstLine="11"/>
              <w:textAlignment w:val="baseline"/>
              <w:rPr>
                <w:color w:val="auto"/>
                <w:highlight w:val="none"/>
              </w:rPr>
            </w:pPr>
            <w:r>
              <w:rPr>
                <w:color w:val="auto"/>
                <w:spacing w:val="1"/>
                <w:highlight w:val="none"/>
              </w:rPr>
              <w:t>8.投标人在获取采购文件至签订合同之间所产生的</w:t>
            </w:r>
            <w:r>
              <w:rPr>
                <w:color w:val="auto"/>
                <w:highlight w:val="none"/>
              </w:rPr>
              <w:t>一切费</w:t>
            </w:r>
            <w:r>
              <w:rPr>
                <w:color w:val="auto"/>
                <w:spacing w:val="-1"/>
                <w:highlight w:val="none"/>
              </w:rPr>
              <w:t>用（含废标、重新采购等情况）由投标人</w:t>
            </w:r>
            <w:r>
              <w:rPr>
                <w:b/>
                <w:bCs/>
                <w:color w:val="auto"/>
                <w:spacing w:val="-1"/>
                <w:highlight w:val="none"/>
              </w:rPr>
              <w:t>自行承担。</w:t>
            </w:r>
          </w:p>
          <w:p w14:paraId="70882D70">
            <w:pPr>
              <w:pStyle w:val="25"/>
              <w:keepNext w:val="0"/>
              <w:keepLines w:val="0"/>
              <w:pageBreakBefore w:val="0"/>
              <w:shd w:val="clear"/>
              <w:kinsoku/>
              <w:wordWrap w:val="0"/>
              <w:overflowPunct/>
              <w:topLinePunct w:val="0"/>
              <w:bidi w:val="0"/>
              <w:spacing w:line="240" w:lineRule="auto"/>
              <w:ind w:left="0" w:leftChars="0" w:right="0" w:rightChars="0" w:firstLine="0" w:firstLineChars="0"/>
              <w:jc w:val="both"/>
              <w:rPr>
                <w:rFonts w:hint="default" w:ascii="仿宋" w:hAnsi="仿宋" w:eastAsia="仿宋" w:cs="仿宋"/>
                <w:snapToGrid w:val="0"/>
                <w:color w:val="auto"/>
                <w:spacing w:val="-1"/>
                <w:kern w:val="0"/>
                <w:sz w:val="24"/>
                <w:szCs w:val="24"/>
                <w:highlight w:val="none"/>
                <w:lang w:val="en-US" w:eastAsia="zh-CN" w:bidi="ar-SA"/>
              </w:rPr>
            </w:pPr>
            <w:r>
              <w:rPr>
                <w:color w:val="auto"/>
                <w:spacing w:val="1"/>
                <w:highlight w:val="none"/>
              </w:rPr>
              <w:t>9.政府采购资格审查由采购人或者采购代理机构负</w:t>
            </w:r>
            <w:r>
              <w:rPr>
                <w:color w:val="auto"/>
                <w:highlight w:val="none"/>
              </w:rPr>
              <w:t>责进行</w:t>
            </w:r>
            <w:r>
              <w:rPr>
                <w:color w:val="auto"/>
                <w:spacing w:val="1"/>
                <w:highlight w:val="none"/>
              </w:rPr>
              <w:t>审核。根据《</w:t>
            </w:r>
            <w:r>
              <w:rPr>
                <w:rFonts w:hint="eastAsia"/>
                <w:color w:val="auto"/>
                <w:spacing w:val="1"/>
                <w:highlight w:val="none"/>
                <w:lang w:eastAsia="zh-CN"/>
              </w:rPr>
              <w:t>中华人民共和国政府采购法</w:t>
            </w:r>
            <w:r>
              <w:rPr>
                <w:color w:val="auto"/>
                <w:spacing w:val="1"/>
                <w:highlight w:val="none"/>
              </w:rPr>
              <w:t>》第二十三条规定，采购人可以要求参加政府采购的供应商提供有关资质证明文件和业绩情况，并根据本法规定的供应商条件和采购项目对供应商</w:t>
            </w:r>
            <w:r>
              <w:rPr>
                <w:color w:val="auto"/>
                <w:spacing w:val="-1"/>
                <w:highlight w:val="none"/>
              </w:rPr>
              <w:t>的特定要求，对供应商的资格进行审查。</w:t>
            </w:r>
          </w:p>
        </w:tc>
      </w:tr>
      <w:tr w14:paraId="1D233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31" w:type="dxa"/>
            <w:tcBorders>
              <w:left w:val="single" w:color="000000" w:sz="2" w:space="0"/>
            </w:tcBorders>
            <w:shd w:val="clear" w:color="auto" w:fill="auto"/>
            <w:vAlign w:val="top"/>
          </w:tcPr>
          <w:p w14:paraId="78978BDE">
            <w:pPr>
              <w:pStyle w:val="25"/>
              <w:keepNext w:val="0"/>
              <w:keepLines w:val="0"/>
              <w:pageBreakBefore w:val="0"/>
              <w:shd w:val="clear"/>
              <w:kinsoku/>
              <w:wordWrap w:val="0"/>
              <w:overflowPunct/>
              <w:topLinePunct w:val="0"/>
              <w:bidi w:val="0"/>
              <w:spacing w:line="240" w:lineRule="auto"/>
              <w:ind w:left="0" w:right="0" w:firstLine="0"/>
              <w:jc w:val="center"/>
              <w:rPr>
                <w:rFonts w:ascii="仿宋" w:hAnsi="仿宋" w:eastAsia="仿宋" w:cs="仿宋"/>
                <w:b/>
                <w:bCs/>
                <w:snapToGrid w:val="0"/>
                <w:color w:val="auto"/>
                <w:spacing w:val="-14"/>
                <w:kern w:val="0"/>
                <w:sz w:val="24"/>
                <w:szCs w:val="24"/>
                <w:highlight w:val="none"/>
                <w:lang w:val="en-US" w:eastAsia="en-US" w:bidi="ar-SA"/>
              </w:rPr>
            </w:pPr>
            <w:r>
              <w:rPr>
                <w:b/>
                <w:bCs/>
                <w:color w:val="auto"/>
                <w:spacing w:val="-9"/>
                <w:highlight w:val="none"/>
              </w:rPr>
              <w:t>备注</w:t>
            </w:r>
          </w:p>
        </w:tc>
        <w:tc>
          <w:tcPr>
            <w:tcW w:w="7581" w:type="dxa"/>
            <w:gridSpan w:val="2"/>
            <w:tcBorders>
              <w:right w:val="single" w:color="000000" w:sz="2" w:space="0"/>
            </w:tcBorders>
            <w:shd w:val="clear" w:color="auto" w:fill="auto"/>
            <w:vAlign w:val="top"/>
          </w:tcPr>
          <w:p w14:paraId="67760ABD">
            <w:pPr>
              <w:pStyle w:val="25"/>
              <w:keepNext w:val="0"/>
              <w:keepLines w:val="0"/>
              <w:pageBreakBefore w:val="0"/>
              <w:shd w:val="clear"/>
              <w:kinsoku/>
              <w:wordWrap w:val="0"/>
              <w:overflowPunct/>
              <w:topLinePunct w:val="0"/>
              <w:bidi w:val="0"/>
              <w:spacing w:line="240" w:lineRule="auto"/>
              <w:ind w:left="0" w:right="0" w:firstLine="0"/>
              <w:rPr>
                <w:color w:val="auto"/>
                <w:spacing w:val="-3"/>
                <w:highlight w:val="none"/>
              </w:rPr>
            </w:pPr>
          </w:p>
        </w:tc>
      </w:tr>
    </w:tbl>
    <w:p w14:paraId="1E022343">
      <w:pPr>
        <w:pStyle w:val="11"/>
        <w:pageBreakBefore w:val="0"/>
        <w:shd w:val="clear"/>
        <w:wordWrap/>
        <w:overflowPunct/>
        <w:topLinePunct w:val="0"/>
        <w:bidi w:val="0"/>
        <w:spacing w:before="86" w:line="25" w:lineRule="atLeast"/>
        <w:ind w:left="637"/>
        <w:rPr>
          <w:color w:val="auto"/>
          <w:sz w:val="24"/>
          <w:szCs w:val="24"/>
          <w:highlight w:val="none"/>
        </w:rPr>
      </w:pPr>
      <w:r>
        <w:rPr>
          <w:b/>
          <w:bCs/>
          <w:color w:val="auto"/>
          <w:spacing w:val="-4"/>
          <w:sz w:val="24"/>
          <w:szCs w:val="24"/>
          <w:highlight w:val="none"/>
        </w:rPr>
        <w:t>注：</w:t>
      </w:r>
      <w:r>
        <w:rPr>
          <w:color w:val="auto"/>
          <w:spacing w:val="-4"/>
          <w:sz w:val="24"/>
          <w:szCs w:val="24"/>
          <w:highlight w:val="none"/>
        </w:rPr>
        <w:t>本表中“</w:t>
      </w:r>
      <w:r>
        <w:rPr>
          <w:color w:val="auto"/>
          <w:spacing w:val="-63"/>
          <w:sz w:val="24"/>
          <w:szCs w:val="24"/>
          <w:highlight w:val="none"/>
        </w:rPr>
        <w:t xml:space="preserve"> </w:t>
      </w:r>
      <w:r>
        <w:rPr>
          <w:color w:val="auto"/>
          <w:position w:val="-8"/>
          <w:sz w:val="24"/>
          <w:szCs w:val="24"/>
          <w:highlight w:val="none"/>
        </w:rPr>
        <w:drawing>
          <wp:inline distT="0" distB="0" distL="0" distR="0">
            <wp:extent cx="192405" cy="22733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4"/>
                    <a:stretch>
                      <a:fillRect/>
                    </a:stretch>
                  </pic:blipFill>
                  <pic:spPr>
                    <a:xfrm>
                      <a:off x="0" y="0"/>
                      <a:ext cx="192938" cy="227457"/>
                    </a:xfrm>
                    <a:prstGeom prst="rect">
                      <a:avLst/>
                    </a:prstGeom>
                  </pic:spPr>
                </pic:pic>
              </a:graphicData>
            </a:graphic>
          </wp:inline>
        </w:drawing>
      </w:r>
      <w:r>
        <w:rPr>
          <w:color w:val="auto"/>
          <w:spacing w:val="-4"/>
          <w:sz w:val="24"/>
          <w:szCs w:val="24"/>
          <w:highlight w:val="none"/>
        </w:rPr>
        <w:t>”标示选择使用该项。</w:t>
      </w:r>
    </w:p>
    <w:p w14:paraId="6C872FDD">
      <w:pPr>
        <w:pageBreakBefore w:val="0"/>
        <w:shd w:val="clear"/>
        <w:wordWrap/>
        <w:overflowPunct/>
        <w:topLinePunct w:val="0"/>
        <w:bidi w:val="0"/>
        <w:spacing w:line="25" w:lineRule="atLeast"/>
        <w:rPr>
          <w:color w:val="auto"/>
          <w:sz w:val="24"/>
          <w:szCs w:val="24"/>
          <w:highlight w:val="none"/>
        </w:rPr>
        <w:sectPr>
          <w:headerReference r:id="rId7" w:type="default"/>
          <w:footerReference r:id="rId8" w:type="default"/>
          <w:pgSz w:w="11906" w:h="16839"/>
          <w:pgMar w:top="1440" w:right="1800" w:bottom="1440" w:left="1800" w:header="1090" w:footer="994" w:gutter="0"/>
          <w:pgNumType w:fmt="decimal"/>
          <w:cols w:space="720" w:num="1"/>
        </w:sectPr>
      </w:pPr>
    </w:p>
    <w:p w14:paraId="576A27FE">
      <w:pPr>
        <w:pStyle w:val="5"/>
        <w:shd w:val="clear"/>
        <w:bidi w:val="0"/>
        <w:rPr>
          <w:color w:val="auto"/>
          <w:highlight w:val="none"/>
        </w:rPr>
      </w:pPr>
      <w:r>
        <w:rPr>
          <w:color w:val="auto"/>
          <w:highlight w:val="none"/>
        </w:rPr>
        <w:t>（二）投标人须知说明</w:t>
      </w:r>
    </w:p>
    <w:p w14:paraId="7E205355">
      <w:pPr>
        <w:pStyle w:val="6"/>
        <w:shd w:val="clear"/>
        <w:bidi w:val="0"/>
        <w:rPr>
          <w:rFonts w:hint="eastAsia"/>
          <w:color w:val="auto"/>
          <w:highlight w:val="none"/>
        </w:rPr>
      </w:pPr>
      <w:r>
        <w:rPr>
          <w:rFonts w:hint="eastAsia"/>
          <w:color w:val="auto"/>
          <w:highlight w:val="none"/>
        </w:rPr>
        <w:t>一、总则</w:t>
      </w:r>
    </w:p>
    <w:p w14:paraId="0D1BB69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0" w:firstLineChars="200"/>
        <w:textAlignment w:val="baseline"/>
        <w:outlineLvl w:val="3"/>
        <w:rPr>
          <w:rFonts w:hint="eastAsia" w:ascii="仿宋" w:hAnsi="仿宋" w:eastAsia="仿宋" w:cs="仿宋"/>
          <w:b/>
          <w:bCs/>
          <w:color w:val="auto"/>
          <w:spacing w:val="-8"/>
          <w:sz w:val="24"/>
          <w:szCs w:val="24"/>
          <w:highlight w:val="none"/>
        </w:rPr>
      </w:pPr>
      <w:r>
        <w:rPr>
          <w:rFonts w:hint="eastAsia" w:ascii="仿宋" w:hAnsi="仿宋" w:eastAsia="仿宋" w:cs="仿宋"/>
          <w:b/>
          <w:bCs/>
          <w:color w:val="auto"/>
          <w:spacing w:val="-8"/>
          <w:sz w:val="24"/>
          <w:szCs w:val="24"/>
          <w:highlight w:val="none"/>
        </w:rPr>
        <w:t>1.适用范围</w:t>
      </w:r>
    </w:p>
    <w:p w14:paraId="47286FF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1.1《中华人民共和国政府采购法》；</w:t>
      </w:r>
    </w:p>
    <w:p w14:paraId="31AE47F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1.2《中华人民共和国政府采购法实施条例》；</w:t>
      </w:r>
    </w:p>
    <w:p w14:paraId="603F711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1.3《政府采购货物和服务招标投标管理办</w:t>
      </w:r>
      <w:r>
        <w:rPr>
          <w:rFonts w:hint="eastAsia" w:ascii="仿宋" w:hAnsi="仿宋" w:eastAsia="仿宋" w:cs="仿宋"/>
          <w:color w:val="auto"/>
          <w:spacing w:val="-2"/>
          <w:sz w:val="24"/>
          <w:szCs w:val="24"/>
          <w:highlight w:val="none"/>
        </w:rPr>
        <w:t>法》；</w:t>
      </w:r>
    </w:p>
    <w:p w14:paraId="16A9895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1.4《政府采购质疑和投诉办法》；</w:t>
      </w:r>
    </w:p>
    <w:p w14:paraId="73FDAB5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1.5《中华人民共和国民法典》；</w:t>
      </w:r>
    </w:p>
    <w:p w14:paraId="7ACF012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1.6其他有关法律、行政法规以及省市规范性文件规定。</w:t>
      </w:r>
    </w:p>
    <w:p w14:paraId="4D99C0A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0"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2.定义</w:t>
      </w:r>
    </w:p>
    <w:p w14:paraId="3F1D1B6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2.1“采购人”名称见本招标文件第二章“投标人须知前附表”中第2项。</w:t>
      </w:r>
    </w:p>
    <w:p w14:paraId="1A07BFB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2.2“采购代理机构”名称见本招标文件第二章“投标人须知前附表”中第</w:t>
      </w:r>
      <w:r>
        <w:rPr>
          <w:rFonts w:hint="eastAsia" w:ascii="仿宋" w:hAnsi="仿宋" w:eastAsia="仿宋" w:cs="仿宋"/>
          <w:color w:val="auto"/>
          <w:spacing w:val="-14"/>
          <w:sz w:val="24"/>
          <w:szCs w:val="24"/>
          <w:highlight w:val="none"/>
        </w:rPr>
        <w:t>3项。</w:t>
      </w:r>
    </w:p>
    <w:p w14:paraId="67A74E1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2.3“招标货物”指招标文件第三章所述所有货物；“服务”指</w:t>
      </w:r>
      <w:r>
        <w:rPr>
          <w:rFonts w:hint="eastAsia" w:ascii="仿宋" w:hAnsi="仿宋" w:eastAsia="仿宋" w:cs="仿宋"/>
          <w:color w:val="auto"/>
          <w:spacing w:val="-3"/>
          <w:sz w:val="24"/>
          <w:szCs w:val="24"/>
          <w:highlight w:val="none"/>
        </w:rPr>
        <w:t>招标文件第</w:t>
      </w:r>
      <w:r>
        <w:rPr>
          <w:rFonts w:hint="eastAsia" w:ascii="仿宋" w:hAnsi="仿宋" w:eastAsia="仿宋" w:cs="仿宋"/>
          <w:color w:val="auto"/>
          <w:spacing w:val="-2"/>
          <w:sz w:val="24"/>
          <w:szCs w:val="24"/>
          <w:highlight w:val="none"/>
        </w:rPr>
        <w:t>三章所述投标人应该履行的承诺和义务。</w:t>
      </w:r>
    </w:p>
    <w:p w14:paraId="60808F8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2.4“潜在投标人”指符合招标文件各项规定的投</w:t>
      </w:r>
      <w:r>
        <w:rPr>
          <w:rFonts w:hint="eastAsia" w:ascii="仿宋" w:hAnsi="仿宋" w:eastAsia="仿宋" w:cs="仿宋"/>
          <w:color w:val="auto"/>
          <w:spacing w:val="-3"/>
          <w:sz w:val="24"/>
          <w:szCs w:val="24"/>
          <w:highlight w:val="none"/>
        </w:rPr>
        <w:t>标人。</w:t>
      </w:r>
    </w:p>
    <w:p w14:paraId="444AD53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2.5“投标人”指符合招标文件规定并参加投标的投标人。</w:t>
      </w:r>
    </w:p>
    <w:p w14:paraId="3739D96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2.6“投标人公章”在投标文件中指与投标人标准公章一致的投标人电子签</w:t>
      </w:r>
      <w:r>
        <w:rPr>
          <w:rFonts w:hint="eastAsia" w:ascii="仿宋" w:hAnsi="仿宋" w:eastAsia="仿宋" w:cs="仿宋"/>
          <w:color w:val="auto"/>
          <w:spacing w:val="-9"/>
          <w:sz w:val="24"/>
          <w:szCs w:val="24"/>
          <w:highlight w:val="none"/>
        </w:rPr>
        <w:t>章。</w:t>
      </w:r>
    </w:p>
    <w:p w14:paraId="4FB2B07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3.合格投标人的条件</w:t>
      </w:r>
    </w:p>
    <w:p w14:paraId="2A9D239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3.1遵守有关的国家</w:t>
      </w:r>
      <w:r>
        <w:rPr>
          <w:rFonts w:hint="eastAsia" w:cs="仿宋"/>
          <w:color w:val="auto"/>
          <w:spacing w:val="-6"/>
          <w:sz w:val="24"/>
          <w:szCs w:val="24"/>
          <w:highlight w:val="none"/>
          <w:lang w:eastAsia="zh-CN"/>
        </w:rPr>
        <w:t>法律法规</w:t>
      </w:r>
      <w:r>
        <w:rPr>
          <w:rFonts w:hint="eastAsia" w:ascii="仿宋" w:hAnsi="仿宋" w:eastAsia="仿宋" w:cs="仿宋"/>
          <w:color w:val="auto"/>
          <w:spacing w:val="-6"/>
          <w:sz w:val="24"/>
          <w:szCs w:val="24"/>
          <w:highlight w:val="none"/>
        </w:rPr>
        <w:t>和条例，具备《中华人民共和国政府采购法》</w:t>
      </w:r>
      <w:r>
        <w:rPr>
          <w:rFonts w:hint="eastAsia" w:ascii="仿宋" w:hAnsi="仿宋" w:eastAsia="仿宋" w:cs="仿宋"/>
          <w:color w:val="auto"/>
          <w:spacing w:val="-2"/>
          <w:sz w:val="24"/>
          <w:szCs w:val="24"/>
          <w:highlight w:val="none"/>
        </w:rPr>
        <w:t>和本文件中规定的条件：</w:t>
      </w:r>
    </w:p>
    <w:p w14:paraId="4A9DC6C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cs="仿宋"/>
          <w:color w:val="auto"/>
          <w:spacing w:val="-2"/>
          <w:sz w:val="24"/>
          <w:szCs w:val="24"/>
          <w:highlight w:val="none"/>
          <w:lang w:eastAsia="zh-CN"/>
        </w:rPr>
        <w:t>1）</w:t>
      </w:r>
      <w:r>
        <w:rPr>
          <w:rFonts w:hint="eastAsia" w:ascii="仿宋" w:hAnsi="仿宋" w:eastAsia="仿宋" w:cs="仿宋"/>
          <w:color w:val="auto"/>
          <w:spacing w:val="-2"/>
          <w:sz w:val="24"/>
          <w:szCs w:val="24"/>
          <w:highlight w:val="none"/>
        </w:rPr>
        <w:t>具有独立承担民事责任的能力；</w:t>
      </w:r>
    </w:p>
    <w:p w14:paraId="67C2E9C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cs="仿宋"/>
          <w:color w:val="auto"/>
          <w:spacing w:val="-1"/>
          <w:sz w:val="24"/>
          <w:szCs w:val="24"/>
          <w:highlight w:val="none"/>
          <w:lang w:eastAsia="zh-CN"/>
        </w:rPr>
        <w:t>2）</w:t>
      </w:r>
      <w:r>
        <w:rPr>
          <w:rFonts w:hint="eastAsia" w:ascii="仿宋" w:hAnsi="仿宋" w:eastAsia="仿宋" w:cs="仿宋"/>
          <w:color w:val="auto"/>
          <w:spacing w:val="-1"/>
          <w:sz w:val="24"/>
          <w:szCs w:val="24"/>
          <w:highlight w:val="none"/>
        </w:rPr>
        <w:t>具有良好的商业信誉和健全的财务会计制度；</w:t>
      </w:r>
    </w:p>
    <w:p w14:paraId="27061FC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cs="仿宋"/>
          <w:color w:val="auto"/>
          <w:spacing w:val="-2"/>
          <w:sz w:val="24"/>
          <w:szCs w:val="24"/>
          <w:highlight w:val="none"/>
          <w:lang w:eastAsia="zh-CN"/>
        </w:rPr>
        <w:t>3）</w:t>
      </w:r>
      <w:r>
        <w:rPr>
          <w:rFonts w:hint="eastAsia" w:ascii="仿宋" w:hAnsi="仿宋" w:eastAsia="仿宋" w:cs="仿宋"/>
          <w:color w:val="auto"/>
          <w:spacing w:val="-2"/>
          <w:sz w:val="24"/>
          <w:szCs w:val="24"/>
          <w:highlight w:val="none"/>
        </w:rPr>
        <w:t>具有履行合同所必需的设备和专业技术能力；</w:t>
      </w:r>
    </w:p>
    <w:p w14:paraId="6D45212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cs="仿宋"/>
          <w:color w:val="auto"/>
          <w:spacing w:val="-1"/>
          <w:sz w:val="24"/>
          <w:szCs w:val="24"/>
          <w:highlight w:val="none"/>
          <w:lang w:eastAsia="zh-CN"/>
        </w:rPr>
        <w:t>4）</w:t>
      </w:r>
      <w:r>
        <w:rPr>
          <w:rFonts w:hint="eastAsia" w:ascii="仿宋" w:hAnsi="仿宋" w:eastAsia="仿宋" w:cs="仿宋"/>
          <w:color w:val="auto"/>
          <w:spacing w:val="-1"/>
          <w:sz w:val="24"/>
          <w:szCs w:val="24"/>
          <w:highlight w:val="none"/>
        </w:rPr>
        <w:t>具有依法缴纳税收和社会保障资金的良好记录；</w:t>
      </w:r>
    </w:p>
    <w:p w14:paraId="6F1ACF6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cs="仿宋"/>
          <w:color w:val="auto"/>
          <w:spacing w:val="-1"/>
          <w:sz w:val="24"/>
          <w:szCs w:val="24"/>
          <w:highlight w:val="none"/>
          <w:lang w:eastAsia="zh-CN"/>
        </w:rPr>
        <w:t>5）</w:t>
      </w:r>
      <w:r>
        <w:rPr>
          <w:rFonts w:hint="eastAsia" w:ascii="仿宋" w:hAnsi="仿宋" w:eastAsia="仿宋" w:cs="仿宋"/>
          <w:color w:val="auto"/>
          <w:spacing w:val="-1"/>
          <w:sz w:val="24"/>
          <w:szCs w:val="24"/>
          <w:highlight w:val="none"/>
        </w:rPr>
        <w:t>参加政府采购活动前三年内，在经营活动中没有重大违法记录；</w:t>
      </w:r>
    </w:p>
    <w:p w14:paraId="7594747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cs="仿宋"/>
          <w:color w:val="auto"/>
          <w:spacing w:val="-2"/>
          <w:sz w:val="24"/>
          <w:szCs w:val="24"/>
          <w:highlight w:val="none"/>
          <w:lang w:eastAsia="zh-CN"/>
        </w:rPr>
        <w:t>6）</w:t>
      </w:r>
      <w:r>
        <w:rPr>
          <w:rFonts w:hint="eastAsia" w:ascii="仿宋" w:hAnsi="仿宋" w:eastAsia="仿宋" w:cs="仿宋"/>
          <w:color w:val="auto"/>
          <w:spacing w:val="-2"/>
          <w:sz w:val="24"/>
          <w:szCs w:val="24"/>
          <w:highlight w:val="none"/>
        </w:rPr>
        <w:t>法律、行政法规规定的其他条件；</w:t>
      </w:r>
    </w:p>
    <w:p w14:paraId="6375521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cs="仿宋"/>
          <w:color w:val="auto"/>
          <w:spacing w:val="-1"/>
          <w:sz w:val="24"/>
          <w:szCs w:val="24"/>
          <w:highlight w:val="none"/>
          <w:lang w:eastAsia="zh-CN"/>
        </w:rPr>
        <w:t>7）</w:t>
      </w:r>
      <w:r>
        <w:rPr>
          <w:rFonts w:hint="eastAsia" w:ascii="仿宋" w:hAnsi="仿宋" w:eastAsia="仿宋" w:cs="仿宋"/>
          <w:color w:val="auto"/>
          <w:spacing w:val="-1"/>
          <w:sz w:val="24"/>
          <w:szCs w:val="24"/>
          <w:highlight w:val="none"/>
        </w:rPr>
        <w:t>符合本招标文件规定的资格要求，且按照要求提供相关证明材料；</w:t>
      </w:r>
    </w:p>
    <w:p w14:paraId="26DE016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3.2单位负责人为同一人或者存在直接控股、管理关</w:t>
      </w:r>
      <w:r>
        <w:rPr>
          <w:rFonts w:hint="eastAsia" w:ascii="仿宋" w:hAnsi="仿宋" w:eastAsia="仿宋" w:cs="仿宋"/>
          <w:color w:val="auto"/>
          <w:spacing w:val="-3"/>
          <w:sz w:val="24"/>
          <w:szCs w:val="24"/>
          <w:highlight w:val="none"/>
        </w:rPr>
        <w:t>系的不同投标人，不得</w:t>
      </w:r>
      <w:r>
        <w:rPr>
          <w:rFonts w:hint="eastAsia" w:ascii="仿宋" w:hAnsi="仿宋" w:eastAsia="仿宋" w:cs="仿宋"/>
          <w:color w:val="auto"/>
          <w:spacing w:val="-1"/>
          <w:sz w:val="24"/>
          <w:szCs w:val="24"/>
          <w:highlight w:val="none"/>
        </w:rPr>
        <w:t>参加同一合同项下的政府采购活动；</w:t>
      </w:r>
    </w:p>
    <w:p w14:paraId="586B594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3.3投标人须知前附表规定接受联合体投标的，应符合以下规定：</w:t>
      </w:r>
    </w:p>
    <w:p w14:paraId="0A5844E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3.3.1联合体各方应按照招标文件提供的格式签订联合体协议书，明</w:t>
      </w:r>
      <w:r>
        <w:rPr>
          <w:rFonts w:hint="eastAsia" w:ascii="仿宋" w:hAnsi="仿宋" w:eastAsia="仿宋" w:cs="仿宋"/>
          <w:color w:val="auto"/>
          <w:spacing w:val="-3"/>
          <w:sz w:val="24"/>
          <w:szCs w:val="24"/>
          <w:highlight w:val="none"/>
        </w:rPr>
        <w:t>确联合</w:t>
      </w:r>
      <w:r>
        <w:rPr>
          <w:rFonts w:hint="eastAsia" w:ascii="仿宋" w:hAnsi="仿宋" w:eastAsia="仿宋" w:cs="仿宋"/>
          <w:color w:val="auto"/>
          <w:spacing w:val="-1"/>
          <w:sz w:val="24"/>
          <w:szCs w:val="24"/>
          <w:highlight w:val="none"/>
        </w:rPr>
        <w:t>体牵头人和各方权利义务；</w:t>
      </w:r>
    </w:p>
    <w:p w14:paraId="24F183E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3.3.2联合体各方均应当符合《</w:t>
      </w:r>
      <w:r>
        <w:rPr>
          <w:rFonts w:hint="eastAsia" w:cs="仿宋"/>
          <w:color w:val="auto"/>
          <w:spacing w:val="-1"/>
          <w:sz w:val="24"/>
          <w:szCs w:val="24"/>
          <w:highlight w:val="none"/>
          <w:lang w:eastAsia="zh-CN"/>
        </w:rPr>
        <w:t>中华人民共和国政府采购法</w:t>
      </w:r>
      <w:r>
        <w:rPr>
          <w:rFonts w:hint="eastAsia" w:ascii="仿宋" w:hAnsi="仿宋" w:eastAsia="仿宋" w:cs="仿宋"/>
          <w:color w:val="auto"/>
          <w:spacing w:val="-1"/>
          <w:sz w:val="24"/>
          <w:szCs w:val="24"/>
          <w:highlight w:val="none"/>
        </w:rPr>
        <w:t>》第二十二条</w:t>
      </w:r>
      <w:r>
        <w:rPr>
          <w:rFonts w:hint="eastAsia" w:ascii="仿宋" w:hAnsi="仿宋" w:eastAsia="仿宋" w:cs="仿宋"/>
          <w:color w:val="auto"/>
          <w:spacing w:val="-2"/>
          <w:sz w:val="24"/>
          <w:szCs w:val="24"/>
          <w:highlight w:val="none"/>
        </w:rPr>
        <w:t>规定的条件；</w:t>
      </w:r>
    </w:p>
    <w:p w14:paraId="75A067F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3.3.3联合体中有同类资质的投标人按照联合体分工承担相同工作的</w:t>
      </w:r>
      <w:r>
        <w:rPr>
          <w:rFonts w:hint="eastAsia" w:ascii="仿宋" w:hAnsi="仿宋" w:eastAsia="仿宋" w:cs="仿宋"/>
          <w:color w:val="auto"/>
          <w:spacing w:val="-3"/>
          <w:sz w:val="24"/>
          <w:szCs w:val="24"/>
          <w:highlight w:val="none"/>
        </w:rPr>
        <w:t>，应当</w:t>
      </w:r>
      <w:r>
        <w:rPr>
          <w:rFonts w:hint="eastAsia" w:ascii="仿宋" w:hAnsi="仿宋" w:eastAsia="仿宋" w:cs="仿宋"/>
          <w:color w:val="auto"/>
          <w:spacing w:val="-1"/>
          <w:sz w:val="24"/>
          <w:szCs w:val="24"/>
          <w:highlight w:val="none"/>
        </w:rPr>
        <w:t>按照资质等级较低的投标人确定资质等级。</w:t>
      </w:r>
    </w:p>
    <w:p w14:paraId="236E563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3.3.4以联合体形式参加政府采购活动的</w:t>
      </w:r>
      <w:r>
        <w:rPr>
          <w:rFonts w:hint="eastAsia" w:ascii="仿宋" w:hAnsi="仿宋" w:eastAsia="仿宋" w:cs="仿宋"/>
          <w:color w:val="auto"/>
          <w:spacing w:val="-4"/>
          <w:sz w:val="24"/>
          <w:szCs w:val="24"/>
          <w:highlight w:val="none"/>
        </w:rPr>
        <w:t>，联合体各方不得再单独参加或者</w:t>
      </w:r>
      <w:r>
        <w:rPr>
          <w:rFonts w:hint="eastAsia" w:ascii="仿宋" w:hAnsi="仿宋" w:eastAsia="仿宋" w:cs="仿宋"/>
          <w:color w:val="auto"/>
          <w:spacing w:val="-1"/>
          <w:sz w:val="24"/>
          <w:szCs w:val="24"/>
          <w:highlight w:val="none"/>
        </w:rPr>
        <w:t>与其他投标人另外组成联合体参加同一合同项下的政府采购活动。</w:t>
      </w:r>
    </w:p>
    <w:p w14:paraId="4327A79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3.3.5联合体各方应当共同与采购人签订采购合同，就合同约定的事</w:t>
      </w:r>
      <w:r>
        <w:rPr>
          <w:rFonts w:hint="eastAsia" w:ascii="仿宋" w:hAnsi="仿宋" w:eastAsia="仿宋" w:cs="仿宋"/>
          <w:color w:val="auto"/>
          <w:spacing w:val="-3"/>
          <w:sz w:val="24"/>
          <w:szCs w:val="24"/>
          <w:highlight w:val="none"/>
        </w:rPr>
        <w:t>项对采</w:t>
      </w:r>
      <w:r>
        <w:rPr>
          <w:rFonts w:hint="eastAsia" w:ascii="仿宋" w:hAnsi="仿宋" w:eastAsia="仿宋" w:cs="仿宋"/>
          <w:color w:val="auto"/>
          <w:spacing w:val="-2"/>
          <w:sz w:val="24"/>
          <w:szCs w:val="24"/>
          <w:highlight w:val="none"/>
        </w:rPr>
        <w:t>购人承担连带责任；</w:t>
      </w:r>
    </w:p>
    <w:p w14:paraId="4D405A5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3.3.6鼓励大中型企业和其他自然人、法人或者其他组织与小型</w:t>
      </w:r>
      <w:r>
        <w:rPr>
          <w:rFonts w:hint="eastAsia" w:ascii="仿宋" w:hAnsi="仿宋" w:eastAsia="仿宋" w:cs="仿宋"/>
          <w:color w:val="auto"/>
          <w:spacing w:val="-3"/>
          <w:sz w:val="24"/>
          <w:szCs w:val="24"/>
          <w:highlight w:val="none"/>
        </w:rPr>
        <w:t>、微型企业</w:t>
      </w:r>
      <w:r>
        <w:rPr>
          <w:rFonts w:hint="eastAsia" w:ascii="仿宋" w:hAnsi="仿宋" w:eastAsia="仿宋" w:cs="仿宋"/>
          <w:color w:val="auto"/>
          <w:spacing w:val="-1"/>
          <w:sz w:val="24"/>
          <w:szCs w:val="24"/>
          <w:highlight w:val="none"/>
        </w:rPr>
        <w:t>组成联合体投标，但联合体各方均应符合上述规定。</w:t>
      </w:r>
    </w:p>
    <w:p w14:paraId="489486E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3.4鼓励大中型企业和其他自然人、法人或者其他组织与小</w:t>
      </w:r>
      <w:r>
        <w:rPr>
          <w:rFonts w:hint="eastAsia" w:ascii="仿宋" w:hAnsi="仿宋" w:eastAsia="仿宋" w:cs="仿宋"/>
          <w:color w:val="auto"/>
          <w:spacing w:val="-3"/>
          <w:sz w:val="24"/>
          <w:szCs w:val="24"/>
          <w:highlight w:val="none"/>
        </w:rPr>
        <w:t>型、微型企业组</w:t>
      </w:r>
      <w:r>
        <w:rPr>
          <w:rFonts w:hint="eastAsia" w:ascii="仿宋" w:hAnsi="仿宋" w:eastAsia="仿宋" w:cs="仿宋"/>
          <w:color w:val="auto"/>
          <w:spacing w:val="-1"/>
          <w:sz w:val="24"/>
          <w:szCs w:val="24"/>
          <w:highlight w:val="none"/>
        </w:rPr>
        <w:t>成联合体投标，但联合体各方均应符合上述规定。</w:t>
      </w:r>
    </w:p>
    <w:p w14:paraId="08167DB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3.5除采购人拟采购进口产品通过财政部门审核外，投标人不得提供直接进</w:t>
      </w:r>
      <w:r>
        <w:rPr>
          <w:rFonts w:hint="eastAsia" w:ascii="仿宋" w:hAnsi="仿宋" w:eastAsia="仿宋" w:cs="仿宋"/>
          <w:color w:val="auto"/>
          <w:spacing w:val="-2"/>
          <w:sz w:val="24"/>
          <w:szCs w:val="24"/>
          <w:highlight w:val="none"/>
        </w:rPr>
        <w:t>口或者委托进口产品（包括已进入中国境内的进口产品</w:t>
      </w:r>
      <w:r>
        <w:rPr>
          <w:rFonts w:hint="eastAsia" w:ascii="仿宋" w:hAnsi="仿宋" w:eastAsia="仿宋" w:cs="仿宋"/>
          <w:color w:val="auto"/>
          <w:spacing w:val="-3"/>
          <w:sz w:val="24"/>
          <w:szCs w:val="24"/>
          <w:highlight w:val="none"/>
        </w:rPr>
        <w:t>）。</w:t>
      </w:r>
    </w:p>
    <w:p w14:paraId="7118FF1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3.6为本项目提供整体设计、规范编制或者项目</w:t>
      </w:r>
      <w:r>
        <w:rPr>
          <w:rFonts w:hint="eastAsia" w:ascii="仿宋" w:hAnsi="仿宋" w:eastAsia="仿宋" w:cs="仿宋"/>
          <w:color w:val="auto"/>
          <w:spacing w:val="-3"/>
          <w:sz w:val="24"/>
          <w:szCs w:val="24"/>
          <w:highlight w:val="none"/>
        </w:rPr>
        <w:t>管理、监理、检测等服务的</w:t>
      </w:r>
      <w:r>
        <w:rPr>
          <w:rFonts w:hint="eastAsia" w:ascii="仿宋" w:hAnsi="仿宋" w:eastAsia="仿宋" w:cs="仿宋"/>
          <w:color w:val="auto"/>
          <w:spacing w:val="-1"/>
          <w:sz w:val="24"/>
          <w:szCs w:val="24"/>
          <w:highlight w:val="none"/>
        </w:rPr>
        <w:t>投标人，不得再参加本项目的招标活动。</w:t>
      </w:r>
    </w:p>
    <w:p w14:paraId="701E10C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0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3.7采购代理机构及其分支机构不得在所代理的采购项目中投</w:t>
      </w:r>
      <w:r>
        <w:rPr>
          <w:rFonts w:hint="eastAsia" w:ascii="仿宋" w:hAnsi="仿宋" w:eastAsia="仿宋" w:cs="仿宋"/>
          <w:color w:val="auto"/>
          <w:spacing w:val="4"/>
          <w:sz w:val="24"/>
          <w:szCs w:val="24"/>
          <w:highlight w:val="none"/>
        </w:rPr>
        <w:t>标或者代理</w:t>
      </w:r>
      <w:r>
        <w:rPr>
          <w:rFonts w:hint="eastAsia" w:ascii="仿宋" w:hAnsi="仿宋" w:eastAsia="仿宋" w:cs="仿宋"/>
          <w:color w:val="auto"/>
          <w:spacing w:val="-1"/>
          <w:sz w:val="24"/>
          <w:szCs w:val="24"/>
          <w:highlight w:val="none"/>
        </w:rPr>
        <w:t>投标，不得为所代理的采购项目的投标人参加本项目提供投标咨询。</w:t>
      </w:r>
    </w:p>
    <w:p w14:paraId="35F4EA1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3.8投标人提供的证明材料内容必须真实可靠。</w:t>
      </w:r>
    </w:p>
    <w:p w14:paraId="780B25F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3.9投标人按时足额交纳投标保证金(如有</w:t>
      </w:r>
      <w:r>
        <w:rPr>
          <w:rFonts w:hint="eastAsia" w:cs="仿宋"/>
          <w:color w:val="auto"/>
          <w:spacing w:val="-2"/>
          <w:sz w:val="24"/>
          <w:szCs w:val="24"/>
          <w:highlight w:val="none"/>
          <w:lang w:eastAsia="zh-CN"/>
        </w:rPr>
        <w:t>）</w:t>
      </w:r>
      <w:r>
        <w:rPr>
          <w:rFonts w:hint="eastAsia" w:ascii="仿宋" w:hAnsi="仿宋" w:eastAsia="仿宋" w:cs="仿宋"/>
          <w:color w:val="auto"/>
          <w:spacing w:val="-2"/>
          <w:sz w:val="24"/>
          <w:szCs w:val="24"/>
          <w:highlight w:val="none"/>
        </w:rPr>
        <w:t>。</w:t>
      </w:r>
    </w:p>
    <w:p w14:paraId="18B52BE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3.10投标人不得与采购人、采购代理机构等有利害关系。</w:t>
      </w:r>
    </w:p>
    <w:p w14:paraId="3EF072C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符合上述条件的投标人即为合格投标人，具有参与公开招标的资格。</w:t>
      </w:r>
    </w:p>
    <w:p w14:paraId="096A118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4.投标费用</w:t>
      </w:r>
    </w:p>
    <w:p w14:paraId="79E92D1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4.1投标人应承担所有与准备和参加投</w:t>
      </w:r>
      <w:r>
        <w:rPr>
          <w:rFonts w:hint="eastAsia" w:ascii="仿宋" w:hAnsi="仿宋" w:eastAsia="仿宋" w:cs="仿宋"/>
          <w:color w:val="auto"/>
          <w:spacing w:val="-2"/>
          <w:sz w:val="24"/>
          <w:szCs w:val="24"/>
          <w:highlight w:val="none"/>
        </w:rPr>
        <w:t>标有关的费用。</w:t>
      </w:r>
    </w:p>
    <w:p w14:paraId="08383FB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0"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5.纪律</w:t>
      </w:r>
    </w:p>
    <w:p w14:paraId="20E4488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5.1投标人纪律</w:t>
      </w:r>
    </w:p>
    <w:p w14:paraId="577AB68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5.1</w:t>
      </w:r>
      <w:r>
        <w:rPr>
          <w:rFonts w:hint="eastAsia" w:cs="仿宋"/>
          <w:color w:val="auto"/>
          <w:spacing w:val="-1"/>
          <w:sz w:val="24"/>
          <w:szCs w:val="24"/>
          <w:highlight w:val="none"/>
          <w:lang w:val="en-US" w:eastAsia="zh-CN"/>
        </w:rPr>
        <w:t>.1</w:t>
      </w:r>
      <w:r>
        <w:rPr>
          <w:rFonts w:hint="eastAsia" w:ascii="仿宋" w:hAnsi="仿宋" w:eastAsia="仿宋" w:cs="仿宋"/>
          <w:color w:val="auto"/>
          <w:spacing w:val="-1"/>
          <w:sz w:val="24"/>
          <w:szCs w:val="24"/>
          <w:highlight w:val="none"/>
        </w:rPr>
        <w:t>投标人的投标行为应遵守中国的有关</w:t>
      </w:r>
      <w:r>
        <w:rPr>
          <w:rFonts w:hint="eastAsia" w:cs="仿宋"/>
          <w:color w:val="auto"/>
          <w:spacing w:val="-1"/>
          <w:sz w:val="24"/>
          <w:szCs w:val="24"/>
          <w:highlight w:val="none"/>
          <w:lang w:eastAsia="zh-CN"/>
        </w:rPr>
        <w:t>法律法规</w:t>
      </w:r>
      <w:r>
        <w:rPr>
          <w:rFonts w:hint="eastAsia" w:ascii="仿宋" w:hAnsi="仿宋" w:eastAsia="仿宋" w:cs="仿宋"/>
          <w:color w:val="auto"/>
          <w:spacing w:val="-2"/>
          <w:sz w:val="24"/>
          <w:szCs w:val="24"/>
          <w:highlight w:val="none"/>
        </w:rPr>
        <w:t>和规章。</w:t>
      </w:r>
    </w:p>
    <w:p w14:paraId="16F66E0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5.1.2投标人不得相互串通投标报价，不得妨碍其他投标人的公平竞争，不</w:t>
      </w:r>
      <w:r>
        <w:rPr>
          <w:rFonts w:hint="eastAsia" w:ascii="仿宋" w:hAnsi="仿宋" w:eastAsia="仿宋" w:cs="仿宋"/>
          <w:color w:val="auto"/>
          <w:spacing w:val="-3"/>
          <w:sz w:val="24"/>
          <w:szCs w:val="24"/>
          <w:highlight w:val="none"/>
        </w:rPr>
        <w:t>得损害采购人或其他投标人的合法权益，投标人不得以向采购人、评标委</w:t>
      </w:r>
      <w:r>
        <w:rPr>
          <w:rFonts w:hint="eastAsia" w:ascii="仿宋" w:hAnsi="仿宋" w:eastAsia="仿宋" w:cs="仿宋"/>
          <w:color w:val="auto"/>
          <w:spacing w:val="-4"/>
          <w:sz w:val="24"/>
          <w:szCs w:val="24"/>
          <w:highlight w:val="none"/>
        </w:rPr>
        <w:t>员会成</w:t>
      </w:r>
      <w:r>
        <w:rPr>
          <w:rFonts w:hint="eastAsia" w:ascii="仿宋" w:hAnsi="仿宋" w:eastAsia="仿宋" w:cs="仿宋"/>
          <w:color w:val="auto"/>
          <w:spacing w:val="-1"/>
          <w:sz w:val="24"/>
          <w:szCs w:val="24"/>
          <w:highlight w:val="none"/>
        </w:rPr>
        <w:t>员行贿或者采取其他不正当手段谋取中标。</w:t>
      </w:r>
    </w:p>
    <w:p w14:paraId="59EFE81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5.1.3有下列情形之一的，属于投标人相互串通投标：</w:t>
      </w:r>
    </w:p>
    <w:p w14:paraId="416A2B9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5.1.3.1投标人之间协商投标报价等投标文件的实</w:t>
      </w:r>
      <w:r>
        <w:rPr>
          <w:rFonts w:hint="eastAsia" w:ascii="仿宋" w:hAnsi="仿宋" w:eastAsia="仿宋" w:cs="仿宋"/>
          <w:color w:val="auto"/>
          <w:spacing w:val="-2"/>
          <w:sz w:val="24"/>
          <w:szCs w:val="24"/>
          <w:highlight w:val="none"/>
        </w:rPr>
        <w:t>质性内容；</w:t>
      </w:r>
    </w:p>
    <w:p w14:paraId="4CC7191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5.1.3.2投标人之间约定中标人；</w:t>
      </w:r>
    </w:p>
    <w:p w14:paraId="4B548D8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5.1.3.3投标人之间约定部分投标人放弃</w:t>
      </w:r>
      <w:r>
        <w:rPr>
          <w:rFonts w:hint="eastAsia" w:ascii="仿宋" w:hAnsi="仿宋" w:eastAsia="仿宋" w:cs="仿宋"/>
          <w:color w:val="auto"/>
          <w:spacing w:val="-2"/>
          <w:sz w:val="24"/>
          <w:szCs w:val="24"/>
          <w:highlight w:val="none"/>
        </w:rPr>
        <w:t>投标或者中标；</w:t>
      </w:r>
    </w:p>
    <w:p w14:paraId="635036B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righ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5.1.3.4属于同一集团、协会、商会等组织成员的投标人按照该组织要求协</w:t>
      </w:r>
    </w:p>
    <w:p w14:paraId="1599811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rPr>
        <w:t>同投标；</w:t>
      </w:r>
    </w:p>
    <w:p w14:paraId="61F2184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0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5.1.3.5投标人之间为谋取中标或者排斥特定投</w:t>
      </w:r>
      <w:r>
        <w:rPr>
          <w:rFonts w:hint="eastAsia" w:ascii="仿宋" w:hAnsi="仿宋" w:eastAsia="仿宋" w:cs="仿宋"/>
          <w:color w:val="auto"/>
          <w:spacing w:val="4"/>
          <w:sz w:val="24"/>
          <w:szCs w:val="24"/>
          <w:highlight w:val="none"/>
        </w:rPr>
        <w:t>标人而采取的其他联合行</w:t>
      </w:r>
      <w:r>
        <w:rPr>
          <w:rFonts w:hint="eastAsia" w:ascii="仿宋" w:hAnsi="仿宋" w:eastAsia="仿宋" w:cs="仿宋"/>
          <w:color w:val="auto"/>
          <w:spacing w:val="-12"/>
          <w:sz w:val="24"/>
          <w:szCs w:val="24"/>
          <w:highlight w:val="none"/>
        </w:rPr>
        <w:t>动。</w:t>
      </w:r>
    </w:p>
    <w:p w14:paraId="2E892F1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5.1.4有下列情形之一的，视为投标人相互串通投标：</w:t>
      </w:r>
    </w:p>
    <w:p w14:paraId="76467D7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5.1.4.1不同投标人的投标文件由同一单</w:t>
      </w:r>
      <w:r>
        <w:rPr>
          <w:rFonts w:hint="eastAsia" w:ascii="仿宋" w:hAnsi="仿宋" w:eastAsia="仿宋" w:cs="仿宋"/>
          <w:color w:val="auto"/>
          <w:spacing w:val="-2"/>
          <w:sz w:val="24"/>
          <w:szCs w:val="24"/>
          <w:highlight w:val="none"/>
        </w:rPr>
        <w:t>位或者个人编制；</w:t>
      </w:r>
    </w:p>
    <w:p w14:paraId="006FFF2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5.1.4.2不同投标人的投标文件载明的项目管理成</w:t>
      </w:r>
      <w:r>
        <w:rPr>
          <w:rFonts w:hint="eastAsia" w:ascii="仿宋" w:hAnsi="仿宋" w:eastAsia="仿宋" w:cs="仿宋"/>
          <w:color w:val="auto"/>
          <w:spacing w:val="-2"/>
          <w:sz w:val="24"/>
          <w:szCs w:val="24"/>
          <w:highlight w:val="none"/>
        </w:rPr>
        <w:t>员为同一人；</w:t>
      </w:r>
    </w:p>
    <w:p w14:paraId="5388F1E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5.1.4.3不同投标人的投标文件异常一致或者投标报价呈规律性</w:t>
      </w:r>
      <w:r>
        <w:rPr>
          <w:rFonts w:hint="eastAsia" w:ascii="仿宋" w:hAnsi="仿宋" w:eastAsia="仿宋" w:cs="仿宋"/>
          <w:color w:val="auto"/>
          <w:spacing w:val="-2"/>
          <w:sz w:val="24"/>
          <w:szCs w:val="24"/>
          <w:highlight w:val="none"/>
        </w:rPr>
        <w:t>差异；</w:t>
      </w:r>
    </w:p>
    <w:p w14:paraId="4CB4096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5.1.4.4不同投标人的投标文件相互混装；</w:t>
      </w:r>
    </w:p>
    <w:p w14:paraId="1271FEA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5.1.4.5不同投标人的投标保证金从同一单位或者个人的账</w:t>
      </w:r>
      <w:r>
        <w:rPr>
          <w:rFonts w:hint="eastAsia" w:ascii="仿宋" w:hAnsi="仿宋" w:eastAsia="仿宋" w:cs="仿宋"/>
          <w:color w:val="auto"/>
          <w:spacing w:val="-2"/>
          <w:sz w:val="24"/>
          <w:szCs w:val="24"/>
          <w:highlight w:val="none"/>
        </w:rPr>
        <w:t>户转出。</w:t>
      </w:r>
    </w:p>
    <w:p w14:paraId="70B3E7D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5.2对采购人的纪律要求</w:t>
      </w:r>
    </w:p>
    <w:p w14:paraId="2E78DEA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5.2.1采购人应当按照行政事业单位内部控制规范要求，建立健全本单位政</w:t>
      </w:r>
      <w:r>
        <w:rPr>
          <w:rFonts w:hint="eastAsia" w:ascii="仿宋" w:hAnsi="仿宋" w:eastAsia="仿宋" w:cs="仿宋"/>
          <w:color w:val="auto"/>
          <w:spacing w:val="-3"/>
          <w:sz w:val="24"/>
          <w:szCs w:val="24"/>
          <w:highlight w:val="none"/>
        </w:rPr>
        <w:t>府采购内部控制制度，在编制政府采购预算和实施计划、确定采购需求、组织采购活动、履约验收、答复询问质疑、配合投诉处理及监督检查等重点环节加强内</w:t>
      </w:r>
      <w:r>
        <w:rPr>
          <w:rFonts w:hint="eastAsia" w:ascii="仿宋" w:hAnsi="仿宋" w:eastAsia="仿宋" w:cs="仿宋"/>
          <w:color w:val="auto"/>
          <w:spacing w:val="-2"/>
          <w:sz w:val="24"/>
          <w:szCs w:val="24"/>
          <w:highlight w:val="none"/>
        </w:rPr>
        <w:t>部控制管理。</w:t>
      </w:r>
    </w:p>
    <w:p w14:paraId="52CC63C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5.2.2采购人不得向投标人索要或者接受其给予的赠品、回扣或者与采购无关的其他商品、服务。</w:t>
      </w:r>
    </w:p>
    <w:p w14:paraId="7EF18D9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5.3对投标人的纪律要求</w:t>
      </w:r>
    </w:p>
    <w:p w14:paraId="211D250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5.3.1投标人应当遵循公平竞争的原则，不得恶意串通，不得妨碍其他投标</w:t>
      </w:r>
      <w:r>
        <w:rPr>
          <w:rFonts w:hint="eastAsia" w:ascii="仿宋" w:hAnsi="仿宋" w:eastAsia="仿宋" w:cs="仿宋"/>
          <w:color w:val="auto"/>
          <w:spacing w:val="-1"/>
          <w:sz w:val="24"/>
          <w:szCs w:val="24"/>
          <w:highlight w:val="none"/>
        </w:rPr>
        <w:t>人的竞争行为，不得损害采购人或者其他投标人的合法权益。</w:t>
      </w:r>
    </w:p>
    <w:p w14:paraId="03C797E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5.4对评标委员会成员的纪律要求</w:t>
      </w:r>
    </w:p>
    <w:p w14:paraId="4EC47B8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5.4.1评标委员会及其成员不得有下列行为：</w:t>
      </w:r>
    </w:p>
    <w:p w14:paraId="38FD13A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（一）确定参与评标至评标结束前私自接触投标人；</w:t>
      </w:r>
    </w:p>
    <w:p w14:paraId="19C3EFD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（二）接受投标人提出的与投标文件不一致的澄清或者说明，法律规定允许</w:t>
      </w:r>
      <w:r>
        <w:rPr>
          <w:rFonts w:hint="eastAsia" w:ascii="仿宋" w:hAnsi="仿宋" w:eastAsia="仿宋" w:cs="仿宋"/>
          <w:color w:val="auto"/>
          <w:spacing w:val="-2"/>
          <w:sz w:val="24"/>
          <w:szCs w:val="24"/>
          <w:highlight w:val="none"/>
        </w:rPr>
        <w:t>澄清或说明的情形除外；</w:t>
      </w:r>
    </w:p>
    <w:p w14:paraId="6F9CC06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（三）违反评标纪律发表倾向性意见或者征询采购人的倾</w:t>
      </w:r>
      <w:r>
        <w:rPr>
          <w:rFonts w:hint="eastAsia" w:ascii="仿宋" w:hAnsi="仿宋" w:eastAsia="仿宋" w:cs="仿宋"/>
          <w:color w:val="auto"/>
          <w:spacing w:val="-3"/>
          <w:sz w:val="24"/>
          <w:szCs w:val="24"/>
          <w:highlight w:val="none"/>
        </w:rPr>
        <w:t>向性意见；</w:t>
      </w:r>
    </w:p>
    <w:p w14:paraId="5D8EFE1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（四）对需要专业判断的主观评标因素协商评分；</w:t>
      </w:r>
    </w:p>
    <w:p w14:paraId="04B1B00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（五）在评标过程中擅离职守，影响评标程序正常</w:t>
      </w:r>
      <w:r>
        <w:rPr>
          <w:rFonts w:hint="eastAsia" w:ascii="仿宋" w:hAnsi="仿宋" w:eastAsia="仿宋" w:cs="仿宋"/>
          <w:color w:val="auto"/>
          <w:spacing w:val="-3"/>
          <w:sz w:val="24"/>
          <w:szCs w:val="24"/>
          <w:highlight w:val="none"/>
        </w:rPr>
        <w:t>进行的；</w:t>
      </w:r>
    </w:p>
    <w:p w14:paraId="402E705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（六）记录、复制或者带走任何评标资料；</w:t>
      </w:r>
    </w:p>
    <w:p w14:paraId="27C477D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（七）其他不遵守评标纪律的行为。</w:t>
      </w:r>
    </w:p>
    <w:p w14:paraId="782391B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评标委员会成员有前款第一至五项行为之一的，其评标意见无效，并不得获取评标劳务报酬和报销异地评标差旅费。</w:t>
      </w:r>
    </w:p>
    <w:p w14:paraId="19D0D49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5.5对与评标活动有关的工作人员的纪律要求</w:t>
      </w:r>
    </w:p>
    <w:p w14:paraId="5618F7D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5.5.1与评标活动有关的工作人员不得收受他人的财物</w:t>
      </w:r>
      <w:r>
        <w:rPr>
          <w:rFonts w:hint="eastAsia" w:ascii="仿宋" w:hAnsi="仿宋" w:eastAsia="仿宋" w:cs="仿宋"/>
          <w:color w:val="auto"/>
          <w:spacing w:val="-3"/>
          <w:sz w:val="24"/>
          <w:szCs w:val="24"/>
          <w:highlight w:val="none"/>
        </w:rPr>
        <w:t>或者其他好处，不得</w:t>
      </w:r>
      <w:r>
        <w:rPr>
          <w:rFonts w:hint="eastAsia" w:ascii="仿宋" w:hAnsi="仿宋" w:eastAsia="仿宋" w:cs="仿宋"/>
          <w:color w:val="auto"/>
          <w:spacing w:val="-4"/>
          <w:sz w:val="24"/>
          <w:szCs w:val="24"/>
          <w:highlight w:val="none"/>
        </w:rPr>
        <w:t>向他人</w:t>
      </w:r>
      <w:r>
        <w:rPr>
          <w:rFonts w:hint="eastAsia" w:cs="仿宋"/>
          <w:color w:val="auto"/>
          <w:spacing w:val="-4"/>
          <w:sz w:val="24"/>
          <w:szCs w:val="24"/>
          <w:highlight w:val="none"/>
          <w:lang w:eastAsia="zh-CN"/>
        </w:rPr>
        <w:t>透露</w:t>
      </w:r>
      <w:r>
        <w:rPr>
          <w:rFonts w:hint="eastAsia" w:ascii="仿宋" w:hAnsi="仿宋" w:eastAsia="仿宋" w:cs="仿宋"/>
          <w:color w:val="auto"/>
          <w:spacing w:val="-4"/>
          <w:sz w:val="24"/>
          <w:szCs w:val="24"/>
          <w:highlight w:val="none"/>
        </w:rPr>
        <w:t>对投标文件的评标和比较、中标候选人的确定情况以及评标有关的其</w:t>
      </w:r>
      <w:r>
        <w:rPr>
          <w:rFonts w:hint="eastAsia" w:ascii="仿宋" w:hAnsi="仿宋" w:eastAsia="仿宋" w:cs="仿宋"/>
          <w:color w:val="auto"/>
          <w:spacing w:val="-3"/>
          <w:sz w:val="24"/>
          <w:szCs w:val="24"/>
          <w:highlight w:val="none"/>
        </w:rPr>
        <w:t>他情况。在评标活动中，与评标活动有关的工作人员不得擅离职守，影响评标程</w:t>
      </w:r>
      <w:r>
        <w:rPr>
          <w:rFonts w:hint="eastAsia" w:ascii="仿宋" w:hAnsi="仿宋" w:eastAsia="仿宋" w:cs="仿宋"/>
          <w:color w:val="auto"/>
          <w:spacing w:val="-2"/>
          <w:sz w:val="24"/>
          <w:szCs w:val="24"/>
          <w:highlight w:val="none"/>
        </w:rPr>
        <w:t>序正常进行。</w:t>
      </w:r>
    </w:p>
    <w:p w14:paraId="63B8676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0"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6.通知</w:t>
      </w:r>
    </w:p>
    <w:p w14:paraId="002C6B8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2"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6.1对与本项目有关的通知，采购代理机构将以书面（包括书面材料、信函、</w:t>
      </w:r>
      <w:r>
        <w:rPr>
          <w:rFonts w:hint="eastAsia" w:ascii="仿宋" w:hAnsi="仿宋" w:eastAsia="仿宋" w:cs="仿宋"/>
          <w:color w:val="auto"/>
          <w:spacing w:val="-3"/>
          <w:sz w:val="24"/>
          <w:szCs w:val="24"/>
          <w:highlight w:val="none"/>
        </w:rPr>
        <w:t>传真等，下同）或在本次招标公告刊登的媒体上发布公告并在新疆政府采购网内</w:t>
      </w:r>
      <w:r>
        <w:rPr>
          <w:rFonts w:hint="eastAsia" w:ascii="仿宋" w:hAnsi="仿宋" w:eastAsia="仿宋" w:cs="仿宋"/>
          <w:color w:val="auto"/>
          <w:spacing w:val="1"/>
          <w:sz w:val="24"/>
          <w:szCs w:val="24"/>
          <w:highlight w:val="none"/>
        </w:rPr>
        <w:t>发送变更通知及/或答疑文件的形式，向潜</w:t>
      </w:r>
      <w:r>
        <w:rPr>
          <w:rFonts w:hint="eastAsia" w:ascii="仿宋" w:hAnsi="仿宋" w:eastAsia="仿宋" w:cs="仿宋"/>
          <w:color w:val="auto"/>
          <w:sz w:val="24"/>
          <w:szCs w:val="24"/>
          <w:highlight w:val="none"/>
        </w:rPr>
        <w:t>在投标人发出，传真和电话号码以潜</w:t>
      </w:r>
      <w:r>
        <w:rPr>
          <w:rFonts w:hint="eastAsia" w:ascii="仿宋" w:hAnsi="仿宋" w:eastAsia="仿宋" w:cs="仿宋"/>
          <w:color w:val="auto"/>
          <w:spacing w:val="-3"/>
          <w:sz w:val="24"/>
          <w:szCs w:val="24"/>
          <w:highlight w:val="none"/>
        </w:rPr>
        <w:t>在投标人的登记为准。收到通知的投标人须立即予以回复确认，但投标人未回复或采购代理机构未收到回复时，并不应当被理解为采购代理机构知道或应当知道投标人是否收到通知。因登记有误、传真线路故障或</w:t>
      </w:r>
      <w:r>
        <w:rPr>
          <w:rFonts w:hint="eastAsia" w:cs="仿宋"/>
          <w:color w:val="auto"/>
          <w:spacing w:val="-3"/>
          <w:sz w:val="24"/>
          <w:szCs w:val="24"/>
          <w:highlight w:val="none"/>
          <w:lang w:eastAsia="zh-CN"/>
        </w:rPr>
        <w:t>其他</w:t>
      </w:r>
      <w:r>
        <w:rPr>
          <w:rFonts w:hint="eastAsia" w:ascii="仿宋" w:hAnsi="仿宋" w:eastAsia="仿宋" w:cs="仿宋"/>
          <w:color w:val="auto"/>
          <w:spacing w:val="-3"/>
          <w:sz w:val="24"/>
          <w:szCs w:val="24"/>
          <w:highlight w:val="none"/>
        </w:rPr>
        <w:t>任何意外情形，导致所发出的通知延迟送达或无法到达投标人，采购代理机构不因此承担任何责任，有</w:t>
      </w:r>
      <w:r>
        <w:rPr>
          <w:rFonts w:hint="eastAsia" w:ascii="仿宋" w:hAnsi="仿宋" w:eastAsia="仿宋" w:cs="仿宋"/>
          <w:color w:val="auto"/>
          <w:spacing w:val="-1"/>
          <w:sz w:val="24"/>
          <w:szCs w:val="24"/>
          <w:highlight w:val="none"/>
        </w:rPr>
        <w:t>关的招标活动可以继续有效地进行。</w:t>
      </w:r>
    </w:p>
    <w:p w14:paraId="1ABCFDCE">
      <w:pPr>
        <w:pStyle w:val="6"/>
        <w:shd w:val="clear"/>
        <w:bidi w:val="0"/>
        <w:rPr>
          <w:rFonts w:hint="eastAsia"/>
          <w:color w:val="auto"/>
          <w:highlight w:val="none"/>
        </w:rPr>
      </w:pPr>
      <w:r>
        <w:rPr>
          <w:rFonts w:hint="eastAsia"/>
          <w:color w:val="auto"/>
          <w:highlight w:val="none"/>
        </w:rPr>
        <w:t>二、招标文件</w:t>
      </w:r>
    </w:p>
    <w:p w14:paraId="4603636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7.招标文件组成</w:t>
      </w:r>
    </w:p>
    <w:p w14:paraId="67CDAAD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7.1招标文件的组成</w:t>
      </w:r>
    </w:p>
    <w:p w14:paraId="1A4CE6F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7.1.1招标文件是用以阐明所需货物以及服务、招标程序和合同格式的规范</w:t>
      </w:r>
      <w:r>
        <w:rPr>
          <w:rFonts w:hint="eastAsia" w:ascii="仿宋" w:hAnsi="仿宋" w:eastAsia="仿宋" w:cs="仿宋"/>
          <w:color w:val="auto"/>
          <w:spacing w:val="-1"/>
          <w:sz w:val="24"/>
          <w:szCs w:val="24"/>
          <w:highlight w:val="none"/>
        </w:rPr>
        <w:t>性文件。招标文件主要由以下部分组成：</w:t>
      </w:r>
    </w:p>
    <w:p w14:paraId="454AB10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（1）招标公告；</w:t>
      </w:r>
    </w:p>
    <w:p w14:paraId="6157E3E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（2）投标人须知；</w:t>
      </w:r>
    </w:p>
    <w:p w14:paraId="7BD2B5B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rPr>
        <w:t>（3）采购需求；</w:t>
      </w:r>
    </w:p>
    <w:p w14:paraId="560239F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（4）评标办法；</w:t>
      </w:r>
    </w:p>
    <w:p w14:paraId="0D2D1BB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（5）签订合同</w:t>
      </w:r>
      <w:r>
        <w:rPr>
          <w:rFonts w:hint="eastAsia" w:cs="仿宋"/>
          <w:color w:val="auto"/>
          <w:spacing w:val="-4"/>
          <w:sz w:val="24"/>
          <w:szCs w:val="24"/>
          <w:highlight w:val="none"/>
          <w:lang w:val="en-US" w:eastAsia="zh-CN"/>
        </w:rPr>
        <w:t>及</w:t>
      </w:r>
      <w:r>
        <w:rPr>
          <w:rFonts w:hint="eastAsia" w:ascii="仿宋" w:hAnsi="仿宋" w:eastAsia="仿宋" w:cs="仿宋"/>
          <w:color w:val="auto"/>
          <w:spacing w:val="-4"/>
          <w:sz w:val="24"/>
          <w:szCs w:val="24"/>
          <w:highlight w:val="none"/>
        </w:rPr>
        <w:t>合同主要条款；</w:t>
      </w:r>
    </w:p>
    <w:p w14:paraId="0999F3C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（6）投标文件格式。</w:t>
      </w:r>
    </w:p>
    <w:p w14:paraId="3AB0F0D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7.1.2根据本章第7.2款对采购文件所作的澄清和修改，构成采购文件的组</w:t>
      </w:r>
      <w:r>
        <w:rPr>
          <w:rFonts w:hint="eastAsia" w:ascii="仿宋" w:hAnsi="仿宋" w:eastAsia="仿宋" w:cs="仿宋"/>
          <w:color w:val="auto"/>
          <w:spacing w:val="-4"/>
          <w:sz w:val="24"/>
          <w:szCs w:val="24"/>
          <w:highlight w:val="none"/>
        </w:rPr>
        <w:t>成部分。</w:t>
      </w:r>
    </w:p>
    <w:p w14:paraId="4638432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7.1.3除非有特殊要求，招标文件不单独提供项目</w:t>
      </w:r>
      <w:r>
        <w:rPr>
          <w:rFonts w:hint="eastAsia" w:ascii="仿宋" w:hAnsi="仿宋" w:eastAsia="仿宋" w:cs="仿宋"/>
          <w:color w:val="auto"/>
          <w:spacing w:val="-3"/>
          <w:sz w:val="24"/>
          <w:szCs w:val="24"/>
          <w:highlight w:val="none"/>
        </w:rPr>
        <w:t>所在地的自然环境、气候</w:t>
      </w:r>
      <w:r>
        <w:rPr>
          <w:rFonts w:hint="eastAsia" w:ascii="仿宋" w:hAnsi="仿宋" w:eastAsia="仿宋" w:cs="仿宋"/>
          <w:color w:val="auto"/>
          <w:sz w:val="24"/>
          <w:szCs w:val="24"/>
          <w:highlight w:val="none"/>
        </w:rPr>
        <w:t>条件、公用设施等情况，投标人被视为熟悉上</w:t>
      </w:r>
      <w:r>
        <w:rPr>
          <w:rFonts w:hint="eastAsia" w:ascii="仿宋" w:hAnsi="仿宋" w:eastAsia="仿宋" w:cs="仿宋"/>
          <w:color w:val="auto"/>
          <w:spacing w:val="-1"/>
          <w:sz w:val="24"/>
          <w:szCs w:val="24"/>
          <w:highlight w:val="none"/>
        </w:rPr>
        <w:t>述与履行合同有关的一切情况。</w:t>
      </w:r>
    </w:p>
    <w:p w14:paraId="496214C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7.2答疑及招标文件的澄清和修改</w:t>
      </w:r>
    </w:p>
    <w:p w14:paraId="0ED1048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7.2.1投标人如果对招标文件有疑问或要求进行澄清的，应按照招标文件第</w:t>
      </w:r>
      <w:r>
        <w:rPr>
          <w:rFonts w:hint="eastAsia" w:ascii="仿宋" w:hAnsi="仿宋" w:eastAsia="仿宋" w:cs="仿宋"/>
          <w:color w:val="auto"/>
          <w:spacing w:val="-3"/>
          <w:sz w:val="24"/>
          <w:szCs w:val="24"/>
          <w:highlight w:val="none"/>
        </w:rPr>
        <w:t>二部分“投标人须知前附表”规定向采购代理机构提出。提出后，请</w:t>
      </w:r>
      <w:r>
        <w:rPr>
          <w:rFonts w:hint="eastAsia" w:ascii="仿宋" w:hAnsi="仿宋" w:eastAsia="仿宋" w:cs="仿宋"/>
          <w:color w:val="auto"/>
          <w:spacing w:val="-4"/>
          <w:sz w:val="24"/>
          <w:szCs w:val="24"/>
          <w:highlight w:val="none"/>
        </w:rPr>
        <w:t>投标人及时</w:t>
      </w:r>
      <w:r>
        <w:rPr>
          <w:rFonts w:hint="eastAsia" w:ascii="仿宋" w:hAnsi="仿宋" w:eastAsia="仿宋" w:cs="仿宋"/>
          <w:color w:val="auto"/>
          <w:spacing w:val="-3"/>
          <w:sz w:val="24"/>
          <w:szCs w:val="24"/>
          <w:highlight w:val="none"/>
        </w:rPr>
        <w:t>通过政采云“更正公告”。必要时，采购代理机构将组织相关专家</w:t>
      </w:r>
      <w:r>
        <w:rPr>
          <w:rFonts w:hint="eastAsia" w:ascii="仿宋" w:hAnsi="仿宋" w:eastAsia="仿宋" w:cs="仿宋"/>
          <w:color w:val="auto"/>
          <w:spacing w:val="-4"/>
          <w:sz w:val="24"/>
          <w:szCs w:val="24"/>
          <w:highlight w:val="none"/>
        </w:rPr>
        <w:t>召开答疑会，</w:t>
      </w:r>
      <w:r>
        <w:rPr>
          <w:rFonts w:hint="eastAsia" w:ascii="仿宋" w:hAnsi="仿宋" w:eastAsia="仿宋" w:cs="仿宋"/>
          <w:color w:val="auto"/>
          <w:spacing w:val="-2"/>
          <w:sz w:val="24"/>
          <w:szCs w:val="24"/>
          <w:highlight w:val="none"/>
        </w:rPr>
        <w:t>如召开，答疑会安排另行通知。</w:t>
      </w:r>
    </w:p>
    <w:p w14:paraId="166013A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投标人在规定的时间内未对招标文件提出疑问或要求澄清</w:t>
      </w:r>
      <w:r>
        <w:rPr>
          <w:rFonts w:hint="eastAsia" w:ascii="仿宋" w:hAnsi="仿宋" w:eastAsia="仿宋" w:cs="仿宋"/>
          <w:color w:val="auto"/>
          <w:spacing w:val="-4"/>
          <w:sz w:val="24"/>
          <w:szCs w:val="24"/>
          <w:highlight w:val="none"/>
        </w:rPr>
        <w:t>的，采购代理机构</w:t>
      </w:r>
      <w:r>
        <w:rPr>
          <w:rFonts w:hint="eastAsia" w:ascii="仿宋" w:hAnsi="仿宋" w:eastAsia="仿宋" w:cs="仿宋"/>
          <w:color w:val="auto"/>
          <w:spacing w:val="-3"/>
          <w:sz w:val="24"/>
          <w:szCs w:val="24"/>
          <w:highlight w:val="none"/>
        </w:rPr>
        <w:t>将视其为同意，对在“答疑接受时间”后就招标文件内容提出的疑问及澄清</w:t>
      </w:r>
      <w:r>
        <w:rPr>
          <w:rFonts w:hint="eastAsia" w:ascii="仿宋" w:hAnsi="仿宋" w:eastAsia="仿宋" w:cs="仿宋"/>
          <w:color w:val="auto"/>
          <w:spacing w:val="-4"/>
          <w:sz w:val="24"/>
          <w:szCs w:val="24"/>
          <w:highlight w:val="none"/>
        </w:rPr>
        <w:t>要求</w:t>
      </w:r>
      <w:r>
        <w:rPr>
          <w:rFonts w:hint="eastAsia" w:ascii="仿宋" w:hAnsi="仿宋" w:eastAsia="仿宋" w:cs="仿宋"/>
          <w:color w:val="auto"/>
          <w:spacing w:val="-3"/>
          <w:sz w:val="24"/>
          <w:szCs w:val="24"/>
          <w:highlight w:val="none"/>
        </w:rPr>
        <w:t>将不予受理。</w:t>
      </w:r>
    </w:p>
    <w:p w14:paraId="1DF70F7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7.2.2无论出于何种原因，采购代理机构主动或出于解答投标人疑问</w:t>
      </w:r>
      <w:r>
        <w:rPr>
          <w:rFonts w:hint="eastAsia" w:ascii="仿宋" w:hAnsi="仿宋" w:eastAsia="仿宋" w:cs="仿宋"/>
          <w:color w:val="auto"/>
          <w:spacing w:val="-3"/>
          <w:sz w:val="24"/>
          <w:szCs w:val="24"/>
          <w:highlight w:val="none"/>
        </w:rPr>
        <w:t>对已发</w:t>
      </w:r>
      <w:r>
        <w:rPr>
          <w:rFonts w:hint="eastAsia" w:ascii="仿宋" w:hAnsi="仿宋" w:eastAsia="仿宋" w:cs="仿宋"/>
          <w:color w:val="auto"/>
          <w:spacing w:val="-4"/>
          <w:sz w:val="24"/>
          <w:szCs w:val="24"/>
          <w:highlight w:val="none"/>
        </w:rPr>
        <w:t>出的招标文件进行必要澄清或修改的，应当在招标文件要求提交投标文件截止时</w:t>
      </w:r>
      <w:r>
        <w:rPr>
          <w:rFonts w:hint="eastAsia" w:ascii="仿宋" w:hAnsi="仿宋" w:eastAsia="仿宋" w:cs="仿宋"/>
          <w:color w:val="auto"/>
          <w:spacing w:val="-2"/>
          <w:sz w:val="24"/>
          <w:szCs w:val="24"/>
          <w:highlight w:val="none"/>
        </w:rPr>
        <w:t>间15日前，以当面交接、邮寄、传真或</w:t>
      </w:r>
      <w:r>
        <w:rPr>
          <w:rFonts w:hint="eastAsia" w:ascii="仿宋" w:hAnsi="仿宋" w:eastAsia="仿宋" w:cs="仿宋"/>
          <w:color w:val="auto"/>
          <w:spacing w:val="-3"/>
          <w:sz w:val="24"/>
          <w:szCs w:val="24"/>
          <w:highlight w:val="none"/>
        </w:rPr>
        <w:t>电子邮件、网站披露等其中至少一种方</w:t>
      </w:r>
      <w:r>
        <w:rPr>
          <w:rFonts w:hint="eastAsia" w:ascii="仿宋" w:hAnsi="仿宋" w:eastAsia="仿宋" w:cs="仿宋"/>
          <w:color w:val="auto"/>
          <w:spacing w:val="-4"/>
          <w:sz w:val="24"/>
          <w:szCs w:val="24"/>
          <w:highlight w:val="none"/>
        </w:rPr>
        <w:t>式，向潜在投标人发出澄清、修改的补充文件。需要为此调整投标文件提交截止</w:t>
      </w:r>
      <w:r>
        <w:rPr>
          <w:rFonts w:hint="eastAsia" w:ascii="仿宋" w:hAnsi="仿宋" w:eastAsia="仿宋" w:cs="仿宋"/>
          <w:color w:val="auto"/>
          <w:spacing w:val="-1"/>
          <w:sz w:val="24"/>
          <w:szCs w:val="24"/>
          <w:highlight w:val="none"/>
        </w:rPr>
        <w:t>时间的，应当重新确定，并就变更后的投标截止时间重新发出通知。</w:t>
      </w:r>
    </w:p>
    <w:p w14:paraId="7AD8324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特殊情况下，采购代理机构发布澄清、修改文件后，征得</w:t>
      </w:r>
      <w:r>
        <w:rPr>
          <w:rFonts w:hint="eastAsia" w:ascii="仿宋" w:hAnsi="仿宋" w:eastAsia="仿宋" w:cs="仿宋"/>
          <w:color w:val="auto"/>
          <w:spacing w:val="-4"/>
          <w:sz w:val="24"/>
          <w:szCs w:val="24"/>
          <w:highlight w:val="none"/>
        </w:rPr>
        <w:t>投标人同意，可不</w:t>
      </w:r>
      <w:r>
        <w:rPr>
          <w:rFonts w:hint="eastAsia" w:ascii="仿宋" w:hAnsi="仿宋" w:eastAsia="仿宋" w:cs="仿宋"/>
          <w:color w:val="auto"/>
          <w:spacing w:val="-3"/>
          <w:sz w:val="24"/>
          <w:szCs w:val="24"/>
          <w:highlight w:val="none"/>
        </w:rPr>
        <w:t>改变投标截止时间和开标时间。</w:t>
      </w:r>
    </w:p>
    <w:p w14:paraId="1D80884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7.2.3采购代理机构一旦对招标文件作出了澄清、修改，即刻发生效力，采</w:t>
      </w:r>
      <w:r>
        <w:rPr>
          <w:rFonts w:hint="eastAsia" w:ascii="仿宋" w:hAnsi="仿宋" w:eastAsia="仿宋" w:cs="仿宋"/>
          <w:color w:val="auto"/>
          <w:spacing w:val="-3"/>
          <w:sz w:val="24"/>
          <w:szCs w:val="24"/>
          <w:highlight w:val="none"/>
        </w:rPr>
        <w:t>购代理机构有关的补充文件，将作为招标文件的组成部分，对所有现实的或潜在的投标人均具有约束力，而无论是否已经实际收到上述文件。同时，采购代理机</w:t>
      </w:r>
      <w:r>
        <w:rPr>
          <w:rFonts w:hint="eastAsia" w:ascii="仿宋" w:hAnsi="仿宋" w:eastAsia="仿宋" w:cs="仿宋"/>
          <w:color w:val="auto"/>
          <w:spacing w:val="-1"/>
          <w:sz w:val="24"/>
          <w:szCs w:val="24"/>
          <w:highlight w:val="none"/>
        </w:rPr>
        <w:t>构和投标人的权利及义务将受到新的截止期的约束。</w:t>
      </w:r>
    </w:p>
    <w:p w14:paraId="446E30B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7.2.4采购代理机构对招标文件作出的澄清、修改在新疆政府采购网内进行</w:t>
      </w:r>
      <w:r>
        <w:rPr>
          <w:rFonts w:hint="eastAsia" w:ascii="仿宋" w:hAnsi="仿宋" w:eastAsia="仿宋" w:cs="仿宋"/>
          <w:color w:val="auto"/>
          <w:spacing w:val="-3"/>
          <w:sz w:val="24"/>
          <w:szCs w:val="24"/>
          <w:highlight w:val="none"/>
        </w:rPr>
        <w:t>披露，请投标人及时关注并获取相关资料。因登记有误、线路故障或</w:t>
      </w:r>
      <w:r>
        <w:rPr>
          <w:rFonts w:hint="eastAsia" w:cs="仿宋"/>
          <w:color w:val="auto"/>
          <w:spacing w:val="-3"/>
          <w:sz w:val="24"/>
          <w:szCs w:val="24"/>
          <w:highlight w:val="none"/>
          <w:lang w:eastAsia="zh-CN"/>
        </w:rPr>
        <w:t>其他</w:t>
      </w:r>
      <w:r>
        <w:rPr>
          <w:rFonts w:hint="eastAsia" w:ascii="仿宋" w:hAnsi="仿宋" w:eastAsia="仿宋" w:cs="仿宋"/>
          <w:color w:val="auto"/>
          <w:spacing w:val="-3"/>
          <w:sz w:val="24"/>
          <w:szCs w:val="24"/>
          <w:highlight w:val="none"/>
        </w:rPr>
        <w:t>任何意外情形，导致投标人未及时获取的，采购代理机构不因此承担任何责任，且有关的招标活动继续有效地进行。当招标文件的澄清、修改及进行其他答复等就同一</w:t>
      </w:r>
      <w:r>
        <w:rPr>
          <w:rFonts w:hint="eastAsia" w:ascii="仿宋" w:hAnsi="仿宋" w:eastAsia="仿宋" w:cs="仿宋"/>
          <w:color w:val="auto"/>
          <w:spacing w:val="-1"/>
          <w:sz w:val="24"/>
          <w:szCs w:val="24"/>
          <w:highlight w:val="none"/>
        </w:rPr>
        <w:t>内容的表述不一致时，以最后发布的内容为准。</w:t>
      </w:r>
    </w:p>
    <w:p w14:paraId="3C90A37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7.2.5澄清、修改文件发出后，投标人必须使用最新的答疑、澄清文</w:t>
      </w:r>
      <w:r>
        <w:rPr>
          <w:rFonts w:hint="eastAsia" w:ascii="仿宋" w:hAnsi="仿宋" w:eastAsia="仿宋" w:cs="仿宋"/>
          <w:color w:val="auto"/>
          <w:spacing w:val="-3"/>
          <w:sz w:val="24"/>
          <w:szCs w:val="24"/>
          <w:highlight w:val="none"/>
        </w:rPr>
        <w:t>件制作电子投标文件，否则将无法完成上传。</w:t>
      </w:r>
    </w:p>
    <w:p w14:paraId="6F15D56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招标文件的澄清或者修改在同一内容的表述上不一致时</w:t>
      </w:r>
      <w:r>
        <w:rPr>
          <w:rFonts w:hint="eastAsia" w:ascii="仿宋" w:hAnsi="仿宋" w:eastAsia="仿宋" w:cs="仿宋"/>
          <w:color w:val="auto"/>
          <w:spacing w:val="-4"/>
          <w:sz w:val="24"/>
          <w:szCs w:val="24"/>
          <w:highlight w:val="none"/>
        </w:rPr>
        <w:t>，以最后发出的公告</w:t>
      </w:r>
      <w:r>
        <w:rPr>
          <w:rFonts w:hint="eastAsia" w:ascii="仿宋" w:hAnsi="仿宋" w:eastAsia="仿宋" w:cs="仿宋"/>
          <w:color w:val="auto"/>
          <w:spacing w:val="-6"/>
          <w:sz w:val="24"/>
          <w:szCs w:val="24"/>
          <w:highlight w:val="none"/>
        </w:rPr>
        <w:t>为准。</w:t>
      </w:r>
    </w:p>
    <w:p w14:paraId="722DFAF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8.踏勘现场</w:t>
      </w:r>
    </w:p>
    <w:p w14:paraId="1F8A6AF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8.1本项目是否统一组织投标人踏勘现场见招标文件第二部分“投标人须知</w:t>
      </w:r>
      <w:r>
        <w:rPr>
          <w:rFonts w:hint="eastAsia" w:ascii="仿宋" w:hAnsi="仿宋" w:eastAsia="仿宋" w:cs="仿宋"/>
          <w:color w:val="auto"/>
          <w:spacing w:val="-3"/>
          <w:sz w:val="24"/>
          <w:szCs w:val="24"/>
          <w:highlight w:val="none"/>
        </w:rPr>
        <w:t>前附表”中的规定。无论是否统一组织，投标人应对供货现场和周围环境进行勘</w:t>
      </w:r>
      <w:r>
        <w:rPr>
          <w:rFonts w:hint="eastAsia" w:ascii="仿宋" w:hAnsi="仿宋" w:eastAsia="仿宋" w:cs="仿宋"/>
          <w:color w:val="auto"/>
          <w:spacing w:val="-1"/>
          <w:sz w:val="24"/>
          <w:szCs w:val="24"/>
          <w:highlight w:val="none"/>
        </w:rPr>
        <w:t>察，以获取编制投标文件所需的资料。</w:t>
      </w:r>
    </w:p>
    <w:p w14:paraId="14BC000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8.2踏勘现场所发生的费用由投标人自行承担。采购人向投标人</w:t>
      </w:r>
      <w:r>
        <w:rPr>
          <w:rFonts w:hint="eastAsia" w:ascii="仿宋" w:hAnsi="仿宋" w:eastAsia="仿宋" w:cs="仿宋"/>
          <w:color w:val="auto"/>
          <w:spacing w:val="-3"/>
          <w:sz w:val="24"/>
          <w:szCs w:val="24"/>
          <w:highlight w:val="none"/>
        </w:rPr>
        <w:t>提供的有关供货现场的资料和数据，是采购人现有的能使投标人利用的资料。采购人对投标</w:t>
      </w:r>
      <w:r>
        <w:rPr>
          <w:rFonts w:hint="eastAsia" w:ascii="仿宋" w:hAnsi="仿宋" w:eastAsia="仿宋" w:cs="仿宋"/>
          <w:color w:val="auto"/>
          <w:spacing w:val="-2"/>
          <w:sz w:val="24"/>
          <w:szCs w:val="24"/>
          <w:highlight w:val="none"/>
        </w:rPr>
        <w:t>人由此而做出的推论、理解和结论概不负责。投标人未到供货现场实地踏勘的，</w:t>
      </w:r>
      <w:r>
        <w:rPr>
          <w:rFonts w:hint="eastAsia" w:ascii="仿宋" w:hAnsi="仿宋" w:eastAsia="仿宋" w:cs="仿宋"/>
          <w:color w:val="auto"/>
          <w:spacing w:val="-3"/>
          <w:sz w:val="24"/>
          <w:szCs w:val="24"/>
          <w:highlight w:val="none"/>
        </w:rPr>
        <w:t>中标后签订合同时和履约过程中，不得以不完全了解现场情况为由，提出任何形</w:t>
      </w:r>
      <w:r>
        <w:rPr>
          <w:rFonts w:hint="eastAsia" w:ascii="仿宋" w:hAnsi="仿宋" w:eastAsia="仿宋" w:cs="仿宋"/>
          <w:color w:val="auto"/>
          <w:spacing w:val="-1"/>
          <w:sz w:val="24"/>
          <w:szCs w:val="24"/>
          <w:highlight w:val="none"/>
        </w:rPr>
        <w:t>式的增加合同价款或索赔的要求。</w:t>
      </w:r>
    </w:p>
    <w:p w14:paraId="0C87A4E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8.3除非有特殊要求，招标文件不单独提供供</w:t>
      </w:r>
      <w:r>
        <w:rPr>
          <w:rFonts w:hint="eastAsia" w:ascii="仿宋" w:hAnsi="仿宋" w:eastAsia="仿宋" w:cs="仿宋"/>
          <w:color w:val="auto"/>
          <w:spacing w:val="-3"/>
          <w:sz w:val="24"/>
          <w:szCs w:val="24"/>
          <w:highlight w:val="none"/>
        </w:rPr>
        <w:t>货使用地的自然环境、气候条</w:t>
      </w:r>
      <w:r>
        <w:rPr>
          <w:rFonts w:hint="eastAsia" w:ascii="仿宋" w:hAnsi="仿宋" w:eastAsia="仿宋" w:cs="仿宋"/>
          <w:color w:val="auto"/>
          <w:sz w:val="24"/>
          <w:szCs w:val="24"/>
          <w:highlight w:val="none"/>
        </w:rPr>
        <w:t>件、公用设施等情况，投标人被视为熟悉上述与履行合同</w:t>
      </w:r>
      <w:r>
        <w:rPr>
          <w:rFonts w:hint="eastAsia" w:ascii="仿宋" w:hAnsi="仿宋" w:eastAsia="仿宋" w:cs="仿宋"/>
          <w:color w:val="auto"/>
          <w:spacing w:val="-1"/>
          <w:sz w:val="24"/>
          <w:szCs w:val="24"/>
          <w:highlight w:val="none"/>
        </w:rPr>
        <w:t>有关的一切情况。</w:t>
      </w:r>
    </w:p>
    <w:p w14:paraId="70D9432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8.4除采购人原因外，投标人自行负责在踏勘</w:t>
      </w:r>
      <w:r>
        <w:rPr>
          <w:rFonts w:hint="eastAsia" w:ascii="仿宋" w:hAnsi="仿宋" w:eastAsia="仿宋" w:cs="仿宋"/>
          <w:color w:val="auto"/>
          <w:spacing w:val="-3"/>
          <w:sz w:val="24"/>
          <w:szCs w:val="24"/>
          <w:highlight w:val="none"/>
        </w:rPr>
        <w:t>现场中所发生的人员伤亡和财产损失。</w:t>
      </w:r>
    </w:p>
    <w:p w14:paraId="6FBD1AE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9.知识产权</w:t>
      </w:r>
    </w:p>
    <w:p w14:paraId="1B4AEDF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9.1投标人须保证，采购人在中华人民共和国境内使用投标货物、资料、技</w:t>
      </w:r>
      <w:r>
        <w:rPr>
          <w:rFonts w:hint="eastAsia" w:ascii="仿宋" w:hAnsi="仿宋" w:eastAsia="仿宋" w:cs="仿宋"/>
          <w:color w:val="auto"/>
          <w:spacing w:val="-3"/>
          <w:sz w:val="24"/>
          <w:szCs w:val="24"/>
          <w:highlight w:val="none"/>
        </w:rPr>
        <w:t>术、服务或其任何一部分时，享有不受限制的无偿使用权，不会产生因第三方提出侵犯其专利权、商标权或</w:t>
      </w:r>
      <w:r>
        <w:rPr>
          <w:rFonts w:hint="eastAsia" w:cs="仿宋"/>
          <w:color w:val="auto"/>
          <w:spacing w:val="-3"/>
          <w:sz w:val="24"/>
          <w:szCs w:val="24"/>
          <w:highlight w:val="none"/>
          <w:lang w:eastAsia="zh-CN"/>
        </w:rPr>
        <w:t>其他</w:t>
      </w:r>
      <w:r>
        <w:rPr>
          <w:rFonts w:hint="eastAsia" w:ascii="仿宋" w:hAnsi="仿宋" w:eastAsia="仿宋" w:cs="仿宋"/>
          <w:color w:val="auto"/>
          <w:spacing w:val="-3"/>
          <w:sz w:val="24"/>
          <w:szCs w:val="24"/>
          <w:highlight w:val="none"/>
        </w:rPr>
        <w:t>知识产权而引起的法律或经济纠纷。如投标人不拥有相应的知识产权，则在投标报价中必须包括合法获取该知识产权的一切相关</w:t>
      </w:r>
      <w:r>
        <w:rPr>
          <w:rFonts w:hint="eastAsia" w:ascii="仿宋" w:hAnsi="仿宋" w:eastAsia="仿宋" w:cs="仿宋"/>
          <w:color w:val="auto"/>
          <w:spacing w:val="-1"/>
          <w:sz w:val="24"/>
          <w:szCs w:val="24"/>
          <w:highlight w:val="none"/>
        </w:rPr>
        <w:t>费用。如因此导致采购人损失的，投标人须承担全部赔偿责任。</w:t>
      </w:r>
    </w:p>
    <w:p w14:paraId="0941D7E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0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9.2投标人如欲在项目实施过程中采用自有知识成果，须在投标文件中声</w:t>
      </w:r>
      <w:r>
        <w:rPr>
          <w:rFonts w:hint="eastAsia" w:ascii="仿宋" w:hAnsi="仿宋" w:eastAsia="仿宋" w:cs="仿宋"/>
          <w:color w:val="auto"/>
          <w:spacing w:val="-5"/>
          <w:sz w:val="24"/>
          <w:szCs w:val="24"/>
          <w:highlight w:val="none"/>
        </w:rPr>
        <w:t>明，并提供相关知识产权证明文件。使用该知识成果后，投标人须提供开发接口</w:t>
      </w:r>
      <w:r>
        <w:rPr>
          <w:rFonts w:hint="eastAsia" w:ascii="仿宋" w:hAnsi="仿宋" w:eastAsia="仿宋" w:cs="仿宋"/>
          <w:color w:val="auto"/>
          <w:spacing w:val="-2"/>
          <w:sz w:val="24"/>
          <w:szCs w:val="24"/>
          <w:highlight w:val="none"/>
        </w:rPr>
        <w:t>和开发手册等技术文档。</w:t>
      </w:r>
    </w:p>
    <w:p w14:paraId="47B2D541">
      <w:pPr>
        <w:pStyle w:val="6"/>
        <w:shd w:val="clear"/>
        <w:bidi w:val="0"/>
        <w:rPr>
          <w:rFonts w:hint="eastAsia"/>
          <w:color w:val="auto"/>
          <w:highlight w:val="none"/>
        </w:rPr>
      </w:pPr>
      <w:r>
        <w:rPr>
          <w:rFonts w:hint="eastAsia"/>
          <w:color w:val="auto"/>
          <w:highlight w:val="none"/>
        </w:rPr>
        <w:t>三、投标文件</w:t>
      </w:r>
    </w:p>
    <w:p w14:paraId="19A77D6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outlineLvl w:val="3"/>
        <w:rPr>
          <w:rFonts w:hint="eastAsia" w:ascii="仿宋" w:hAnsi="仿宋" w:eastAsia="仿宋" w:cs="仿宋"/>
          <w:b/>
          <w:bCs/>
          <w:color w:val="auto"/>
          <w:spacing w:val="-4"/>
          <w:sz w:val="24"/>
          <w:szCs w:val="24"/>
          <w:highlight w:val="none"/>
        </w:rPr>
      </w:pPr>
      <w:r>
        <w:rPr>
          <w:rFonts w:hint="eastAsia" w:ascii="仿宋" w:hAnsi="仿宋" w:eastAsia="仿宋" w:cs="仿宋"/>
          <w:b/>
          <w:bCs/>
          <w:color w:val="auto"/>
          <w:spacing w:val="-4"/>
          <w:sz w:val="24"/>
          <w:szCs w:val="24"/>
          <w:highlight w:val="none"/>
        </w:rPr>
        <w:t>10.投标文件的语言及计量单位</w:t>
      </w:r>
    </w:p>
    <w:p w14:paraId="0DE61E4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10.1投标人提交的投标文件（包括相关资料、附件）以及投</w:t>
      </w:r>
      <w:r>
        <w:rPr>
          <w:rFonts w:hint="eastAsia" w:ascii="仿宋" w:hAnsi="仿宋" w:eastAsia="仿宋" w:cs="仿宋"/>
          <w:color w:val="auto"/>
          <w:spacing w:val="-1"/>
          <w:sz w:val="24"/>
          <w:szCs w:val="24"/>
          <w:highlight w:val="none"/>
        </w:rPr>
        <w:t>标人与采购代理机构就有关投标的所有来往函电均应使用中文简体字。</w:t>
      </w:r>
    </w:p>
    <w:p w14:paraId="608A1DD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10.2原版为外文的证书类文件，以及由外国人作出的本人</w:t>
      </w:r>
      <w:r>
        <w:rPr>
          <w:rFonts w:hint="eastAsia" w:ascii="仿宋" w:hAnsi="仿宋" w:eastAsia="仿宋" w:cs="仿宋"/>
          <w:color w:val="auto"/>
          <w:spacing w:val="-1"/>
          <w:sz w:val="24"/>
          <w:szCs w:val="24"/>
          <w:highlight w:val="none"/>
        </w:rPr>
        <w:t>签名、外国公司</w:t>
      </w:r>
      <w:r>
        <w:rPr>
          <w:rFonts w:hint="eastAsia" w:ascii="仿宋" w:hAnsi="仿宋" w:eastAsia="仿宋" w:cs="仿宋"/>
          <w:color w:val="auto"/>
          <w:spacing w:val="-2"/>
          <w:sz w:val="24"/>
          <w:szCs w:val="24"/>
          <w:highlight w:val="none"/>
        </w:rPr>
        <w:t>的名称或外国印章等可以是外文，但应当提供中文翻译文件并加盖投标人公章。</w:t>
      </w:r>
      <w:r>
        <w:rPr>
          <w:rFonts w:hint="eastAsia" w:ascii="仿宋" w:hAnsi="仿宋" w:eastAsia="仿宋" w:cs="仿宋"/>
          <w:color w:val="auto"/>
          <w:spacing w:val="4"/>
          <w:sz w:val="24"/>
          <w:szCs w:val="24"/>
          <w:highlight w:val="none"/>
        </w:rPr>
        <w:t>必要时评标委员会可以要求投标人提供附有公证书的中文翻译文件或者与原版</w:t>
      </w:r>
      <w:r>
        <w:rPr>
          <w:rFonts w:hint="eastAsia" w:ascii="仿宋" w:hAnsi="仿宋" w:eastAsia="仿宋" w:cs="仿宋"/>
          <w:color w:val="auto"/>
          <w:spacing w:val="-3"/>
          <w:sz w:val="24"/>
          <w:szCs w:val="24"/>
          <w:highlight w:val="none"/>
        </w:rPr>
        <w:t>文件签章相一致的中文翻译文件。原版为外文的证书类、证明类文件，与投标人</w:t>
      </w:r>
      <w:r>
        <w:rPr>
          <w:rFonts w:hint="eastAsia" w:ascii="仿宋" w:hAnsi="仿宋" w:eastAsia="仿宋" w:cs="仿宋"/>
          <w:color w:val="auto"/>
          <w:sz w:val="24"/>
          <w:szCs w:val="24"/>
          <w:highlight w:val="none"/>
        </w:rPr>
        <w:t>名称或其他实际情况不符的，投标人应当提供</w:t>
      </w:r>
      <w:r>
        <w:rPr>
          <w:rFonts w:hint="eastAsia" w:ascii="仿宋" w:hAnsi="仿宋" w:eastAsia="仿宋" w:cs="仿宋"/>
          <w:color w:val="auto"/>
          <w:spacing w:val="-1"/>
          <w:sz w:val="24"/>
          <w:szCs w:val="24"/>
          <w:highlight w:val="none"/>
        </w:rPr>
        <w:t>相关证明文件。</w:t>
      </w:r>
    </w:p>
    <w:p w14:paraId="670F4A2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10.3除非招标文件另有规定，投标文件所使用的计量单位，应使用国家法</w:t>
      </w:r>
      <w:r>
        <w:rPr>
          <w:rFonts w:hint="eastAsia" w:ascii="仿宋" w:hAnsi="仿宋" w:eastAsia="仿宋" w:cs="仿宋"/>
          <w:color w:val="auto"/>
          <w:spacing w:val="-3"/>
          <w:sz w:val="24"/>
          <w:szCs w:val="24"/>
          <w:highlight w:val="none"/>
        </w:rPr>
        <w:t>定计量单位。</w:t>
      </w:r>
    </w:p>
    <w:p w14:paraId="7C80B54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10.4对违反上述规定情形的，评标委员会有权要求投标人限期提供相应文</w:t>
      </w:r>
      <w:r>
        <w:rPr>
          <w:rFonts w:hint="eastAsia" w:ascii="仿宋" w:hAnsi="仿宋" w:eastAsia="仿宋" w:cs="仿宋"/>
          <w:color w:val="auto"/>
          <w:spacing w:val="-1"/>
          <w:sz w:val="24"/>
          <w:szCs w:val="24"/>
          <w:highlight w:val="none"/>
        </w:rPr>
        <w:t>件或决定对其投标予以拒绝。</w:t>
      </w:r>
    </w:p>
    <w:p w14:paraId="038F28C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10.5电报、电话、传真形式的投标概不接</w:t>
      </w:r>
      <w:r>
        <w:rPr>
          <w:rFonts w:hint="eastAsia" w:ascii="仿宋" w:hAnsi="仿宋" w:eastAsia="仿宋" w:cs="仿宋"/>
          <w:color w:val="auto"/>
          <w:sz w:val="24"/>
          <w:szCs w:val="24"/>
          <w:highlight w:val="none"/>
        </w:rPr>
        <w:t>受。投标人的投标文件一律不予</w:t>
      </w:r>
      <w:r>
        <w:rPr>
          <w:rFonts w:hint="eastAsia" w:ascii="仿宋" w:hAnsi="仿宋" w:eastAsia="仿宋" w:cs="仿宋"/>
          <w:color w:val="auto"/>
          <w:spacing w:val="-5"/>
          <w:sz w:val="24"/>
          <w:szCs w:val="24"/>
          <w:highlight w:val="none"/>
        </w:rPr>
        <w:t>退还。</w:t>
      </w:r>
    </w:p>
    <w:p w14:paraId="271AE98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11.投标文件组成及编制</w:t>
      </w:r>
    </w:p>
    <w:p w14:paraId="1BA0925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11.1投标人应按照招标文件的要求编制投标文件，并保证其真实性、准确</w:t>
      </w:r>
      <w:r>
        <w:rPr>
          <w:rFonts w:hint="eastAsia" w:ascii="仿宋" w:hAnsi="仿宋" w:eastAsia="仿宋" w:cs="仿宋"/>
          <w:color w:val="auto"/>
          <w:spacing w:val="-1"/>
          <w:sz w:val="24"/>
          <w:szCs w:val="24"/>
          <w:highlight w:val="none"/>
        </w:rPr>
        <w:t>性以及完整性，按照招标文件要求提交全部资料并做出实质性投标。</w:t>
      </w:r>
    </w:p>
    <w:p w14:paraId="7FD3029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11.2投标文件由资格审查文件、符合性审查、商务部分、技术部</w:t>
      </w:r>
      <w:r>
        <w:rPr>
          <w:rFonts w:hint="eastAsia" w:ascii="仿宋" w:hAnsi="仿宋" w:eastAsia="仿宋" w:cs="仿宋"/>
          <w:color w:val="auto"/>
          <w:spacing w:val="-2"/>
          <w:sz w:val="24"/>
          <w:szCs w:val="24"/>
          <w:highlight w:val="none"/>
        </w:rPr>
        <w:t>分组成：</w:t>
      </w:r>
    </w:p>
    <w:p w14:paraId="21DC1BEE">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1"/>
          <w:sz w:val="24"/>
          <w:szCs w:val="24"/>
          <w:highlight w:val="none"/>
          <w:lang w:eastAsia="zh-CN"/>
        </w:rPr>
      </w:pPr>
      <w:r>
        <w:rPr>
          <w:rFonts w:hint="eastAsia" w:ascii="仿宋" w:hAnsi="仿宋" w:eastAsia="仿宋" w:cs="仿宋"/>
          <w:color w:val="auto"/>
          <w:spacing w:val="-3"/>
          <w:sz w:val="24"/>
          <w:szCs w:val="24"/>
          <w:highlight w:val="none"/>
        </w:rPr>
        <w:t>详见详见第六章投标文件格式。</w:t>
      </w:r>
    </w:p>
    <w:p w14:paraId="776D546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12.电子投标文件的编制</w:t>
      </w:r>
    </w:p>
    <w:p w14:paraId="285BE2F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12.1电子投标文件使用新疆政府采购网提</w:t>
      </w:r>
      <w:r>
        <w:rPr>
          <w:rFonts w:hint="eastAsia" w:ascii="仿宋" w:hAnsi="仿宋" w:eastAsia="仿宋" w:cs="仿宋"/>
          <w:color w:val="auto"/>
          <w:sz w:val="24"/>
          <w:szCs w:val="24"/>
          <w:highlight w:val="none"/>
        </w:rPr>
        <w:t>供的投标文件制作工具以及招标</w:t>
      </w:r>
      <w:r>
        <w:rPr>
          <w:rFonts w:hint="eastAsia" w:ascii="仿宋" w:hAnsi="仿宋" w:eastAsia="仿宋" w:cs="仿宋"/>
          <w:color w:val="auto"/>
          <w:spacing w:val="-3"/>
          <w:sz w:val="24"/>
          <w:szCs w:val="24"/>
          <w:highlight w:val="none"/>
        </w:rPr>
        <w:t>文件要求进行制作编制。投标文件制作时，不同内容按标签提示制作导入</w:t>
      </w:r>
      <w:r>
        <w:rPr>
          <w:rFonts w:hint="eastAsia" w:ascii="仿宋" w:hAnsi="仿宋" w:eastAsia="仿宋" w:cs="仿宋"/>
          <w:color w:val="auto"/>
          <w:spacing w:val="-4"/>
          <w:sz w:val="24"/>
          <w:szCs w:val="24"/>
          <w:highlight w:val="none"/>
        </w:rPr>
        <w:t>，按照</w:t>
      </w:r>
      <w:r>
        <w:rPr>
          <w:rFonts w:hint="eastAsia" w:ascii="仿宋" w:hAnsi="仿宋" w:eastAsia="仿宋" w:cs="仿宋"/>
          <w:color w:val="auto"/>
          <w:spacing w:val="-2"/>
          <w:sz w:val="24"/>
          <w:szCs w:val="24"/>
          <w:highlight w:val="none"/>
        </w:rPr>
        <w:t>招标文件中明确的投标文件目录和格式进行编制，保证目录清晰、内容完整。</w:t>
      </w:r>
    </w:p>
    <w:p w14:paraId="4C7AD44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12.2电子投标文件须使用投标人公章的电</w:t>
      </w:r>
      <w:r>
        <w:rPr>
          <w:rFonts w:hint="eastAsia" w:ascii="仿宋" w:hAnsi="仿宋" w:eastAsia="仿宋" w:cs="仿宋"/>
          <w:color w:val="auto"/>
          <w:sz w:val="24"/>
          <w:szCs w:val="24"/>
          <w:highlight w:val="none"/>
        </w:rPr>
        <w:t>子签章以及法定代表人的电子签</w:t>
      </w:r>
      <w:r>
        <w:rPr>
          <w:rFonts w:hint="eastAsia" w:ascii="仿宋" w:hAnsi="仿宋" w:eastAsia="仿宋" w:cs="仿宋"/>
          <w:color w:val="auto"/>
          <w:spacing w:val="-1"/>
          <w:sz w:val="24"/>
          <w:szCs w:val="24"/>
          <w:highlight w:val="none"/>
        </w:rPr>
        <w:t>章。若无电子签章，则视为无效投标。</w:t>
      </w:r>
    </w:p>
    <w:p w14:paraId="046776E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12.3电子招投标文件具有法律效力，与其</w:t>
      </w:r>
      <w:r>
        <w:rPr>
          <w:rFonts w:hint="eastAsia" w:ascii="仿宋" w:hAnsi="仿宋" w:eastAsia="仿宋" w:cs="仿宋"/>
          <w:color w:val="auto"/>
          <w:sz w:val="24"/>
          <w:szCs w:val="24"/>
          <w:highlight w:val="none"/>
        </w:rPr>
        <w:t>他形式的招投标文件在内容和格</w:t>
      </w:r>
      <w:r>
        <w:rPr>
          <w:rFonts w:hint="eastAsia" w:ascii="仿宋" w:hAnsi="仿宋" w:eastAsia="仿宋" w:cs="仿宋"/>
          <w:color w:val="auto"/>
          <w:spacing w:val="-3"/>
          <w:sz w:val="24"/>
          <w:szCs w:val="24"/>
          <w:highlight w:val="none"/>
        </w:rPr>
        <w:t>式上等同，若投标文件与招标文件要求不一致，其内容影响中标结果时，责</w:t>
      </w:r>
      <w:r>
        <w:rPr>
          <w:rFonts w:hint="eastAsia" w:ascii="仿宋" w:hAnsi="仿宋" w:eastAsia="仿宋" w:cs="仿宋"/>
          <w:color w:val="auto"/>
          <w:spacing w:val="-4"/>
          <w:sz w:val="24"/>
          <w:szCs w:val="24"/>
          <w:highlight w:val="none"/>
        </w:rPr>
        <w:t>任由</w:t>
      </w:r>
      <w:r>
        <w:rPr>
          <w:rFonts w:hint="eastAsia" w:ascii="仿宋" w:hAnsi="仿宋" w:eastAsia="仿宋" w:cs="仿宋"/>
          <w:color w:val="auto"/>
          <w:spacing w:val="-3"/>
          <w:sz w:val="24"/>
          <w:szCs w:val="24"/>
          <w:highlight w:val="none"/>
        </w:rPr>
        <w:t>投标人自行承担。投标人递交的电子投标文件因投标人自身原因而导致无法</w:t>
      </w:r>
      <w:r>
        <w:rPr>
          <w:rFonts w:hint="eastAsia" w:ascii="仿宋" w:hAnsi="仿宋" w:eastAsia="仿宋" w:cs="仿宋"/>
          <w:color w:val="auto"/>
          <w:spacing w:val="-4"/>
          <w:sz w:val="24"/>
          <w:szCs w:val="24"/>
          <w:highlight w:val="none"/>
        </w:rPr>
        <w:t>导入</w:t>
      </w:r>
      <w:r>
        <w:rPr>
          <w:rFonts w:hint="eastAsia" w:ascii="仿宋" w:hAnsi="仿宋" w:eastAsia="仿宋" w:cs="仿宋"/>
          <w:color w:val="auto"/>
          <w:sz w:val="24"/>
          <w:szCs w:val="24"/>
          <w:highlight w:val="none"/>
        </w:rPr>
        <w:t>电子辅助评标系统，该投标文件视为无效投</w:t>
      </w:r>
      <w:r>
        <w:rPr>
          <w:rFonts w:hint="eastAsia" w:ascii="仿宋" w:hAnsi="仿宋" w:eastAsia="仿宋" w:cs="仿宋"/>
          <w:color w:val="auto"/>
          <w:spacing w:val="-1"/>
          <w:sz w:val="24"/>
          <w:szCs w:val="24"/>
          <w:highlight w:val="none"/>
        </w:rPr>
        <w:t>标文件，将导致其投标被拒绝。</w:t>
      </w:r>
    </w:p>
    <w:p w14:paraId="5FD138B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13.投标报价</w:t>
      </w:r>
    </w:p>
    <w:p w14:paraId="34F094A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13.1投标报价的范围：见投标人须知前附表。</w:t>
      </w:r>
    </w:p>
    <w:p w14:paraId="055D854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13.2投标人应对所投包中的服务进行报价，对每一项服务的报价必须全部</w:t>
      </w:r>
      <w:r>
        <w:rPr>
          <w:rFonts w:hint="eastAsia" w:ascii="仿宋" w:hAnsi="仿宋" w:eastAsia="仿宋" w:cs="仿宋"/>
          <w:color w:val="auto"/>
          <w:spacing w:val="-6"/>
          <w:sz w:val="24"/>
          <w:szCs w:val="24"/>
          <w:highlight w:val="none"/>
        </w:rPr>
        <w:t>报齐。</w:t>
      </w:r>
    </w:p>
    <w:p w14:paraId="61ABFA1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13.3投标报价的次数：见投标人须知前附表。</w:t>
      </w:r>
    </w:p>
    <w:p w14:paraId="72469CB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13.4投标人不得以任何方式或者方法提供投标以外的任</w:t>
      </w:r>
      <w:r>
        <w:rPr>
          <w:rFonts w:hint="eastAsia" w:ascii="仿宋" w:hAnsi="仿宋" w:eastAsia="仿宋" w:cs="仿宋"/>
          <w:color w:val="auto"/>
          <w:spacing w:val="-2"/>
          <w:sz w:val="24"/>
          <w:szCs w:val="24"/>
          <w:highlight w:val="none"/>
        </w:rPr>
        <w:t>何附赠条款。</w:t>
      </w:r>
    </w:p>
    <w:p w14:paraId="23B5C17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13.5投标人应按照招标文件中要求的内容填写报价，并由法定代表人或者</w:t>
      </w:r>
      <w:r>
        <w:rPr>
          <w:rFonts w:hint="eastAsia" w:ascii="仿宋" w:hAnsi="仿宋" w:eastAsia="仿宋" w:cs="仿宋"/>
          <w:color w:val="auto"/>
          <w:spacing w:val="-2"/>
          <w:sz w:val="24"/>
          <w:szCs w:val="24"/>
          <w:highlight w:val="none"/>
        </w:rPr>
        <w:t>授权代表签署。</w:t>
      </w:r>
    </w:p>
    <w:p w14:paraId="13665FA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13.6投标人须按照附件格式表中的各单项明细逐项填写，以方便</w:t>
      </w:r>
      <w:r>
        <w:rPr>
          <w:rFonts w:hint="eastAsia" w:ascii="仿宋" w:hAnsi="仿宋" w:eastAsia="仿宋" w:cs="仿宋"/>
          <w:color w:val="auto"/>
          <w:spacing w:val="-1"/>
          <w:sz w:val="24"/>
          <w:szCs w:val="24"/>
          <w:highlight w:val="none"/>
        </w:rPr>
        <w:t>评标委员</w:t>
      </w:r>
      <w:r>
        <w:rPr>
          <w:rFonts w:hint="eastAsia" w:ascii="仿宋" w:hAnsi="仿宋" w:eastAsia="仿宋" w:cs="仿宋"/>
          <w:color w:val="auto"/>
          <w:spacing w:val="-2"/>
          <w:sz w:val="24"/>
          <w:szCs w:val="24"/>
          <w:highlight w:val="none"/>
        </w:rPr>
        <w:t>会对各投标文件进行比较。</w:t>
      </w:r>
    </w:p>
    <w:p w14:paraId="2062CDF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13.7投标文件报价出现前后不一致的，除招标文件另有规定外，视其投标</w:t>
      </w:r>
      <w:r>
        <w:rPr>
          <w:rFonts w:hint="eastAsia" w:ascii="仿宋" w:hAnsi="仿宋" w:eastAsia="仿宋" w:cs="仿宋"/>
          <w:color w:val="auto"/>
          <w:spacing w:val="-6"/>
          <w:sz w:val="24"/>
          <w:szCs w:val="24"/>
          <w:highlight w:val="none"/>
        </w:rPr>
        <w:t>无效。</w:t>
      </w:r>
    </w:p>
    <w:p w14:paraId="5B33121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13.8唱标时，采购代理机构只对按照招标文件要求编制的投标报价进行唱</w:t>
      </w:r>
      <w:r>
        <w:rPr>
          <w:rFonts w:hint="eastAsia" w:ascii="仿宋" w:hAnsi="仿宋" w:eastAsia="仿宋" w:cs="仿宋"/>
          <w:color w:val="auto"/>
          <w:spacing w:val="-4"/>
          <w:sz w:val="24"/>
          <w:szCs w:val="24"/>
          <w:highlight w:val="none"/>
        </w:rPr>
        <w:t>标。</w:t>
      </w:r>
    </w:p>
    <w:p w14:paraId="1E50FC2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13.9投标人的中标价格在合同执行中是固定不变的，不得以任何理由予以</w:t>
      </w:r>
      <w:r>
        <w:rPr>
          <w:rFonts w:hint="eastAsia" w:ascii="仿宋" w:hAnsi="仿宋" w:eastAsia="仿宋" w:cs="仿宋"/>
          <w:color w:val="auto"/>
          <w:spacing w:val="-2"/>
          <w:sz w:val="24"/>
          <w:szCs w:val="24"/>
          <w:highlight w:val="none"/>
        </w:rPr>
        <w:t>变更，不得出现任何包含价格调整的要求。</w:t>
      </w:r>
    </w:p>
    <w:p w14:paraId="1A29FA8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13.10所有投标报价均以人民币元为计算单位。只要投报了一个确定数额的</w:t>
      </w:r>
      <w:r>
        <w:rPr>
          <w:rFonts w:hint="eastAsia" w:ascii="仿宋" w:hAnsi="仿宋" w:eastAsia="仿宋" w:cs="仿宋"/>
          <w:color w:val="auto"/>
          <w:spacing w:val="-3"/>
          <w:sz w:val="24"/>
          <w:szCs w:val="24"/>
          <w:highlight w:val="none"/>
        </w:rPr>
        <w:t>总价，无论分项价格是否全部填报了相应的金额或免费字样，报价应被视为已经包含了但并不限于各项购买货物及其运送、安装、调试、验收、保险和相关服务等的费用和所需缴纳的所有价格、税、费。在其他情况下，由于分项报价填报不完整、不清楚或存在其他任何失误，所导致的任何不利后果均应当由投标人自行</w:t>
      </w:r>
      <w:r>
        <w:rPr>
          <w:rFonts w:hint="eastAsia" w:ascii="仿宋" w:hAnsi="仿宋" w:eastAsia="仿宋" w:cs="仿宋"/>
          <w:color w:val="auto"/>
          <w:spacing w:val="-1"/>
          <w:sz w:val="24"/>
          <w:szCs w:val="24"/>
          <w:highlight w:val="none"/>
        </w:rPr>
        <w:t>承担。</w:t>
      </w:r>
    </w:p>
    <w:p w14:paraId="322C91A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13.1</w:t>
      </w:r>
      <w:r>
        <w:rPr>
          <w:rFonts w:hint="eastAsia" w:cs="仿宋"/>
          <w:color w:val="auto"/>
          <w:spacing w:val="-2"/>
          <w:sz w:val="24"/>
          <w:szCs w:val="24"/>
          <w:highlight w:val="none"/>
          <w:lang w:val="en-US" w:eastAsia="zh-CN"/>
        </w:rPr>
        <w:t>1</w:t>
      </w:r>
      <w:r>
        <w:rPr>
          <w:rFonts w:hint="eastAsia" w:ascii="仿宋" w:hAnsi="仿宋" w:eastAsia="仿宋" w:cs="仿宋"/>
          <w:color w:val="auto"/>
          <w:spacing w:val="-2"/>
          <w:sz w:val="24"/>
          <w:szCs w:val="24"/>
          <w:highlight w:val="none"/>
        </w:rPr>
        <w:t>不接受可选择或可调整的投标方案和报价，任何有选择的或</w:t>
      </w:r>
      <w:r>
        <w:rPr>
          <w:rFonts w:hint="eastAsia" w:ascii="仿宋" w:hAnsi="仿宋" w:eastAsia="仿宋" w:cs="仿宋"/>
          <w:color w:val="auto"/>
          <w:spacing w:val="-3"/>
          <w:sz w:val="24"/>
          <w:szCs w:val="24"/>
          <w:highlight w:val="none"/>
        </w:rPr>
        <w:t>可调整的</w:t>
      </w:r>
      <w:r>
        <w:rPr>
          <w:rFonts w:hint="eastAsia" w:ascii="仿宋" w:hAnsi="仿宋" w:eastAsia="仿宋" w:cs="仿宋"/>
          <w:color w:val="auto"/>
          <w:spacing w:val="-1"/>
          <w:sz w:val="24"/>
          <w:szCs w:val="24"/>
          <w:highlight w:val="none"/>
        </w:rPr>
        <w:t>投标方案和报价将被视为非投标性投标而被拒绝。</w:t>
      </w:r>
    </w:p>
    <w:p w14:paraId="659CDFA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9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13.1</w:t>
      </w:r>
      <w:r>
        <w:rPr>
          <w:rFonts w:hint="eastAsia" w:cs="仿宋"/>
          <w:color w:val="auto"/>
          <w:spacing w:val="4"/>
          <w:sz w:val="24"/>
          <w:szCs w:val="24"/>
          <w:highlight w:val="none"/>
          <w:lang w:val="en-US" w:eastAsia="zh-CN"/>
        </w:rPr>
        <w:t>2</w:t>
      </w:r>
      <w:r>
        <w:rPr>
          <w:rFonts w:hint="eastAsia" w:ascii="仿宋" w:hAnsi="仿宋" w:eastAsia="仿宋" w:cs="仿宋"/>
          <w:color w:val="auto"/>
          <w:spacing w:val="4"/>
          <w:sz w:val="24"/>
          <w:szCs w:val="24"/>
          <w:highlight w:val="none"/>
        </w:rPr>
        <w:t>本项目是否接受进口产品按照招标</w:t>
      </w:r>
      <w:r>
        <w:rPr>
          <w:rFonts w:hint="eastAsia" w:ascii="仿宋" w:hAnsi="仿宋" w:eastAsia="仿宋" w:cs="仿宋"/>
          <w:color w:val="auto"/>
          <w:spacing w:val="3"/>
          <w:sz w:val="24"/>
          <w:szCs w:val="24"/>
          <w:highlight w:val="none"/>
        </w:rPr>
        <w:t>文件第二章“投标人须知前附表</w:t>
      </w:r>
      <w:r>
        <w:rPr>
          <w:rFonts w:hint="eastAsia" w:ascii="仿宋" w:hAnsi="仿宋" w:eastAsia="仿宋" w:cs="仿宋"/>
          <w:color w:val="auto"/>
          <w:spacing w:val="-6"/>
          <w:sz w:val="24"/>
          <w:szCs w:val="24"/>
          <w:highlight w:val="none"/>
        </w:rPr>
        <w:t>中”中的规定执行。</w:t>
      </w:r>
    </w:p>
    <w:p w14:paraId="529DEF0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13.1</w:t>
      </w:r>
      <w:r>
        <w:rPr>
          <w:rFonts w:hint="eastAsia" w:cs="仿宋"/>
          <w:color w:val="auto"/>
          <w:spacing w:val="-2"/>
          <w:sz w:val="24"/>
          <w:szCs w:val="24"/>
          <w:highlight w:val="none"/>
          <w:lang w:val="en-US" w:eastAsia="zh-CN"/>
        </w:rPr>
        <w:t>3</w:t>
      </w:r>
      <w:r>
        <w:rPr>
          <w:rFonts w:hint="eastAsia" w:ascii="仿宋" w:hAnsi="仿宋" w:eastAsia="仿宋" w:cs="仿宋"/>
          <w:color w:val="auto"/>
          <w:spacing w:val="-2"/>
          <w:sz w:val="24"/>
          <w:szCs w:val="24"/>
          <w:highlight w:val="none"/>
        </w:rPr>
        <w:t>本项目是否允许投标人将项目的非主体、非关键性工作交由他人完成</w:t>
      </w:r>
      <w:r>
        <w:rPr>
          <w:rFonts w:hint="eastAsia" w:ascii="仿宋" w:hAnsi="仿宋" w:eastAsia="仿宋" w:cs="仿宋"/>
          <w:color w:val="auto"/>
          <w:spacing w:val="-4"/>
          <w:sz w:val="24"/>
          <w:szCs w:val="24"/>
          <w:highlight w:val="none"/>
        </w:rPr>
        <w:t>按照招标文件第二章“投标人须知前附表”中的规定。</w:t>
      </w:r>
    </w:p>
    <w:p w14:paraId="32D3C6C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0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13.1</w:t>
      </w:r>
      <w:r>
        <w:rPr>
          <w:rFonts w:hint="eastAsia" w:cs="仿宋"/>
          <w:color w:val="auto"/>
          <w:spacing w:val="5"/>
          <w:sz w:val="24"/>
          <w:szCs w:val="24"/>
          <w:highlight w:val="none"/>
          <w:lang w:val="en-US" w:eastAsia="zh-CN"/>
        </w:rPr>
        <w:t>4</w:t>
      </w:r>
      <w:r>
        <w:rPr>
          <w:rFonts w:hint="eastAsia" w:ascii="仿宋" w:hAnsi="仿宋" w:eastAsia="仿宋" w:cs="仿宋"/>
          <w:color w:val="auto"/>
          <w:spacing w:val="5"/>
          <w:sz w:val="24"/>
          <w:szCs w:val="24"/>
          <w:highlight w:val="none"/>
        </w:rPr>
        <w:t>投标人须严格按照报价明细表规定的内容填写</w:t>
      </w:r>
      <w:r>
        <w:rPr>
          <w:rFonts w:hint="eastAsia" w:ascii="仿宋" w:hAnsi="仿宋" w:eastAsia="仿宋" w:cs="仿宋"/>
          <w:color w:val="auto"/>
          <w:spacing w:val="4"/>
          <w:sz w:val="24"/>
          <w:szCs w:val="24"/>
          <w:highlight w:val="none"/>
        </w:rPr>
        <w:t>货物单价以及其他事</w:t>
      </w:r>
      <w:r>
        <w:rPr>
          <w:rFonts w:hint="eastAsia" w:ascii="仿宋" w:hAnsi="仿宋" w:eastAsia="仿宋" w:cs="仿宋"/>
          <w:color w:val="auto"/>
          <w:spacing w:val="-7"/>
          <w:sz w:val="24"/>
          <w:szCs w:val="24"/>
          <w:highlight w:val="none"/>
        </w:rPr>
        <w:t>项。</w:t>
      </w:r>
    </w:p>
    <w:p w14:paraId="04DE69B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13.1</w:t>
      </w:r>
      <w:r>
        <w:rPr>
          <w:rFonts w:hint="eastAsia" w:cs="仿宋"/>
          <w:color w:val="auto"/>
          <w:spacing w:val="-1"/>
          <w:sz w:val="24"/>
          <w:szCs w:val="24"/>
          <w:highlight w:val="none"/>
          <w:lang w:val="en-US" w:eastAsia="zh-CN"/>
        </w:rPr>
        <w:t>5</w:t>
      </w:r>
      <w:r>
        <w:rPr>
          <w:rFonts w:hint="eastAsia" w:ascii="仿宋" w:hAnsi="仿宋" w:eastAsia="仿宋" w:cs="仿宋"/>
          <w:color w:val="auto"/>
          <w:spacing w:val="-1"/>
          <w:sz w:val="24"/>
          <w:szCs w:val="24"/>
          <w:highlight w:val="none"/>
        </w:rPr>
        <w:t>投标人对投标报价若有说明应在投标文</w:t>
      </w:r>
      <w:r>
        <w:rPr>
          <w:rFonts w:hint="eastAsia" w:ascii="仿宋" w:hAnsi="仿宋" w:eastAsia="仿宋" w:cs="仿宋"/>
          <w:color w:val="auto"/>
          <w:spacing w:val="-2"/>
          <w:sz w:val="24"/>
          <w:szCs w:val="24"/>
          <w:highlight w:val="none"/>
        </w:rPr>
        <w:t>件中显著处注明。</w:t>
      </w:r>
    </w:p>
    <w:p w14:paraId="70C2903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除政策性文件规定以外，投标人所报价格在合同实施期间不因市场变化因素</w:t>
      </w:r>
      <w:r>
        <w:rPr>
          <w:rFonts w:hint="eastAsia" w:ascii="仿宋" w:hAnsi="仿宋" w:eastAsia="仿宋" w:cs="仿宋"/>
          <w:color w:val="auto"/>
          <w:spacing w:val="-7"/>
          <w:sz w:val="24"/>
          <w:szCs w:val="24"/>
          <w:highlight w:val="none"/>
        </w:rPr>
        <w:t>而变动。</w:t>
      </w:r>
    </w:p>
    <w:p w14:paraId="73CA470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13.1</w:t>
      </w:r>
      <w:r>
        <w:rPr>
          <w:rFonts w:hint="eastAsia" w:cs="仿宋"/>
          <w:color w:val="auto"/>
          <w:spacing w:val="-2"/>
          <w:sz w:val="24"/>
          <w:szCs w:val="24"/>
          <w:highlight w:val="none"/>
          <w:lang w:val="en-US" w:eastAsia="zh-CN"/>
        </w:rPr>
        <w:t>6</w:t>
      </w:r>
      <w:r>
        <w:rPr>
          <w:rFonts w:hint="eastAsia" w:ascii="仿宋" w:hAnsi="仿宋" w:eastAsia="仿宋" w:cs="仿宋"/>
          <w:color w:val="auto"/>
          <w:spacing w:val="-2"/>
          <w:sz w:val="24"/>
          <w:szCs w:val="24"/>
          <w:highlight w:val="none"/>
        </w:rPr>
        <w:t>对于有配件、耗材、选件、备件和特殊工具的货物，还应填</w:t>
      </w:r>
      <w:r>
        <w:rPr>
          <w:rFonts w:hint="eastAsia" w:ascii="仿宋" w:hAnsi="仿宋" w:eastAsia="仿宋" w:cs="仿宋"/>
          <w:color w:val="auto"/>
          <w:spacing w:val="-3"/>
          <w:sz w:val="24"/>
          <w:szCs w:val="24"/>
          <w:highlight w:val="none"/>
        </w:rPr>
        <w:t>报投标货</w:t>
      </w:r>
      <w:r>
        <w:rPr>
          <w:rFonts w:hint="eastAsia" w:ascii="仿宋" w:hAnsi="仿宋" w:eastAsia="仿宋" w:cs="仿宋"/>
          <w:color w:val="auto"/>
          <w:spacing w:val="-2"/>
          <w:sz w:val="24"/>
          <w:szCs w:val="24"/>
          <w:highlight w:val="none"/>
        </w:rPr>
        <w:t>物配件、耗材、选件表和备件及特殊工具清单，注明品牌、型号、产地、功能、</w:t>
      </w:r>
      <w:r>
        <w:rPr>
          <w:rFonts w:hint="eastAsia" w:ascii="仿宋" w:hAnsi="仿宋" w:eastAsia="仿宋" w:cs="仿宋"/>
          <w:color w:val="auto"/>
          <w:spacing w:val="-3"/>
          <w:sz w:val="24"/>
          <w:szCs w:val="24"/>
          <w:highlight w:val="none"/>
        </w:rPr>
        <w:t>单价、批量折扣等内容，该表格格式由投标人自行设计。投标人按照</w:t>
      </w:r>
      <w:r>
        <w:rPr>
          <w:rFonts w:hint="eastAsia" w:ascii="仿宋" w:hAnsi="仿宋" w:eastAsia="仿宋" w:cs="仿宋"/>
          <w:color w:val="auto"/>
          <w:spacing w:val="-4"/>
          <w:sz w:val="24"/>
          <w:szCs w:val="24"/>
          <w:highlight w:val="none"/>
        </w:rPr>
        <w:t>上述要求分</w:t>
      </w:r>
      <w:r>
        <w:rPr>
          <w:rFonts w:hint="eastAsia" w:ascii="仿宋" w:hAnsi="仿宋" w:eastAsia="仿宋" w:cs="仿宋"/>
          <w:color w:val="auto"/>
          <w:spacing w:val="-3"/>
          <w:sz w:val="24"/>
          <w:szCs w:val="24"/>
          <w:highlight w:val="none"/>
        </w:rPr>
        <w:t>类报价，其目的是便于评标，但在任何情况下并不限制采购人以其他</w:t>
      </w:r>
      <w:r>
        <w:rPr>
          <w:rFonts w:hint="eastAsia" w:ascii="仿宋" w:hAnsi="仿宋" w:eastAsia="仿宋" w:cs="仿宋"/>
          <w:color w:val="auto"/>
          <w:spacing w:val="-4"/>
          <w:sz w:val="24"/>
          <w:szCs w:val="24"/>
          <w:highlight w:val="none"/>
        </w:rPr>
        <w:t>条款签订合同的权利。</w:t>
      </w:r>
    </w:p>
    <w:p w14:paraId="02EE94B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rPr>
      </w:pPr>
      <w:r>
        <w:rPr>
          <w:rFonts w:hint="eastAsia" w:ascii="仿宋" w:hAnsi="仿宋" w:eastAsia="仿宋" w:cs="仿宋"/>
          <w:color w:val="auto"/>
          <w:spacing w:val="-3"/>
          <w:sz w:val="24"/>
          <w:szCs w:val="24"/>
          <w:highlight w:val="none"/>
        </w:rPr>
        <w:t>13.1</w:t>
      </w:r>
      <w:r>
        <w:rPr>
          <w:rFonts w:hint="eastAsia" w:cs="仿宋"/>
          <w:color w:val="auto"/>
          <w:spacing w:val="-3"/>
          <w:sz w:val="24"/>
          <w:szCs w:val="24"/>
          <w:highlight w:val="none"/>
          <w:lang w:val="en-US" w:eastAsia="zh-CN"/>
        </w:rPr>
        <w:t>7</w:t>
      </w:r>
      <w:r>
        <w:rPr>
          <w:rFonts w:hint="eastAsia" w:ascii="仿宋" w:hAnsi="仿宋" w:eastAsia="仿宋" w:cs="仿宋"/>
          <w:color w:val="auto"/>
          <w:spacing w:val="-3"/>
          <w:sz w:val="24"/>
          <w:szCs w:val="24"/>
          <w:highlight w:val="none"/>
        </w:rPr>
        <w:t>最低报价不能作为中标的保证。</w:t>
      </w:r>
    </w:p>
    <w:p w14:paraId="69B89418">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rPr>
        <w:t>13.</w:t>
      </w:r>
      <w:r>
        <w:rPr>
          <w:rFonts w:hint="eastAsia" w:cs="仿宋"/>
          <w:color w:val="auto"/>
          <w:spacing w:val="-1"/>
          <w:sz w:val="24"/>
          <w:szCs w:val="24"/>
          <w:highlight w:val="none"/>
          <w:lang w:val="en-US" w:eastAsia="zh-CN"/>
        </w:rPr>
        <w:t>18</w:t>
      </w:r>
      <w:r>
        <w:rPr>
          <w:rFonts w:hint="eastAsia" w:ascii="仿宋" w:hAnsi="仿宋" w:eastAsia="仿宋" w:cs="仿宋"/>
          <w:color w:val="auto"/>
          <w:spacing w:val="-1"/>
          <w:sz w:val="24"/>
          <w:szCs w:val="24"/>
          <w:highlight w:val="none"/>
        </w:rPr>
        <w:t>根据《关于推动解决政府采购异常低价问题的通知》（财库〔2026〕</w:t>
      </w:r>
      <w:r>
        <w:rPr>
          <w:rFonts w:hint="eastAsia" w:ascii="仿宋" w:hAnsi="仿宋" w:eastAsia="仿宋" w:cs="仿宋"/>
          <w:color w:val="auto"/>
          <w:spacing w:val="-3"/>
          <w:sz w:val="24"/>
          <w:szCs w:val="24"/>
          <w:highlight w:val="none"/>
        </w:rPr>
        <w:t>2号）文件规定及采购人要求：详见</w:t>
      </w:r>
      <w:r>
        <w:rPr>
          <w:rFonts w:hint="eastAsia" w:cs="仿宋"/>
          <w:color w:val="auto"/>
          <w:spacing w:val="-3"/>
          <w:sz w:val="24"/>
          <w:szCs w:val="24"/>
          <w:highlight w:val="none"/>
          <w:lang w:val="en-US" w:eastAsia="zh-CN"/>
        </w:rPr>
        <w:t>第四章</w:t>
      </w:r>
      <w:r>
        <w:rPr>
          <w:rFonts w:hint="eastAsia" w:ascii="仿宋" w:hAnsi="仿宋" w:eastAsia="仿宋" w:cs="仿宋"/>
          <w:color w:val="auto"/>
          <w:spacing w:val="-3"/>
          <w:sz w:val="24"/>
          <w:szCs w:val="24"/>
          <w:highlight w:val="none"/>
        </w:rPr>
        <w:t>评标办法</w:t>
      </w:r>
      <w:r>
        <w:rPr>
          <w:rFonts w:hint="eastAsia" w:cs="仿宋"/>
          <w:color w:val="auto"/>
          <w:spacing w:val="-3"/>
          <w:sz w:val="24"/>
          <w:szCs w:val="24"/>
          <w:highlight w:val="none"/>
          <w:lang w:eastAsia="zh-CN"/>
        </w:rPr>
        <w:t>。</w:t>
      </w:r>
    </w:p>
    <w:p w14:paraId="6133004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14.投标有效期</w:t>
      </w:r>
    </w:p>
    <w:p w14:paraId="6E15A31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14.1本项目的投标有效期按照招标文件第二章“投标人须知前附表中”中第22项的规定。投标有效期自开标之日起计算，短于规定期限的投标将按无效</w:t>
      </w:r>
      <w:r>
        <w:rPr>
          <w:rFonts w:hint="eastAsia" w:ascii="仿宋" w:hAnsi="仿宋" w:eastAsia="仿宋" w:cs="仿宋"/>
          <w:color w:val="auto"/>
          <w:spacing w:val="-3"/>
          <w:sz w:val="24"/>
          <w:szCs w:val="24"/>
          <w:highlight w:val="none"/>
        </w:rPr>
        <w:t>投标处理。</w:t>
      </w:r>
    </w:p>
    <w:p w14:paraId="0EF75C8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14.2在特殊情况下，采购代理机构可与投标人协商延长投标有效期。这种要求和答复都应以书面形式进行。此时，规定的投标保证金的有效期也相应延长。投标人可以拒绝接受延期要求而不会被没收保证金。同意延长有效期的投标人除</w:t>
      </w:r>
      <w:r>
        <w:rPr>
          <w:rFonts w:hint="eastAsia" w:ascii="仿宋" w:hAnsi="仿宋" w:eastAsia="仿宋" w:cs="仿宋"/>
          <w:color w:val="auto"/>
          <w:sz w:val="24"/>
          <w:szCs w:val="24"/>
          <w:highlight w:val="none"/>
        </w:rPr>
        <w:t>按照采购代理机构要求修改投标有效期外，不能</w:t>
      </w:r>
      <w:r>
        <w:rPr>
          <w:rFonts w:hint="eastAsia" w:ascii="仿宋" w:hAnsi="仿宋" w:eastAsia="仿宋" w:cs="仿宋"/>
          <w:color w:val="auto"/>
          <w:spacing w:val="-1"/>
          <w:sz w:val="24"/>
          <w:szCs w:val="24"/>
          <w:highlight w:val="none"/>
        </w:rPr>
        <w:t>修改投标文件的其他内容。</w:t>
      </w:r>
    </w:p>
    <w:p w14:paraId="59C9A4E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15.投标内容填写说明</w:t>
      </w:r>
    </w:p>
    <w:p w14:paraId="404337D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15.1投标人应详细阅读招标文件的全部内容。投标文件须对招标文件中的</w:t>
      </w:r>
      <w:r>
        <w:rPr>
          <w:rFonts w:hint="eastAsia" w:ascii="仿宋" w:hAnsi="仿宋" w:eastAsia="仿宋" w:cs="仿宋"/>
          <w:color w:val="auto"/>
          <w:spacing w:val="-3"/>
          <w:sz w:val="24"/>
          <w:szCs w:val="24"/>
          <w:highlight w:val="none"/>
        </w:rPr>
        <w:t>内容作出实质性和完整的投标，如果投标文件填报的内容</w:t>
      </w:r>
      <w:r>
        <w:rPr>
          <w:rFonts w:hint="eastAsia" w:ascii="仿宋" w:hAnsi="仿宋" w:eastAsia="仿宋" w:cs="仿宋"/>
          <w:color w:val="auto"/>
          <w:spacing w:val="-4"/>
          <w:sz w:val="24"/>
          <w:szCs w:val="24"/>
          <w:highlight w:val="none"/>
        </w:rPr>
        <w:t>不详，或没有提供招标</w:t>
      </w:r>
      <w:r>
        <w:rPr>
          <w:rFonts w:hint="eastAsia" w:ascii="仿宋" w:hAnsi="仿宋" w:eastAsia="仿宋" w:cs="仿宋"/>
          <w:color w:val="auto"/>
          <w:spacing w:val="-1"/>
          <w:sz w:val="24"/>
          <w:szCs w:val="24"/>
          <w:highlight w:val="none"/>
        </w:rPr>
        <w:t>文件中所要求的全部资料及数据，将可能导致投标被拒绝。</w:t>
      </w:r>
    </w:p>
    <w:p w14:paraId="3E48F36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15.2投标文件须严格按照招标文件第六章规定的格式提交，并按规定的统</w:t>
      </w:r>
      <w:r>
        <w:rPr>
          <w:rFonts w:hint="eastAsia" w:ascii="仿宋" w:hAnsi="仿宋" w:eastAsia="仿宋" w:cs="仿宋"/>
          <w:color w:val="auto"/>
          <w:spacing w:val="-14"/>
          <w:sz w:val="24"/>
          <w:szCs w:val="24"/>
          <w:highlight w:val="none"/>
        </w:rPr>
        <w:t>一格式逐项填写，不准有空项；无相应内容可填的项，应填写“无</w:t>
      </w:r>
      <w:r>
        <w:rPr>
          <w:rFonts w:hint="eastAsia" w:cs="仿宋"/>
          <w:color w:val="auto"/>
          <w:spacing w:val="-14"/>
          <w:sz w:val="24"/>
          <w:szCs w:val="24"/>
          <w:highlight w:val="none"/>
          <w:lang w:eastAsia="zh-CN"/>
        </w:rPr>
        <w:t>”“</w:t>
      </w:r>
      <w:r>
        <w:rPr>
          <w:rFonts w:hint="eastAsia" w:ascii="仿宋" w:hAnsi="仿宋" w:eastAsia="仿宋" w:cs="仿宋"/>
          <w:color w:val="auto"/>
          <w:spacing w:val="-14"/>
          <w:sz w:val="24"/>
          <w:szCs w:val="24"/>
          <w:highlight w:val="none"/>
        </w:rPr>
        <w:t>未测试</w:t>
      </w:r>
      <w:r>
        <w:rPr>
          <w:rFonts w:hint="eastAsia" w:cs="仿宋"/>
          <w:color w:val="auto"/>
          <w:spacing w:val="-14"/>
          <w:sz w:val="24"/>
          <w:szCs w:val="24"/>
          <w:highlight w:val="none"/>
          <w:lang w:eastAsia="zh-CN"/>
        </w:rPr>
        <w:t>”“</w:t>
      </w:r>
      <w:r>
        <w:rPr>
          <w:rFonts w:hint="eastAsia" w:ascii="仿宋" w:hAnsi="仿宋" w:eastAsia="仿宋" w:cs="仿宋"/>
          <w:color w:val="auto"/>
          <w:spacing w:val="-3"/>
          <w:sz w:val="24"/>
          <w:szCs w:val="24"/>
          <w:highlight w:val="none"/>
        </w:rPr>
        <w:t>没有相应指标”等明确的回答文字。由于编排混乱导致投标文件被误读</w:t>
      </w:r>
      <w:r>
        <w:rPr>
          <w:rFonts w:hint="eastAsia" w:ascii="仿宋" w:hAnsi="仿宋" w:eastAsia="仿宋" w:cs="仿宋"/>
          <w:color w:val="auto"/>
          <w:spacing w:val="-4"/>
          <w:sz w:val="24"/>
          <w:szCs w:val="24"/>
          <w:highlight w:val="none"/>
        </w:rPr>
        <w:t>或查找</w:t>
      </w:r>
      <w:r>
        <w:rPr>
          <w:rFonts w:hint="eastAsia" w:ascii="仿宋" w:hAnsi="仿宋" w:eastAsia="仿宋" w:cs="仿宋"/>
          <w:color w:val="auto"/>
          <w:spacing w:val="-3"/>
          <w:sz w:val="24"/>
          <w:szCs w:val="24"/>
          <w:highlight w:val="none"/>
        </w:rPr>
        <w:t>不到，其责任由投标人承担。投标文件未按规定提交或留有空项，将被视</w:t>
      </w:r>
      <w:r>
        <w:rPr>
          <w:rFonts w:hint="eastAsia" w:ascii="仿宋" w:hAnsi="仿宋" w:eastAsia="仿宋" w:cs="仿宋"/>
          <w:color w:val="auto"/>
          <w:spacing w:val="-4"/>
          <w:sz w:val="24"/>
          <w:szCs w:val="24"/>
          <w:highlight w:val="none"/>
        </w:rPr>
        <w:t>为不完</w:t>
      </w:r>
      <w:r>
        <w:rPr>
          <w:rFonts w:hint="eastAsia" w:ascii="仿宋" w:hAnsi="仿宋" w:eastAsia="仿宋" w:cs="仿宋"/>
          <w:color w:val="auto"/>
          <w:spacing w:val="-1"/>
          <w:sz w:val="24"/>
          <w:szCs w:val="24"/>
          <w:highlight w:val="none"/>
        </w:rPr>
        <w:t>整投标的投标文件，其投标有可能被拒绝</w:t>
      </w:r>
      <w:r>
        <w:rPr>
          <w:rFonts w:hint="eastAsia" w:ascii="仿宋" w:hAnsi="仿宋" w:eastAsia="仿宋" w:cs="仿宋"/>
          <w:b/>
          <w:bCs/>
          <w:color w:val="auto"/>
          <w:spacing w:val="-1"/>
          <w:sz w:val="24"/>
          <w:szCs w:val="24"/>
          <w:highlight w:val="none"/>
        </w:rPr>
        <w:t>。</w:t>
      </w:r>
    </w:p>
    <w:p w14:paraId="2093C50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15.3开标一览表为在开标仪式上唱标的内容，要求按格式统一填写，不得</w:t>
      </w:r>
      <w:r>
        <w:rPr>
          <w:rFonts w:hint="eastAsia" w:ascii="仿宋" w:hAnsi="仿宋" w:eastAsia="仿宋" w:cs="仿宋"/>
          <w:color w:val="auto"/>
          <w:spacing w:val="-8"/>
          <w:sz w:val="24"/>
          <w:szCs w:val="24"/>
          <w:highlight w:val="none"/>
        </w:rPr>
        <w:t>自行增减内容。</w:t>
      </w:r>
    </w:p>
    <w:p w14:paraId="056A409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15.4投标人须注意：为合理节约政府采购评标成本，提倡诚实信用的投标</w:t>
      </w:r>
      <w:r>
        <w:rPr>
          <w:rFonts w:hint="eastAsia" w:ascii="仿宋" w:hAnsi="仿宋" w:eastAsia="仿宋" w:cs="仿宋"/>
          <w:color w:val="auto"/>
          <w:spacing w:val="-3"/>
          <w:sz w:val="24"/>
          <w:szCs w:val="24"/>
          <w:highlight w:val="none"/>
        </w:rPr>
        <w:t>行为，特别要求投标人应本着诚信精神，在本次投标文件的偏离表中，均以审慎的态度明确、清楚地披露各项偏离。若投标人对某一事项是否存在或是否属于偏离不能确定，亦必须在偏离表中清楚地表明该偏离事项，并可以注明不能确定的字样。任何情况下，对于投标人没有在偏离表中明确、清楚地披露的事项，包括可能属于被投标人在偏离表中遗漏披露的事项，一旦在评标中被发现存在偏离或被认定为属于偏离，则评标委员会有权视具体情形评标时予以处理，乃至对该投</w:t>
      </w:r>
      <w:r>
        <w:rPr>
          <w:rFonts w:hint="eastAsia" w:ascii="仿宋" w:hAnsi="仿宋" w:eastAsia="仿宋" w:cs="仿宋"/>
          <w:color w:val="auto"/>
          <w:spacing w:val="-1"/>
          <w:sz w:val="24"/>
          <w:szCs w:val="24"/>
          <w:highlight w:val="none"/>
        </w:rPr>
        <w:t>标予以拒绝。</w:t>
      </w:r>
    </w:p>
    <w:p w14:paraId="62495D7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15.5投标人必须保证投标文件所提供的全部资料真实可靠，并接受采购代</w:t>
      </w:r>
      <w:r>
        <w:rPr>
          <w:rFonts w:hint="eastAsia" w:ascii="仿宋" w:hAnsi="仿宋" w:eastAsia="仿宋" w:cs="仿宋"/>
          <w:color w:val="auto"/>
          <w:spacing w:val="-1"/>
          <w:sz w:val="24"/>
          <w:szCs w:val="24"/>
          <w:highlight w:val="none"/>
        </w:rPr>
        <w:t>理机构或评标委员会对其中任何资料进一步审查的要求。</w:t>
      </w:r>
    </w:p>
    <w:p w14:paraId="7005C40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15.6投标人在投标文件及相关文件的签订、履行、通知等事项的文件中的</w:t>
      </w:r>
      <w:r>
        <w:rPr>
          <w:rFonts w:hint="eastAsia" w:ascii="仿宋" w:hAnsi="仿宋" w:eastAsia="仿宋" w:cs="仿宋"/>
          <w:color w:val="auto"/>
          <w:spacing w:val="-3"/>
          <w:sz w:val="24"/>
          <w:szCs w:val="24"/>
          <w:highlight w:val="none"/>
        </w:rPr>
        <w:t>单位盖章、印章、公章等处均指与当事人全称相一致的电子签章或标准公章</w:t>
      </w:r>
      <w:r>
        <w:rPr>
          <w:rFonts w:hint="eastAsia" w:ascii="仿宋" w:hAnsi="仿宋" w:eastAsia="仿宋" w:cs="仿宋"/>
          <w:color w:val="auto"/>
          <w:spacing w:val="-4"/>
          <w:sz w:val="24"/>
          <w:szCs w:val="24"/>
          <w:highlight w:val="none"/>
        </w:rPr>
        <w:t>，不</w:t>
      </w:r>
      <w:r>
        <w:rPr>
          <w:rFonts w:hint="eastAsia" w:ascii="仿宋" w:hAnsi="仿宋" w:eastAsia="仿宋" w:cs="仿宋"/>
          <w:color w:val="auto"/>
          <w:spacing w:val="-3"/>
          <w:sz w:val="24"/>
          <w:szCs w:val="24"/>
          <w:highlight w:val="none"/>
        </w:rPr>
        <w:t>得使用其他形式（如带有“专用章”等字样的印章）。不符合本条规定的按</w:t>
      </w:r>
      <w:r>
        <w:rPr>
          <w:rFonts w:hint="eastAsia" w:ascii="仿宋" w:hAnsi="仿宋" w:eastAsia="仿宋" w:cs="仿宋"/>
          <w:color w:val="auto"/>
          <w:spacing w:val="-4"/>
          <w:sz w:val="24"/>
          <w:szCs w:val="24"/>
          <w:highlight w:val="none"/>
        </w:rPr>
        <w:t>无效</w:t>
      </w:r>
      <w:r>
        <w:rPr>
          <w:rFonts w:hint="eastAsia" w:ascii="仿宋" w:hAnsi="仿宋" w:eastAsia="仿宋" w:cs="仿宋"/>
          <w:color w:val="auto"/>
          <w:spacing w:val="-3"/>
          <w:sz w:val="24"/>
          <w:szCs w:val="24"/>
          <w:highlight w:val="none"/>
        </w:rPr>
        <w:t>投标处理。</w:t>
      </w:r>
    </w:p>
    <w:p w14:paraId="48EF4E82">
      <w:pPr>
        <w:pStyle w:val="6"/>
        <w:shd w:val="clear"/>
        <w:bidi w:val="0"/>
        <w:rPr>
          <w:rFonts w:hint="eastAsia"/>
          <w:color w:val="auto"/>
          <w:highlight w:val="none"/>
        </w:rPr>
      </w:pPr>
      <w:r>
        <w:rPr>
          <w:rFonts w:hint="eastAsia"/>
          <w:color w:val="auto"/>
          <w:highlight w:val="none"/>
        </w:rPr>
        <w:t>四、投标保证金</w:t>
      </w:r>
    </w:p>
    <w:p w14:paraId="356208F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4"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2"/>
          <w:sz w:val="24"/>
          <w:szCs w:val="24"/>
          <w:highlight w:val="none"/>
        </w:rPr>
        <w:t>16.投标保证金（如有）</w:t>
      </w:r>
    </w:p>
    <w:p w14:paraId="145A41A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16.1投标人应按照招标文件第二章“投标人须知前附表”中的规定交纳。</w:t>
      </w:r>
      <w:r>
        <w:rPr>
          <w:rFonts w:hint="eastAsia" w:ascii="仿宋" w:hAnsi="仿宋" w:eastAsia="仿宋" w:cs="仿宋"/>
          <w:color w:val="auto"/>
          <w:spacing w:val="-1"/>
          <w:sz w:val="24"/>
          <w:szCs w:val="24"/>
          <w:highlight w:val="none"/>
        </w:rPr>
        <w:t>投标保证金须于到账截止时间前到</w:t>
      </w:r>
      <w:r>
        <w:rPr>
          <w:rFonts w:hint="eastAsia" w:cs="仿宋"/>
          <w:color w:val="auto"/>
          <w:spacing w:val="-1"/>
          <w:sz w:val="24"/>
          <w:szCs w:val="24"/>
          <w:highlight w:val="none"/>
          <w:lang w:eastAsia="zh-CN"/>
        </w:rPr>
        <w:t>账</w:t>
      </w:r>
      <w:r>
        <w:rPr>
          <w:rFonts w:hint="eastAsia" w:ascii="仿宋" w:hAnsi="仿宋" w:eastAsia="仿宋" w:cs="仿宋"/>
          <w:color w:val="auto"/>
          <w:spacing w:val="-1"/>
          <w:sz w:val="24"/>
          <w:szCs w:val="24"/>
          <w:highlight w:val="none"/>
        </w:rPr>
        <w:t>，并经采购代理机构确认。</w:t>
      </w:r>
    </w:p>
    <w:p w14:paraId="23A7E25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16.2采购代理机构不接收以现金或汇票方式递交的投标保证金。未按要求</w:t>
      </w:r>
      <w:r>
        <w:rPr>
          <w:rFonts w:hint="eastAsia" w:ascii="仿宋" w:hAnsi="仿宋" w:eastAsia="仿宋" w:cs="仿宋"/>
          <w:color w:val="auto"/>
          <w:spacing w:val="-1"/>
          <w:sz w:val="24"/>
          <w:szCs w:val="24"/>
          <w:highlight w:val="none"/>
        </w:rPr>
        <w:t>提交投标保证金的，将被视为无效投标。</w:t>
      </w:r>
    </w:p>
    <w:p w14:paraId="61EE835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16.3未中标的投标人的投标保证金在中标通知书发出之日起5个工作日内</w:t>
      </w:r>
      <w:r>
        <w:rPr>
          <w:rFonts w:hint="eastAsia" w:ascii="仿宋" w:hAnsi="仿宋" w:eastAsia="仿宋" w:cs="仿宋"/>
          <w:color w:val="auto"/>
          <w:spacing w:val="-4"/>
          <w:sz w:val="24"/>
          <w:szCs w:val="24"/>
          <w:highlight w:val="none"/>
        </w:rPr>
        <w:t>退还；中标人的投标保证金将在交纳履约保证金并于合同生效后5个工作日内退</w:t>
      </w:r>
      <w:r>
        <w:rPr>
          <w:rFonts w:hint="eastAsia" w:ascii="仿宋" w:hAnsi="仿宋" w:eastAsia="仿宋" w:cs="仿宋"/>
          <w:color w:val="auto"/>
          <w:spacing w:val="-7"/>
          <w:sz w:val="24"/>
          <w:szCs w:val="24"/>
          <w:highlight w:val="none"/>
        </w:rPr>
        <w:t>还。</w:t>
      </w:r>
    </w:p>
    <w:p w14:paraId="7191A6A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1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16.4投标保证金退还一律采用网上银行</w:t>
      </w:r>
      <w:r>
        <w:rPr>
          <w:rFonts w:hint="eastAsia" w:cs="仿宋"/>
          <w:color w:val="auto"/>
          <w:spacing w:val="8"/>
          <w:sz w:val="24"/>
          <w:szCs w:val="24"/>
          <w:highlight w:val="none"/>
          <w:lang w:eastAsia="zh-CN"/>
        </w:rPr>
        <w:t>转账方式</w:t>
      </w:r>
      <w:r>
        <w:rPr>
          <w:rFonts w:hint="eastAsia" w:ascii="仿宋" w:hAnsi="仿宋" w:eastAsia="仿宋" w:cs="仿宋"/>
          <w:color w:val="auto"/>
          <w:spacing w:val="8"/>
          <w:sz w:val="24"/>
          <w:szCs w:val="24"/>
          <w:highlight w:val="none"/>
        </w:rPr>
        <w:t>退还至投标人的</w:t>
      </w:r>
      <w:r>
        <w:rPr>
          <w:rFonts w:hint="eastAsia" w:cs="仿宋"/>
          <w:color w:val="auto"/>
          <w:spacing w:val="8"/>
          <w:sz w:val="24"/>
          <w:szCs w:val="24"/>
          <w:highlight w:val="none"/>
          <w:lang w:eastAsia="zh-CN"/>
        </w:rPr>
        <w:t>汇款账户</w:t>
      </w:r>
      <w:r>
        <w:rPr>
          <w:rFonts w:hint="eastAsia" w:ascii="仿宋" w:hAnsi="仿宋" w:eastAsia="仿宋" w:cs="仿宋"/>
          <w:color w:val="auto"/>
          <w:spacing w:val="-3"/>
          <w:sz w:val="24"/>
          <w:szCs w:val="24"/>
          <w:highlight w:val="none"/>
        </w:rPr>
        <w:t>，资金原路返回。</w:t>
      </w:r>
    </w:p>
    <w:p w14:paraId="5197BEF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16.5如开标时投标人对本单位投标保证金缴纳情况有疑义，投标人应在开</w:t>
      </w:r>
      <w:r>
        <w:rPr>
          <w:rFonts w:hint="eastAsia" w:ascii="仿宋" w:hAnsi="仿宋" w:eastAsia="仿宋" w:cs="仿宋"/>
          <w:color w:val="auto"/>
          <w:spacing w:val="-3"/>
          <w:sz w:val="24"/>
          <w:szCs w:val="24"/>
          <w:highlight w:val="none"/>
        </w:rPr>
        <w:t>标结束前向招标人提交书面申请核实保证金缴纳情况。由银行或保险公司核实后</w:t>
      </w:r>
      <w:r>
        <w:rPr>
          <w:rFonts w:hint="eastAsia" w:ascii="仿宋" w:hAnsi="仿宋" w:eastAsia="仿宋" w:cs="仿宋"/>
          <w:color w:val="auto"/>
          <w:spacing w:val="-1"/>
          <w:sz w:val="24"/>
          <w:szCs w:val="24"/>
          <w:highlight w:val="none"/>
        </w:rPr>
        <w:t>出具书面材料予以答复。</w:t>
      </w:r>
    </w:p>
    <w:p w14:paraId="0E39181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16.6开标结束后，转账、电汇、网银形式缴纳的保证金由招标代理或招标</w:t>
      </w:r>
      <w:r>
        <w:rPr>
          <w:rFonts w:hint="eastAsia" w:ascii="仿宋" w:hAnsi="仿宋" w:eastAsia="仿宋" w:cs="仿宋"/>
          <w:color w:val="auto"/>
          <w:spacing w:val="-8"/>
          <w:sz w:val="24"/>
          <w:szCs w:val="24"/>
          <w:highlight w:val="none"/>
        </w:rPr>
        <w:t>人统一办理中标人和未中标人的保证金退还事宜。如本项目招标中遇质疑，投诉，</w:t>
      </w:r>
      <w:r>
        <w:rPr>
          <w:rFonts w:hint="eastAsia" w:ascii="仿宋" w:hAnsi="仿宋" w:eastAsia="仿宋" w:cs="仿宋"/>
          <w:color w:val="auto"/>
          <w:spacing w:val="-3"/>
          <w:sz w:val="24"/>
          <w:szCs w:val="24"/>
          <w:highlight w:val="none"/>
        </w:rPr>
        <w:t>复议等特殊情况，保证金退还时间按相关规定执行。银行电子保函、保险电子保</w:t>
      </w:r>
      <w:r>
        <w:rPr>
          <w:rFonts w:hint="eastAsia" w:ascii="仿宋" w:hAnsi="仿宋" w:eastAsia="仿宋" w:cs="仿宋"/>
          <w:color w:val="auto"/>
          <w:spacing w:val="-1"/>
          <w:sz w:val="24"/>
          <w:szCs w:val="24"/>
          <w:highlight w:val="none"/>
        </w:rPr>
        <w:t>函等形式缴纳的投标保证金按协议执行，无需办理退款手续。</w:t>
      </w:r>
    </w:p>
    <w:p w14:paraId="778CC2D0">
      <w:pPr>
        <w:pStyle w:val="6"/>
        <w:shd w:val="clear"/>
        <w:bidi w:val="0"/>
        <w:rPr>
          <w:rFonts w:hint="eastAsia"/>
          <w:color w:val="auto"/>
          <w:highlight w:val="none"/>
        </w:rPr>
      </w:pPr>
      <w:r>
        <w:rPr>
          <w:rFonts w:hint="eastAsia"/>
          <w:color w:val="auto"/>
          <w:highlight w:val="none"/>
        </w:rPr>
        <w:t>五、投标文件的递交</w:t>
      </w:r>
    </w:p>
    <w:p w14:paraId="6F8CC56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17.投标文件加密</w:t>
      </w:r>
    </w:p>
    <w:p w14:paraId="62012D8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17.1投标人应通过电子投标文件制作工具严格按招标文件要求制作投标文</w:t>
      </w:r>
      <w:r>
        <w:rPr>
          <w:rFonts w:hint="eastAsia" w:ascii="仿宋" w:hAnsi="仿宋" w:eastAsia="仿宋" w:cs="仿宋"/>
          <w:color w:val="auto"/>
          <w:spacing w:val="-3"/>
          <w:sz w:val="24"/>
          <w:szCs w:val="24"/>
          <w:highlight w:val="none"/>
        </w:rPr>
        <w:t>件，在投标截止时间前完成上传经过数字证书电子签章并加密的投标文件（加密和解密须用同一把数字证书）。投标人在投标截止时间前，可以对其所递交的投标文件进行修改并重新上传，但以投标截止时间前最后一次上传的投标文件为有</w:t>
      </w:r>
      <w:r>
        <w:rPr>
          <w:rFonts w:hint="eastAsia" w:ascii="仿宋" w:hAnsi="仿宋" w:eastAsia="仿宋" w:cs="仿宋"/>
          <w:color w:val="auto"/>
          <w:spacing w:val="-2"/>
          <w:sz w:val="24"/>
          <w:szCs w:val="24"/>
          <w:highlight w:val="none"/>
        </w:rPr>
        <w:t>效投标文件。</w:t>
      </w:r>
    </w:p>
    <w:p w14:paraId="5EDCD06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投标截止时间以政采云平台显示的时间为准，逾期系统将</w:t>
      </w:r>
      <w:r>
        <w:rPr>
          <w:rFonts w:hint="eastAsia" w:ascii="仿宋" w:hAnsi="仿宋" w:eastAsia="仿宋" w:cs="仿宋"/>
          <w:color w:val="auto"/>
          <w:spacing w:val="-4"/>
          <w:sz w:val="24"/>
          <w:szCs w:val="24"/>
          <w:highlight w:val="none"/>
        </w:rPr>
        <w:t>自动关闭，未完成</w:t>
      </w:r>
      <w:r>
        <w:rPr>
          <w:rFonts w:hint="eastAsia" w:ascii="仿宋" w:hAnsi="仿宋" w:eastAsia="仿宋" w:cs="仿宋"/>
          <w:color w:val="auto"/>
          <w:spacing w:val="-1"/>
          <w:sz w:val="24"/>
          <w:szCs w:val="24"/>
          <w:highlight w:val="none"/>
        </w:rPr>
        <w:t>上传的投标文件视为逾期送达，将被拒绝。</w:t>
      </w:r>
    </w:p>
    <w:p w14:paraId="3380BA3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18.投标文件的递交</w:t>
      </w:r>
    </w:p>
    <w:p w14:paraId="4508F75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18.1投标人应当在招标文件要求提交投标文件的截止时间前按照采购文件</w:t>
      </w:r>
      <w:r>
        <w:rPr>
          <w:rFonts w:hint="eastAsia" w:ascii="仿宋" w:hAnsi="仿宋" w:eastAsia="仿宋" w:cs="仿宋"/>
          <w:color w:val="auto"/>
          <w:spacing w:val="-3"/>
          <w:sz w:val="24"/>
          <w:szCs w:val="24"/>
          <w:highlight w:val="none"/>
        </w:rPr>
        <w:t>中的有关要求线上递交投标文件。</w:t>
      </w:r>
    </w:p>
    <w:p w14:paraId="6868006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18.2在招标文件要求提交投标文件的截止时间之后送达的投标文件，为无</w:t>
      </w:r>
      <w:r>
        <w:rPr>
          <w:rFonts w:hint="eastAsia" w:ascii="仿宋" w:hAnsi="仿宋" w:eastAsia="仿宋" w:cs="仿宋"/>
          <w:color w:val="auto"/>
          <w:spacing w:val="-1"/>
          <w:sz w:val="24"/>
          <w:szCs w:val="24"/>
          <w:highlight w:val="none"/>
        </w:rPr>
        <w:t>效投标文件，采购代理机构将拒绝接收。</w:t>
      </w:r>
    </w:p>
    <w:p w14:paraId="7F1F3CF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18.3是否采用不见面开标详见投标人须知前</w:t>
      </w:r>
      <w:r>
        <w:rPr>
          <w:rFonts w:hint="eastAsia" w:ascii="仿宋" w:hAnsi="仿宋" w:eastAsia="仿宋" w:cs="仿宋"/>
          <w:color w:val="auto"/>
          <w:spacing w:val="-4"/>
          <w:sz w:val="24"/>
          <w:szCs w:val="24"/>
          <w:highlight w:val="none"/>
        </w:rPr>
        <w:t>附表，若项目采用不见面开标。</w:t>
      </w:r>
      <w:r>
        <w:rPr>
          <w:rFonts w:hint="eastAsia" w:ascii="仿宋" w:hAnsi="仿宋" w:eastAsia="仿宋" w:cs="仿宋"/>
          <w:color w:val="auto"/>
          <w:spacing w:val="-3"/>
          <w:sz w:val="24"/>
          <w:szCs w:val="24"/>
          <w:highlight w:val="none"/>
        </w:rPr>
        <w:t>只需将加密电子投标文件在投标截止时间前通过新疆政府采</w:t>
      </w:r>
      <w:r>
        <w:rPr>
          <w:rFonts w:hint="eastAsia" w:ascii="仿宋" w:hAnsi="仿宋" w:eastAsia="仿宋" w:cs="仿宋"/>
          <w:color w:val="auto"/>
          <w:spacing w:val="-4"/>
          <w:sz w:val="24"/>
          <w:szCs w:val="24"/>
          <w:highlight w:val="none"/>
        </w:rPr>
        <w:t>购网上传完成。上传</w:t>
      </w:r>
      <w:r>
        <w:rPr>
          <w:rFonts w:hint="eastAsia" w:ascii="仿宋" w:hAnsi="仿宋" w:eastAsia="仿宋" w:cs="仿宋"/>
          <w:color w:val="auto"/>
          <w:spacing w:val="-3"/>
          <w:sz w:val="24"/>
          <w:szCs w:val="24"/>
          <w:highlight w:val="none"/>
        </w:rPr>
        <w:t>时必须得到电脑确认回复后方为上传成功。逾期上传的或者</w:t>
      </w:r>
      <w:r>
        <w:rPr>
          <w:rFonts w:hint="eastAsia" w:ascii="仿宋" w:hAnsi="仿宋" w:eastAsia="仿宋" w:cs="仿宋"/>
          <w:color w:val="auto"/>
          <w:spacing w:val="-4"/>
          <w:sz w:val="24"/>
          <w:szCs w:val="24"/>
          <w:highlight w:val="none"/>
        </w:rPr>
        <w:t>未上传到平台的投标</w:t>
      </w:r>
      <w:r>
        <w:rPr>
          <w:rFonts w:hint="eastAsia" w:ascii="仿宋" w:hAnsi="仿宋" w:eastAsia="仿宋" w:cs="仿宋"/>
          <w:color w:val="auto"/>
          <w:spacing w:val="-2"/>
          <w:sz w:val="24"/>
          <w:szCs w:val="24"/>
          <w:highlight w:val="none"/>
        </w:rPr>
        <w:t>文件，采购人不予受理。</w:t>
      </w:r>
    </w:p>
    <w:p w14:paraId="2B8B195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19.投标文件的修改和撤回</w:t>
      </w:r>
    </w:p>
    <w:p w14:paraId="684AF32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19.1投标人在招标文件要求提交投标文件截止时间前，可以修改或者撤回</w:t>
      </w:r>
      <w:r>
        <w:rPr>
          <w:rFonts w:hint="eastAsia" w:ascii="仿宋" w:hAnsi="仿宋" w:eastAsia="仿宋" w:cs="仿宋"/>
          <w:color w:val="auto"/>
          <w:spacing w:val="-6"/>
          <w:sz w:val="24"/>
          <w:szCs w:val="24"/>
          <w:highlight w:val="none"/>
        </w:rPr>
        <w:t>已上传的投标文件。</w:t>
      </w:r>
    </w:p>
    <w:p w14:paraId="286C2FC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19.2在提交投标文件截止时间后到招标文</w:t>
      </w:r>
      <w:r>
        <w:rPr>
          <w:rFonts w:hint="eastAsia" w:ascii="仿宋" w:hAnsi="仿宋" w:eastAsia="仿宋" w:cs="仿宋"/>
          <w:color w:val="auto"/>
          <w:spacing w:val="-1"/>
          <w:sz w:val="24"/>
          <w:szCs w:val="24"/>
          <w:highlight w:val="none"/>
        </w:rPr>
        <w:t>件规定的投标有效期终止之前，投标人不得补充、修改或者撤销其投标文件。</w:t>
      </w:r>
    </w:p>
    <w:p w14:paraId="29EF6AF8">
      <w:pPr>
        <w:pStyle w:val="6"/>
        <w:shd w:val="clear"/>
        <w:bidi w:val="0"/>
        <w:rPr>
          <w:rFonts w:hint="eastAsia"/>
          <w:color w:val="auto"/>
          <w:highlight w:val="none"/>
        </w:rPr>
      </w:pPr>
      <w:r>
        <w:rPr>
          <w:rFonts w:hint="eastAsia"/>
          <w:color w:val="auto"/>
          <w:highlight w:val="none"/>
        </w:rPr>
        <w:t>六、开标</w:t>
      </w:r>
    </w:p>
    <w:p w14:paraId="09BB892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20.开标</w:t>
      </w:r>
    </w:p>
    <w:p w14:paraId="741C6D9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20.1开标程序</w:t>
      </w:r>
    </w:p>
    <w:p w14:paraId="3FA12C3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20.1.1宣布开标纪律；</w:t>
      </w:r>
    </w:p>
    <w:p w14:paraId="0DD06AC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20.1.2宣布主持人、唱标人、记录人等有关人员姓名；</w:t>
      </w:r>
    </w:p>
    <w:p w14:paraId="0AE39B0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20.1.3查看在线签到家数，少于三家</w:t>
      </w:r>
      <w:r>
        <w:rPr>
          <w:rFonts w:hint="eastAsia" w:ascii="仿宋" w:hAnsi="仿宋" w:eastAsia="仿宋" w:cs="仿宋"/>
          <w:color w:val="auto"/>
          <w:spacing w:val="1"/>
          <w:sz w:val="24"/>
          <w:szCs w:val="24"/>
          <w:highlight w:val="none"/>
        </w:rPr>
        <w:t>开标会结束；不少于三家开标会继续</w:t>
      </w:r>
      <w:r>
        <w:rPr>
          <w:rFonts w:hint="eastAsia" w:ascii="仿宋" w:hAnsi="仿宋" w:eastAsia="仿宋" w:cs="仿宋"/>
          <w:color w:val="auto"/>
          <w:spacing w:val="-4"/>
          <w:sz w:val="24"/>
          <w:szCs w:val="24"/>
          <w:highlight w:val="none"/>
        </w:rPr>
        <w:t>进行；</w:t>
      </w:r>
    </w:p>
    <w:p w14:paraId="294178E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20.1.4投标人根据要求在限定时间内通过电子招标投标交易平台对已上传</w:t>
      </w:r>
      <w:r>
        <w:rPr>
          <w:rFonts w:hint="eastAsia" w:ascii="仿宋" w:hAnsi="仿宋" w:eastAsia="仿宋" w:cs="仿宋"/>
          <w:color w:val="auto"/>
          <w:spacing w:val="-3"/>
          <w:sz w:val="24"/>
          <w:szCs w:val="24"/>
          <w:highlight w:val="none"/>
        </w:rPr>
        <w:t>的电子投标文件开始解密。</w:t>
      </w:r>
    </w:p>
    <w:p w14:paraId="27F0CD5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20.1.5开标结束。</w:t>
      </w:r>
    </w:p>
    <w:p w14:paraId="3BB6F55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20.2开标</w:t>
      </w:r>
    </w:p>
    <w:p w14:paraId="4165317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20.2.1开标应当在招标文件确定的提交投标文件截止时间的同一时间通过</w:t>
      </w:r>
      <w:r>
        <w:rPr>
          <w:rFonts w:hint="eastAsia" w:ascii="仿宋" w:hAnsi="仿宋" w:eastAsia="仿宋" w:cs="仿宋"/>
          <w:color w:val="auto"/>
          <w:spacing w:val="-1"/>
          <w:sz w:val="24"/>
          <w:szCs w:val="24"/>
          <w:highlight w:val="none"/>
        </w:rPr>
        <w:t>电子招标投标交易平台公开进行。所有投标人须在开标前规定</w:t>
      </w:r>
      <w:r>
        <w:rPr>
          <w:rFonts w:hint="eastAsia" w:ascii="仿宋" w:hAnsi="仿宋" w:eastAsia="仿宋" w:cs="仿宋"/>
          <w:color w:val="auto"/>
          <w:spacing w:val="-2"/>
          <w:sz w:val="24"/>
          <w:szCs w:val="24"/>
          <w:highlight w:val="none"/>
        </w:rPr>
        <w:t>时间内签到。</w:t>
      </w:r>
    </w:p>
    <w:p w14:paraId="268CB0E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20.2.2开标由采购代理机构指定专人负责，开标记录由投标人线上确</w:t>
      </w:r>
      <w:r>
        <w:rPr>
          <w:rFonts w:hint="eastAsia" w:ascii="仿宋" w:hAnsi="仿宋" w:eastAsia="仿宋" w:cs="仿宋"/>
          <w:color w:val="auto"/>
          <w:spacing w:val="-2"/>
          <w:sz w:val="24"/>
          <w:szCs w:val="24"/>
          <w:highlight w:val="none"/>
        </w:rPr>
        <w:t>认。</w:t>
      </w:r>
    </w:p>
    <w:p w14:paraId="34DC4F6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20.2.3投标人代表对开标过程和开标记录有疑义，以及认为采购人、采购</w:t>
      </w:r>
      <w:r>
        <w:rPr>
          <w:rFonts w:hint="eastAsia" w:ascii="仿宋" w:hAnsi="仿宋" w:eastAsia="仿宋" w:cs="仿宋"/>
          <w:color w:val="auto"/>
          <w:spacing w:val="-3"/>
          <w:sz w:val="24"/>
          <w:szCs w:val="24"/>
          <w:highlight w:val="none"/>
        </w:rPr>
        <w:t>代理机构相关工作人员有需要回避的情形的，应当场</w:t>
      </w:r>
      <w:r>
        <w:rPr>
          <w:rFonts w:hint="eastAsia" w:cs="仿宋"/>
          <w:color w:val="auto"/>
          <w:spacing w:val="-3"/>
          <w:sz w:val="24"/>
          <w:szCs w:val="24"/>
          <w:highlight w:val="none"/>
          <w:lang w:eastAsia="zh-CN"/>
        </w:rPr>
        <w:t>（</w:t>
      </w:r>
      <w:r>
        <w:rPr>
          <w:rFonts w:hint="eastAsia" w:ascii="仿宋" w:hAnsi="仿宋" w:eastAsia="仿宋" w:cs="仿宋"/>
          <w:color w:val="auto"/>
          <w:spacing w:val="-3"/>
          <w:sz w:val="24"/>
          <w:szCs w:val="24"/>
          <w:highlight w:val="none"/>
        </w:rPr>
        <w:t>在线</w:t>
      </w:r>
      <w:r>
        <w:rPr>
          <w:rFonts w:hint="eastAsia" w:cs="仿宋"/>
          <w:color w:val="auto"/>
          <w:spacing w:val="-3"/>
          <w:sz w:val="24"/>
          <w:szCs w:val="24"/>
          <w:highlight w:val="none"/>
          <w:lang w:eastAsia="zh-CN"/>
        </w:rPr>
        <w:t>）</w:t>
      </w:r>
      <w:r>
        <w:rPr>
          <w:rFonts w:hint="eastAsia" w:ascii="仿宋" w:hAnsi="仿宋" w:eastAsia="仿宋" w:cs="仿宋"/>
          <w:color w:val="auto"/>
          <w:spacing w:val="-3"/>
          <w:sz w:val="24"/>
          <w:szCs w:val="24"/>
          <w:highlight w:val="none"/>
        </w:rPr>
        <w:t>提出询问或者回避申</w:t>
      </w:r>
      <w:r>
        <w:rPr>
          <w:rFonts w:hint="eastAsia" w:ascii="仿宋" w:hAnsi="仿宋" w:eastAsia="仿宋" w:cs="仿宋"/>
          <w:color w:val="auto"/>
          <w:spacing w:val="-8"/>
          <w:sz w:val="24"/>
          <w:szCs w:val="24"/>
          <w:highlight w:val="none"/>
        </w:rPr>
        <w:t>请。采购人、采购代理机构对投标人代表提出的询问或者回避申请应当及时处理。</w:t>
      </w:r>
      <w:r>
        <w:rPr>
          <w:rFonts w:hint="eastAsia" w:ascii="仿宋" w:hAnsi="仿宋" w:eastAsia="仿宋" w:cs="仿宋"/>
          <w:color w:val="auto"/>
          <w:spacing w:val="-1"/>
          <w:sz w:val="24"/>
          <w:szCs w:val="24"/>
          <w:highlight w:val="none"/>
        </w:rPr>
        <w:t>投标人未参加开标的，视同认可开标结果。</w:t>
      </w:r>
    </w:p>
    <w:p w14:paraId="47F1E58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20.2.4投标人不足3家的，不得开标。</w:t>
      </w:r>
    </w:p>
    <w:p w14:paraId="4FBBA2F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20.2.5在评标结束前，投标单位请保持在线登录电子交易平台状态。评标</w:t>
      </w:r>
      <w:r>
        <w:rPr>
          <w:rFonts w:hint="eastAsia" w:ascii="仿宋" w:hAnsi="仿宋" w:eastAsia="仿宋" w:cs="仿宋"/>
          <w:color w:val="auto"/>
          <w:spacing w:val="-3"/>
          <w:sz w:val="24"/>
          <w:szCs w:val="24"/>
          <w:highlight w:val="none"/>
        </w:rPr>
        <w:t>过程中，如果评标委员会要求投标人对投标文件进行澄清、说明或补正，投标单位需要通过电子交易平台【专家问题澄清】功能，限时在线提交有投标单位电子</w:t>
      </w:r>
      <w:r>
        <w:rPr>
          <w:rFonts w:hint="eastAsia" w:ascii="仿宋" w:hAnsi="仿宋" w:eastAsia="仿宋" w:cs="仿宋"/>
          <w:color w:val="auto"/>
          <w:spacing w:val="-1"/>
          <w:sz w:val="24"/>
          <w:szCs w:val="24"/>
          <w:highlight w:val="none"/>
        </w:rPr>
        <w:t>签章的澄清，系统不接受超时的澄清。</w:t>
      </w:r>
    </w:p>
    <w:p w14:paraId="0B51121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4"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b/>
          <w:bCs/>
          <w:color w:val="auto"/>
          <w:spacing w:val="-2"/>
          <w:sz w:val="24"/>
          <w:szCs w:val="24"/>
          <w:highlight w:val="none"/>
        </w:rPr>
        <w:t>A．采用见面开标方式（是否采用详见投标人须知前</w:t>
      </w:r>
      <w:r>
        <w:rPr>
          <w:rFonts w:hint="eastAsia" w:ascii="仿宋" w:hAnsi="仿宋" w:eastAsia="仿宋" w:cs="仿宋"/>
          <w:b/>
          <w:bCs/>
          <w:color w:val="auto"/>
          <w:spacing w:val="-3"/>
          <w:sz w:val="24"/>
          <w:szCs w:val="24"/>
          <w:highlight w:val="none"/>
        </w:rPr>
        <w:t>附表）</w:t>
      </w:r>
    </w:p>
    <w:p w14:paraId="7A5E602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采购代理机构按照招标文件规定的时间、地点主持开标。投标人</w:t>
      </w:r>
      <w:r>
        <w:rPr>
          <w:rFonts w:hint="eastAsia" w:ascii="仿宋" w:hAnsi="仿宋" w:eastAsia="仿宋" w:cs="仿宋"/>
          <w:color w:val="auto"/>
          <w:spacing w:val="-4"/>
          <w:sz w:val="24"/>
          <w:szCs w:val="24"/>
          <w:highlight w:val="none"/>
        </w:rPr>
        <w:t>法定代表人</w:t>
      </w:r>
      <w:r>
        <w:rPr>
          <w:rFonts w:hint="eastAsia" w:ascii="仿宋" w:hAnsi="仿宋" w:eastAsia="仿宋" w:cs="仿宋"/>
          <w:color w:val="auto"/>
          <w:spacing w:val="-5"/>
          <w:sz w:val="24"/>
          <w:szCs w:val="24"/>
          <w:highlight w:val="none"/>
        </w:rPr>
        <w:t>或授权代理人应携带身份证明、电子密钥（电子证书）、未加密的电子投标文件</w:t>
      </w:r>
      <w:r>
        <w:rPr>
          <w:rFonts w:hint="eastAsia" w:ascii="仿宋" w:hAnsi="仿宋" w:eastAsia="仿宋" w:cs="仿宋"/>
          <w:color w:val="auto"/>
          <w:spacing w:val="-1"/>
          <w:sz w:val="24"/>
          <w:szCs w:val="24"/>
          <w:highlight w:val="none"/>
        </w:rPr>
        <w:t>（用信封密封）及应当提交的其他资料参加开标并签到。</w:t>
      </w:r>
    </w:p>
    <w:p w14:paraId="2AD777D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开标前，采购代理机构将会同监督人员或公证</w:t>
      </w:r>
      <w:r>
        <w:rPr>
          <w:rFonts w:hint="eastAsia" w:ascii="仿宋" w:hAnsi="仿宋" w:eastAsia="仿宋" w:cs="仿宋"/>
          <w:color w:val="auto"/>
          <w:spacing w:val="-4"/>
          <w:sz w:val="24"/>
          <w:szCs w:val="24"/>
          <w:highlight w:val="none"/>
        </w:rPr>
        <w:t>人员进行验标（检查网上招标</w:t>
      </w:r>
      <w:r>
        <w:rPr>
          <w:rFonts w:hint="eastAsia" w:ascii="仿宋" w:hAnsi="仿宋" w:eastAsia="仿宋" w:cs="仿宋"/>
          <w:color w:val="auto"/>
          <w:spacing w:val="-2"/>
          <w:sz w:val="24"/>
          <w:szCs w:val="24"/>
          <w:highlight w:val="none"/>
        </w:rPr>
        <w:t>系统正常与否，检查未加密的电子投标文件，检查投标人保证金交纳</w:t>
      </w:r>
      <w:r>
        <w:rPr>
          <w:rFonts w:hint="eastAsia" w:ascii="仿宋" w:hAnsi="仿宋" w:eastAsia="仿宋" w:cs="仿宋"/>
          <w:color w:val="auto"/>
          <w:spacing w:val="-3"/>
          <w:sz w:val="24"/>
          <w:szCs w:val="24"/>
          <w:highlight w:val="none"/>
        </w:rPr>
        <w:t>情况</w:t>
      </w:r>
      <w:r>
        <w:rPr>
          <w:rFonts w:hint="eastAsia" w:ascii="仿宋" w:hAnsi="仿宋" w:eastAsia="仿宋" w:cs="仿宋"/>
          <w:color w:val="auto"/>
          <w:spacing w:val="-18"/>
          <w:sz w:val="24"/>
          <w:szCs w:val="24"/>
          <w:highlight w:val="none"/>
        </w:rPr>
        <w:t>），</w:t>
      </w:r>
      <w:r>
        <w:rPr>
          <w:rFonts w:hint="eastAsia" w:ascii="仿宋" w:hAnsi="仿宋" w:eastAsia="仿宋" w:cs="仿宋"/>
          <w:color w:val="auto"/>
          <w:spacing w:val="-3"/>
          <w:sz w:val="24"/>
          <w:szCs w:val="24"/>
          <w:highlight w:val="none"/>
        </w:rPr>
        <w:t>确</w:t>
      </w:r>
      <w:r>
        <w:rPr>
          <w:rFonts w:hint="eastAsia" w:ascii="仿宋" w:hAnsi="仿宋" w:eastAsia="仿宋" w:cs="仿宋"/>
          <w:color w:val="auto"/>
          <w:spacing w:val="-2"/>
          <w:sz w:val="24"/>
          <w:szCs w:val="24"/>
          <w:highlight w:val="none"/>
        </w:rPr>
        <w:t>认无误后开标。开标时，各投标人应对本单位的加密的电子投标文件现场解密，</w:t>
      </w:r>
      <w:r>
        <w:rPr>
          <w:rFonts w:hint="eastAsia" w:ascii="仿宋" w:hAnsi="仿宋" w:eastAsia="仿宋" w:cs="仿宋"/>
          <w:color w:val="auto"/>
          <w:sz w:val="24"/>
          <w:szCs w:val="24"/>
          <w:highlight w:val="none"/>
        </w:rPr>
        <w:t>采购代理机构工作人员在监督人员或公证人员监</w:t>
      </w:r>
      <w:r>
        <w:rPr>
          <w:rFonts w:hint="eastAsia" w:ascii="仿宋" w:hAnsi="仿宋" w:eastAsia="仿宋" w:cs="仿宋"/>
          <w:color w:val="auto"/>
          <w:spacing w:val="-1"/>
          <w:sz w:val="24"/>
          <w:szCs w:val="24"/>
          <w:highlight w:val="none"/>
        </w:rPr>
        <w:t>督下解密所有投标文件。</w:t>
      </w:r>
    </w:p>
    <w:p w14:paraId="12F29FE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因网上招标系统故障导致所有投标人均解密失败时，投标人使用未加密的电</w:t>
      </w:r>
      <w:r>
        <w:rPr>
          <w:rFonts w:hint="eastAsia" w:ascii="仿宋" w:hAnsi="仿宋" w:eastAsia="仿宋" w:cs="仿宋"/>
          <w:color w:val="auto"/>
          <w:spacing w:val="-2"/>
          <w:sz w:val="24"/>
          <w:szCs w:val="24"/>
          <w:highlight w:val="none"/>
        </w:rPr>
        <w:t>子投标文件进行开评标。</w:t>
      </w:r>
    </w:p>
    <w:p w14:paraId="42CFF5D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right"/>
        <w:textAlignment w:val="baseline"/>
        <w:outlineLvl w:val="9"/>
        <w:rPr>
          <w:rFonts w:hint="eastAsia" w:ascii="仿宋" w:hAnsi="仿宋" w:eastAsia="仿宋" w:cs="仿宋"/>
          <w:color w:val="auto"/>
          <w:spacing w:val="-3"/>
          <w:sz w:val="24"/>
          <w:szCs w:val="24"/>
          <w:highlight w:val="none"/>
        </w:rPr>
      </w:pPr>
      <w:r>
        <w:rPr>
          <w:rFonts w:hint="eastAsia" w:ascii="仿宋" w:hAnsi="仿宋" w:eastAsia="仿宋" w:cs="仿宋"/>
          <w:color w:val="auto"/>
          <w:spacing w:val="-2"/>
          <w:sz w:val="24"/>
          <w:szCs w:val="24"/>
          <w:highlight w:val="none"/>
        </w:rPr>
        <w:t>开标时，采购代理机构将通过网上开标系统公布投标人名称、投标</w:t>
      </w:r>
      <w:r>
        <w:rPr>
          <w:rFonts w:hint="eastAsia" w:ascii="仿宋" w:hAnsi="仿宋" w:eastAsia="仿宋" w:cs="仿宋"/>
          <w:color w:val="auto"/>
          <w:spacing w:val="-3"/>
          <w:sz w:val="24"/>
          <w:szCs w:val="24"/>
          <w:highlight w:val="none"/>
        </w:rPr>
        <w:t>价格，以</w:t>
      </w:r>
    </w:p>
    <w:p w14:paraId="09AE8F0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及采购代理机构认为合适的</w:t>
      </w:r>
      <w:r>
        <w:rPr>
          <w:rFonts w:hint="eastAsia" w:cs="仿宋"/>
          <w:color w:val="auto"/>
          <w:spacing w:val="-3"/>
          <w:sz w:val="24"/>
          <w:szCs w:val="24"/>
          <w:highlight w:val="none"/>
          <w:lang w:eastAsia="zh-CN"/>
        </w:rPr>
        <w:t>其他</w:t>
      </w:r>
      <w:r>
        <w:rPr>
          <w:rFonts w:hint="eastAsia" w:ascii="仿宋" w:hAnsi="仿宋" w:eastAsia="仿宋" w:cs="仿宋"/>
          <w:color w:val="auto"/>
          <w:spacing w:val="-3"/>
          <w:sz w:val="24"/>
          <w:szCs w:val="24"/>
          <w:highlight w:val="none"/>
        </w:rPr>
        <w:t>详细内容。投标人若有报价和优惠未被唱出，应</w:t>
      </w:r>
      <w:r>
        <w:rPr>
          <w:rFonts w:hint="eastAsia" w:ascii="仿宋" w:hAnsi="仿宋" w:eastAsia="仿宋" w:cs="仿宋"/>
          <w:color w:val="auto"/>
          <w:spacing w:val="-1"/>
          <w:sz w:val="24"/>
          <w:szCs w:val="24"/>
          <w:highlight w:val="none"/>
        </w:rPr>
        <w:t>在开标时及时声明或提请注意，否则采购代理机构对此不承担任何责任。</w:t>
      </w:r>
    </w:p>
    <w:p w14:paraId="139F973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在评标结束前，未得到采购代理机构允许，投标人法定代</w:t>
      </w:r>
      <w:r>
        <w:rPr>
          <w:rFonts w:hint="eastAsia" w:ascii="仿宋" w:hAnsi="仿宋" w:eastAsia="仿宋" w:cs="仿宋"/>
          <w:color w:val="auto"/>
          <w:spacing w:val="-4"/>
          <w:sz w:val="24"/>
          <w:szCs w:val="24"/>
          <w:highlight w:val="none"/>
        </w:rPr>
        <w:t>表人或授权代理人</w:t>
      </w:r>
      <w:r>
        <w:rPr>
          <w:rFonts w:hint="eastAsia" w:ascii="仿宋" w:hAnsi="仿宋" w:eastAsia="仿宋" w:cs="仿宋"/>
          <w:color w:val="auto"/>
          <w:spacing w:val="-2"/>
          <w:sz w:val="24"/>
          <w:szCs w:val="24"/>
          <w:highlight w:val="none"/>
        </w:rPr>
        <w:t>不得离开开标现场。</w:t>
      </w:r>
    </w:p>
    <w:p w14:paraId="43844ED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4"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b/>
          <w:bCs/>
          <w:color w:val="auto"/>
          <w:spacing w:val="-2"/>
          <w:sz w:val="24"/>
          <w:szCs w:val="24"/>
          <w:highlight w:val="none"/>
        </w:rPr>
        <w:t>B．采用不见面开标方式（是否采用详见投标人须知前</w:t>
      </w:r>
      <w:r>
        <w:rPr>
          <w:rFonts w:hint="eastAsia" w:ascii="仿宋" w:hAnsi="仿宋" w:eastAsia="仿宋" w:cs="仿宋"/>
          <w:b/>
          <w:bCs/>
          <w:color w:val="auto"/>
          <w:spacing w:val="-3"/>
          <w:sz w:val="24"/>
          <w:szCs w:val="24"/>
          <w:highlight w:val="none"/>
        </w:rPr>
        <w:t>附表）</w:t>
      </w:r>
    </w:p>
    <w:p w14:paraId="34E5E34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招标人在规定的投标截止时间（开标时间）和投标人须</w:t>
      </w:r>
      <w:r>
        <w:rPr>
          <w:rFonts w:hint="eastAsia" w:ascii="仿宋" w:hAnsi="仿宋" w:eastAsia="仿宋" w:cs="仿宋"/>
          <w:color w:val="auto"/>
          <w:spacing w:val="-4"/>
          <w:sz w:val="24"/>
          <w:szCs w:val="24"/>
          <w:highlight w:val="none"/>
        </w:rPr>
        <w:t>知前附表规定的地点</w:t>
      </w:r>
      <w:r>
        <w:rPr>
          <w:rFonts w:hint="eastAsia" w:ascii="仿宋" w:hAnsi="仿宋" w:eastAsia="仿宋" w:cs="仿宋"/>
          <w:color w:val="auto"/>
          <w:spacing w:val="-3"/>
          <w:sz w:val="24"/>
          <w:szCs w:val="24"/>
          <w:highlight w:val="none"/>
        </w:rPr>
        <w:t>进行线上开标。投标人的法定代表人或其委托代理人无需到达开标现场，仅需在</w:t>
      </w:r>
      <w:r>
        <w:rPr>
          <w:rFonts w:hint="eastAsia" w:ascii="仿宋" w:hAnsi="仿宋" w:eastAsia="仿宋" w:cs="仿宋"/>
          <w:color w:val="auto"/>
          <w:spacing w:val="-1"/>
          <w:sz w:val="24"/>
          <w:szCs w:val="24"/>
          <w:highlight w:val="none"/>
        </w:rPr>
        <w:t>任意地点通过登录开标系统（见招标公告</w:t>
      </w:r>
      <w:r>
        <w:rPr>
          <w:rFonts w:hint="eastAsia" w:ascii="仿宋" w:hAnsi="仿宋" w:eastAsia="仿宋" w:cs="仿宋"/>
          <w:color w:val="auto"/>
          <w:spacing w:val="5"/>
          <w:sz w:val="24"/>
          <w:szCs w:val="24"/>
          <w:highlight w:val="none"/>
        </w:rPr>
        <w:t>），</w:t>
      </w:r>
      <w:r>
        <w:rPr>
          <w:rFonts w:hint="eastAsia" w:ascii="仿宋" w:hAnsi="仿宋" w:eastAsia="仿宋" w:cs="仿宋"/>
          <w:color w:val="auto"/>
          <w:spacing w:val="-1"/>
          <w:sz w:val="24"/>
          <w:szCs w:val="24"/>
          <w:highlight w:val="none"/>
        </w:rPr>
        <w:t>使用CA密钥完成远程解密、答疑澄清、开标唱标、结果公布等交互环节。</w:t>
      </w:r>
    </w:p>
    <w:p w14:paraId="28D7B2C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8" w:firstLineChars="200"/>
        <w:jc w:val="both"/>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法定代表人或法定代表人授权委托人参与远程交互，中</w:t>
      </w:r>
      <w:r>
        <w:rPr>
          <w:rFonts w:hint="eastAsia" w:ascii="仿宋" w:hAnsi="仿宋" w:eastAsia="仿宋" w:cs="仿宋"/>
          <w:color w:val="auto"/>
          <w:spacing w:val="-9"/>
          <w:sz w:val="24"/>
          <w:szCs w:val="24"/>
          <w:highlight w:val="none"/>
        </w:rPr>
        <w:t>途不得更换，在废标、</w:t>
      </w:r>
      <w:r>
        <w:rPr>
          <w:rFonts w:hint="eastAsia" w:ascii="仿宋" w:hAnsi="仿宋" w:eastAsia="仿宋" w:cs="仿宋"/>
          <w:color w:val="auto"/>
          <w:spacing w:val="-3"/>
          <w:sz w:val="24"/>
          <w:szCs w:val="24"/>
          <w:highlight w:val="none"/>
        </w:rPr>
        <w:t>澄清、提疑、传送文件等特殊情况下需要交互时，投标人一端参与交互的人员将均被视为是投标人的授权委托人或法人代表，投标人不得以不承认交互人员的资</w:t>
      </w:r>
      <w:r>
        <w:rPr>
          <w:rFonts w:hint="eastAsia" w:ascii="仿宋" w:hAnsi="仿宋" w:eastAsia="仿宋" w:cs="仿宋"/>
          <w:color w:val="auto"/>
          <w:sz w:val="24"/>
          <w:szCs w:val="24"/>
          <w:highlight w:val="none"/>
        </w:rPr>
        <w:t>格或身份等为借口推脱，投标人自行承担随意更换人</w:t>
      </w:r>
      <w:r>
        <w:rPr>
          <w:rFonts w:hint="eastAsia" w:ascii="仿宋" w:hAnsi="仿宋" w:eastAsia="仿宋" w:cs="仿宋"/>
          <w:color w:val="auto"/>
          <w:spacing w:val="-1"/>
          <w:sz w:val="24"/>
          <w:szCs w:val="24"/>
          <w:highlight w:val="none"/>
        </w:rPr>
        <w:t>员所导致的一切后果。</w:t>
      </w:r>
    </w:p>
    <w:p w14:paraId="66302BD4">
      <w:pPr>
        <w:pStyle w:val="6"/>
        <w:shd w:val="clear"/>
        <w:bidi w:val="0"/>
        <w:rPr>
          <w:rFonts w:hint="eastAsia"/>
          <w:color w:val="auto"/>
          <w:highlight w:val="none"/>
        </w:rPr>
      </w:pPr>
      <w:r>
        <w:rPr>
          <w:rFonts w:hint="eastAsia"/>
          <w:color w:val="auto"/>
          <w:highlight w:val="none"/>
        </w:rPr>
        <w:t>七、评标</w:t>
      </w:r>
    </w:p>
    <w:p w14:paraId="0C8863F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21.组建评标委员会</w:t>
      </w:r>
    </w:p>
    <w:p w14:paraId="48E8312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21.1评标委员会的组成</w:t>
      </w:r>
    </w:p>
    <w:p w14:paraId="2CC9E16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采购人按照《中华人民共和国政府采购法》以及有关规定组建评标委员会。评标由依法组建的评标委员会负责。评标委员会由采购人代表和评标专家组成，</w:t>
      </w:r>
      <w:r>
        <w:rPr>
          <w:rFonts w:hint="eastAsia" w:ascii="仿宋" w:hAnsi="仿宋" w:eastAsia="仿宋" w:cs="仿宋"/>
          <w:color w:val="auto"/>
          <w:spacing w:val="-1"/>
          <w:sz w:val="24"/>
          <w:szCs w:val="24"/>
          <w:highlight w:val="none"/>
        </w:rPr>
        <w:t>成员人数为5人以上单数其中经济、技术等方</w:t>
      </w:r>
      <w:r>
        <w:rPr>
          <w:rFonts w:hint="eastAsia" w:ascii="仿宋" w:hAnsi="仿宋" w:eastAsia="仿宋" w:cs="仿宋"/>
          <w:color w:val="auto"/>
          <w:spacing w:val="-2"/>
          <w:sz w:val="24"/>
          <w:szCs w:val="24"/>
          <w:highlight w:val="none"/>
        </w:rPr>
        <w:t>面的专家不少于三分之二。</w:t>
      </w:r>
    </w:p>
    <w:p w14:paraId="06986DE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评标专家对本单位的采购项目只能作为采购人代表参与评标，采</w:t>
      </w:r>
      <w:r>
        <w:rPr>
          <w:rFonts w:hint="eastAsia" w:ascii="仿宋" w:hAnsi="仿宋" w:eastAsia="仿宋" w:cs="仿宋"/>
          <w:color w:val="auto"/>
          <w:spacing w:val="-4"/>
          <w:sz w:val="24"/>
          <w:szCs w:val="24"/>
          <w:highlight w:val="none"/>
        </w:rPr>
        <w:t>购人可以自</w:t>
      </w:r>
      <w:r>
        <w:rPr>
          <w:rFonts w:hint="eastAsia" w:ascii="仿宋" w:hAnsi="仿宋" w:eastAsia="仿宋" w:cs="仿宋"/>
          <w:color w:val="auto"/>
          <w:spacing w:val="-3"/>
          <w:sz w:val="24"/>
          <w:szCs w:val="24"/>
          <w:highlight w:val="none"/>
        </w:rPr>
        <w:t>行选定相应专业领域评标专家的规定情形除外。采购代理机构在职工作人员不得</w:t>
      </w:r>
      <w:r>
        <w:rPr>
          <w:rFonts w:hint="eastAsia" w:ascii="仿宋" w:hAnsi="仿宋" w:eastAsia="仿宋" w:cs="仿宋"/>
          <w:color w:val="auto"/>
          <w:spacing w:val="-1"/>
          <w:sz w:val="24"/>
          <w:szCs w:val="24"/>
          <w:highlight w:val="none"/>
        </w:rPr>
        <w:t>以评标专家身份参与政府采购项目评标活动。</w:t>
      </w:r>
    </w:p>
    <w:p w14:paraId="46157E7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21.2评标专家的抽取</w:t>
      </w:r>
    </w:p>
    <w:p w14:paraId="7A0C77B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21.2.1采用随机抽取方式从省级以上财政部门设立的政府采购评标专家库</w:t>
      </w:r>
      <w:r>
        <w:rPr>
          <w:rFonts w:hint="eastAsia" w:ascii="仿宋" w:hAnsi="仿宋" w:eastAsia="仿宋" w:cs="仿宋"/>
          <w:color w:val="auto"/>
          <w:spacing w:val="-3"/>
          <w:sz w:val="24"/>
          <w:szCs w:val="24"/>
          <w:highlight w:val="none"/>
        </w:rPr>
        <w:t>中抽取评标专家。任何单位和个人都不得指定评标专家或干预评标专家的抽</w:t>
      </w:r>
      <w:r>
        <w:rPr>
          <w:rFonts w:hint="eastAsia" w:ascii="仿宋" w:hAnsi="仿宋" w:eastAsia="仿宋" w:cs="仿宋"/>
          <w:color w:val="auto"/>
          <w:spacing w:val="-4"/>
          <w:sz w:val="24"/>
          <w:szCs w:val="24"/>
          <w:highlight w:val="none"/>
        </w:rPr>
        <w:t>取工</w:t>
      </w:r>
      <w:r>
        <w:rPr>
          <w:rFonts w:hint="eastAsia" w:ascii="仿宋" w:hAnsi="仿宋" w:eastAsia="仿宋" w:cs="仿宋"/>
          <w:color w:val="auto"/>
          <w:spacing w:val="-7"/>
          <w:sz w:val="24"/>
          <w:szCs w:val="24"/>
          <w:highlight w:val="none"/>
        </w:rPr>
        <w:t>作。</w:t>
      </w:r>
    </w:p>
    <w:p w14:paraId="2D2CE4A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21.2.2参加评标专家抽取的有关人员对被抽取的专家的姓名、单位和联系</w:t>
      </w:r>
      <w:r>
        <w:rPr>
          <w:rFonts w:hint="eastAsia" w:ascii="仿宋" w:hAnsi="仿宋" w:eastAsia="仿宋" w:cs="仿宋"/>
          <w:color w:val="auto"/>
          <w:spacing w:val="-3"/>
          <w:sz w:val="24"/>
          <w:szCs w:val="24"/>
          <w:highlight w:val="none"/>
        </w:rPr>
        <w:t>方式等内容</w:t>
      </w:r>
      <w:r>
        <w:rPr>
          <w:rFonts w:hint="eastAsia" w:cs="仿宋"/>
          <w:color w:val="auto"/>
          <w:spacing w:val="-3"/>
          <w:sz w:val="24"/>
          <w:szCs w:val="24"/>
          <w:highlight w:val="none"/>
          <w:lang w:eastAsia="zh-CN"/>
        </w:rPr>
        <w:t>负有保密义务</w:t>
      </w:r>
      <w:r>
        <w:rPr>
          <w:rFonts w:hint="eastAsia" w:ascii="仿宋" w:hAnsi="仿宋" w:eastAsia="仿宋" w:cs="仿宋"/>
          <w:color w:val="auto"/>
          <w:spacing w:val="-3"/>
          <w:sz w:val="24"/>
          <w:szCs w:val="24"/>
          <w:highlight w:val="none"/>
        </w:rPr>
        <w:t>。评标委员会成员的名单在中标结果确定前必须严格保密。</w:t>
      </w:r>
    </w:p>
    <w:p w14:paraId="2DFF81B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21.3评标专家不得参加与自身存在利害关系的政府采购项目的评标及相关</w:t>
      </w:r>
      <w:r>
        <w:rPr>
          <w:rFonts w:hint="eastAsia" w:ascii="仿宋" w:hAnsi="仿宋" w:eastAsia="仿宋" w:cs="仿宋"/>
          <w:color w:val="auto"/>
          <w:spacing w:val="-5"/>
          <w:sz w:val="24"/>
          <w:szCs w:val="24"/>
          <w:highlight w:val="none"/>
        </w:rPr>
        <w:t>活动，与自己有利害关系的应当回避，已经进入的必须更换。</w:t>
      </w:r>
    </w:p>
    <w:p w14:paraId="08BAC11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21.4评标委员会负责对各投标文件进行评标、比较、评定，并按本招标文件的规定确定中标候选人名单，以及根据采购人委托</w:t>
      </w:r>
      <w:r>
        <w:rPr>
          <w:rFonts w:hint="eastAsia" w:ascii="仿宋" w:hAnsi="仿宋" w:eastAsia="仿宋" w:cs="仿宋"/>
          <w:color w:val="auto"/>
          <w:spacing w:val="-1"/>
          <w:sz w:val="24"/>
          <w:szCs w:val="24"/>
          <w:highlight w:val="none"/>
        </w:rPr>
        <w:t>直接确定中标人。</w:t>
      </w:r>
    </w:p>
    <w:p w14:paraId="4DDE914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21.5评标委员会具有依据招标文件进行独立评标的权力，且不受外界任何因素的干扰。评标委员会成员必须独立、负责地提出评标意见，并对自己的评标意见承担责任。对评标结果有不同意见的评标委员会成员应当以书面形式说明其不同意</w:t>
      </w:r>
      <w:r>
        <w:rPr>
          <w:rFonts w:hint="eastAsia" w:ascii="仿宋" w:hAnsi="仿宋" w:eastAsia="仿宋" w:cs="仿宋"/>
          <w:color w:val="auto"/>
          <w:spacing w:val="-1"/>
          <w:sz w:val="24"/>
          <w:szCs w:val="24"/>
          <w:highlight w:val="none"/>
        </w:rPr>
        <w:t>见和理由，评标报告应当注明不同意见。评标委员会成员拒绝评标或者拒绝在评标报告上签字并且又不书面说明其不同意见和理由的，视为同意评标结果。</w:t>
      </w:r>
    </w:p>
    <w:p w14:paraId="3C0B58D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21.6评标委员会的职责：</w:t>
      </w:r>
    </w:p>
    <w:p w14:paraId="62B28E8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jc w:val="righ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21.6.1审查、评价投标文件是否符合招标文件的商务、技术等实质性</w:t>
      </w:r>
      <w:r>
        <w:rPr>
          <w:rFonts w:hint="eastAsia" w:ascii="仿宋" w:hAnsi="仿宋" w:eastAsia="仿宋" w:cs="仿宋"/>
          <w:color w:val="auto"/>
          <w:spacing w:val="-5"/>
          <w:sz w:val="24"/>
          <w:szCs w:val="24"/>
          <w:highlight w:val="none"/>
        </w:rPr>
        <w:t>要求；</w:t>
      </w:r>
    </w:p>
    <w:p w14:paraId="71EBFD3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21.6.2要求投标人对投标文件有关事项作</w:t>
      </w:r>
      <w:r>
        <w:rPr>
          <w:rFonts w:hint="eastAsia" w:ascii="仿宋" w:hAnsi="仿宋" w:eastAsia="仿宋" w:cs="仿宋"/>
          <w:color w:val="auto"/>
          <w:spacing w:val="-2"/>
          <w:sz w:val="24"/>
          <w:szCs w:val="24"/>
          <w:highlight w:val="none"/>
        </w:rPr>
        <w:t>出澄清或者说明；</w:t>
      </w:r>
    </w:p>
    <w:p w14:paraId="736A05F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21.6.3对投标文件进行比较和评价；</w:t>
      </w:r>
    </w:p>
    <w:p w14:paraId="7AFE84A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21.6.4推荐中标候选人名单，或根据采购人委托直接确定中标人；</w:t>
      </w:r>
    </w:p>
    <w:p w14:paraId="1A461CD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jc w:val="righ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21.6.5向采购人、采购代理机构或者有关部门报告评标中发现的违法行为。</w:t>
      </w:r>
    </w:p>
    <w:p w14:paraId="6E4AC76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21.7评标委员会的义务：</w:t>
      </w:r>
    </w:p>
    <w:p w14:paraId="671FB1B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21.7.1遵纪守法，客观、公正、廉洁地</w:t>
      </w:r>
      <w:r>
        <w:rPr>
          <w:rFonts w:hint="eastAsia" w:ascii="仿宋" w:hAnsi="仿宋" w:eastAsia="仿宋" w:cs="仿宋"/>
          <w:color w:val="auto"/>
          <w:spacing w:val="-2"/>
          <w:sz w:val="24"/>
          <w:szCs w:val="24"/>
          <w:highlight w:val="none"/>
        </w:rPr>
        <w:t>履行职责；</w:t>
      </w:r>
    </w:p>
    <w:p w14:paraId="66798FE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21.7.2提出真实、可靠的评标意见；</w:t>
      </w:r>
    </w:p>
    <w:p w14:paraId="777A497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21.7.3严格遵守评标纪律，不得向外界泄露评标情况；</w:t>
      </w:r>
    </w:p>
    <w:p w14:paraId="4C56CAC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1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21.7.4发现投标人在招投标活动中有不正当竞争或者恶意串通等违规行</w:t>
      </w:r>
      <w:r>
        <w:rPr>
          <w:rFonts w:hint="eastAsia" w:ascii="仿宋" w:hAnsi="仿宋" w:eastAsia="仿宋" w:cs="仿宋"/>
          <w:color w:val="auto"/>
          <w:spacing w:val="-1"/>
          <w:sz w:val="24"/>
          <w:szCs w:val="24"/>
          <w:highlight w:val="none"/>
        </w:rPr>
        <w:t>为，应及时向监督部门报告并加以制止；</w:t>
      </w:r>
    </w:p>
    <w:p w14:paraId="3BC4E7E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21.7.5按照招标文件规定的评标方法和评标标准进行评标，对评标意见承</w:t>
      </w:r>
      <w:r>
        <w:rPr>
          <w:rFonts w:hint="eastAsia" w:ascii="仿宋" w:hAnsi="仿宋" w:eastAsia="仿宋" w:cs="仿宋"/>
          <w:color w:val="auto"/>
          <w:spacing w:val="-3"/>
          <w:sz w:val="24"/>
          <w:szCs w:val="24"/>
          <w:highlight w:val="none"/>
        </w:rPr>
        <w:t>担个人责任；</w:t>
      </w:r>
    </w:p>
    <w:p w14:paraId="5B87C33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21.7.6编写评标报告；</w:t>
      </w:r>
    </w:p>
    <w:p w14:paraId="7061252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21.7.7配合采购人或者采购代理机构答</w:t>
      </w:r>
      <w:r>
        <w:rPr>
          <w:rFonts w:hint="eastAsia" w:ascii="仿宋" w:hAnsi="仿宋" w:eastAsia="仿宋" w:cs="仿宋"/>
          <w:color w:val="auto"/>
          <w:spacing w:val="-2"/>
          <w:sz w:val="24"/>
          <w:szCs w:val="24"/>
          <w:highlight w:val="none"/>
        </w:rPr>
        <w:t>复投标人提出的质疑；</w:t>
      </w:r>
    </w:p>
    <w:p w14:paraId="6AF54C6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21.7.8对评标过程和结果，以及采购人、投标人的商业秘密保</w:t>
      </w:r>
      <w:r>
        <w:rPr>
          <w:rFonts w:hint="eastAsia" w:ascii="仿宋" w:hAnsi="仿宋" w:eastAsia="仿宋" w:cs="仿宋"/>
          <w:color w:val="auto"/>
          <w:spacing w:val="-2"/>
          <w:sz w:val="24"/>
          <w:szCs w:val="24"/>
          <w:highlight w:val="none"/>
        </w:rPr>
        <w:t>密；</w:t>
      </w:r>
    </w:p>
    <w:p w14:paraId="04E3E45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21.7.9配合监管部门处理投诉；</w:t>
      </w:r>
    </w:p>
    <w:p w14:paraId="2B4CF84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21.8评标委员会成员有下列情形之一的，</w:t>
      </w:r>
      <w:r>
        <w:rPr>
          <w:rFonts w:hint="eastAsia" w:ascii="仿宋" w:hAnsi="仿宋" w:eastAsia="仿宋" w:cs="仿宋"/>
          <w:color w:val="auto"/>
          <w:spacing w:val="-2"/>
          <w:sz w:val="24"/>
          <w:szCs w:val="24"/>
          <w:highlight w:val="none"/>
        </w:rPr>
        <w:t>应当回避：</w:t>
      </w:r>
    </w:p>
    <w:p w14:paraId="4534679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21.8.1投标人或者投标人主要负责人的近亲属；</w:t>
      </w:r>
    </w:p>
    <w:p w14:paraId="1528545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21.8.3参加过采购项目前期咨询论证的；</w:t>
      </w:r>
    </w:p>
    <w:p w14:paraId="1B160F6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21.8.4自身与政府采购项目存在利害关系的；</w:t>
      </w:r>
    </w:p>
    <w:p w14:paraId="112C577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21.9评标程序</w:t>
      </w:r>
    </w:p>
    <w:p w14:paraId="60A1BF8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21.9.1资格审查</w:t>
      </w:r>
    </w:p>
    <w:p w14:paraId="62750E8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21.9.2宣布评标纪律以及回避提示；</w:t>
      </w:r>
    </w:p>
    <w:p w14:paraId="5931C24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21.9.3组织推荐评标委员会组长；</w:t>
      </w:r>
    </w:p>
    <w:p w14:paraId="438EEBE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21.9.4符合性审查；</w:t>
      </w:r>
    </w:p>
    <w:p w14:paraId="7619366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21.9.5技术和商务评标；</w:t>
      </w:r>
    </w:p>
    <w:p w14:paraId="08E5E5C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rPr>
      </w:pPr>
      <w:r>
        <w:rPr>
          <w:rFonts w:hint="eastAsia" w:ascii="仿宋" w:hAnsi="仿宋" w:eastAsia="仿宋" w:cs="仿宋"/>
          <w:color w:val="auto"/>
          <w:spacing w:val="-3"/>
          <w:sz w:val="24"/>
          <w:szCs w:val="24"/>
          <w:highlight w:val="none"/>
        </w:rPr>
        <w:t>21.9.6澄清有关问题；</w:t>
      </w:r>
    </w:p>
    <w:p w14:paraId="70DF5ED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21.9.7比较与评价；</w:t>
      </w:r>
    </w:p>
    <w:p w14:paraId="28DCA75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21.9.8确定中标人或者推荐中标候选人名单；</w:t>
      </w:r>
    </w:p>
    <w:p w14:paraId="787A505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21.9.9编写评标报告。</w:t>
      </w:r>
    </w:p>
    <w:p w14:paraId="2645D70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21.9.10宣布评标结果。</w:t>
      </w:r>
    </w:p>
    <w:p w14:paraId="5C9478A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22.资格审查</w:t>
      </w:r>
    </w:p>
    <w:p w14:paraId="4CE3CA5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22.1公开招标采购项目开标结束后，采购人</w:t>
      </w:r>
      <w:r>
        <w:rPr>
          <w:rFonts w:hint="eastAsia" w:ascii="仿宋" w:hAnsi="仿宋" w:eastAsia="仿宋" w:cs="仿宋"/>
          <w:color w:val="auto"/>
          <w:spacing w:val="1"/>
          <w:sz w:val="24"/>
          <w:szCs w:val="24"/>
          <w:highlight w:val="none"/>
        </w:rPr>
        <w:t>或者采购代理机构依法对投标</w:t>
      </w:r>
      <w:r>
        <w:rPr>
          <w:rFonts w:hint="eastAsia" w:ascii="仿宋" w:hAnsi="仿宋" w:eastAsia="仿宋" w:cs="仿宋"/>
          <w:color w:val="auto"/>
          <w:spacing w:val="-3"/>
          <w:sz w:val="24"/>
          <w:szCs w:val="24"/>
          <w:highlight w:val="none"/>
        </w:rPr>
        <w:t>人的资格进行审查，以确定其是否符合招标文件的资格要求。未按招标文件要求提供资格证明文件的，属于不合格投标人。合格投标人不足3家的，不得评标。</w:t>
      </w:r>
    </w:p>
    <w:p w14:paraId="0E08988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3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2"/>
          <w:sz w:val="24"/>
          <w:szCs w:val="24"/>
          <w:highlight w:val="none"/>
        </w:rPr>
        <w:t>22.2采购人、采购代理机构通过“信用中国”网站</w:t>
      </w:r>
      <w:r>
        <w:rPr>
          <w:rFonts w:hint="eastAsia" w:ascii="仿宋" w:hAnsi="仿宋" w:eastAsia="仿宋" w:cs="仿宋"/>
          <w:color w:val="auto"/>
          <w:spacing w:val="-1"/>
          <w:sz w:val="24"/>
          <w:szCs w:val="24"/>
          <w:highlight w:val="none"/>
        </w:rPr>
        <w:t>（</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"https://www.creditchina.gov.cn"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pacing w:val="-1"/>
          <w:sz w:val="24"/>
          <w:szCs w:val="24"/>
          <w:highlight w:val="none"/>
        </w:rPr>
        <w:t>www.creditchina.gov.cn</w:t>
      </w:r>
      <w:r>
        <w:rPr>
          <w:rFonts w:hint="eastAsia" w:ascii="仿宋" w:hAnsi="仿宋" w:eastAsia="仿宋" w:cs="仿宋"/>
          <w:color w:val="auto"/>
          <w:spacing w:val="-1"/>
          <w:sz w:val="24"/>
          <w:szCs w:val="24"/>
          <w:highlight w:val="none"/>
        </w:rPr>
        <w:fldChar w:fldCharType="end"/>
      </w:r>
      <w:r>
        <w:rPr>
          <w:rFonts w:hint="eastAsia" w:ascii="仿宋" w:hAnsi="仿宋" w:eastAsia="仿宋" w:cs="仿宋"/>
          <w:color w:val="auto"/>
          <w:spacing w:val="-1"/>
          <w:sz w:val="24"/>
          <w:szCs w:val="24"/>
          <w:highlight w:val="none"/>
        </w:rPr>
        <w:t>）、中国政府采购网（</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"https://www.ccgp.gov.cn"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pacing w:val="-1"/>
          <w:sz w:val="24"/>
          <w:szCs w:val="24"/>
          <w:highlight w:val="none"/>
        </w:rPr>
        <w:t>www.ccgp.gov.cn</w:t>
      </w:r>
      <w:r>
        <w:rPr>
          <w:rFonts w:hint="eastAsia" w:ascii="仿宋" w:hAnsi="仿宋" w:eastAsia="仿宋" w:cs="仿宋"/>
          <w:color w:val="auto"/>
          <w:spacing w:val="-1"/>
          <w:sz w:val="24"/>
          <w:szCs w:val="24"/>
          <w:highlight w:val="none"/>
        </w:rPr>
        <w:fldChar w:fldCharType="end"/>
      </w:r>
      <w:r>
        <w:rPr>
          <w:rFonts w:hint="eastAsia" w:ascii="仿宋" w:hAnsi="仿宋" w:eastAsia="仿宋" w:cs="仿宋"/>
          <w:color w:val="auto"/>
          <w:spacing w:val="-1"/>
          <w:sz w:val="24"/>
          <w:szCs w:val="24"/>
          <w:highlight w:val="none"/>
        </w:rPr>
        <w:t>）查询投标</w:t>
      </w:r>
      <w:r>
        <w:rPr>
          <w:rFonts w:hint="eastAsia" w:ascii="仿宋" w:hAnsi="仿宋" w:eastAsia="仿宋" w:cs="仿宋"/>
          <w:color w:val="auto"/>
          <w:spacing w:val="-3"/>
          <w:sz w:val="24"/>
          <w:szCs w:val="24"/>
          <w:highlight w:val="none"/>
        </w:rPr>
        <w:t>人信用记录，查询时要将查询网页、内容进行截图或拍照，以作证据留存，截图或拍照内容要完整清晰，应包括网站网址、查询内容、电脑截屏时间。采购人或者采购代理机构应当对投标人信用记录进行甄别，对列入失信被执行人、重大税收违法案件当事人名单、政府采购严重违法失信行为记录名单及其他不符合《中华人民共和国政府采购法》第二十二条规定条件的投标人，应当拒绝其参加政府</w:t>
      </w:r>
      <w:r>
        <w:rPr>
          <w:rFonts w:hint="eastAsia" w:ascii="仿宋" w:hAnsi="仿宋" w:eastAsia="仿宋" w:cs="仿宋"/>
          <w:color w:val="auto"/>
          <w:spacing w:val="-8"/>
          <w:sz w:val="24"/>
          <w:szCs w:val="24"/>
          <w:highlight w:val="none"/>
        </w:rPr>
        <w:t>采购活动，其投标无效；两个以上的自然人、法人或者其他组织组成一个联合体，</w:t>
      </w:r>
      <w:r>
        <w:rPr>
          <w:rFonts w:hint="eastAsia" w:ascii="仿宋" w:hAnsi="仿宋" w:eastAsia="仿宋" w:cs="仿宋"/>
          <w:color w:val="auto"/>
          <w:spacing w:val="-3"/>
          <w:sz w:val="24"/>
          <w:szCs w:val="24"/>
          <w:highlight w:val="none"/>
        </w:rPr>
        <w:t>以一个投标人的身份共同参加政府采购活动的，应当对所有联合体成员进行信用记录查询，联合体成员存在不良信用记录的，视同联合体存在不良信用记录，其</w:t>
      </w:r>
      <w:r>
        <w:rPr>
          <w:rFonts w:hint="eastAsia" w:ascii="仿宋" w:hAnsi="仿宋" w:eastAsia="仿宋" w:cs="仿宋"/>
          <w:color w:val="auto"/>
          <w:sz w:val="24"/>
          <w:szCs w:val="24"/>
          <w:highlight w:val="none"/>
        </w:rPr>
        <w:t>投标无效。信用信息查询记录及相关证据应当与其他采购</w:t>
      </w:r>
      <w:r>
        <w:rPr>
          <w:rFonts w:hint="eastAsia" w:ascii="仿宋" w:hAnsi="仿宋" w:eastAsia="仿宋" w:cs="仿宋"/>
          <w:color w:val="auto"/>
          <w:spacing w:val="-1"/>
          <w:sz w:val="24"/>
          <w:szCs w:val="24"/>
          <w:highlight w:val="none"/>
        </w:rPr>
        <w:t>文件一并保存。</w:t>
      </w:r>
    </w:p>
    <w:p w14:paraId="7B28E0B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22.3在资格性审查时，对属于不合格投标人，采购人或者采购代理机构必</w:t>
      </w:r>
      <w:r>
        <w:rPr>
          <w:rFonts w:hint="eastAsia" w:ascii="仿宋" w:hAnsi="仿宋" w:eastAsia="仿宋" w:cs="仿宋"/>
          <w:color w:val="auto"/>
          <w:spacing w:val="-1"/>
          <w:sz w:val="24"/>
          <w:szCs w:val="24"/>
          <w:highlight w:val="none"/>
        </w:rPr>
        <w:t>须提出不合格的事实依据并出具不合格说明。</w:t>
      </w:r>
    </w:p>
    <w:p w14:paraId="5A8636A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23.评标过程</w:t>
      </w:r>
    </w:p>
    <w:p w14:paraId="0A1CB50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23.1采购人或者采购代理机构负责组织评标工作，并履行下列职责：</w:t>
      </w:r>
    </w:p>
    <w:p w14:paraId="44AE744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23.1.1核对评标专家身份和采购人代表</w:t>
      </w:r>
      <w:r>
        <w:rPr>
          <w:rFonts w:hint="eastAsia" w:ascii="仿宋" w:hAnsi="仿宋" w:eastAsia="仿宋" w:cs="仿宋"/>
          <w:color w:val="auto"/>
          <w:spacing w:val="1"/>
          <w:sz w:val="24"/>
          <w:szCs w:val="24"/>
          <w:highlight w:val="none"/>
        </w:rPr>
        <w:t>授权函，对评标专家在政府采购活</w:t>
      </w:r>
      <w:r>
        <w:rPr>
          <w:rFonts w:hint="eastAsia" w:ascii="仿宋" w:hAnsi="仿宋" w:eastAsia="仿宋" w:cs="仿宋"/>
          <w:color w:val="auto"/>
          <w:spacing w:val="-1"/>
          <w:sz w:val="24"/>
          <w:szCs w:val="24"/>
          <w:highlight w:val="none"/>
        </w:rPr>
        <w:t>动中的职责履行情况予以记录，并及时将有关违法违规行为向财政部门报告；</w:t>
      </w:r>
    </w:p>
    <w:p w14:paraId="7F23A1D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23.1.2宣布评标纪律；</w:t>
      </w:r>
    </w:p>
    <w:p w14:paraId="7242A90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23.1.3公布投标人名单，告知评标专家应当回避的情形；</w:t>
      </w:r>
    </w:p>
    <w:p w14:paraId="48B311A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23.1.4组织评标委员会推选评标组长，采购人代表不得担任组长；</w:t>
      </w:r>
    </w:p>
    <w:p w14:paraId="0DA5466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jc w:val="righ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23.1.5在评标期间采取必要的通讯管理措施，保证评标活动不受外界干扰；</w:t>
      </w:r>
    </w:p>
    <w:p w14:paraId="4C40093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23.1.6根据评标委员会的要求介绍政府采购相关政策法规、招标文件；</w:t>
      </w:r>
    </w:p>
    <w:p w14:paraId="2F5C882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23.1.7维护评标秩序，监督评标委员会依照招标文件规定的评标程序、方</w:t>
      </w:r>
      <w:r>
        <w:rPr>
          <w:rFonts w:hint="eastAsia" w:ascii="仿宋" w:hAnsi="仿宋" w:eastAsia="仿宋" w:cs="仿宋"/>
          <w:color w:val="auto"/>
          <w:spacing w:val="-3"/>
          <w:sz w:val="24"/>
          <w:szCs w:val="24"/>
          <w:highlight w:val="none"/>
        </w:rPr>
        <w:t>法和标准进行独立评标，及时制止和纠正采购人代表、评标专家的倾向性言论或</w:t>
      </w:r>
      <w:r>
        <w:rPr>
          <w:rFonts w:hint="eastAsia" w:ascii="仿宋" w:hAnsi="仿宋" w:eastAsia="仿宋" w:cs="仿宋"/>
          <w:color w:val="auto"/>
          <w:spacing w:val="-2"/>
          <w:sz w:val="24"/>
          <w:szCs w:val="24"/>
          <w:highlight w:val="none"/>
        </w:rPr>
        <w:t>者违法违规行为；</w:t>
      </w:r>
    </w:p>
    <w:p w14:paraId="1997060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23.1.8核对评标结果，有以下情形的，</w:t>
      </w:r>
      <w:r>
        <w:rPr>
          <w:rFonts w:hint="eastAsia" w:ascii="仿宋" w:hAnsi="仿宋" w:eastAsia="仿宋" w:cs="仿宋"/>
          <w:color w:val="auto"/>
          <w:spacing w:val="1"/>
          <w:sz w:val="24"/>
          <w:szCs w:val="24"/>
          <w:highlight w:val="none"/>
        </w:rPr>
        <w:t>要求评标委员会复核或者书面说明</w:t>
      </w:r>
    </w:p>
    <w:p w14:paraId="36D7803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理由，评标委员会拒绝的，应予记录并向本级财政部门报告；</w:t>
      </w:r>
    </w:p>
    <w:p w14:paraId="3A86719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23.1.8.1分值汇总计算错误的；</w:t>
      </w:r>
    </w:p>
    <w:p w14:paraId="130AB50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23.1.8.2分项评分超出评分标准范围的；</w:t>
      </w:r>
    </w:p>
    <w:p w14:paraId="5AF42D1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23.1.8.3评标委员会成员对客观评标因素评分不一致的；</w:t>
      </w:r>
    </w:p>
    <w:p w14:paraId="090E877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23.1.8.4经评标委员会认定评分畸高、畸低的。</w:t>
      </w:r>
    </w:p>
    <w:p w14:paraId="2D0A36F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23.1.9评标工作完成后，按照规定向评标专家支付劳务报酬和异地评标差</w:t>
      </w:r>
      <w:r>
        <w:rPr>
          <w:rFonts w:hint="eastAsia" w:ascii="仿宋" w:hAnsi="仿宋" w:eastAsia="仿宋" w:cs="仿宋"/>
          <w:color w:val="auto"/>
          <w:spacing w:val="-1"/>
          <w:sz w:val="24"/>
          <w:szCs w:val="24"/>
          <w:highlight w:val="none"/>
        </w:rPr>
        <w:t>旅费，不得向评标专家以外的其他人员支付评标劳务报酬；</w:t>
      </w:r>
    </w:p>
    <w:p w14:paraId="1AE3B5C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23.1.10处理与评标有关的其他事项。</w:t>
      </w:r>
    </w:p>
    <w:p w14:paraId="30DE0BB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采购人可以在评标前说明项目背景和采购需求，说明内容不得含有歧视性、</w:t>
      </w:r>
      <w:r>
        <w:rPr>
          <w:rFonts w:hint="eastAsia" w:ascii="仿宋" w:hAnsi="仿宋" w:eastAsia="仿宋" w:cs="仿宋"/>
          <w:color w:val="auto"/>
          <w:spacing w:val="-3"/>
          <w:sz w:val="24"/>
          <w:szCs w:val="24"/>
          <w:highlight w:val="none"/>
        </w:rPr>
        <w:t>倾向性意见，不得超出招标文件所述范围。说明应当提交书面材料，并随采购文</w:t>
      </w:r>
      <w:r>
        <w:rPr>
          <w:rFonts w:hint="eastAsia" w:ascii="仿宋" w:hAnsi="仿宋" w:eastAsia="仿宋" w:cs="仿宋"/>
          <w:color w:val="auto"/>
          <w:spacing w:val="-2"/>
          <w:sz w:val="24"/>
          <w:szCs w:val="24"/>
          <w:highlight w:val="none"/>
        </w:rPr>
        <w:t>件一并存档。</w:t>
      </w:r>
    </w:p>
    <w:p w14:paraId="26644F0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23.2符合性审查</w:t>
      </w:r>
    </w:p>
    <w:p w14:paraId="7DB342D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评标委员会应当对符合资格的投标人的投标文件进行符合性审查</w:t>
      </w:r>
      <w:r>
        <w:rPr>
          <w:rFonts w:hint="eastAsia" w:ascii="仿宋" w:hAnsi="仿宋" w:eastAsia="仿宋" w:cs="仿宋"/>
          <w:color w:val="auto"/>
          <w:spacing w:val="-4"/>
          <w:sz w:val="24"/>
          <w:szCs w:val="24"/>
          <w:highlight w:val="none"/>
        </w:rPr>
        <w:t>，以确定其</w:t>
      </w:r>
      <w:r>
        <w:rPr>
          <w:rFonts w:hint="eastAsia" w:ascii="仿宋" w:hAnsi="仿宋" w:eastAsia="仿宋" w:cs="仿宋"/>
          <w:color w:val="auto"/>
          <w:spacing w:val="-1"/>
          <w:sz w:val="24"/>
          <w:szCs w:val="24"/>
          <w:highlight w:val="none"/>
        </w:rPr>
        <w:t>是否满足招标文件的实质性要求。</w:t>
      </w:r>
    </w:p>
    <w:p w14:paraId="5B3F72C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在符合性审查时，对属于投标无效的投标人，评标委员会</w:t>
      </w:r>
      <w:r>
        <w:rPr>
          <w:rFonts w:hint="eastAsia" w:ascii="仿宋" w:hAnsi="仿宋" w:eastAsia="仿宋" w:cs="仿宋"/>
          <w:color w:val="auto"/>
          <w:spacing w:val="-4"/>
          <w:sz w:val="24"/>
          <w:szCs w:val="24"/>
          <w:highlight w:val="none"/>
        </w:rPr>
        <w:t>必须提出投标无效</w:t>
      </w:r>
      <w:r>
        <w:rPr>
          <w:rFonts w:hint="eastAsia" w:ascii="仿宋" w:hAnsi="仿宋" w:eastAsia="仿宋" w:cs="仿宋"/>
          <w:color w:val="auto"/>
          <w:spacing w:val="-2"/>
          <w:sz w:val="24"/>
          <w:szCs w:val="24"/>
          <w:highlight w:val="none"/>
        </w:rPr>
        <w:t>的事实依据，并出具投标无效说明。</w:t>
      </w:r>
    </w:p>
    <w:p w14:paraId="4D9CD74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23.3技术和商务评标</w:t>
      </w:r>
    </w:p>
    <w:p w14:paraId="625FF4F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23.3.1评标委员会按照招标文件中规</w:t>
      </w:r>
      <w:r>
        <w:rPr>
          <w:rFonts w:hint="eastAsia" w:ascii="仿宋" w:hAnsi="仿宋" w:eastAsia="仿宋" w:cs="仿宋"/>
          <w:color w:val="auto"/>
          <w:spacing w:val="1"/>
          <w:sz w:val="24"/>
          <w:szCs w:val="24"/>
          <w:highlight w:val="none"/>
        </w:rPr>
        <w:t>定的评标方法和标准，对符合性审查</w:t>
      </w:r>
      <w:r>
        <w:rPr>
          <w:rFonts w:hint="eastAsia" w:ascii="仿宋" w:hAnsi="仿宋" w:eastAsia="仿宋" w:cs="仿宋"/>
          <w:color w:val="auto"/>
          <w:spacing w:val="-2"/>
          <w:sz w:val="24"/>
          <w:szCs w:val="24"/>
          <w:highlight w:val="none"/>
        </w:rPr>
        <w:t>合格的投标文件进行商务和技术评估（包括政府采购政策执行</w:t>
      </w:r>
      <w:r>
        <w:rPr>
          <w:rFonts w:hint="eastAsia" w:ascii="仿宋" w:hAnsi="仿宋" w:eastAsia="仿宋" w:cs="仿宋"/>
          <w:color w:val="auto"/>
          <w:spacing w:val="-19"/>
          <w:sz w:val="24"/>
          <w:szCs w:val="24"/>
          <w:highlight w:val="none"/>
        </w:rPr>
        <w:t>），</w:t>
      </w:r>
      <w:r>
        <w:rPr>
          <w:rFonts w:hint="eastAsia" w:ascii="仿宋" w:hAnsi="仿宋" w:eastAsia="仿宋" w:cs="仿宋"/>
          <w:color w:val="auto"/>
          <w:spacing w:val="-2"/>
          <w:sz w:val="24"/>
          <w:szCs w:val="24"/>
          <w:highlight w:val="none"/>
        </w:rPr>
        <w:t>综合比较与评</w:t>
      </w:r>
      <w:r>
        <w:rPr>
          <w:rFonts w:hint="eastAsia" w:ascii="仿宋" w:hAnsi="仿宋" w:eastAsia="仿宋" w:cs="仿宋"/>
          <w:color w:val="auto"/>
          <w:spacing w:val="-5"/>
          <w:sz w:val="24"/>
          <w:szCs w:val="24"/>
          <w:highlight w:val="none"/>
        </w:rPr>
        <w:t>价。</w:t>
      </w:r>
    </w:p>
    <w:p w14:paraId="42CE32B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23.3.2采用综合评分法的，评标委员</w:t>
      </w:r>
      <w:r>
        <w:rPr>
          <w:rFonts w:hint="eastAsia" w:ascii="仿宋" w:hAnsi="仿宋" w:eastAsia="仿宋" w:cs="仿宋"/>
          <w:color w:val="auto"/>
          <w:spacing w:val="1"/>
          <w:sz w:val="24"/>
          <w:szCs w:val="24"/>
          <w:highlight w:val="none"/>
        </w:rPr>
        <w:t>会各成员应当独立对每个投标人的投</w:t>
      </w:r>
      <w:r>
        <w:rPr>
          <w:rFonts w:hint="eastAsia" w:ascii="仿宋" w:hAnsi="仿宋" w:eastAsia="仿宋" w:cs="仿宋"/>
          <w:color w:val="auto"/>
          <w:spacing w:val="-1"/>
          <w:sz w:val="24"/>
          <w:szCs w:val="24"/>
          <w:highlight w:val="none"/>
        </w:rPr>
        <w:t>标文件进行评价，并汇总每个投标人的得分。</w:t>
      </w:r>
    </w:p>
    <w:p w14:paraId="4BA4515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23.3.3评标委员会发现招标文件存在</w:t>
      </w:r>
      <w:r>
        <w:rPr>
          <w:rFonts w:hint="eastAsia" w:ascii="仿宋" w:hAnsi="仿宋" w:eastAsia="仿宋" w:cs="仿宋"/>
          <w:color w:val="auto"/>
          <w:spacing w:val="1"/>
          <w:sz w:val="24"/>
          <w:szCs w:val="24"/>
          <w:highlight w:val="none"/>
        </w:rPr>
        <w:t>歧义、重大缺陷导致评标工作无法进</w:t>
      </w:r>
      <w:r>
        <w:rPr>
          <w:rFonts w:hint="eastAsia" w:ascii="仿宋" w:hAnsi="仿宋" w:eastAsia="仿宋" w:cs="仿宋"/>
          <w:color w:val="auto"/>
          <w:spacing w:val="-3"/>
          <w:sz w:val="24"/>
          <w:szCs w:val="24"/>
          <w:highlight w:val="none"/>
        </w:rPr>
        <w:t>行，或者招标文件内容违反国家有关强制性规定的，应当停止评标工作，与采购人或者采购代理机构沟通并作书面记录。采购人或者采购代理机构确认后，应当</w:t>
      </w:r>
      <w:r>
        <w:rPr>
          <w:rFonts w:hint="eastAsia" w:ascii="仿宋" w:hAnsi="仿宋" w:eastAsia="仿宋" w:cs="仿宋"/>
          <w:color w:val="auto"/>
          <w:spacing w:val="-1"/>
          <w:sz w:val="24"/>
          <w:szCs w:val="24"/>
          <w:highlight w:val="none"/>
        </w:rPr>
        <w:t>修改招标文件，重新组织采购活动。</w:t>
      </w:r>
    </w:p>
    <w:p w14:paraId="4190899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23.3.4采用最低评标价法的采购项目，提供相同品牌产品（非单一</w:t>
      </w:r>
      <w:r>
        <w:rPr>
          <w:rFonts w:hint="eastAsia" w:ascii="仿宋" w:hAnsi="仿宋" w:eastAsia="仿宋" w:cs="仿宋"/>
          <w:color w:val="auto"/>
          <w:spacing w:val="-1"/>
          <w:sz w:val="24"/>
          <w:szCs w:val="24"/>
          <w:highlight w:val="none"/>
        </w:rPr>
        <w:t>产品采</w:t>
      </w:r>
      <w:r>
        <w:rPr>
          <w:rFonts w:hint="eastAsia" w:ascii="仿宋" w:hAnsi="仿宋" w:eastAsia="仿宋" w:cs="仿宋"/>
          <w:color w:val="auto"/>
          <w:spacing w:val="-2"/>
          <w:sz w:val="24"/>
          <w:szCs w:val="24"/>
          <w:highlight w:val="none"/>
        </w:rPr>
        <w:t>购项目，系指采购人确定的核心产品）的不同投标人参加同一合同项下投标的，</w:t>
      </w:r>
      <w:r>
        <w:rPr>
          <w:rFonts w:hint="eastAsia" w:ascii="仿宋" w:hAnsi="仿宋" w:eastAsia="仿宋" w:cs="仿宋"/>
          <w:color w:val="auto"/>
          <w:spacing w:val="-3"/>
          <w:sz w:val="24"/>
          <w:szCs w:val="24"/>
          <w:highlight w:val="none"/>
        </w:rPr>
        <w:t>以其中通过资格审查、符合性审查且报价最低的参加评标；报价相同的，由采购</w:t>
      </w:r>
      <w:r>
        <w:rPr>
          <w:rFonts w:hint="eastAsia" w:ascii="仿宋" w:hAnsi="仿宋" w:eastAsia="仿宋" w:cs="仿宋"/>
          <w:color w:val="auto"/>
          <w:spacing w:val="-2"/>
          <w:sz w:val="24"/>
          <w:szCs w:val="24"/>
          <w:highlight w:val="none"/>
        </w:rPr>
        <w:t>人或者采购人委托评标委员会采取随机抽取的方式确定一个参加评标的投标人，其他投标无效。</w:t>
      </w:r>
    </w:p>
    <w:p w14:paraId="7C9D927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pacing w:val="-4"/>
          <w:sz w:val="24"/>
          <w:szCs w:val="24"/>
          <w:highlight w:val="none"/>
        </w:rPr>
      </w:pPr>
      <w:r>
        <w:rPr>
          <w:rFonts w:hint="eastAsia" w:ascii="仿宋" w:hAnsi="仿宋" w:eastAsia="仿宋" w:cs="仿宋"/>
          <w:color w:val="auto"/>
          <w:sz w:val="24"/>
          <w:szCs w:val="24"/>
          <w:highlight w:val="none"/>
        </w:rPr>
        <w:t>23.3.5使用综合评分法的采购项目，提供相同品牌产品（非单一产品采购</w:t>
      </w:r>
      <w:r>
        <w:rPr>
          <w:rFonts w:hint="eastAsia" w:ascii="仿宋" w:hAnsi="仿宋" w:eastAsia="仿宋" w:cs="仿宋"/>
          <w:color w:val="auto"/>
          <w:spacing w:val="-3"/>
          <w:sz w:val="24"/>
          <w:szCs w:val="24"/>
          <w:highlight w:val="none"/>
        </w:rPr>
        <w:t>项目，系指采购人确定的核心产品）且通过资格审查、符合性审查的不同投</w:t>
      </w:r>
      <w:r>
        <w:rPr>
          <w:rFonts w:hint="eastAsia" w:ascii="仿宋" w:hAnsi="仿宋" w:eastAsia="仿宋" w:cs="仿宋"/>
          <w:color w:val="auto"/>
          <w:spacing w:val="-4"/>
          <w:sz w:val="24"/>
          <w:szCs w:val="24"/>
          <w:highlight w:val="none"/>
        </w:rPr>
        <w:t>标人</w:t>
      </w:r>
      <w:r>
        <w:rPr>
          <w:rFonts w:hint="eastAsia" w:ascii="仿宋" w:hAnsi="仿宋" w:eastAsia="仿宋" w:cs="仿宋"/>
          <w:color w:val="auto"/>
          <w:spacing w:val="-3"/>
          <w:sz w:val="24"/>
          <w:szCs w:val="24"/>
          <w:highlight w:val="none"/>
        </w:rPr>
        <w:t>参加同一合同项下投标的，按一家投标人计算，评标后得分最高的同品牌投</w:t>
      </w:r>
      <w:r>
        <w:rPr>
          <w:rFonts w:hint="eastAsia" w:ascii="仿宋" w:hAnsi="仿宋" w:eastAsia="仿宋" w:cs="仿宋"/>
          <w:color w:val="auto"/>
          <w:spacing w:val="-4"/>
          <w:sz w:val="24"/>
          <w:szCs w:val="24"/>
          <w:highlight w:val="none"/>
        </w:rPr>
        <w:t>标人</w:t>
      </w:r>
    </w:p>
    <w:p w14:paraId="041D48B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获得中标人推荐资格；评标得分相同的，由采购人或者采购人委托评标</w:t>
      </w:r>
      <w:r>
        <w:rPr>
          <w:rFonts w:hint="eastAsia" w:ascii="仿宋" w:hAnsi="仿宋" w:eastAsia="仿宋" w:cs="仿宋"/>
          <w:color w:val="auto"/>
          <w:spacing w:val="-4"/>
          <w:sz w:val="24"/>
          <w:szCs w:val="24"/>
          <w:highlight w:val="none"/>
        </w:rPr>
        <w:t>委员会采</w:t>
      </w:r>
      <w:r>
        <w:rPr>
          <w:rFonts w:hint="eastAsia" w:ascii="仿宋" w:hAnsi="仿宋" w:eastAsia="仿宋" w:cs="仿宋"/>
          <w:color w:val="auto"/>
          <w:spacing w:val="-3"/>
          <w:sz w:val="24"/>
          <w:szCs w:val="24"/>
          <w:highlight w:val="none"/>
        </w:rPr>
        <w:t>取随机抽取的方式确定一个投标人获得中标人推荐资格，其他同品牌投标人</w:t>
      </w:r>
      <w:r>
        <w:rPr>
          <w:rFonts w:hint="eastAsia" w:ascii="仿宋" w:hAnsi="仿宋" w:eastAsia="仿宋" w:cs="仿宋"/>
          <w:color w:val="auto"/>
          <w:spacing w:val="-4"/>
          <w:sz w:val="24"/>
          <w:szCs w:val="24"/>
          <w:highlight w:val="none"/>
        </w:rPr>
        <w:t>不作</w:t>
      </w:r>
      <w:r>
        <w:rPr>
          <w:rFonts w:hint="eastAsia" w:ascii="仿宋" w:hAnsi="仿宋" w:eastAsia="仿宋" w:cs="仿宋"/>
          <w:color w:val="auto"/>
          <w:spacing w:val="-2"/>
          <w:sz w:val="24"/>
          <w:szCs w:val="24"/>
          <w:highlight w:val="none"/>
        </w:rPr>
        <w:t>为中标候选人。</w:t>
      </w:r>
    </w:p>
    <w:p w14:paraId="5193D26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24.投标的澄清</w:t>
      </w:r>
    </w:p>
    <w:p w14:paraId="76ECFAF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24.1如果评标委员会要求投标人对投标文件中含义不明确、同类问题表述</w:t>
      </w:r>
      <w:r>
        <w:rPr>
          <w:rFonts w:hint="eastAsia" w:ascii="仿宋" w:hAnsi="仿宋" w:eastAsia="仿宋" w:cs="仿宋"/>
          <w:color w:val="auto"/>
          <w:spacing w:val="-3"/>
          <w:sz w:val="24"/>
          <w:szCs w:val="24"/>
          <w:highlight w:val="none"/>
        </w:rPr>
        <w:t>不一致或者有明显文字和计算错误的内容进行澄清、说明或者补正时，评标委员会需通过电子交易平台【发起澄清】功能，要求投标人在</w:t>
      </w:r>
      <w:r>
        <w:rPr>
          <w:rFonts w:hint="eastAsia" w:cs="仿宋"/>
          <w:color w:val="auto"/>
          <w:spacing w:val="-3"/>
          <w:sz w:val="24"/>
          <w:szCs w:val="24"/>
          <w:highlight w:val="none"/>
          <w:lang w:eastAsia="zh-CN"/>
        </w:rPr>
        <w:t>规定的时间内作出</w:t>
      </w:r>
      <w:r>
        <w:rPr>
          <w:rFonts w:hint="eastAsia" w:ascii="仿宋" w:hAnsi="仿宋" w:eastAsia="仿宋" w:cs="仿宋"/>
          <w:color w:val="auto"/>
          <w:spacing w:val="-4"/>
          <w:sz w:val="24"/>
          <w:szCs w:val="24"/>
          <w:highlight w:val="none"/>
        </w:rPr>
        <w:t>必要</w:t>
      </w:r>
      <w:r>
        <w:rPr>
          <w:rFonts w:hint="eastAsia" w:ascii="仿宋" w:hAnsi="仿宋" w:eastAsia="仿宋" w:cs="仿宋"/>
          <w:color w:val="auto"/>
          <w:spacing w:val="-3"/>
          <w:sz w:val="24"/>
          <w:szCs w:val="24"/>
          <w:highlight w:val="none"/>
        </w:rPr>
        <w:t>的澄清、说明或者补正。投标人需通过电子交易平台【专家问题澄清】功能，限</w:t>
      </w:r>
      <w:r>
        <w:rPr>
          <w:rFonts w:hint="eastAsia" w:ascii="仿宋" w:hAnsi="仿宋" w:eastAsia="仿宋" w:cs="仿宋"/>
          <w:color w:val="auto"/>
          <w:spacing w:val="-8"/>
          <w:sz w:val="24"/>
          <w:szCs w:val="24"/>
          <w:highlight w:val="none"/>
        </w:rPr>
        <w:t>时在线提交有投标单位电子签章的澄清；系统不接受超时的澄清。投标人的澄清、</w:t>
      </w:r>
      <w:r>
        <w:rPr>
          <w:rFonts w:hint="eastAsia" w:ascii="仿宋" w:hAnsi="仿宋" w:eastAsia="仿宋" w:cs="仿宋"/>
          <w:color w:val="auto"/>
          <w:sz w:val="24"/>
          <w:szCs w:val="24"/>
          <w:highlight w:val="none"/>
        </w:rPr>
        <w:t>说明或者补正不得超出投标文件的范围或者改变</w:t>
      </w:r>
      <w:r>
        <w:rPr>
          <w:rFonts w:hint="eastAsia" w:ascii="仿宋" w:hAnsi="仿宋" w:eastAsia="仿宋" w:cs="仿宋"/>
          <w:color w:val="auto"/>
          <w:spacing w:val="-1"/>
          <w:sz w:val="24"/>
          <w:szCs w:val="24"/>
          <w:highlight w:val="none"/>
        </w:rPr>
        <w:t>投标文件的实质性内容。</w:t>
      </w:r>
    </w:p>
    <w:p w14:paraId="7E9E609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24.2评标委员会判断投标文件的投标性仅</w:t>
      </w:r>
      <w:r>
        <w:rPr>
          <w:rFonts w:hint="eastAsia" w:ascii="仿宋" w:hAnsi="仿宋" w:eastAsia="仿宋" w:cs="仿宋"/>
          <w:color w:val="auto"/>
          <w:spacing w:val="1"/>
          <w:sz w:val="24"/>
          <w:szCs w:val="24"/>
          <w:highlight w:val="none"/>
        </w:rPr>
        <w:t>基于投标文件本身而不靠外部因</w:t>
      </w:r>
      <w:r>
        <w:rPr>
          <w:rFonts w:hint="eastAsia" w:ascii="仿宋" w:hAnsi="仿宋" w:eastAsia="仿宋" w:cs="仿宋"/>
          <w:color w:val="auto"/>
          <w:spacing w:val="-3"/>
          <w:sz w:val="24"/>
          <w:szCs w:val="24"/>
          <w:highlight w:val="none"/>
        </w:rPr>
        <w:t>素。未投标实质性条款的，评标委员会有权确定其投标无效，投</w:t>
      </w:r>
      <w:r>
        <w:rPr>
          <w:rFonts w:hint="eastAsia" w:ascii="仿宋" w:hAnsi="仿宋" w:eastAsia="仿宋" w:cs="仿宋"/>
          <w:color w:val="auto"/>
          <w:spacing w:val="-4"/>
          <w:sz w:val="24"/>
          <w:szCs w:val="24"/>
          <w:highlight w:val="none"/>
        </w:rPr>
        <w:t>标人不能通过修</w:t>
      </w:r>
      <w:r>
        <w:rPr>
          <w:rFonts w:hint="eastAsia" w:ascii="仿宋" w:hAnsi="仿宋" w:eastAsia="仿宋" w:cs="仿宋"/>
          <w:color w:val="auto"/>
          <w:spacing w:val="-1"/>
          <w:sz w:val="24"/>
          <w:szCs w:val="24"/>
          <w:highlight w:val="none"/>
        </w:rPr>
        <w:t>正、撤销或者澄清不符之处而使其投标成为实质性投标的投标。</w:t>
      </w:r>
    </w:p>
    <w:p w14:paraId="6F0FE56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24.3评标委员会认为投标人的报价明显低</w:t>
      </w:r>
      <w:r>
        <w:rPr>
          <w:rFonts w:hint="eastAsia" w:ascii="仿宋" w:hAnsi="仿宋" w:eastAsia="仿宋" w:cs="仿宋"/>
          <w:color w:val="auto"/>
          <w:spacing w:val="1"/>
          <w:sz w:val="24"/>
          <w:szCs w:val="24"/>
          <w:highlight w:val="none"/>
        </w:rPr>
        <w:t>于其他通过符合性审查投标人的</w:t>
      </w:r>
      <w:r>
        <w:rPr>
          <w:rFonts w:hint="eastAsia" w:ascii="仿宋" w:hAnsi="仿宋" w:eastAsia="仿宋" w:cs="仿宋"/>
          <w:color w:val="auto"/>
          <w:spacing w:val="-3"/>
          <w:sz w:val="24"/>
          <w:szCs w:val="24"/>
          <w:highlight w:val="none"/>
        </w:rPr>
        <w:t>报价，有可能影响产品质量或者不能诚信履约的，应当通过【发起报</w:t>
      </w:r>
      <w:r>
        <w:rPr>
          <w:rFonts w:hint="eastAsia" w:ascii="仿宋" w:hAnsi="仿宋" w:eastAsia="仿宋" w:cs="仿宋"/>
          <w:color w:val="auto"/>
          <w:spacing w:val="-4"/>
          <w:sz w:val="24"/>
          <w:szCs w:val="24"/>
          <w:highlight w:val="none"/>
        </w:rPr>
        <w:t>价说明】功</w:t>
      </w:r>
      <w:r>
        <w:rPr>
          <w:rFonts w:hint="eastAsia" w:ascii="仿宋" w:hAnsi="仿宋" w:eastAsia="仿宋" w:cs="仿宋"/>
          <w:color w:val="auto"/>
          <w:spacing w:val="-3"/>
          <w:sz w:val="24"/>
          <w:szCs w:val="24"/>
          <w:highlight w:val="none"/>
        </w:rPr>
        <w:t>能，要求其在合理的时间内提交书面说明，必要时提交相关证明材料</w:t>
      </w:r>
      <w:r>
        <w:rPr>
          <w:rFonts w:hint="eastAsia" w:ascii="仿宋" w:hAnsi="仿宋" w:eastAsia="仿宋" w:cs="仿宋"/>
          <w:color w:val="auto"/>
          <w:spacing w:val="-4"/>
          <w:sz w:val="24"/>
          <w:szCs w:val="24"/>
          <w:highlight w:val="none"/>
        </w:rPr>
        <w:t>，投标人需</w:t>
      </w:r>
      <w:r>
        <w:rPr>
          <w:rFonts w:hint="eastAsia" w:ascii="仿宋" w:hAnsi="仿宋" w:eastAsia="仿宋" w:cs="仿宋"/>
          <w:color w:val="auto"/>
          <w:spacing w:val="-3"/>
          <w:sz w:val="24"/>
          <w:szCs w:val="24"/>
          <w:highlight w:val="none"/>
        </w:rPr>
        <w:t>通过电子交易平台【报价说明】功能证明其报价合理性；对于投标人</w:t>
      </w:r>
      <w:r>
        <w:rPr>
          <w:rFonts w:hint="eastAsia" w:ascii="仿宋" w:hAnsi="仿宋" w:eastAsia="仿宋" w:cs="仿宋"/>
          <w:color w:val="auto"/>
          <w:spacing w:val="-4"/>
          <w:sz w:val="24"/>
          <w:szCs w:val="24"/>
          <w:highlight w:val="none"/>
        </w:rPr>
        <w:t>不能证明其</w:t>
      </w:r>
      <w:r>
        <w:rPr>
          <w:rFonts w:hint="eastAsia" w:ascii="仿宋" w:hAnsi="仿宋" w:eastAsia="仿宋" w:cs="仿宋"/>
          <w:color w:val="auto"/>
          <w:spacing w:val="-1"/>
          <w:sz w:val="24"/>
          <w:szCs w:val="24"/>
          <w:highlight w:val="none"/>
        </w:rPr>
        <w:t>报价合理性的，评标委员会应当将其作为无效投标处理。</w:t>
      </w:r>
    </w:p>
    <w:p w14:paraId="36113C1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25.定标</w:t>
      </w:r>
    </w:p>
    <w:p w14:paraId="13A0044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25.1评标委员会根据投标人须知前附表的</w:t>
      </w:r>
      <w:r>
        <w:rPr>
          <w:rFonts w:hint="eastAsia" w:ascii="仿宋" w:hAnsi="仿宋" w:eastAsia="仿宋" w:cs="仿宋"/>
          <w:color w:val="auto"/>
          <w:spacing w:val="1"/>
          <w:sz w:val="24"/>
          <w:szCs w:val="24"/>
          <w:highlight w:val="none"/>
        </w:rPr>
        <w:t>规定确定中标候选人或直接确定</w:t>
      </w:r>
      <w:r>
        <w:rPr>
          <w:rFonts w:hint="eastAsia" w:ascii="仿宋" w:hAnsi="仿宋" w:eastAsia="仿宋" w:cs="仿宋"/>
          <w:color w:val="auto"/>
          <w:spacing w:val="-10"/>
          <w:sz w:val="24"/>
          <w:szCs w:val="24"/>
          <w:highlight w:val="none"/>
        </w:rPr>
        <w:t>中标人。</w:t>
      </w:r>
    </w:p>
    <w:p w14:paraId="55CCF8A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25.2本次招标评标办法：见投标人须知前附表。</w:t>
      </w:r>
    </w:p>
    <w:p w14:paraId="270D7EF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25.3采用综合评分法的，评标结果按评标</w:t>
      </w:r>
      <w:r>
        <w:rPr>
          <w:rFonts w:hint="eastAsia" w:ascii="仿宋" w:hAnsi="仿宋" w:eastAsia="仿宋" w:cs="仿宋"/>
          <w:color w:val="auto"/>
          <w:spacing w:val="1"/>
          <w:sz w:val="24"/>
          <w:szCs w:val="24"/>
          <w:highlight w:val="none"/>
        </w:rPr>
        <w:t>后得分由高到低顺序排列。得分</w:t>
      </w:r>
      <w:r>
        <w:rPr>
          <w:rFonts w:hint="eastAsia" w:ascii="仿宋" w:hAnsi="仿宋" w:eastAsia="仿宋" w:cs="仿宋"/>
          <w:color w:val="auto"/>
          <w:spacing w:val="-3"/>
          <w:sz w:val="24"/>
          <w:szCs w:val="24"/>
          <w:highlight w:val="none"/>
        </w:rPr>
        <w:t>相同的，按投标报价由低到高顺序排列。得分且投标报价相同的并列。投标文件满足招标文件全部实质性要求，且按照评标因素的量化指标评标得分最高的投标</w:t>
      </w:r>
      <w:r>
        <w:rPr>
          <w:rFonts w:hint="eastAsia" w:ascii="仿宋" w:hAnsi="仿宋" w:eastAsia="仿宋" w:cs="仿宋"/>
          <w:color w:val="auto"/>
          <w:spacing w:val="-1"/>
          <w:sz w:val="24"/>
          <w:szCs w:val="24"/>
          <w:highlight w:val="none"/>
        </w:rPr>
        <w:t>人为排名第一的中标候选人。</w:t>
      </w:r>
    </w:p>
    <w:p w14:paraId="0A12036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25.4采用最低评标价法的，评标结果按投</w:t>
      </w:r>
      <w:r>
        <w:rPr>
          <w:rFonts w:hint="eastAsia" w:ascii="仿宋" w:hAnsi="仿宋" w:eastAsia="仿宋" w:cs="仿宋"/>
          <w:color w:val="auto"/>
          <w:spacing w:val="1"/>
          <w:sz w:val="24"/>
          <w:szCs w:val="24"/>
          <w:highlight w:val="none"/>
        </w:rPr>
        <w:t>标报价由低到高顺序排列，投标</w:t>
      </w:r>
      <w:r>
        <w:rPr>
          <w:rFonts w:hint="eastAsia" w:ascii="仿宋" w:hAnsi="仿宋" w:eastAsia="仿宋" w:cs="仿宋"/>
          <w:color w:val="auto"/>
          <w:spacing w:val="-3"/>
          <w:sz w:val="24"/>
          <w:szCs w:val="24"/>
          <w:highlight w:val="none"/>
        </w:rPr>
        <w:t>报价相同的并列。投标文件满足招标文件全部实质性要求且投标报价最低的投标</w:t>
      </w:r>
      <w:r>
        <w:rPr>
          <w:rFonts w:hint="eastAsia" w:ascii="仿宋" w:hAnsi="仿宋" w:eastAsia="仿宋" w:cs="仿宋"/>
          <w:color w:val="auto"/>
          <w:spacing w:val="-1"/>
          <w:sz w:val="24"/>
          <w:szCs w:val="24"/>
          <w:highlight w:val="none"/>
        </w:rPr>
        <w:t>人为排名第一的中标候选人。</w:t>
      </w:r>
    </w:p>
    <w:p w14:paraId="562C702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rPr>
      </w:pPr>
      <w:r>
        <w:rPr>
          <w:rFonts w:hint="eastAsia" w:ascii="仿宋" w:hAnsi="仿宋" w:eastAsia="仿宋" w:cs="仿宋"/>
          <w:color w:val="auto"/>
          <w:spacing w:val="-3"/>
          <w:sz w:val="24"/>
          <w:szCs w:val="24"/>
          <w:highlight w:val="none"/>
        </w:rPr>
        <w:t>25.5对于分包招标的项目，投标人可以选择多包投标但限制中标包数的，中标人的选择按照投标人须知前附表“分包及中标规定”确定。</w:t>
      </w:r>
    </w:p>
    <w:p w14:paraId="6250E8F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pacing w:val="-3"/>
          <w:sz w:val="24"/>
          <w:szCs w:val="24"/>
          <w:highlight w:val="none"/>
        </w:rPr>
      </w:pPr>
      <w:r>
        <w:rPr>
          <w:rFonts w:hint="eastAsia" w:ascii="仿宋" w:hAnsi="仿宋" w:eastAsia="仿宋" w:cs="仿宋"/>
          <w:color w:val="auto"/>
          <w:spacing w:val="-3"/>
          <w:sz w:val="24"/>
          <w:szCs w:val="24"/>
          <w:highlight w:val="none"/>
        </w:rPr>
        <w:t>25.6评标委员会成员对需要共同认定的事项存在争议的，应当按照少数服从多数的原则作出结论。持不同意见的评标委员会成员应当在评标报告上签署不同意见及理由，否则视为同意评标报告。</w:t>
      </w:r>
    </w:p>
    <w:p w14:paraId="001A733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25.7评标结果汇总完成后，除下列情形外</w:t>
      </w:r>
      <w:r>
        <w:rPr>
          <w:rFonts w:hint="eastAsia" w:ascii="仿宋" w:hAnsi="仿宋" w:eastAsia="仿宋" w:cs="仿宋"/>
          <w:color w:val="auto"/>
          <w:spacing w:val="-1"/>
          <w:sz w:val="24"/>
          <w:szCs w:val="24"/>
          <w:highlight w:val="none"/>
        </w:rPr>
        <w:t>，任何人不得修改评标结果：</w:t>
      </w:r>
    </w:p>
    <w:p w14:paraId="35772A1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（一）分值汇总计算错误的；</w:t>
      </w:r>
    </w:p>
    <w:p w14:paraId="7DB0957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（二）分项评分超出评分标准范围的；</w:t>
      </w:r>
    </w:p>
    <w:p w14:paraId="637B512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（三）评标委员会成员对客观评标因素评分不一致的；</w:t>
      </w:r>
    </w:p>
    <w:p w14:paraId="28B11CF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（四）经评标委员会认定评分畸高、畸低的。</w:t>
      </w:r>
    </w:p>
    <w:p w14:paraId="5E65D37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评标报告签署前，经复核发现存在以上情形之一的，评标委员会</w:t>
      </w:r>
      <w:r>
        <w:rPr>
          <w:rFonts w:hint="eastAsia" w:ascii="仿宋" w:hAnsi="仿宋" w:eastAsia="仿宋" w:cs="仿宋"/>
          <w:color w:val="auto"/>
          <w:spacing w:val="-4"/>
          <w:sz w:val="24"/>
          <w:szCs w:val="24"/>
          <w:highlight w:val="none"/>
        </w:rPr>
        <w:t>应当当场修</w:t>
      </w:r>
      <w:r>
        <w:rPr>
          <w:rFonts w:hint="eastAsia" w:ascii="仿宋" w:hAnsi="仿宋" w:eastAsia="仿宋" w:cs="仿宋"/>
          <w:color w:val="auto"/>
          <w:spacing w:val="-3"/>
          <w:sz w:val="24"/>
          <w:szCs w:val="24"/>
          <w:highlight w:val="none"/>
        </w:rPr>
        <w:t>改评标结果，并在评标报告中记载；评标报告签署后，采购人或者采购代理机构发现存在以上情形之一的，应当组织原评标委员会进行重新评标，重新评标改变</w:t>
      </w:r>
      <w:r>
        <w:rPr>
          <w:rFonts w:hint="eastAsia" w:ascii="仿宋" w:hAnsi="仿宋" w:eastAsia="仿宋" w:cs="仿宋"/>
          <w:color w:val="auto"/>
          <w:spacing w:val="-1"/>
          <w:sz w:val="24"/>
          <w:szCs w:val="24"/>
          <w:highlight w:val="none"/>
        </w:rPr>
        <w:t>评标结果的，书面报告本级财政部门。</w:t>
      </w:r>
    </w:p>
    <w:p w14:paraId="57B8402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25.8评标委员会根据全体评标成员签字的</w:t>
      </w:r>
      <w:r>
        <w:rPr>
          <w:rFonts w:hint="eastAsia" w:ascii="仿宋" w:hAnsi="仿宋" w:eastAsia="仿宋" w:cs="仿宋"/>
          <w:color w:val="auto"/>
          <w:spacing w:val="1"/>
          <w:sz w:val="24"/>
          <w:szCs w:val="24"/>
          <w:highlight w:val="none"/>
        </w:rPr>
        <w:t>原始评标记录和评标结果编写评</w:t>
      </w:r>
      <w:r>
        <w:rPr>
          <w:rFonts w:hint="eastAsia" w:ascii="仿宋" w:hAnsi="仿宋" w:eastAsia="仿宋" w:cs="仿宋"/>
          <w:color w:val="auto"/>
          <w:spacing w:val="-2"/>
          <w:sz w:val="24"/>
          <w:szCs w:val="24"/>
          <w:highlight w:val="none"/>
        </w:rPr>
        <w:t>标报告。</w:t>
      </w:r>
    </w:p>
    <w:p w14:paraId="4EE3D8E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26.评标相关要求</w:t>
      </w:r>
    </w:p>
    <w:p w14:paraId="232CCFA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26.1开标之后，直到签订合同止，凡是属于审查、澄清、评价和比较投标</w:t>
      </w:r>
      <w:r>
        <w:rPr>
          <w:rFonts w:hint="eastAsia" w:ascii="仿宋" w:hAnsi="仿宋" w:eastAsia="仿宋" w:cs="仿宋"/>
          <w:color w:val="auto"/>
          <w:spacing w:val="-1"/>
          <w:sz w:val="24"/>
          <w:szCs w:val="24"/>
          <w:highlight w:val="none"/>
        </w:rPr>
        <w:t>的有关资料以及定标意向等，均不向投标人或者其他与评标无关的人员透露。</w:t>
      </w:r>
    </w:p>
    <w:p w14:paraId="096B4D2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26.2在确定中标人之前，投标人试图在投标文件审查、澄清、比较和</w:t>
      </w:r>
      <w:r>
        <w:rPr>
          <w:rFonts w:hint="eastAsia" w:ascii="仿宋" w:hAnsi="仿宋" w:eastAsia="仿宋" w:cs="仿宋"/>
          <w:color w:val="auto"/>
          <w:spacing w:val="-1"/>
          <w:sz w:val="24"/>
          <w:szCs w:val="24"/>
          <w:highlight w:val="none"/>
        </w:rPr>
        <w:t>评标</w:t>
      </w:r>
      <w:r>
        <w:rPr>
          <w:rFonts w:hint="eastAsia" w:ascii="仿宋" w:hAnsi="仿宋" w:eastAsia="仿宋" w:cs="仿宋"/>
          <w:color w:val="auto"/>
          <w:spacing w:val="-3"/>
          <w:sz w:val="24"/>
          <w:szCs w:val="24"/>
          <w:highlight w:val="none"/>
        </w:rPr>
        <w:t>时对评标委员会、采购人和采购代理机构施加任何影响都可能导致其投标无效。</w:t>
      </w:r>
    </w:p>
    <w:p w14:paraId="47FCFB1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26.3电子招投标的应急措施</w:t>
      </w:r>
    </w:p>
    <w:p w14:paraId="62BCE07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26.3.1电子开标、评标如出现下列原因，导致系统无</w:t>
      </w:r>
      <w:r>
        <w:rPr>
          <w:rFonts w:hint="eastAsia" w:ascii="仿宋" w:hAnsi="仿宋" w:eastAsia="仿宋" w:cs="仿宋"/>
          <w:color w:val="auto"/>
          <w:sz w:val="24"/>
          <w:szCs w:val="24"/>
          <w:highlight w:val="none"/>
        </w:rPr>
        <w:t>法正常运行或无法正</w:t>
      </w:r>
      <w:r>
        <w:rPr>
          <w:rFonts w:hint="eastAsia" w:ascii="仿宋" w:hAnsi="仿宋" w:eastAsia="仿宋" w:cs="仿宋"/>
          <w:color w:val="auto"/>
          <w:spacing w:val="-3"/>
          <w:sz w:val="24"/>
          <w:szCs w:val="24"/>
          <w:highlight w:val="none"/>
        </w:rPr>
        <w:t>常评标时，应采取应急措施。</w:t>
      </w:r>
    </w:p>
    <w:p w14:paraId="133B9D3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（1）系统服务器发生故障，无法访问或无法使用系统；</w:t>
      </w:r>
    </w:p>
    <w:p w14:paraId="3A9B0BB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（2）系统的软件或数据库出现错误，不能进行</w:t>
      </w:r>
      <w:r>
        <w:rPr>
          <w:rFonts w:hint="eastAsia" w:ascii="仿宋" w:hAnsi="仿宋" w:eastAsia="仿宋" w:cs="仿宋"/>
          <w:color w:val="auto"/>
          <w:spacing w:val="-3"/>
          <w:sz w:val="24"/>
          <w:szCs w:val="24"/>
          <w:highlight w:val="none"/>
        </w:rPr>
        <w:t>正常操作；</w:t>
      </w:r>
    </w:p>
    <w:p w14:paraId="6952542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（3）系统发现有安全漏洞，有潜在的泄密危险；</w:t>
      </w:r>
    </w:p>
    <w:p w14:paraId="5989A3F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（4）病毒发作或受到外来病毒的攻击；</w:t>
      </w:r>
    </w:p>
    <w:p w14:paraId="75C59C9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（5）出现其他不可抗拒的客观原因造成开评标系统无法正常使用。</w:t>
      </w:r>
    </w:p>
    <w:p w14:paraId="005989D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出现上述情况时，应对未开标的暂停开标。已在系统内开标、评标的</w:t>
      </w:r>
      <w:r>
        <w:rPr>
          <w:rFonts w:hint="eastAsia" w:ascii="仿宋" w:hAnsi="仿宋" w:eastAsia="仿宋" w:cs="仿宋"/>
          <w:color w:val="auto"/>
          <w:spacing w:val="-5"/>
          <w:sz w:val="24"/>
          <w:szCs w:val="24"/>
          <w:highlight w:val="none"/>
        </w:rPr>
        <w:t>立即停</w:t>
      </w:r>
      <w:r>
        <w:rPr>
          <w:rFonts w:hint="eastAsia" w:ascii="仿宋" w:hAnsi="仿宋" w:eastAsia="仿宋" w:cs="仿宋"/>
          <w:color w:val="auto"/>
          <w:spacing w:val="-1"/>
          <w:sz w:val="24"/>
          <w:szCs w:val="24"/>
          <w:highlight w:val="none"/>
        </w:rPr>
        <w:t>止。采取应急措施时，必须对原有资料及信息作出妥善保密处理。</w:t>
      </w:r>
    </w:p>
    <w:p w14:paraId="13E08C6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26.3.2因系统原因导致投标人均无法解密电子投标文件时，采购代理机构</w:t>
      </w:r>
      <w:r>
        <w:rPr>
          <w:rFonts w:hint="eastAsia" w:ascii="仿宋" w:hAnsi="仿宋" w:eastAsia="仿宋" w:cs="仿宋"/>
          <w:color w:val="auto"/>
          <w:spacing w:val="4"/>
          <w:sz w:val="24"/>
          <w:szCs w:val="24"/>
          <w:highlight w:val="none"/>
        </w:rPr>
        <w:t>可在开标现场直接导入投标人在投标截止时间前递交的未加密的电子投标文件</w:t>
      </w:r>
      <w:r>
        <w:rPr>
          <w:rFonts w:hint="eastAsia" w:ascii="仿宋" w:hAnsi="仿宋" w:eastAsia="仿宋" w:cs="仿宋"/>
          <w:color w:val="auto"/>
          <w:spacing w:val="-2"/>
          <w:sz w:val="24"/>
          <w:szCs w:val="24"/>
          <w:highlight w:val="none"/>
        </w:rPr>
        <w:t>进行开标、评标。</w:t>
      </w:r>
    </w:p>
    <w:p w14:paraId="3587030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0"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rPr>
        <w:t>27.投标人瑕疵滞后发现的处理规则</w:t>
      </w:r>
    </w:p>
    <w:p w14:paraId="21431CE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27.1无论基于何种原因，各项本应作拒绝处理的情形即便未被及时发现而</w:t>
      </w:r>
      <w:r>
        <w:rPr>
          <w:rFonts w:hint="eastAsia" w:ascii="仿宋" w:hAnsi="仿宋" w:eastAsia="仿宋" w:cs="仿宋"/>
          <w:color w:val="auto"/>
          <w:spacing w:val="-3"/>
          <w:sz w:val="24"/>
          <w:szCs w:val="24"/>
          <w:highlight w:val="none"/>
        </w:rPr>
        <w:t>使该投标人进入初审、综合评标或其他后续程序，包括已经签订合同的情形，一旦投标人被拒绝或该投标人的此前评议结果被取消，其现有的位置将被其他投标</w:t>
      </w:r>
      <w:r>
        <w:rPr>
          <w:rFonts w:hint="eastAsia" w:ascii="仿宋" w:hAnsi="仿宋" w:eastAsia="仿宋" w:cs="仿宋"/>
          <w:color w:val="auto"/>
          <w:spacing w:val="-1"/>
          <w:sz w:val="24"/>
          <w:szCs w:val="24"/>
          <w:highlight w:val="none"/>
        </w:rPr>
        <w:t>人依序替代，相关的一切损失均由该投标人承担。</w:t>
      </w:r>
    </w:p>
    <w:p w14:paraId="0330EDB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28.中标公告以及中标通知书</w:t>
      </w:r>
    </w:p>
    <w:p w14:paraId="62F120E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28.1评标结束后，不再现场宣布评标结果</w:t>
      </w:r>
      <w:r>
        <w:rPr>
          <w:rFonts w:hint="eastAsia" w:ascii="仿宋" w:hAnsi="仿宋" w:eastAsia="仿宋" w:cs="仿宋"/>
          <w:color w:val="auto"/>
          <w:spacing w:val="1"/>
          <w:sz w:val="24"/>
          <w:szCs w:val="24"/>
          <w:highlight w:val="none"/>
        </w:rPr>
        <w:t>。采购人或者采购代理机构应当</w:t>
      </w:r>
      <w:r>
        <w:rPr>
          <w:rFonts w:hint="eastAsia" w:ascii="仿宋" w:hAnsi="仿宋" w:eastAsia="仿宋" w:cs="仿宋"/>
          <w:color w:val="auto"/>
          <w:spacing w:val="-3"/>
          <w:sz w:val="24"/>
          <w:szCs w:val="24"/>
          <w:highlight w:val="none"/>
        </w:rPr>
        <w:t>自中标人确定后立即发出中标通知书，并在政采云平台</w:t>
      </w:r>
      <w:r>
        <w:rPr>
          <w:rFonts w:hint="eastAsia" w:ascii="仿宋" w:hAnsi="仿宋" w:eastAsia="仿宋" w:cs="仿宋"/>
          <w:color w:val="auto"/>
          <w:spacing w:val="-4"/>
          <w:sz w:val="24"/>
          <w:szCs w:val="24"/>
          <w:highlight w:val="none"/>
        </w:rPr>
        <w:t>公</w:t>
      </w:r>
      <w:r>
        <w:rPr>
          <w:rFonts w:hint="eastAsia" w:ascii="仿宋" w:hAnsi="仿宋" w:eastAsia="仿宋" w:cs="仿宋"/>
          <w:color w:val="auto"/>
          <w:spacing w:val="-2"/>
          <w:sz w:val="24"/>
          <w:szCs w:val="24"/>
          <w:highlight w:val="none"/>
        </w:rPr>
        <w:t>告中标结果（公告期限为1个工作日）。</w:t>
      </w:r>
    </w:p>
    <w:p w14:paraId="1ECCC72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28.2采购人或采购代理机构不按照规定发</w:t>
      </w:r>
      <w:r>
        <w:rPr>
          <w:rFonts w:hint="eastAsia" w:ascii="仿宋" w:hAnsi="仿宋" w:eastAsia="仿宋" w:cs="仿宋"/>
          <w:color w:val="auto"/>
          <w:spacing w:val="1"/>
          <w:sz w:val="24"/>
          <w:szCs w:val="24"/>
          <w:highlight w:val="none"/>
        </w:rPr>
        <w:t>布中标公告或者发布中标公告后</w:t>
      </w:r>
      <w:r>
        <w:rPr>
          <w:rFonts w:hint="eastAsia" w:ascii="仿宋" w:hAnsi="仿宋" w:eastAsia="仿宋" w:cs="仿宋"/>
          <w:color w:val="auto"/>
          <w:spacing w:val="-3"/>
          <w:sz w:val="24"/>
          <w:szCs w:val="24"/>
          <w:highlight w:val="none"/>
        </w:rPr>
        <w:t>不签发中标通知书的，应当承担法律责任，给中标人造成经济损失的应</w:t>
      </w:r>
      <w:r>
        <w:rPr>
          <w:rFonts w:hint="eastAsia" w:ascii="仿宋" w:hAnsi="仿宋" w:eastAsia="仿宋" w:cs="仿宋"/>
          <w:color w:val="auto"/>
          <w:spacing w:val="-4"/>
          <w:sz w:val="24"/>
          <w:szCs w:val="24"/>
          <w:highlight w:val="none"/>
        </w:rPr>
        <w:t>承担赔偿</w:t>
      </w:r>
      <w:r>
        <w:rPr>
          <w:rFonts w:hint="eastAsia" w:ascii="仿宋" w:hAnsi="仿宋" w:eastAsia="仿宋" w:cs="仿宋"/>
          <w:color w:val="auto"/>
          <w:spacing w:val="-5"/>
          <w:sz w:val="24"/>
          <w:szCs w:val="24"/>
          <w:highlight w:val="none"/>
        </w:rPr>
        <w:t>责任。</w:t>
      </w:r>
    </w:p>
    <w:p w14:paraId="1B3316D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28.3中标通知书对中标人具有法律效</w:t>
      </w:r>
      <w:r>
        <w:rPr>
          <w:rFonts w:hint="eastAsia" w:ascii="仿宋" w:hAnsi="仿宋" w:eastAsia="仿宋" w:cs="仿宋"/>
          <w:color w:val="auto"/>
          <w:spacing w:val="-2"/>
          <w:sz w:val="24"/>
          <w:szCs w:val="24"/>
          <w:highlight w:val="none"/>
        </w:rPr>
        <w:t>力。中标通知书发出后，中标人放弃</w:t>
      </w:r>
      <w:r>
        <w:rPr>
          <w:rFonts w:hint="eastAsia" w:ascii="仿宋" w:hAnsi="仿宋" w:eastAsia="仿宋" w:cs="仿宋"/>
          <w:color w:val="auto"/>
          <w:spacing w:val="-3"/>
          <w:sz w:val="24"/>
          <w:szCs w:val="24"/>
          <w:highlight w:val="none"/>
        </w:rPr>
        <w:t>中标，应当依法承担法律责任。</w:t>
      </w:r>
    </w:p>
    <w:p w14:paraId="6CA06DC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29.不合格投标人或投标无效</w:t>
      </w:r>
    </w:p>
    <w:p w14:paraId="5768515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出现下列情形之一的，为不合格投标人或投标无效：</w:t>
      </w:r>
    </w:p>
    <w:p w14:paraId="25DFFCE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29.1报价超过招标文件中规定的预算金</w:t>
      </w:r>
      <w:r>
        <w:rPr>
          <w:rFonts w:hint="eastAsia" w:ascii="仿宋" w:hAnsi="仿宋" w:eastAsia="仿宋" w:cs="仿宋"/>
          <w:color w:val="auto"/>
          <w:spacing w:val="-2"/>
          <w:sz w:val="24"/>
          <w:szCs w:val="24"/>
          <w:highlight w:val="none"/>
        </w:rPr>
        <w:t>额或者最高限价的；</w:t>
      </w:r>
    </w:p>
    <w:p w14:paraId="63A7ACA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29.2对实质性条款未做出实质性投标或者</w:t>
      </w:r>
      <w:r>
        <w:rPr>
          <w:rFonts w:hint="eastAsia" w:ascii="仿宋" w:hAnsi="仿宋" w:eastAsia="仿宋" w:cs="仿宋"/>
          <w:color w:val="auto"/>
          <w:spacing w:val="-2"/>
          <w:sz w:val="24"/>
          <w:szCs w:val="24"/>
          <w:highlight w:val="none"/>
        </w:rPr>
        <w:t>发生负偏离的；</w:t>
      </w:r>
    </w:p>
    <w:p w14:paraId="18573B8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29.3应提供而未提供政府强制采购节能、环保产品的；</w:t>
      </w:r>
    </w:p>
    <w:p w14:paraId="5B5E7E7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29.4对于不允许偏离的实质性要求和条件发生偏离的；</w:t>
      </w:r>
    </w:p>
    <w:p w14:paraId="517EC8B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29.5不按照招标文件规定报价、没有分项报价</w:t>
      </w:r>
      <w:r>
        <w:rPr>
          <w:rFonts w:hint="eastAsia" w:ascii="仿宋" w:hAnsi="仿宋" w:eastAsia="仿宋" w:cs="仿宋"/>
          <w:color w:val="auto"/>
          <w:spacing w:val="-6"/>
          <w:sz w:val="24"/>
          <w:szCs w:val="24"/>
          <w:highlight w:val="none"/>
        </w:rPr>
        <w:t>、拒绝报价、有多个报价（招</w:t>
      </w:r>
      <w:r>
        <w:rPr>
          <w:rFonts w:hint="eastAsia" w:ascii="仿宋" w:hAnsi="仿宋" w:eastAsia="仿宋" w:cs="仿宋"/>
          <w:color w:val="auto"/>
          <w:spacing w:val="-8"/>
          <w:sz w:val="24"/>
          <w:szCs w:val="24"/>
          <w:highlight w:val="none"/>
        </w:rPr>
        <w:t>标文件另有规定的除外）、有选择性报价、附有条件的报价或者拒绝修正报价</w:t>
      </w:r>
      <w:r>
        <w:rPr>
          <w:rFonts w:hint="eastAsia" w:ascii="仿宋" w:hAnsi="仿宋" w:eastAsia="仿宋" w:cs="仿宋"/>
          <w:color w:val="auto"/>
          <w:spacing w:val="-9"/>
          <w:sz w:val="24"/>
          <w:szCs w:val="24"/>
          <w:highlight w:val="none"/>
        </w:rPr>
        <w:t>的；</w:t>
      </w:r>
    </w:p>
    <w:p w14:paraId="25E5D85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29.6投标有效期不满足招标文件要求的；</w:t>
      </w:r>
    </w:p>
    <w:p w14:paraId="28DD9B0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29.7评标委员会判定投标人涂改证明材料或者提供虚假材料和承诺的；</w:t>
      </w:r>
    </w:p>
    <w:p w14:paraId="00D4369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29.8投标文件未按招标文件要求编制、签章的；</w:t>
      </w:r>
    </w:p>
    <w:p w14:paraId="61034EE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29.9投标文件含有采购人不能接受的附加条件的；</w:t>
      </w:r>
    </w:p>
    <w:p w14:paraId="6BBA913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29.10投标文件存在记录的</w:t>
      </w:r>
      <w:r>
        <w:rPr>
          <w:rFonts w:hint="eastAsia" w:ascii="仿宋" w:hAnsi="仿宋" w:eastAsia="仿宋" w:cs="仿宋"/>
          <w:color w:val="auto"/>
          <w:sz w:val="24"/>
          <w:szCs w:val="24"/>
          <w:highlight w:val="none"/>
        </w:rPr>
        <w:t>MAC</w:t>
      </w:r>
      <w:r>
        <w:rPr>
          <w:rFonts w:hint="eastAsia" w:ascii="仿宋" w:hAnsi="仿宋" w:eastAsia="仿宋" w:cs="仿宋"/>
          <w:color w:val="auto"/>
          <w:spacing w:val="1"/>
          <w:sz w:val="24"/>
          <w:szCs w:val="24"/>
          <w:highlight w:val="none"/>
        </w:rPr>
        <w:t>地址、</w:t>
      </w:r>
      <w:r>
        <w:rPr>
          <w:rFonts w:hint="eastAsia" w:ascii="仿宋" w:hAnsi="仿宋" w:eastAsia="仿宋" w:cs="仿宋"/>
          <w:color w:val="auto"/>
          <w:sz w:val="24"/>
          <w:szCs w:val="24"/>
          <w:highlight w:val="none"/>
        </w:rPr>
        <w:t>CPU</w:t>
      </w:r>
      <w:r>
        <w:rPr>
          <w:rFonts w:hint="eastAsia" w:ascii="仿宋" w:hAnsi="仿宋" w:eastAsia="仿宋" w:cs="仿宋"/>
          <w:color w:val="auto"/>
          <w:spacing w:val="1"/>
          <w:sz w:val="24"/>
          <w:szCs w:val="24"/>
          <w:highlight w:val="none"/>
        </w:rPr>
        <w:t>序列号、硬盘序列号中两项及以</w:t>
      </w:r>
      <w:r>
        <w:rPr>
          <w:rFonts w:hint="eastAsia" w:ascii="仿宋" w:hAnsi="仿宋" w:eastAsia="仿宋" w:cs="仿宋"/>
          <w:color w:val="auto"/>
          <w:spacing w:val="-4"/>
          <w:sz w:val="24"/>
          <w:szCs w:val="24"/>
          <w:highlight w:val="none"/>
        </w:rPr>
        <w:t>上相同的；</w:t>
      </w:r>
    </w:p>
    <w:p w14:paraId="65A9ED9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29.11</w:t>
      </w:r>
      <w:r>
        <w:rPr>
          <w:rFonts w:hint="eastAsia" w:cs="仿宋"/>
          <w:color w:val="auto"/>
          <w:spacing w:val="-2"/>
          <w:sz w:val="24"/>
          <w:szCs w:val="24"/>
          <w:highlight w:val="none"/>
          <w:lang w:eastAsia="zh-CN"/>
        </w:rPr>
        <w:t>法律法规</w:t>
      </w:r>
      <w:r>
        <w:rPr>
          <w:rFonts w:hint="eastAsia" w:ascii="仿宋" w:hAnsi="仿宋" w:eastAsia="仿宋" w:cs="仿宋"/>
          <w:color w:val="auto"/>
          <w:spacing w:val="-2"/>
          <w:sz w:val="24"/>
          <w:szCs w:val="24"/>
          <w:highlight w:val="none"/>
        </w:rPr>
        <w:t>和招标文件规定的其他无效情形。</w:t>
      </w:r>
    </w:p>
    <w:p w14:paraId="590B48A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对投标无效的认定，必须经评标委员会集体</w:t>
      </w:r>
      <w:r>
        <w:rPr>
          <w:rFonts w:hint="eastAsia" w:cs="仿宋"/>
          <w:color w:val="auto"/>
          <w:spacing w:val="-3"/>
          <w:sz w:val="24"/>
          <w:szCs w:val="24"/>
          <w:highlight w:val="none"/>
          <w:lang w:eastAsia="zh-CN"/>
        </w:rPr>
        <w:t>作出</w:t>
      </w:r>
      <w:r>
        <w:rPr>
          <w:rFonts w:hint="eastAsia" w:ascii="仿宋" w:hAnsi="仿宋" w:eastAsia="仿宋" w:cs="仿宋"/>
          <w:color w:val="auto"/>
          <w:spacing w:val="-3"/>
          <w:sz w:val="24"/>
          <w:szCs w:val="24"/>
          <w:highlight w:val="none"/>
        </w:rPr>
        <w:t>决定</w:t>
      </w:r>
      <w:r>
        <w:rPr>
          <w:rFonts w:hint="eastAsia" w:ascii="仿宋" w:hAnsi="仿宋" w:eastAsia="仿宋" w:cs="仿宋"/>
          <w:color w:val="auto"/>
          <w:spacing w:val="-4"/>
          <w:sz w:val="24"/>
          <w:szCs w:val="24"/>
          <w:highlight w:val="none"/>
        </w:rPr>
        <w:t>并出具投标无效的事实</w:t>
      </w:r>
      <w:r>
        <w:rPr>
          <w:rFonts w:hint="eastAsia" w:ascii="仿宋" w:hAnsi="仿宋" w:eastAsia="仿宋" w:cs="仿宋"/>
          <w:color w:val="auto"/>
          <w:spacing w:val="-2"/>
          <w:sz w:val="24"/>
          <w:szCs w:val="24"/>
          <w:highlight w:val="none"/>
        </w:rPr>
        <w:t>依据。</w:t>
      </w:r>
    </w:p>
    <w:p w14:paraId="0391E41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30.采购项目废标</w:t>
      </w:r>
    </w:p>
    <w:p w14:paraId="09562AA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30.1出现下列情形之一的，应予废标：</w:t>
      </w:r>
    </w:p>
    <w:p w14:paraId="418B549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30.1.1在投标截止时间后参加投标的投标人不足3家或</w:t>
      </w:r>
      <w:r>
        <w:rPr>
          <w:rFonts w:hint="eastAsia" w:ascii="仿宋" w:hAnsi="仿宋" w:eastAsia="仿宋" w:cs="仿宋"/>
          <w:color w:val="auto"/>
          <w:spacing w:val="-1"/>
          <w:sz w:val="24"/>
          <w:szCs w:val="24"/>
          <w:highlight w:val="none"/>
        </w:rPr>
        <w:t>者通过资格审查或</w:t>
      </w:r>
      <w:r>
        <w:rPr>
          <w:rFonts w:hint="eastAsia" w:ascii="仿宋" w:hAnsi="仿宋" w:eastAsia="仿宋" w:cs="仿宋"/>
          <w:color w:val="auto"/>
          <w:spacing w:val="-4"/>
          <w:sz w:val="24"/>
          <w:szCs w:val="24"/>
          <w:highlight w:val="none"/>
        </w:rPr>
        <w:t>符合性审查的投标人不足3家的；</w:t>
      </w:r>
    </w:p>
    <w:p w14:paraId="6E6EE2D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30.1.2出现影响采购公正的违法违规行为的；</w:t>
      </w:r>
    </w:p>
    <w:p w14:paraId="0F1C6D3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30.1.3投标人的报价均超过预算金额或者最高限价的；</w:t>
      </w:r>
    </w:p>
    <w:p w14:paraId="414A16C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30.1.4因重大变故，采购任务取消的；</w:t>
      </w:r>
    </w:p>
    <w:p w14:paraId="7AF805C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30.1.5法律、法规以及招标文件规定的其他废标情形。</w:t>
      </w:r>
    </w:p>
    <w:p w14:paraId="0AD8426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30.2废标后，采购人或者采购代理机构应当将废标理由通知所有投</w:t>
      </w:r>
      <w:r>
        <w:rPr>
          <w:rFonts w:hint="eastAsia" w:ascii="仿宋" w:hAnsi="仿宋" w:eastAsia="仿宋" w:cs="仿宋"/>
          <w:color w:val="auto"/>
          <w:spacing w:val="-2"/>
          <w:sz w:val="24"/>
          <w:szCs w:val="24"/>
          <w:highlight w:val="none"/>
        </w:rPr>
        <w:t>标人。</w:t>
      </w:r>
    </w:p>
    <w:p w14:paraId="6BEEE2A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31.特殊情况处置程序</w:t>
      </w:r>
    </w:p>
    <w:p w14:paraId="5C1748D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31.1评标委员会成员的更换</w:t>
      </w:r>
    </w:p>
    <w:p w14:paraId="53C7F66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31.1.1评标委员会应当执行连续评标的原则，按照招标文件规定</w:t>
      </w:r>
      <w:r>
        <w:rPr>
          <w:rFonts w:hint="eastAsia" w:ascii="仿宋" w:hAnsi="仿宋" w:eastAsia="仿宋" w:cs="仿宋"/>
          <w:color w:val="auto"/>
          <w:spacing w:val="-1"/>
          <w:sz w:val="24"/>
          <w:szCs w:val="24"/>
          <w:highlight w:val="none"/>
        </w:rPr>
        <w:t>的程序、</w:t>
      </w:r>
      <w:r>
        <w:rPr>
          <w:rFonts w:hint="eastAsia" w:ascii="仿宋" w:hAnsi="仿宋" w:eastAsia="仿宋" w:cs="仿宋"/>
          <w:color w:val="auto"/>
          <w:spacing w:val="-3"/>
          <w:sz w:val="24"/>
          <w:szCs w:val="24"/>
          <w:highlight w:val="none"/>
        </w:rPr>
        <w:t>内容、方法、标准完成全部评标工作。</w:t>
      </w:r>
    </w:p>
    <w:p w14:paraId="0892F71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评标中因评标委员会成员缺席、回避或者健康等特殊原因导致评</w:t>
      </w:r>
      <w:r>
        <w:rPr>
          <w:rFonts w:hint="eastAsia" w:ascii="仿宋" w:hAnsi="仿宋" w:eastAsia="仿宋" w:cs="仿宋"/>
          <w:color w:val="auto"/>
          <w:spacing w:val="-4"/>
          <w:sz w:val="24"/>
          <w:szCs w:val="24"/>
          <w:highlight w:val="none"/>
        </w:rPr>
        <w:t>标委员会组</w:t>
      </w:r>
      <w:r>
        <w:rPr>
          <w:rFonts w:hint="eastAsia" w:ascii="仿宋" w:hAnsi="仿宋" w:eastAsia="仿宋" w:cs="仿宋"/>
          <w:color w:val="auto"/>
          <w:spacing w:val="-3"/>
          <w:sz w:val="24"/>
          <w:szCs w:val="24"/>
          <w:highlight w:val="none"/>
        </w:rPr>
        <w:t>成不符合本办法规定的，采购人或者采购代理机构应当依法补足后继</w:t>
      </w:r>
      <w:r>
        <w:rPr>
          <w:rFonts w:hint="eastAsia" w:ascii="仿宋" w:hAnsi="仿宋" w:eastAsia="仿宋" w:cs="仿宋"/>
          <w:color w:val="auto"/>
          <w:spacing w:val="-4"/>
          <w:sz w:val="24"/>
          <w:szCs w:val="24"/>
          <w:highlight w:val="none"/>
        </w:rPr>
        <w:t>续评标。被</w:t>
      </w:r>
      <w:r>
        <w:rPr>
          <w:rFonts w:hint="eastAsia" w:ascii="仿宋" w:hAnsi="仿宋" w:eastAsia="仿宋" w:cs="仿宋"/>
          <w:color w:val="auto"/>
          <w:spacing w:val="-1"/>
          <w:sz w:val="24"/>
          <w:szCs w:val="24"/>
          <w:highlight w:val="none"/>
        </w:rPr>
        <w:t>更换的评标委员会成员所作出的评标意见无效。</w:t>
      </w:r>
    </w:p>
    <w:p w14:paraId="1E7AAA2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无法及时补足评标委员会成员的，采购人或者</w:t>
      </w:r>
      <w:r>
        <w:rPr>
          <w:rFonts w:hint="eastAsia" w:ascii="仿宋" w:hAnsi="仿宋" w:eastAsia="仿宋" w:cs="仿宋"/>
          <w:color w:val="auto"/>
          <w:spacing w:val="-4"/>
          <w:sz w:val="24"/>
          <w:szCs w:val="24"/>
          <w:highlight w:val="none"/>
        </w:rPr>
        <w:t>采购代理机构应当停止评标活</w:t>
      </w:r>
      <w:r>
        <w:rPr>
          <w:rFonts w:hint="eastAsia" w:ascii="仿宋" w:hAnsi="仿宋" w:eastAsia="仿宋" w:cs="仿宋"/>
          <w:color w:val="auto"/>
          <w:spacing w:val="-2"/>
          <w:sz w:val="24"/>
          <w:szCs w:val="24"/>
          <w:highlight w:val="none"/>
        </w:rPr>
        <w:t>动，封存所有投标文件和开标、评标资料，依法重新组建评标委员会进行评标。</w:t>
      </w:r>
      <w:r>
        <w:rPr>
          <w:rFonts w:hint="eastAsia" w:ascii="仿宋" w:hAnsi="仿宋" w:eastAsia="仿宋" w:cs="仿宋"/>
          <w:color w:val="auto"/>
          <w:spacing w:val="-1"/>
          <w:sz w:val="24"/>
          <w:szCs w:val="24"/>
          <w:highlight w:val="none"/>
        </w:rPr>
        <w:t>原评标委员会所作出的评标意见无效。</w:t>
      </w:r>
    </w:p>
    <w:p w14:paraId="7269CA5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9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采购人或者采购代理机构应当将变更、重新组建评标委员会的情况予以记</w:t>
      </w:r>
      <w:r>
        <w:rPr>
          <w:rFonts w:hint="eastAsia" w:ascii="仿宋" w:hAnsi="仿宋" w:eastAsia="仿宋" w:cs="仿宋"/>
          <w:color w:val="auto"/>
          <w:spacing w:val="-2"/>
          <w:sz w:val="24"/>
          <w:szCs w:val="24"/>
          <w:highlight w:val="none"/>
        </w:rPr>
        <w:t>录，并随采购文件一并存档。</w:t>
      </w:r>
    </w:p>
    <w:p w14:paraId="5CF8128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31.2记名投票</w:t>
      </w:r>
    </w:p>
    <w:p w14:paraId="34EFF51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在评标过程中，评标委员会发生分歧或者评标结论有异议</w:t>
      </w:r>
      <w:r>
        <w:rPr>
          <w:rFonts w:hint="eastAsia" w:ascii="仿宋" w:hAnsi="仿宋" w:eastAsia="仿宋" w:cs="仿宋"/>
          <w:color w:val="auto"/>
          <w:spacing w:val="-4"/>
          <w:sz w:val="24"/>
          <w:szCs w:val="24"/>
          <w:highlight w:val="none"/>
        </w:rPr>
        <w:t>需表决的，按照少</w:t>
      </w:r>
      <w:r>
        <w:rPr>
          <w:rFonts w:hint="eastAsia" w:ascii="仿宋" w:hAnsi="仿宋" w:eastAsia="仿宋" w:cs="仿宋"/>
          <w:color w:val="auto"/>
          <w:spacing w:val="-1"/>
          <w:sz w:val="24"/>
          <w:szCs w:val="24"/>
          <w:highlight w:val="none"/>
        </w:rPr>
        <w:t>数服从多数的原则，由评标委员会全体成员以记名投票方式表决。</w:t>
      </w:r>
    </w:p>
    <w:p w14:paraId="5DE6147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32.违法违规情形</w:t>
      </w:r>
    </w:p>
    <w:p w14:paraId="5FAC0ED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32.1有下列情形之一的，属于投标人相互串通投标：</w:t>
      </w:r>
    </w:p>
    <w:p w14:paraId="748DFE4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32.1.1投标人之间协商投标报价等投标文件的实质性内容；</w:t>
      </w:r>
    </w:p>
    <w:p w14:paraId="38E0E42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32.1.2投标人之间约定中标人；</w:t>
      </w:r>
    </w:p>
    <w:p w14:paraId="6B0BF40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32.1.3投标人之间约定章投标人放弃投标或者中标；</w:t>
      </w:r>
    </w:p>
    <w:p w14:paraId="0753113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32.1.4属于同一集团、协会、商会等组织成员的投标人按照该组织要求协</w:t>
      </w:r>
      <w:r>
        <w:rPr>
          <w:rFonts w:hint="eastAsia" w:ascii="仿宋" w:hAnsi="仿宋" w:eastAsia="仿宋" w:cs="仿宋"/>
          <w:color w:val="auto"/>
          <w:spacing w:val="-9"/>
          <w:sz w:val="24"/>
          <w:szCs w:val="24"/>
          <w:highlight w:val="none"/>
        </w:rPr>
        <w:t>同投标；</w:t>
      </w:r>
    </w:p>
    <w:p w14:paraId="556AED6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1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32.1.5投标人之间为谋取中标或者排斥特定投标人而采取的其他联合行</w:t>
      </w:r>
      <w:r>
        <w:rPr>
          <w:rFonts w:hint="eastAsia" w:ascii="仿宋" w:hAnsi="仿宋" w:eastAsia="仿宋" w:cs="仿宋"/>
          <w:color w:val="auto"/>
          <w:spacing w:val="-12"/>
          <w:sz w:val="24"/>
          <w:szCs w:val="24"/>
          <w:highlight w:val="none"/>
        </w:rPr>
        <w:t>动。</w:t>
      </w:r>
    </w:p>
    <w:p w14:paraId="78D5595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32.2有下列情形之一的，视为投标人相互串通投标，评标委员会应当出具</w:t>
      </w:r>
      <w:r>
        <w:rPr>
          <w:rFonts w:hint="eastAsia" w:ascii="仿宋" w:hAnsi="仿宋" w:eastAsia="仿宋" w:cs="仿宋"/>
          <w:color w:val="auto"/>
          <w:spacing w:val="-1"/>
          <w:sz w:val="24"/>
          <w:szCs w:val="24"/>
          <w:highlight w:val="none"/>
        </w:rPr>
        <w:t>违法违规认定意见并作投标无效处理：</w:t>
      </w:r>
    </w:p>
    <w:p w14:paraId="2FB66BE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32.2.1不同投标人的投标文件由同一单位或者个人编制；</w:t>
      </w:r>
    </w:p>
    <w:p w14:paraId="2F5CE26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32.2.2不同投标人委托同一单位或者个人办理投标事宜；</w:t>
      </w:r>
    </w:p>
    <w:p w14:paraId="7217679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1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32.2.3不同投标人的投标文件载明的项目管理成员或者联系人员为同一</w:t>
      </w:r>
      <w:r>
        <w:rPr>
          <w:rFonts w:hint="eastAsia" w:ascii="仿宋" w:hAnsi="仿宋" w:eastAsia="仿宋" w:cs="仿宋"/>
          <w:color w:val="auto"/>
          <w:spacing w:val="-6"/>
          <w:sz w:val="24"/>
          <w:szCs w:val="24"/>
          <w:highlight w:val="none"/>
        </w:rPr>
        <w:t>人；</w:t>
      </w:r>
    </w:p>
    <w:p w14:paraId="68D55FE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32.2.4不同投标人的投标文件异常一致或者</w:t>
      </w:r>
      <w:r>
        <w:rPr>
          <w:rFonts w:hint="eastAsia" w:ascii="仿宋" w:hAnsi="仿宋" w:eastAsia="仿宋" w:cs="仿宋"/>
          <w:color w:val="auto"/>
          <w:spacing w:val="-2"/>
          <w:sz w:val="24"/>
          <w:szCs w:val="24"/>
          <w:highlight w:val="none"/>
        </w:rPr>
        <w:t>投标报价呈规律性差异；</w:t>
      </w:r>
    </w:p>
    <w:p w14:paraId="6C8CA21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32.2.5不同投标人的投标文件相互混</w:t>
      </w:r>
      <w:r>
        <w:rPr>
          <w:rFonts w:hint="eastAsia" w:ascii="仿宋" w:hAnsi="仿宋" w:eastAsia="仿宋" w:cs="仿宋"/>
          <w:color w:val="auto"/>
          <w:spacing w:val="-3"/>
          <w:sz w:val="24"/>
          <w:szCs w:val="24"/>
          <w:highlight w:val="none"/>
        </w:rPr>
        <w:t>装；</w:t>
      </w:r>
    </w:p>
    <w:p w14:paraId="0F1A109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32.3有下列情形之一的，属于采购人与投标人串通投标：</w:t>
      </w:r>
    </w:p>
    <w:p w14:paraId="0E53739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32.3.1采购人在开标前开启投标文件并将有关信息泄露给其</w:t>
      </w:r>
      <w:r>
        <w:rPr>
          <w:rFonts w:hint="eastAsia" w:ascii="仿宋" w:hAnsi="仿宋" w:eastAsia="仿宋" w:cs="仿宋"/>
          <w:color w:val="auto"/>
          <w:spacing w:val="-2"/>
          <w:sz w:val="24"/>
          <w:szCs w:val="24"/>
          <w:highlight w:val="none"/>
        </w:rPr>
        <w:t>他投标人；</w:t>
      </w:r>
    </w:p>
    <w:p w14:paraId="1BC0207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32.3.2采购人直接或者间接向投标人泄露标底、评标委员会成员</w:t>
      </w:r>
      <w:r>
        <w:rPr>
          <w:rFonts w:hint="eastAsia" w:ascii="仿宋" w:hAnsi="仿宋" w:eastAsia="仿宋" w:cs="仿宋"/>
          <w:color w:val="auto"/>
          <w:spacing w:val="-2"/>
          <w:sz w:val="24"/>
          <w:szCs w:val="24"/>
          <w:highlight w:val="none"/>
        </w:rPr>
        <w:t>等信息；</w:t>
      </w:r>
    </w:p>
    <w:p w14:paraId="5872FCB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32.3.3采购人明示或者暗示投标人压</w:t>
      </w:r>
      <w:r>
        <w:rPr>
          <w:rFonts w:hint="eastAsia" w:ascii="仿宋" w:hAnsi="仿宋" w:eastAsia="仿宋" w:cs="仿宋"/>
          <w:color w:val="auto"/>
          <w:spacing w:val="-2"/>
          <w:sz w:val="24"/>
          <w:szCs w:val="24"/>
          <w:highlight w:val="none"/>
        </w:rPr>
        <w:t>低或者抬高投标报价；</w:t>
      </w:r>
    </w:p>
    <w:p w14:paraId="1471C9A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32.3.4采购人授意投标人撤换、修改投标文件；</w:t>
      </w:r>
    </w:p>
    <w:p w14:paraId="1B4651C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32.3.5采购人明示或者暗示投标人为特定投标</w:t>
      </w:r>
      <w:r>
        <w:rPr>
          <w:rFonts w:hint="eastAsia" w:ascii="仿宋" w:hAnsi="仿宋" w:eastAsia="仿宋" w:cs="仿宋"/>
          <w:color w:val="auto"/>
          <w:spacing w:val="-2"/>
          <w:sz w:val="24"/>
          <w:szCs w:val="24"/>
          <w:highlight w:val="none"/>
        </w:rPr>
        <w:t>人中标提供方便；</w:t>
      </w:r>
    </w:p>
    <w:p w14:paraId="5AD70EC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32.3.6采购人与投标人为谋求特定投标人中标而采取的其他</w:t>
      </w:r>
      <w:r>
        <w:rPr>
          <w:rFonts w:hint="eastAsia" w:ascii="仿宋" w:hAnsi="仿宋" w:eastAsia="仿宋" w:cs="仿宋"/>
          <w:color w:val="auto"/>
          <w:spacing w:val="-2"/>
          <w:sz w:val="24"/>
          <w:szCs w:val="24"/>
          <w:highlight w:val="none"/>
        </w:rPr>
        <w:t>串通行为。</w:t>
      </w:r>
    </w:p>
    <w:p w14:paraId="0D15C50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在评标过程中发现投标人有上述情形的，评标委员会应当认</w:t>
      </w:r>
      <w:r>
        <w:rPr>
          <w:rFonts w:hint="eastAsia" w:ascii="仿宋" w:hAnsi="仿宋" w:eastAsia="仿宋" w:cs="仿宋"/>
          <w:color w:val="auto"/>
          <w:spacing w:val="-3"/>
          <w:sz w:val="24"/>
          <w:szCs w:val="24"/>
          <w:highlight w:val="none"/>
        </w:rPr>
        <w:t>定其投标无效，</w:t>
      </w:r>
      <w:r>
        <w:rPr>
          <w:rFonts w:hint="eastAsia" w:ascii="仿宋" w:hAnsi="仿宋" w:eastAsia="仿宋" w:cs="仿宋"/>
          <w:color w:val="auto"/>
          <w:spacing w:val="-2"/>
          <w:sz w:val="24"/>
          <w:szCs w:val="24"/>
          <w:highlight w:val="none"/>
        </w:rPr>
        <w:t>并书面报告本级财政部门。</w:t>
      </w:r>
    </w:p>
    <w:p w14:paraId="2566E5E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33.违规处理</w:t>
      </w:r>
    </w:p>
    <w:p w14:paraId="7FBBD10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投标人有下列情形之一的，将列入不良行为记录名单，视</w:t>
      </w:r>
      <w:r>
        <w:rPr>
          <w:rFonts w:hint="eastAsia" w:ascii="仿宋" w:hAnsi="仿宋" w:eastAsia="仿宋" w:cs="仿宋"/>
          <w:color w:val="auto"/>
          <w:spacing w:val="-4"/>
          <w:sz w:val="24"/>
          <w:szCs w:val="24"/>
          <w:highlight w:val="none"/>
        </w:rPr>
        <w:t>情节在一至三年内</w:t>
      </w:r>
      <w:r>
        <w:rPr>
          <w:rFonts w:hint="eastAsia" w:ascii="仿宋" w:hAnsi="仿宋" w:eastAsia="仿宋" w:cs="仿宋"/>
          <w:color w:val="auto"/>
          <w:spacing w:val="-2"/>
          <w:sz w:val="24"/>
          <w:szCs w:val="24"/>
          <w:highlight w:val="none"/>
        </w:rPr>
        <w:t>禁止参加和田地区政府采购活动：</w:t>
      </w:r>
    </w:p>
    <w:p w14:paraId="304D8E1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33.1提供虚假投标材料谋取中标的；</w:t>
      </w:r>
    </w:p>
    <w:p w14:paraId="4DB38C4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33.2采取不正当手段诋毁、排挤其他投标人的；</w:t>
      </w:r>
    </w:p>
    <w:p w14:paraId="5E088B0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33.3与采购人、其他投标人或者采购代理机构恶意串通的；</w:t>
      </w:r>
    </w:p>
    <w:p w14:paraId="00C5064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33.4向采购人、采购代理机构行贿或者提供其</w:t>
      </w:r>
      <w:r>
        <w:rPr>
          <w:rFonts w:hint="eastAsia" w:ascii="仿宋" w:hAnsi="仿宋" w:eastAsia="仿宋" w:cs="仿宋"/>
          <w:color w:val="auto"/>
          <w:spacing w:val="-3"/>
          <w:sz w:val="24"/>
          <w:szCs w:val="24"/>
          <w:highlight w:val="none"/>
        </w:rPr>
        <w:t>他不正当利益的；</w:t>
      </w:r>
    </w:p>
    <w:p w14:paraId="66A0279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33.5在招标采购过程中与采购人进行协商谈判的；</w:t>
      </w:r>
    </w:p>
    <w:p w14:paraId="305A65E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33.6拒绝有关部门监督检查或者提供虚假情况的；</w:t>
      </w:r>
    </w:p>
    <w:p w14:paraId="08F7AA4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33.7一年内累计三次以上投诉均查无实据的；</w:t>
      </w:r>
    </w:p>
    <w:p w14:paraId="20384DA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33.8捏造事实、提供虚假材料或者以非法手段取</w:t>
      </w:r>
      <w:r>
        <w:rPr>
          <w:rFonts w:hint="eastAsia" w:ascii="仿宋" w:hAnsi="仿宋" w:eastAsia="仿宋" w:cs="仿宋"/>
          <w:color w:val="auto"/>
          <w:spacing w:val="-2"/>
          <w:sz w:val="24"/>
          <w:szCs w:val="24"/>
          <w:highlight w:val="none"/>
        </w:rPr>
        <w:t>得证明材料进行投诉的；</w:t>
      </w:r>
    </w:p>
    <w:p w14:paraId="4E77838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33.9</w:t>
      </w:r>
      <w:r>
        <w:rPr>
          <w:rFonts w:hint="eastAsia" w:cs="仿宋"/>
          <w:color w:val="auto"/>
          <w:spacing w:val="-2"/>
          <w:sz w:val="24"/>
          <w:szCs w:val="24"/>
          <w:highlight w:val="none"/>
          <w:lang w:eastAsia="zh-CN"/>
        </w:rPr>
        <w:t>法律法规</w:t>
      </w:r>
      <w:r>
        <w:rPr>
          <w:rFonts w:hint="eastAsia" w:ascii="仿宋" w:hAnsi="仿宋" w:eastAsia="仿宋" w:cs="仿宋"/>
          <w:color w:val="auto"/>
          <w:spacing w:val="-2"/>
          <w:sz w:val="24"/>
          <w:szCs w:val="24"/>
          <w:highlight w:val="none"/>
        </w:rPr>
        <w:t>和招标文件中规定的其他情形。</w:t>
      </w:r>
    </w:p>
    <w:p w14:paraId="2032097A">
      <w:pPr>
        <w:pStyle w:val="6"/>
        <w:shd w:val="clear"/>
        <w:bidi w:val="0"/>
        <w:rPr>
          <w:rFonts w:hint="eastAsia"/>
          <w:color w:val="auto"/>
          <w:highlight w:val="none"/>
        </w:rPr>
      </w:pPr>
      <w:r>
        <w:rPr>
          <w:rFonts w:hint="eastAsia"/>
          <w:color w:val="auto"/>
          <w:highlight w:val="none"/>
        </w:rPr>
        <w:t>八、履约担保</w:t>
      </w:r>
    </w:p>
    <w:p w14:paraId="76EDB3C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34.履约担保</w:t>
      </w:r>
    </w:p>
    <w:p w14:paraId="4E7C3B0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34.1履约保证金按照招标文件第二章“投标人须知前附表”中规定</w:t>
      </w:r>
      <w:r>
        <w:rPr>
          <w:rFonts w:hint="eastAsia" w:cs="仿宋"/>
          <w:color w:val="auto"/>
          <w:spacing w:val="-2"/>
          <w:sz w:val="24"/>
          <w:szCs w:val="24"/>
          <w:highlight w:val="none"/>
          <w:lang w:eastAsia="zh-CN"/>
        </w:rPr>
        <w:t>，</w:t>
      </w:r>
      <w:r>
        <w:rPr>
          <w:rFonts w:hint="eastAsia" w:ascii="仿宋" w:hAnsi="仿宋" w:eastAsia="仿宋" w:cs="仿宋"/>
          <w:color w:val="auto"/>
          <w:spacing w:val="-2"/>
          <w:sz w:val="24"/>
          <w:szCs w:val="24"/>
          <w:highlight w:val="none"/>
        </w:rPr>
        <w:t>在</w:t>
      </w:r>
      <w:r>
        <w:rPr>
          <w:rFonts w:hint="eastAsia" w:ascii="仿宋" w:hAnsi="仿宋" w:eastAsia="仿宋" w:cs="仿宋"/>
          <w:color w:val="auto"/>
          <w:spacing w:val="-3"/>
          <w:sz w:val="24"/>
          <w:szCs w:val="24"/>
          <w:highlight w:val="none"/>
        </w:rPr>
        <w:t>签订合同前，中标人应按照有关规定或者事先经过采购人书面认可的履约担保要求向采购人提交履约担保。采购人根据项目特点、投标人诚信等情况可免收履约</w:t>
      </w:r>
      <w:r>
        <w:rPr>
          <w:rFonts w:hint="eastAsia" w:ascii="仿宋" w:hAnsi="仿宋" w:eastAsia="仿宋" w:cs="仿宋"/>
          <w:color w:val="auto"/>
          <w:spacing w:val="-1"/>
          <w:sz w:val="24"/>
          <w:szCs w:val="24"/>
          <w:highlight w:val="none"/>
        </w:rPr>
        <w:t>保证金或降低收取比例。</w:t>
      </w:r>
    </w:p>
    <w:p w14:paraId="4D71806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34.2中标人在中标公告发布后及时足额交纳履约保证金，未按照要求提交履约担保的，视为放弃中标，中标人应当对采购人</w:t>
      </w:r>
      <w:r>
        <w:rPr>
          <w:rFonts w:hint="eastAsia" w:ascii="仿宋" w:hAnsi="仿宋" w:eastAsia="仿宋" w:cs="仿宋"/>
          <w:color w:val="auto"/>
          <w:spacing w:val="-1"/>
          <w:sz w:val="24"/>
          <w:szCs w:val="24"/>
          <w:highlight w:val="none"/>
        </w:rPr>
        <w:t>造成的损失给予赔偿。</w:t>
      </w:r>
    </w:p>
    <w:p w14:paraId="52CBFDC7">
      <w:pPr>
        <w:pStyle w:val="6"/>
        <w:shd w:val="clear"/>
        <w:bidi w:val="0"/>
        <w:rPr>
          <w:rFonts w:hint="eastAsia"/>
          <w:color w:val="auto"/>
          <w:highlight w:val="none"/>
        </w:rPr>
      </w:pPr>
      <w:r>
        <w:rPr>
          <w:rFonts w:hint="eastAsia"/>
          <w:color w:val="auto"/>
          <w:highlight w:val="none"/>
        </w:rPr>
        <w:t>九、签订合同</w:t>
      </w:r>
    </w:p>
    <w:p w14:paraId="3181F11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35.中标通知</w:t>
      </w:r>
    </w:p>
    <w:p w14:paraId="242645A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35.1中标人确定后</w:t>
      </w:r>
      <w:r>
        <w:rPr>
          <w:rFonts w:hint="eastAsia" w:cs="仿宋"/>
          <w:color w:val="auto"/>
          <w:spacing w:val="3"/>
          <w:sz w:val="24"/>
          <w:szCs w:val="24"/>
          <w:highlight w:val="none"/>
          <w:lang w:eastAsia="zh-CN"/>
        </w:rPr>
        <w:t>，</w:t>
      </w:r>
      <w:r>
        <w:rPr>
          <w:rFonts w:hint="eastAsia" w:ascii="仿宋" w:hAnsi="仿宋" w:eastAsia="仿宋" w:cs="仿宋"/>
          <w:color w:val="auto"/>
          <w:spacing w:val="3"/>
          <w:sz w:val="24"/>
          <w:szCs w:val="24"/>
          <w:highlight w:val="none"/>
        </w:rPr>
        <w:t>采购代理机构将在相关政府采购信息发布媒体上发布</w:t>
      </w:r>
      <w:r>
        <w:rPr>
          <w:rFonts w:hint="eastAsia" w:ascii="仿宋" w:hAnsi="仿宋" w:eastAsia="仿宋" w:cs="仿宋"/>
          <w:color w:val="auto"/>
          <w:spacing w:val="-3"/>
          <w:sz w:val="24"/>
          <w:szCs w:val="24"/>
          <w:highlight w:val="none"/>
        </w:rPr>
        <w:t>中标公告，并以书面形式向中标人发出中标通知书，但该中标结果的有效性不依赖于未中标的投标人是否已经收到该通知。中标人应在中标结果发布后，委派专</w:t>
      </w:r>
      <w:r>
        <w:rPr>
          <w:rFonts w:hint="eastAsia" w:ascii="仿宋" w:hAnsi="仿宋" w:eastAsia="仿宋" w:cs="仿宋"/>
          <w:color w:val="auto"/>
          <w:spacing w:val="-5"/>
          <w:sz w:val="24"/>
          <w:szCs w:val="24"/>
          <w:highlight w:val="none"/>
        </w:rPr>
        <w:t>人领取中标通知书。中标通知书对中标人具有法律效力。中标通知书发出以</w:t>
      </w:r>
      <w:r>
        <w:rPr>
          <w:rFonts w:hint="eastAsia" w:ascii="仿宋" w:hAnsi="仿宋" w:eastAsia="仿宋" w:cs="仿宋"/>
          <w:color w:val="auto"/>
          <w:spacing w:val="-6"/>
          <w:sz w:val="24"/>
          <w:szCs w:val="24"/>
          <w:highlight w:val="none"/>
        </w:rPr>
        <w:t>后，</w:t>
      </w:r>
    </w:p>
    <w:p w14:paraId="29AC75C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中标人放弃中标，应当承担相应的法律责任。</w:t>
      </w:r>
    </w:p>
    <w:p w14:paraId="0ED932D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35.2采购代理机构对未中标的投标人不作未中标原因的解释，但中标结果</w:t>
      </w:r>
      <w:r>
        <w:rPr>
          <w:rFonts w:hint="eastAsia" w:ascii="仿宋" w:hAnsi="仿宋" w:eastAsia="仿宋" w:cs="仿宋"/>
          <w:color w:val="auto"/>
          <w:spacing w:val="-1"/>
          <w:sz w:val="24"/>
          <w:szCs w:val="24"/>
          <w:highlight w:val="none"/>
        </w:rPr>
        <w:t>的有效性不以未中标的投标人是否收到相应的</w:t>
      </w:r>
      <w:r>
        <w:rPr>
          <w:rFonts w:hint="eastAsia" w:ascii="仿宋" w:hAnsi="仿宋" w:eastAsia="仿宋" w:cs="仿宋"/>
          <w:color w:val="auto"/>
          <w:spacing w:val="-2"/>
          <w:sz w:val="24"/>
          <w:szCs w:val="24"/>
          <w:highlight w:val="none"/>
        </w:rPr>
        <w:t>通知为前提。</w:t>
      </w:r>
    </w:p>
    <w:p w14:paraId="396B88B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35.3中标通知书是合同的组成部分。</w:t>
      </w:r>
    </w:p>
    <w:p w14:paraId="6AF47BB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36.签订合同</w:t>
      </w:r>
    </w:p>
    <w:p w14:paraId="19B84CE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36.1中标人须在中标通知书发出之日起3</w:t>
      </w:r>
      <w:r>
        <w:rPr>
          <w:rFonts w:hint="eastAsia" w:ascii="仿宋" w:hAnsi="仿宋" w:eastAsia="仿宋" w:cs="仿宋"/>
          <w:color w:val="auto"/>
          <w:spacing w:val="-5"/>
          <w:sz w:val="24"/>
          <w:szCs w:val="24"/>
          <w:highlight w:val="none"/>
        </w:rPr>
        <w:t>0日内与采购人签订采购合同。</w:t>
      </w:r>
    </w:p>
    <w:p w14:paraId="5533458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36.2中标人须按照招标文件、投标文件及评标过程中的有关澄清、说明或</w:t>
      </w:r>
      <w:r>
        <w:rPr>
          <w:rFonts w:hint="eastAsia" w:ascii="仿宋" w:hAnsi="仿宋" w:eastAsia="仿宋" w:cs="仿宋"/>
          <w:color w:val="auto"/>
          <w:spacing w:val="-3"/>
          <w:sz w:val="24"/>
          <w:szCs w:val="24"/>
          <w:highlight w:val="none"/>
        </w:rPr>
        <w:t>者补正文件的内容与采购人签订合同。中标人不得再与采购人签订背离合同实质</w:t>
      </w:r>
      <w:r>
        <w:rPr>
          <w:rFonts w:hint="eastAsia" w:ascii="仿宋" w:hAnsi="仿宋" w:eastAsia="仿宋" w:cs="仿宋"/>
          <w:color w:val="auto"/>
          <w:spacing w:val="-1"/>
          <w:sz w:val="24"/>
          <w:szCs w:val="24"/>
          <w:highlight w:val="none"/>
        </w:rPr>
        <w:t>性内容的其他协议或声明。</w:t>
      </w:r>
    </w:p>
    <w:p w14:paraId="2B4B6D8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36.3采购人如需追加与合同标的相同的货物，在不改变合同其他条款的前</w:t>
      </w:r>
      <w:r>
        <w:rPr>
          <w:rFonts w:hint="eastAsia" w:ascii="仿宋" w:hAnsi="仿宋" w:eastAsia="仿宋" w:cs="仿宋"/>
          <w:color w:val="auto"/>
          <w:spacing w:val="-8"/>
          <w:sz w:val="24"/>
          <w:szCs w:val="24"/>
          <w:highlight w:val="none"/>
        </w:rPr>
        <w:t>提下，提交追加合同的申请报经同级财政部门审核后，可与中标人签订补充合同，</w:t>
      </w:r>
      <w:r>
        <w:rPr>
          <w:rFonts w:hint="eastAsia" w:ascii="仿宋" w:hAnsi="仿宋" w:eastAsia="仿宋" w:cs="仿宋"/>
          <w:color w:val="auto"/>
          <w:spacing w:val="-1"/>
          <w:sz w:val="24"/>
          <w:szCs w:val="24"/>
          <w:highlight w:val="none"/>
        </w:rPr>
        <w:t>但所有补充合同的采购金额不得超过原合同金额的百分之十。</w:t>
      </w:r>
    </w:p>
    <w:p w14:paraId="33CE511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36.4中标人一旦中标及签订合同后，不得转包，亦不得将合同全部及任何</w:t>
      </w:r>
      <w:r>
        <w:rPr>
          <w:rFonts w:hint="eastAsia" w:ascii="仿宋" w:hAnsi="仿宋" w:eastAsia="仿宋" w:cs="仿宋"/>
          <w:color w:val="auto"/>
          <w:spacing w:val="-2"/>
          <w:sz w:val="24"/>
          <w:szCs w:val="24"/>
          <w:highlight w:val="none"/>
        </w:rPr>
        <w:t>权利、义务向第三方转让。</w:t>
      </w:r>
    </w:p>
    <w:p w14:paraId="1664A14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36.5中标人不履行合同的，采购人可在报经同级人民政府财政部门核准后，</w:t>
      </w:r>
      <w:r>
        <w:rPr>
          <w:rFonts w:hint="eastAsia" w:ascii="仿宋" w:hAnsi="仿宋" w:eastAsia="仿宋" w:cs="仿宋"/>
          <w:color w:val="auto"/>
          <w:spacing w:val="-3"/>
          <w:sz w:val="24"/>
          <w:szCs w:val="24"/>
          <w:highlight w:val="none"/>
        </w:rPr>
        <w:t>与排位在中标人之后的第一位中标候选人签订合同</w:t>
      </w:r>
      <w:r>
        <w:rPr>
          <w:rFonts w:hint="eastAsia" w:ascii="仿宋" w:hAnsi="仿宋" w:eastAsia="仿宋" w:cs="仿宋"/>
          <w:color w:val="auto"/>
          <w:spacing w:val="-4"/>
          <w:sz w:val="24"/>
          <w:szCs w:val="24"/>
          <w:highlight w:val="none"/>
        </w:rPr>
        <w:t>，以此类推；或在报经同级人</w:t>
      </w:r>
      <w:r>
        <w:rPr>
          <w:rFonts w:hint="eastAsia" w:ascii="仿宋" w:hAnsi="仿宋" w:eastAsia="仿宋" w:cs="仿宋"/>
          <w:color w:val="auto"/>
          <w:spacing w:val="-2"/>
          <w:sz w:val="24"/>
          <w:szCs w:val="24"/>
          <w:highlight w:val="none"/>
        </w:rPr>
        <w:t>民政府财政部门核准后重新组织采购。</w:t>
      </w:r>
    </w:p>
    <w:p w14:paraId="024B2F5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jc w:val="righ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36.6违反36.1条、36.2条的规定，给对方造成损失的，应承担赔偿责任。</w:t>
      </w:r>
    </w:p>
    <w:p w14:paraId="31250170">
      <w:pPr>
        <w:pStyle w:val="6"/>
        <w:shd w:val="clear"/>
        <w:bidi w:val="0"/>
        <w:rPr>
          <w:rFonts w:hint="eastAsia"/>
          <w:color w:val="auto"/>
          <w:highlight w:val="none"/>
        </w:rPr>
      </w:pPr>
      <w:r>
        <w:rPr>
          <w:rFonts w:hint="eastAsia"/>
          <w:color w:val="auto"/>
          <w:highlight w:val="none"/>
        </w:rPr>
        <w:t>十、处罚、询问、质疑和投诉</w:t>
      </w:r>
    </w:p>
    <w:p w14:paraId="0D871F4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0"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37.处罚</w:t>
      </w:r>
    </w:p>
    <w:p w14:paraId="51ACFEC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37.1发生下列情况之一，采购人或采购代理机构将如实向同级财政部门报</w:t>
      </w:r>
      <w:r>
        <w:rPr>
          <w:rFonts w:hint="eastAsia" w:ascii="仿宋" w:hAnsi="仿宋" w:eastAsia="仿宋" w:cs="仿宋"/>
          <w:color w:val="auto"/>
          <w:spacing w:val="-1"/>
          <w:sz w:val="24"/>
          <w:szCs w:val="24"/>
          <w:highlight w:val="none"/>
        </w:rPr>
        <w:t>送相关情况，由财政部门给予处罚：</w:t>
      </w:r>
    </w:p>
    <w:p w14:paraId="4EEA2F2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1）开标后在投标有效期内，投标人撤回其投标；</w:t>
      </w:r>
    </w:p>
    <w:p w14:paraId="2C6FB61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2）中标后无正当理由不与采购人签订合同的；</w:t>
      </w:r>
    </w:p>
    <w:p w14:paraId="1C27199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3）中标人与采购人订立背离合同实质性内容的其</w:t>
      </w:r>
      <w:r>
        <w:rPr>
          <w:rFonts w:hint="eastAsia" w:ascii="仿宋" w:hAnsi="仿宋" w:eastAsia="仿宋" w:cs="仿宋"/>
          <w:color w:val="auto"/>
          <w:spacing w:val="-2"/>
          <w:sz w:val="24"/>
          <w:szCs w:val="24"/>
          <w:highlight w:val="none"/>
        </w:rPr>
        <w:t>他协议；</w:t>
      </w:r>
    </w:p>
    <w:p w14:paraId="098D334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4）将中标项目转让给他人，或者在投标文件中未说明，且未经采购人同</w:t>
      </w:r>
      <w:r>
        <w:rPr>
          <w:rFonts w:hint="eastAsia" w:ascii="仿宋" w:hAnsi="仿宋" w:eastAsia="仿宋" w:cs="仿宋"/>
          <w:color w:val="auto"/>
          <w:spacing w:val="-6"/>
          <w:sz w:val="24"/>
          <w:szCs w:val="24"/>
          <w:highlight w:val="none"/>
        </w:rPr>
        <w:t>意，</w:t>
      </w:r>
      <w:r>
        <w:rPr>
          <w:rFonts w:hint="eastAsia" w:ascii="仿宋" w:hAnsi="仿宋" w:eastAsia="仿宋" w:cs="仿宋"/>
          <w:color w:val="auto"/>
          <w:spacing w:val="-1"/>
          <w:sz w:val="24"/>
          <w:szCs w:val="24"/>
          <w:highlight w:val="none"/>
        </w:rPr>
        <w:t>将中标项目合同分包给他人的；</w:t>
      </w:r>
    </w:p>
    <w:p w14:paraId="4FD6AA7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5）存在串通投标行为的；</w:t>
      </w:r>
    </w:p>
    <w:p w14:paraId="189B6EE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6）存在弄虚作假或提供虚假材料谋取中标的；</w:t>
      </w:r>
    </w:p>
    <w:p w14:paraId="54299EF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7）投标人其他未按招标文件规定和合同约定履行义务的行为。</w:t>
      </w:r>
    </w:p>
    <w:p w14:paraId="471E47C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0"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38.询问</w:t>
      </w:r>
    </w:p>
    <w:p w14:paraId="799775B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jc w:val="righ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38.1投标人对采购事项有疑问的，可以向采购人或采购代理机构提出询问。</w:t>
      </w:r>
    </w:p>
    <w:p w14:paraId="2CA18C7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39.投标人有权就招标事宜提出质疑</w:t>
      </w:r>
    </w:p>
    <w:p w14:paraId="5F05A36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39.1参加本次政府采购活动的投标人认为采购文件、采购过程和中标结果</w:t>
      </w:r>
      <w:r>
        <w:rPr>
          <w:rFonts w:hint="eastAsia" w:ascii="仿宋" w:hAnsi="仿宋" w:eastAsia="仿宋" w:cs="仿宋"/>
          <w:color w:val="auto"/>
          <w:spacing w:val="-4"/>
          <w:sz w:val="24"/>
          <w:szCs w:val="24"/>
          <w:highlight w:val="none"/>
        </w:rPr>
        <w:t>使自己的权益受到损害的，可以在知道或者应知道其权益受到损害之日起7个工</w:t>
      </w:r>
      <w:r>
        <w:rPr>
          <w:rFonts w:hint="eastAsia" w:ascii="仿宋" w:hAnsi="仿宋" w:eastAsia="仿宋" w:cs="仿宋"/>
          <w:color w:val="auto"/>
          <w:spacing w:val="-1"/>
          <w:sz w:val="24"/>
          <w:szCs w:val="24"/>
          <w:highlight w:val="none"/>
        </w:rPr>
        <w:t>作日内，按照采购文件中投标人须知前附表-质疑投诉相关要求，以书面</w:t>
      </w:r>
      <w:r>
        <w:rPr>
          <w:rFonts w:hint="eastAsia" w:ascii="仿宋" w:hAnsi="仿宋" w:eastAsia="仿宋" w:cs="仿宋"/>
          <w:color w:val="auto"/>
          <w:spacing w:val="-2"/>
          <w:sz w:val="24"/>
          <w:szCs w:val="24"/>
          <w:highlight w:val="none"/>
        </w:rPr>
        <w:t>形式向</w:t>
      </w:r>
      <w:r>
        <w:rPr>
          <w:rFonts w:hint="eastAsia" w:ascii="仿宋" w:hAnsi="仿宋" w:eastAsia="仿宋" w:cs="仿宋"/>
          <w:color w:val="auto"/>
          <w:spacing w:val="-1"/>
          <w:sz w:val="24"/>
          <w:szCs w:val="24"/>
          <w:highlight w:val="none"/>
        </w:rPr>
        <w:t>采购人或者采购代理机构提出质疑。</w:t>
      </w:r>
    </w:p>
    <w:p w14:paraId="6805B84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9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潜在投标人已依法获取其可质疑的采购文件的，可以依法对该文件提出质</w:t>
      </w:r>
      <w:r>
        <w:rPr>
          <w:rFonts w:hint="eastAsia" w:ascii="仿宋" w:hAnsi="仿宋" w:eastAsia="仿宋" w:cs="仿宋"/>
          <w:color w:val="auto"/>
          <w:spacing w:val="-7"/>
          <w:sz w:val="24"/>
          <w:szCs w:val="24"/>
          <w:highlight w:val="none"/>
        </w:rPr>
        <w:t>疑。</w:t>
      </w:r>
    </w:p>
    <w:p w14:paraId="0D65008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39.2投标人应知其权益受到损害之日，是指：</w:t>
      </w:r>
    </w:p>
    <w:p w14:paraId="5F0D778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（一）对可以质疑的采购文件提出质疑的，为收到采购文件之日或者采购文</w:t>
      </w:r>
      <w:r>
        <w:rPr>
          <w:rFonts w:hint="eastAsia" w:ascii="仿宋" w:hAnsi="仿宋" w:eastAsia="仿宋" w:cs="仿宋"/>
          <w:color w:val="auto"/>
          <w:spacing w:val="-1"/>
          <w:sz w:val="24"/>
          <w:szCs w:val="24"/>
          <w:highlight w:val="none"/>
        </w:rPr>
        <w:t>件公告期限届满之日；</w:t>
      </w:r>
    </w:p>
    <w:p w14:paraId="0F2202A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（二）对采购过程提出质疑的，为各采购程序</w:t>
      </w:r>
      <w:r>
        <w:rPr>
          <w:rFonts w:hint="eastAsia" w:ascii="仿宋" w:hAnsi="仿宋" w:eastAsia="仿宋" w:cs="仿宋"/>
          <w:color w:val="auto"/>
          <w:spacing w:val="-3"/>
          <w:sz w:val="24"/>
          <w:szCs w:val="24"/>
          <w:highlight w:val="none"/>
        </w:rPr>
        <w:t>环节结束之日；</w:t>
      </w:r>
    </w:p>
    <w:p w14:paraId="3BB71B7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（三）对中标结果提出质疑的，为中标结果</w:t>
      </w:r>
      <w:r>
        <w:rPr>
          <w:rFonts w:hint="eastAsia" w:ascii="仿宋" w:hAnsi="仿宋" w:eastAsia="仿宋" w:cs="仿宋"/>
          <w:color w:val="auto"/>
          <w:spacing w:val="-3"/>
          <w:sz w:val="24"/>
          <w:szCs w:val="24"/>
          <w:highlight w:val="none"/>
        </w:rPr>
        <w:t>公告期限届满之日。</w:t>
      </w:r>
    </w:p>
    <w:p w14:paraId="652AD33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39.3投标人应当在法定质疑期内一次性提出针对本项目同一采购程序环节</w:t>
      </w:r>
      <w:r>
        <w:rPr>
          <w:rFonts w:hint="eastAsia" w:ascii="仿宋" w:hAnsi="仿宋" w:eastAsia="仿宋" w:cs="仿宋"/>
          <w:color w:val="auto"/>
          <w:spacing w:val="-8"/>
          <w:sz w:val="24"/>
          <w:szCs w:val="24"/>
          <w:highlight w:val="none"/>
        </w:rPr>
        <w:t>的质疑。</w:t>
      </w:r>
    </w:p>
    <w:p w14:paraId="2AE160D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39.4质疑函内容应包括以下主要内容：</w:t>
      </w:r>
    </w:p>
    <w:p w14:paraId="3D86C0B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（一）投标人的姓名或者名称、地址、邮编、联系人及</w:t>
      </w:r>
      <w:r>
        <w:rPr>
          <w:rFonts w:hint="eastAsia" w:ascii="仿宋" w:hAnsi="仿宋" w:eastAsia="仿宋" w:cs="仿宋"/>
          <w:color w:val="auto"/>
          <w:spacing w:val="-3"/>
          <w:sz w:val="24"/>
          <w:szCs w:val="24"/>
          <w:highlight w:val="none"/>
        </w:rPr>
        <w:t>联系电话；</w:t>
      </w:r>
    </w:p>
    <w:p w14:paraId="0E475F1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（二）质疑项目的名称、编号；</w:t>
      </w:r>
    </w:p>
    <w:p w14:paraId="38620C5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（三）具体、明确的质疑事项和与质疑事项相关的请求；</w:t>
      </w:r>
    </w:p>
    <w:p w14:paraId="41C64DC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0"/>
          <w:sz w:val="24"/>
          <w:szCs w:val="24"/>
          <w:highlight w:val="none"/>
        </w:rPr>
        <w:t>（四）事实依据；</w:t>
      </w:r>
    </w:p>
    <w:p w14:paraId="00F6CD6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（五）必要的法律依据；</w:t>
      </w:r>
    </w:p>
    <w:p w14:paraId="0EA3D5C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（六）提出质疑的日期。</w:t>
      </w:r>
    </w:p>
    <w:p w14:paraId="666D2FC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投标人为自然人的，应当由本人签字；投标人为法人或者</w:t>
      </w:r>
      <w:r>
        <w:rPr>
          <w:rFonts w:hint="eastAsia" w:ascii="仿宋" w:hAnsi="仿宋" w:eastAsia="仿宋" w:cs="仿宋"/>
          <w:color w:val="auto"/>
          <w:spacing w:val="-4"/>
          <w:sz w:val="24"/>
          <w:szCs w:val="24"/>
          <w:highlight w:val="none"/>
        </w:rPr>
        <w:t>其他组织的，应当</w:t>
      </w:r>
      <w:r>
        <w:rPr>
          <w:rFonts w:hint="eastAsia" w:ascii="仿宋" w:hAnsi="仿宋" w:eastAsia="仿宋" w:cs="仿宋"/>
          <w:color w:val="auto"/>
          <w:spacing w:val="-3"/>
          <w:sz w:val="24"/>
          <w:szCs w:val="24"/>
          <w:highlight w:val="none"/>
        </w:rPr>
        <w:t>由法定代表人、主要负责人，或者其授权代表签字或者盖章，并加盖公章。否则</w:t>
      </w:r>
      <w:r>
        <w:rPr>
          <w:rFonts w:hint="eastAsia" w:ascii="仿宋" w:hAnsi="仿宋" w:eastAsia="仿宋" w:cs="仿宋"/>
          <w:color w:val="auto"/>
          <w:spacing w:val="-1"/>
          <w:sz w:val="24"/>
          <w:szCs w:val="24"/>
          <w:highlight w:val="none"/>
        </w:rPr>
        <w:t>采购人或者采购代理机构不予受理。</w:t>
      </w:r>
    </w:p>
    <w:p w14:paraId="7BC4E22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39.5代理人提出质疑的，应当提交投标人签署的授权委托书。其授权委托</w:t>
      </w:r>
      <w:r>
        <w:rPr>
          <w:rFonts w:hint="eastAsia" w:ascii="仿宋" w:hAnsi="仿宋" w:eastAsia="仿宋" w:cs="仿宋"/>
          <w:color w:val="auto"/>
          <w:spacing w:val="-3"/>
          <w:sz w:val="24"/>
          <w:szCs w:val="24"/>
          <w:highlight w:val="none"/>
        </w:rPr>
        <w:t>书应当载明代理人的姓名或者名称、代理事项、具体权限、期限和相关事项。投标人为自然人的，应当由本人签字；投标人为法人或者其他组织的，应当由法定</w:t>
      </w:r>
      <w:r>
        <w:rPr>
          <w:rFonts w:hint="eastAsia" w:ascii="仿宋" w:hAnsi="仿宋" w:eastAsia="仿宋" w:cs="仿宋"/>
          <w:color w:val="auto"/>
          <w:spacing w:val="-1"/>
          <w:sz w:val="24"/>
          <w:szCs w:val="24"/>
          <w:highlight w:val="none"/>
        </w:rPr>
        <w:t>代表人、主要负责人签字或者盖章，并加盖公章。</w:t>
      </w:r>
    </w:p>
    <w:p w14:paraId="07A9C23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39.6采购人或者采购代理机构在收到质疑函后7个工作日内</w:t>
      </w:r>
      <w:r>
        <w:rPr>
          <w:rFonts w:hint="eastAsia" w:cs="仿宋"/>
          <w:color w:val="auto"/>
          <w:sz w:val="24"/>
          <w:szCs w:val="24"/>
          <w:highlight w:val="none"/>
          <w:lang w:eastAsia="zh-CN"/>
        </w:rPr>
        <w:t>作出</w:t>
      </w:r>
      <w:r>
        <w:rPr>
          <w:rFonts w:hint="eastAsia" w:ascii="仿宋" w:hAnsi="仿宋" w:eastAsia="仿宋" w:cs="仿宋"/>
          <w:color w:val="auto"/>
          <w:sz w:val="24"/>
          <w:szCs w:val="24"/>
          <w:highlight w:val="none"/>
        </w:rPr>
        <w:t>答复，并</w:t>
      </w:r>
      <w:r>
        <w:rPr>
          <w:rFonts w:hint="eastAsia" w:ascii="仿宋" w:hAnsi="仿宋" w:eastAsia="仿宋" w:cs="仿宋"/>
          <w:color w:val="auto"/>
          <w:spacing w:val="-3"/>
          <w:sz w:val="24"/>
          <w:szCs w:val="24"/>
          <w:highlight w:val="none"/>
        </w:rPr>
        <w:t>通过系统以电子文档形式通知质疑投标人和其他有关投标人，但答复</w:t>
      </w:r>
      <w:r>
        <w:rPr>
          <w:rFonts w:hint="eastAsia" w:ascii="仿宋" w:hAnsi="仿宋" w:eastAsia="仿宋" w:cs="仿宋"/>
          <w:color w:val="auto"/>
          <w:spacing w:val="-4"/>
          <w:sz w:val="24"/>
          <w:szCs w:val="24"/>
          <w:highlight w:val="none"/>
        </w:rPr>
        <w:t>不得涉及商业秘密。</w:t>
      </w:r>
    </w:p>
    <w:p w14:paraId="269DE5C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39.7投标人进行虚假和恶意质疑的，采购代理机构将提请有关部门将其列</w:t>
      </w:r>
      <w:r>
        <w:rPr>
          <w:rFonts w:hint="eastAsia" w:ascii="仿宋" w:hAnsi="仿宋" w:eastAsia="仿宋" w:cs="仿宋"/>
          <w:color w:val="auto"/>
          <w:spacing w:val="-3"/>
          <w:sz w:val="24"/>
          <w:szCs w:val="24"/>
          <w:highlight w:val="none"/>
        </w:rPr>
        <w:t>入不良记录名单，在一至三年内禁止参加政府采购活动，并将处理决定在相关政</w:t>
      </w:r>
      <w:r>
        <w:rPr>
          <w:rFonts w:hint="eastAsia" w:ascii="仿宋" w:hAnsi="仿宋" w:eastAsia="仿宋" w:cs="仿宋"/>
          <w:color w:val="auto"/>
          <w:spacing w:val="-2"/>
          <w:sz w:val="24"/>
          <w:szCs w:val="24"/>
          <w:highlight w:val="none"/>
        </w:rPr>
        <w:t>府采购媒体上公布。</w:t>
      </w:r>
    </w:p>
    <w:p w14:paraId="0A20117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40.投诉</w:t>
      </w:r>
    </w:p>
    <w:p w14:paraId="0A9E390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40.1按照《中华人民共和国政府采购法》</w:t>
      </w:r>
      <w:r>
        <w:rPr>
          <w:rFonts w:hint="eastAsia" w:ascii="仿宋" w:hAnsi="仿宋" w:eastAsia="仿宋" w:cs="仿宋"/>
          <w:color w:val="auto"/>
          <w:spacing w:val="1"/>
          <w:sz w:val="24"/>
          <w:szCs w:val="24"/>
          <w:highlight w:val="none"/>
        </w:rPr>
        <w:t>、财政部《政府采购质疑和投诉</w:t>
      </w:r>
      <w:r>
        <w:rPr>
          <w:rFonts w:hint="eastAsia" w:ascii="仿宋" w:hAnsi="仿宋" w:eastAsia="仿宋" w:cs="仿宋"/>
          <w:color w:val="auto"/>
          <w:spacing w:val="-1"/>
          <w:sz w:val="24"/>
          <w:szCs w:val="24"/>
          <w:highlight w:val="none"/>
        </w:rPr>
        <w:t>办法》（第94号令）以及相关的法律、法规及规定，质疑人对采购人、采购代</w:t>
      </w:r>
      <w:r>
        <w:rPr>
          <w:rFonts w:hint="eastAsia" w:ascii="仿宋" w:hAnsi="仿宋" w:eastAsia="仿宋" w:cs="仿宋"/>
          <w:color w:val="auto"/>
          <w:spacing w:val="-2"/>
          <w:sz w:val="24"/>
          <w:szCs w:val="24"/>
          <w:highlight w:val="none"/>
        </w:rPr>
        <w:t>理机构的答复不满意或者采购人、采购代理机构未在规定的时间内</w:t>
      </w:r>
      <w:r>
        <w:rPr>
          <w:rFonts w:hint="eastAsia" w:cs="仿宋"/>
          <w:color w:val="auto"/>
          <w:spacing w:val="-2"/>
          <w:sz w:val="24"/>
          <w:szCs w:val="24"/>
          <w:highlight w:val="none"/>
          <w:lang w:eastAsia="zh-CN"/>
        </w:rPr>
        <w:t>作出</w:t>
      </w:r>
      <w:r>
        <w:rPr>
          <w:rFonts w:hint="eastAsia" w:ascii="仿宋" w:hAnsi="仿宋" w:eastAsia="仿宋" w:cs="仿宋"/>
          <w:color w:val="auto"/>
          <w:spacing w:val="-2"/>
          <w:sz w:val="24"/>
          <w:szCs w:val="24"/>
          <w:highlight w:val="none"/>
        </w:rPr>
        <w:t>答</w:t>
      </w:r>
      <w:r>
        <w:rPr>
          <w:rFonts w:hint="eastAsia" w:ascii="仿宋" w:hAnsi="仿宋" w:eastAsia="仿宋" w:cs="仿宋"/>
          <w:color w:val="auto"/>
          <w:spacing w:val="-3"/>
          <w:sz w:val="24"/>
          <w:szCs w:val="24"/>
          <w:highlight w:val="none"/>
        </w:rPr>
        <w:t>复的，</w:t>
      </w:r>
      <w:r>
        <w:rPr>
          <w:rFonts w:hint="eastAsia" w:ascii="仿宋" w:hAnsi="仿宋" w:eastAsia="仿宋" w:cs="仿宋"/>
          <w:color w:val="auto"/>
          <w:spacing w:val="-1"/>
          <w:sz w:val="24"/>
          <w:szCs w:val="24"/>
          <w:highlight w:val="none"/>
        </w:rPr>
        <w:t>可以在答复期满后15个工作日内向同级监管部门提起投诉。投标人投诉按照采购人所属预算级次，由本级财政部门处理。</w:t>
      </w:r>
    </w:p>
    <w:p w14:paraId="70BC961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40.2投诉人提起投诉应符合下列条件：</w:t>
      </w:r>
    </w:p>
    <w:p w14:paraId="21F6501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（一）提起投诉前已依法进行质疑；</w:t>
      </w:r>
    </w:p>
    <w:p w14:paraId="600E81E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（二）投诉书内容符合本办法的规定；</w:t>
      </w:r>
    </w:p>
    <w:p w14:paraId="47109A5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（三）在投诉有效期限内提起投诉；</w:t>
      </w:r>
    </w:p>
    <w:p w14:paraId="4B9EBB8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（四）同一投诉事项未经财政部门投诉处理；</w:t>
      </w:r>
    </w:p>
    <w:p w14:paraId="18AFF92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（五）财政部规定的其他条件。</w:t>
      </w:r>
    </w:p>
    <w:p w14:paraId="38E597A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投标人投诉的事项不得超出已质疑事项的范围，但基于质</w:t>
      </w:r>
      <w:r>
        <w:rPr>
          <w:rFonts w:hint="eastAsia" w:ascii="仿宋" w:hAnsi="仿宋" w:eastAsia="仿宋" w:cs="仿宋"/>
          <w:color w:val="auto"/>
          <w:spacing w:val="-4"/>
          <w:sz w:val="24"/>
          <w:szCs w:val="24"/>
          <w:highlight w:val="none"/>
        </w:rPr>
        <w:t>疑答复内容提出的</w:t>
      </w:r>
      <w:r>
        <w:rPr>
          <w:rFonts w:hint="eastAsia" w:ascii="仿宋" w:hAnsi="仿宋" w:eastAsia="仿宋" w:cs="仿宋"/>
          <w:color w:val="auto"/>
          <w:spacing w:val="-3"/>
          <w:sz w:val="24"/>
          <w:szCs w:val="24"/>
          <w:highlight w:val="none"/>
        </w:rPr>
        <w:t>投诉事项除外。以联合体形式参加政府采购活动的，其投诉应当由组成联合体的</w:t>
      </w:r>
      <w:r>
        <w:rPr>
          <w:rFonts w:hint="eastAsia" w:ascii="仿宋" w:hAnsi="仿宋" w:eastAsia="仿宋" w:cs="仿宋"/>
          <w:color w:val="auto"/>
          <w:spacing w:val="-2"/>
          <w:sz w:val="24"/>
          <w:szCs w:val="24"/>
          <w:highlight w:val="none"/>
        </w:rPr>
        <w:t>所有投标人共同提出。</w:t>
      </w:r>
    </w:p>
    <w:p w14:paraId="3FB58FE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40.3投诉人投诉时</w:t>
      </w:r>
      <w:r>
        <w:rPr>
          <w:rFonts w:hint="eastAsia" w:cs="仿宋"/>
          <w:color w:val="auto"/>
          <w:spacing w:val="-2"/>
          <w:sz w:val="24"/>
          <w:szCs w:val="24"/>
          <w:highlight w:val="none"/>
          <w:lang w:eastAsia="zh-CN"/>
        </w:rPr>
        <w:t>，</w:t>
      </w:r>
      <w:r>
        <w:rPr>
          <w:rFonts w:hint="eastAsia" w:ascii="仿宋" w:hAnsi="仿宋" w:eastAsia="仿宋" w:cs="仿宋"/>
          <w:color w:val="auto"/>
          <w:spacing w:val="-2"/>
          <w:sz w:val="24"/>
          <w:szCs w:val="24"/>
          <w:highlight w:val="none"/>
        </w:rPr>
        <w:t>应当提交投诉书和必要的证明材料，并按照被投诉采购</w:t>
      </w:r>
      <w:r>
        <w:rPr>
          <w:rFonts w:hint="eastAsia" w:ascii="仿宋" w:hAnsi="仿宋" w:eastAsia="仿宋" w:cs="仿宋"/>
          <w:color w:val="auto"/>
          <w:spacing w:val="-1"/>
          <w:sz w:val="24"/>
          <w:szCs w:val="24"/>
          <w:highlight w:val="none"/>
        </w:rPr>
        <w:t>人、采购代理机构和与投诉事项有关的投标人数量提供投诉书的副本。</w:t>
      </w:r>
    </w:p>
    <w:p w14:paraId="7E568B4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40.4投诉书应当包括以下主要内容：</w:t>
      </w:r>
    </w:p>
    <w:p w14:paraId="7B9A1A3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（一）投诉人和被投诉人的姓名或者名称、通讯地址、邮编、联系人及联系</w:t>
      </w:r>
      <w:r>
        <w:rPr>
          <w:rFonts w:hint="eastAsia" w:ascii="仿宋" w:hAnsi="仿宋" w:eastAsia="仿宋" w:cs="仿宋"/>
          <w:color w:val="auto"/>
          <w:spacing w:val="-13"/>
          <w:sz w:val="24"/>
          <w:szCs w:val="24"/>
          <w:highlight w:val="none"/>
        </w:rPr>
        <w:t>电话；</w:t>
      </w:r>
    </w:p>
    <w:p w14:paraId="1E88BB2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（二）质疑和质疑答复情况说明及相关证明材料；</w:t>
      </w:r>
    </w:p>
    <w:p w14:paraId="0762C82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（三）具体、明确的投诉事项和与投诉事项相关的投诉请求；</w:t>
      </w:r>
    </w:p>
    <w:p w14:paraId="06BA616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0"/>
          <w:sz w:val="24"/>
          <w:szCs w:val="24"/>
          <w:highlight w:val="none"/>
        </w:rPr>
        <w:t>（四）事实依据；</w:t>
      </w:r>
    </w:p>
    <w:p w14:paraId="71CF020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（五）法律依据；</w:t>
      </w:r>
    </w:p>
    <w:p w14:paraId="7A0861A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（六）提起投诉的日期。</w:t>
      </w:r>
    </w:p>
    <w:p w14:paraId="330DA35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投诉人为自然人的，应当由本人签字；投诉人为法人或者</w:t>
      </w:r>
      <w:r>
        <w:rPr>
          <w:rFonts w:hint="eastAsia" w:ascii="仿宋" w:hAnsi="仿宋" w:eastAsia="仿宋" w:cs="仿宋"/>
          <w:color w:val="auto"/>
          <w:spacing w:val="-4"/>
          <w:sz w:val="24"/>
          <w:szCs w:val="24"/>
          <w:highlight w:val="none"/>
        </w:rPr>
        <w:t>其他组织的，应当</w:t>
      </w:r>
      <w:r>
        <w:rPr>
          <w:rFonts w:hint="eastAsia" w:ascii="仿宋" w:hAnsi="仿宋" w:eastAsia="仿宋" w:cs="仿宋"/>
          <w:color w:val="auto"/>
          <w:spacing w:val="-1"/>
          <w:sz w:val="24"/>
          <w:szCs w:val="24"/>
          <w:highlight w:val="none"/>
        </w:rPr>
        <w:t>由法定代表人、主要负责人，或者其授权代表签字</w:t>
      </w:r>
      <w:r>
        <w:rPr>
          <w:rFonts w:hint="eastAsia" w:ascii="仿宋" w:hAnsi="仿宋" w:eastAsia="仿宋" w:cs="仿宋"/>
          <w:color w:val="auto"/>
          <w:spacing w:val="-2"/>
          <w:sz w:val="24"/>
          <w:szCs w:val="24"/>
          <w:highlight w:val="none"/>
        </w:rPr>
        <w:t>或者盖章，并加盖公章。</w:t>
      </w:r>
    </w:p>
    <w:p w14:paraId="3023924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40.5代理人提出投诉的，应当提交投标人签署的</w:t>
      </w:r>
      <w:r>
        <w:rPr>
          <w:rFonts w:hint="eastAsia" w:ascii="仿宋" w:hAnsi="仿宋" w:eastAsia="仿宋" w:cs="仿宋"/>
          <w:color w:val="auto"/>
          <w:spacing w:val="1"/>
          <w:sz w:val="24"/>
          <w:szCs w:val="24"/>
          <w:highlight w:val="none"/>
        </w:rPr>
        <w:t>授权委托书。其授权委托</w:t>
      </w:r>
      <w:r>
        <w:rPr>
          <w:rFonts w:hint="eastAsia" w:ascii="仿宋" w:hAnsi="仿宋" w:eastAsia="仿宋" w:cs="仿宋"/>
          <w:color w:val="auto"/>
          <w:spacing w:val="-3"/>
          <w:sz w:val="24"/>
          <w:szCs w:val="24"/>
          <w:highlight w:val="none"/>
        </w:rPr>
        <w:t>书应当载明代理人的姓名或者名称、代理事项、具体权限、期限和相关事项。投标人为自然人的，应当由本人签字；投标人为法人或者其他组织的，应当由法定</w:t>
      </w:r>
      <w:r>
        <w:rPr>
          <w:rFonts w:hint="eastAsia" w:ascii="仿宋" w:hAnsi="仿宋" w:eastAsia="仿宋" w:cs="仿宋"/>
          <w:color w:val="auto"/>
          <w:spacing w:val="-1"/>
          <w:sz w:val="24"/>
          <w:szCs w:val="24"/>
          <w:highlight w:val="none"/>
        </w:rPr>
        <w:t>代表人、主要负责人签字或者盖章，并加盖公章。</w:t>
      </w:r>
    </w:p>
    <w:p w14:paraId="5CF3FF7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40.6投诉人在全国范围12个月内三次以上投诉查无实据的，由财政部门列</w:t>
      </w:r>
      <w:r>
        <w:rPr>
          <w:rFonts w:hint="eastAsia" w:ascii="仿宋" w:hAnsi="仿宋" w:eastAsia="仿宋" w:cs="仿宋"/>
          <w:color w:val="auto"/>
          <w:spacing w:val="-2"/>
          <w:sz w:val="24"/>
          <w:szCs w:val="24"/>
          <w:highlight w:val="none"/>
        </w:rPr>
        <w:t>入不良行为记录名单。</w:t>
      </w:r>
    </w:p>
    <w:p w14:paraId="000A98E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投诉人有下列行为之一的，属于虚假、恶意投诉，</w:t>
      </w:r>
      <w:r>
        <w:rPr>
          <w:rFonts w:hint="eastAsia" w:ascii="仿宋" w:hAnsi="仿宋" w:eastAsia="仿宋" w:cs="仿宋"/>
          <w:color w:val="auto"/>
          <w:spacing w:val="-4"/>
          <w:sz w:val="24"/>
          <w:szCs w:val="24"/>
          <w:highlight w:val="none"/>
        </w:rPr>
        <w:t>由财政部门列入不良行为</w:t>
      </w:r>
      <w:r>
        <w:rPr>
          <w:rFonts w:hint="eastAsia" w:ascii="仿宋" w:hAnsi="仿宋" w:eastAsia="仿宋" w:cs="仿宋"/>
          <w:color w:val="auto"/>
          <w:spacing w:val="-5"/>
          <w:sz w:val="24"/>
          <w:szCs w:val="24"/>
          <w:highlight w:val="none"/>
        </w:rPr>
        <w:t>记录名单，禁止其1至3年内参加政府采购活动：</w:t>
      </w:r>
    </w:p>
    <w:p w14:paraId="15654B8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（一）捏造事实</w:t>
      </w:r>
      <w:r>
        <w:rPr>
          <w:rFonts w:hint="eastAsia" w:cs="仿宋"/>
          <w:color w:val="auto"/>
          <w:spacing w:val="-8"/>
          <w:sz w:val="24"/>
          <w:szCs w:val="24"/>
          <w:highlight w:val="none"/>
          <w:lang w:eastAsia="zh-CN"/>
        </w:rPr>
        <w:t>；</w:t>
      </w:r>
    </w:p>
    <w:p w14:paraId="74DB6F0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（二）提供虚假材料</w:t>
      </w:r>
      <w:r>
        <w:rPr>
          <w:rFonts w:hint="eastAsia" w:cs="仿宋"/>
          <w:color w:val="auto"/>
          <w:spacing w:val="-6"/>
          <w:sz w:val="24"/>
          <w:szCs w:val="24"/>
          <w:highlight w:val="none"/>
          <w:lang w:eastAsia="zh-CN"/>
        </w:rPr>
        <w:t>；</w:t>
      </w:r>
    </w:p>
    <w:p w14:paraId="794C7B7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（三）以非法手段取得证明材料。证据来源的合法性存在明显疑问，投诉人</w:t>
      </w:r>
      <w:r>
        <w:rPr>
          <w:rFonts w:hint="eastAsia" w:ascii="仿宋" w:hAnsi="仿宋" w:eastAsia="仿宋" w:cs="仿宋"/>
          <w:color w:val="auto"/>
          <w:spacing w:val="-1"/>
          <w:sz w:val="24"/>
          <w:szCs w:val="24"/>
          <w:highlight w:val="none"/>
        </w:rPr>
        <w:t>无法证明其取得方式合法的，视为以非法手段取得证明材料。</w:t>
      </w:r>
    </w:p>
    <w:p w14:paraId="67128155">
      <w:pPr>
        <w:pStyle w:val="6"/>
        <w:shd w:val="clear"/>
        <w:bidi w:val="0"/>
        <w:rPr>
          <w:rFonts w:hint="eastAsia"/>
          <w:color w:val="auto"/>
          <w:highlight w:val="none"/>
        </w:rPr>
      </w:pPr>
      <w:r>
        <w:rPr>
          <w:rFonts w:hint="eastAsia"/>
          <w:color w:val="auto"/>
          <w:highlight w:val="none"/>
        </w:rPr>
        <w:t>十一、保密和披露</w:t>
      </w:r>
    </w:p>
    <w:p w14:paraId="2FA3BA4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outlineLvl w:val="3"/>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41.保密和披露</w:t>
      </w:r>
    </w:p>
    <w:p w14:paraId="3BE9394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41.1投标人自领取招标文件之日起，须承担本招标项目保密义务，不得将</w:t>
      </w:r>
      <w:r>
        <w:rPr>
          <w:rFonts w:hint="eastAsia" w:ascii="仿宋" w:hAnsi="仿宋" w:eastAsia="仿宋" w:cs="仿宋"/>
          <w:color w:val="auto"/>
          <w:spacing w:val="-8"/>
          <w:sz w:val="24"/>
          <w:szCs w:val="24"/>
          <w:highlight w:val="none"/>
        </w:rPr>
        <w:t>因本次招标获得的信息向第三人外传。由采购人向投标人提供的图纸、详细资料、样品、模型、模件和所有</w:t>
      </w:r>
      <w:r>
        <w:rPr>
          <w:rFonts w:hint="eastAsia" w:cs="仿宋"/>
          <w:color w:val="auto"/>
          <w:spacing w:val="-8"/>
          <w:sz w:val="24"/>
          <w:szCs w:val="24"/>
          <w:highlight w:val="none"/>
          <w:lang w:eastAsia="zh-CN"/>
        </w:rPr>
        <w:t>其他</w:t>
      </w:r>
      <w:r>
        <w:rPr>
          <w:rFonts w:hint="eastAsia" w:ascii="仿宋" w:hAnsi="仿宋" w:eastAsia="仿宋" w:cs="仿宋"/>
          <w:color w:val="auto"/>
          <w:spacing w:val="-8"/>
          <w:sz w:val="24"/>
          <w:szCs w:val="24"/>
          <w:highlight w:val="none"/>
        </w:rPr>
        <w:t>资料，被视为保密资料，仅被用于它所规定的用途。</w:t>
      </w:r>
      <w:r>
        <w:rPr>
          <w:rFonts w:hint="eastAsia" w:ascii="仿宋" w:hAnsi="仿宋" w:eastAsia="仿宋" w:cs="仿宋"/>
          <w:color w:val="auto"/>
          <w:spacing w:val="-1"/>
          <w:sz w:val="24"/>
          <w:szCs w:val="24"/>
          <w:highlight w:val="none"/>
        </w:rPr>
        <w:t>除非得到采购人的同意，不能向任何第三方透露。开标结束后，应采购人要</w:t>
      </w:r>
      <w:r>
        <w:rPr>
          <w:rFonts w:hint="eastAsia" w:ascii="仿宋" w:hAnsi="仿宋" w:eastAsia="仿宋" w:cs="仿宋"/>
          <w:color w:val="auto"/>
          <w:spacing w:val="-2"/>
          <w:sz w:val="24"/>
          <w:szCs w:val="24"/>
          <w:highlight w:val="none"/>
        </w:rPr>
        <w:t>求，</w:t>
      </w:r>
      <w:r>
        <w:rPr>
          <w:rFonts w:hint="eastAsia" w:ascii="仿宋" w:hAnsi="仿宋" w:eastAsia="仿宋" w:cs="仿宋"/>
          <w:color w:val="auto"/>
          <w:spacing w:val="-1"/>
          <w:sz w:val="24"/>
          <w:szCs w:val="24"/>
          <w:highlight w:val="none"/>
        </w:rPr>
        <w:t>投标人应归还所有从采购人处获得的保密资料。</w:t>
      </w:r>
    </w:p>
    <w:p w14:paraId="0D2273C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41.2采购代理机构有权将投标人提供的</w:t>
      </w:r>
      <w:r>
        <w:rPr>
          <w:rFonts w:hint="eastAsia" w:ascii="仿宋" w:hAnsi="仿宋" w:eastAsia="仿宋" w:cs="仿宋"/>
          <w:color w:val="auto"/>
          <w:spacing w:val="1"/>
          <w:sz w:val="24"/>
          <w:szCs w:val="24"/>
          <w:highlight w:val="none"/>
        </w:rPr>
        <w:t>所有资料向有关政府部门或评标标</w:t>
      </w:r>
      <w:r>
        <w:rPr>
          <w:rFonts w:hint="eastAsia" w:ascii="仿宋" w:hAnsi="仿宋" w:eastAsia="仿宋" w:cs="仿宋"/>
          <w:color w:val="auto"/>
          <w:spacing w:val="-3"/>
          <w:sz w:val="24"/>
          <w:szCs w:val="24"/>
          <w:highlight w:val="none"/>
        </w:rPr>
        <w:t>书的有关人员披露。</w:t>
      </w:r>
    </w:p>
    <w:p w14:paraId="1CA98AC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41.3在采购代理机构认为适当时、国家机关调查、审查、审计时以及其他</w:t>
      </w:r>
      <w:r>
        <w:rPr>
          <w:rFonts w:hint="eastAsia" w:ascii="仿宋" w:hAnsi="仿宋" w:eastAsia="仿宋" w:cs="仿宋"/>
          <w:color w:val="auto"/>
          <w:spacing w:val="-3"/>
          <w:sz w:val="24"/>
          <w:szCs w:val="24"/>
          <w:highlight w:val="none"/>
        </w:rPr>
        <w:t>符合法律规定的情形下，采购代理机构无须事先征求投标人同意而可以披露关于采购过程、合同文本、签署情况的资料、投标人的名称及地址、投标文件的有关信息以及补充条款等，但应当在合理的必要范围内。对任何已经公布过的内容或</w:t>
      </w:r>
      <w:r>
        <w:rPr>
          <w:rFonts w:hint="eastAsia" w:ascii="仿宋" w:hAnsi="仿宋" w:eastAsia="仿宋" w:cs="仿宋"/>
          <w:color w:val="auto"/>
          <w:sz w:val="24"/>
          <w:szCs w:val="24"/>
          <w:highlight w:val="none"/>
        </w:rPr>
        <w:t>与之内容相同的资料，以及投标人已经泄露或公开的，无须再承担保密</w:t>
      </w:r>
      <w:r>
        <w:rPr>
          <w:rFonts w:hint="eastAsia" w:ascii="仿宋" w:hAnsi="仿宋" w:eastAsia="仿宋" w:cs="仿宋"/>
          <w:color w:val="auto"/>
          <w:spacing w:val="-1"/>
          <w:sz w:val="24"/>
          <w:szCs w:val="24"/>
          <w:highlight w:val="none"/>
        </w:rPr>
        <w:t>责任。</w:t>
      </w:r>
    </w:p>
    <w:p w14:paraId="2ABD26C7">
      <w:pPr>
        <w:pStyle w:val="6"/>
        <w:shd w:val="clear"/>
        <w:bidi w:val="0"/>
        <w:rPr>
          <w:rFonts w:hint="eastAsia"/>
          <w:color w:val="auto"/>
          <w:highlight w:val="none"/>
        </w:rPr>
      </w:pPr>
      <w:r>
        <w:rPr>
          <w:rFonts w:hint="eastAsia"/>
          <w:color w:val="auto"/>
          <w:highlight w:val="none"/>
        </w:rPr>
        <w:t>十二、其他需补充的内容</w:t>
      </w:r>
    </w:p>
    <w:p w14:paraId="4218849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bookmarkStart w:id="5" w:name="bookmark3"/>
      <w:bookmarkEnd w:id="5"/>
      <w:r>
        <w:rPr>
          <w:rFonts w:hint="eastAsia" w:ascii="仿宋" w:hAnsi="仿宋" w:eastAsia="仿宋" w:cs="仿宋"/>
          <w:color w:val="auto"/>
          <w:spacing w:val="-2"/>
          <w:sz w:val="24"/>
          <w:szCs w:val="24"/>
          <w:highlight w:val="none"/>
        </w:rPr>
        <w:t>1.其他需补充的内容：见投标人须知前附表。</w:t>
      </w:r>
    </w:p>
    <w:p w14:paraId="06088209">
      <w:pPr>
        <w:pStyle w:val="11"/>
        <w:keepNext w:val="0"/>
        <w:keepLines w:val="0"/>
        <w:pageBreakBefore w:val="0"/>
        <w:widowControl/>
        <w:shd w:val="clear"/>
        <w:tabs>
          <w:tab w:val="right" w:pos="7881"/>
        </w:tabs>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2.若此招标文件中出现的内容表述不一致时，以各章具体要求为准。</w:t>
      </w:r>
    </w:p>
    <w:p w14:paraId="5003D79C">
      <w:pPr>
        <w:shd w:val="clear"/>
        <w:rPr>
          <w:rFonts w:ascii="宋体" w:hAnsi="宋体" w:eastAsia="宋体" w:cs="宋体"/>
          <w:b/>
          <w:bCs/>
          <w:color w:val="auto"/>
          <w:spacing w:val="5"/>
          <w:sz w:val="35"/>
          <w:szCs w:val="35"/>
          <w:highlight w:val="none"/>
        </w:rPr>
      </w:pPr>
      <w:bookmarkStart w:id="6" w:name="bookmark4"/>
      <w:bookmarkEnd w:id="6"/>
      <w:r>
        <w:rPr>
          <w:rFonts w:ascii="宋体" w:hAnsi="宋体" w:eastAsia="宋体" w:cs="宋体"/>
          <w:b/>
          <w:bCs/>
          <w:color w:val="auto"/>
          <w:spacing w:val="5"/>
          <w:sz w:val="35"/>
          <w:szCs w:val="35"/>
          <w:highlight w:val="none"/>
        </w:rPr>
        <w:br w:type="page"/>
      </w:r>
    </w:p>
    <w:p w14:paraId="4E8EC94D">
      <w:pPr>
        <w:pStyle w:val="2"/>
        <w:shd w:val="clear"/>
        <w:bidi w:val="0"/>
        <w:rPr>
          <w:color w:val="auto"/>
          <w:highlight w:val="none"/>
        </w:rPr>
      </w:pPr>
      <w:bookmarkStart w:id="7" w:name="_Toc31259"/>
      <w:r>
        <w:rPr>
          <w:color w:val="auto"/>
          <w:highlight w:val="none"/>
        </w:rPr>
        <w:t>第三章</w:t>
      </w:r>
      <w:r>
        <w:rPr>
          <w:rFonts w:hint="eastAsia"/>
          <w:color w:val="auto"/>
          <w:highlight w:val="none"/>
          <w:lang w:val="en-US" w:eastAsia="zh-CN"/>
        </w:rPr>
        <w:t xml:space="preserve"> </w:t>
      </w:r>
      <w:r>
        <w:rPr>
          <w:color w:val="auto"/>
          <w:highlight w:val="none"/>
        </w:rPr>
        <w:t>采购需求</w:t>
      </w:r>
      <w:bookmarkEnd w:id="7"/>
    </w:p>
    <w:p w14:paraId="1340E53D">
      <w:pPr>
        <w:pStyle w:val="5"/>
        <w:shd w:val="clear"/>
        <w:bidi w:val="0"/>
        <w:ind w:left="0" w:leftChars="0" w:firstLine="0" w:firstLineChars="0"/>
        <w:jc w:val="both"/>
        <w:outlineLvl w:val="1"/>
        <w:rPr>
          <w:rFonts w:hint="eastAsia"/>
          <w:b/>
          <w:bCs w:val="0"/>
          <w:color w:val="auto"/>
          <w:sz w:val="28"/>
          <w:szCs w:val="18"/>
          <w:highlight w:val="none"/>
        </w:rPr>
      </w:pPr>
      <w:r>
        <w:rPr>
          <w:rFonts w:hint="eastAsia"/>
          <w:b/>
          <w:bCs w:val="0"/>
          <w:color w:val="auto"/>
          <w:sz w:val="28"/>
          <w:szCs w:val="18"/>
          <w:highlight w:val="none"/>
          <w:lang w:val="en-US" w:eastAsia="zh-CN"/>
        </w:rPr>
        <w:t>一、</w:t>
      </w:r>
      <w:r>
        <w:rPr>
          <w:rFonts w:hint="eastAsia"/>
          <w:b/>
          <w:bCs w:val="0"/>
          <w:color w:val="auto"/>
          <w:sz w:val="28"/>
          <w:szCs w:val="18"/>
          <w:highlight w:val="none"/>
        </w:rPr>
        <w:t>总体目标</w:t>
      </w:r>
    </w:p>
    <w:p w14:paraId="61265CC3">
      <w:pPr>
        <w:shd w:val="clear"/>
        <w:bidi w:val="0"/>
        <w:spacing w:line="360" w:lineRule="auto"/>
        <w:ind w:firstLine="8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致力于建成现代化环境空气质量监测体系，全面提升和田地区大气污染防治能力。计划在项目完成后，使监测网络覆盖更广、设备更先进、运维更高效、数据更精准。通过完善监测站点布局，实现对重点区域、污染源的全方位监测，确保环境空气质量状况得到全面、准确反映。引入高精度、新技术的监测设备，大幅提升对各类污染物的监测能力，满足新标准质控要求。构建智能化运维管理系统，配备专业运维团队，保障设备稳定运行，数据连续可靠。深化与自治区一体化平台对接，提升数据审核、溯源、共享能力，实现监测工作智能化、数字化转型。以精准的监测数据为支撑，为大气污染防治提供科学依据，助力实现区域大气环境质量持续改善，打造蓝天常在、空气清新的美丽和田，筑牢区域生态安全屏障，为全国生态环境监测体系建设提供区域示范。</w:t>
      </w:r>
    </w:p>
    <w:p w14:paraId="34CB95B9">
      <w:pPr>
        <w:pStyle w:val="5"/>
        <w:shd w:val="clear"/>
        <w:bidi w:val="0"/>
        <w:jc w:val="both"/>
        <w:outlineLvl w:val="1"/>
        <w:rPr>
          <w:rFonts w:hint="eastAsia"/>
          <w:color w:val="auto"/>
          <w:sz w:val="28"/>
          <w:szCs w:val="18"/>
          <w:highlight w:val="none"/>
        </w:rPr>
      </w:pPr>
      <w:bookmarkStart w:id="8" w:name="_Toc32301"/>
      <w:bookmarkStart w:id="9" w:name="具体量化目标"/>
      <w:r>
        <w:rPr>
          <w:rFonts w:hint="eastAsia"/>
          <w:color w:val="auto"/>
          <w:sz w:val="28"/>
          <w:szCs w:val="18"/>
          <w:highlight w:val="none"/>
          <w:lang w:val="en-US" w:eastAsia="zh-CN"/>
        </w:rPr>
        <w:t>二、</w:t>
      </w:r>
      <w:r>
        <w:rPr>
          <w:rFonts w:hint="eastAsia"/>
          <w:color w:val="auto"/>
          <w:sz w:val="28"/>
          <w:szCs w:val="18"/>
          <w:highlight w:val="none"/>
        </w:rPr>
        <w:t>具体量化目标</w:t>
      </w:r>
      <w:bookmarkEnd w:id="8"/>
    </w:p>
    <w:p w14:paraId="0B0D743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2027—2028年全地区园区监测站、噪声国控站的运维服务要做到设备巡检计划覆盖率达到100%，巡检计划完成率达到95%以上，巡检工单发生及时率达到90%以上，设备故障平均修复时间不超过24小时，设备正常运行时间占比达到95%以上。建立完善的运维档案，记录完整率、准确率达到100%。</w:t>
      </w:r>
    </w:p>
    <w:p w14:paraId="036BAF0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技术服务方面，大气污染防治精细化管控要实现污染源精准溯源成功率达到80%以上，为大气污染防治提供有效的技术建议不少于30条，协助制定大气污染防治方案不少于5个，监测数据在自治区一体化平台审核通过率达到98%以上，数据共享率达到100%，为环境管理决策提供有力支持，助力和田地区环境空气质量持续改善。</w:t>
      </w:r>
    </w:p>
    <w:bookmarkEnd w:id="9"/>
    <w:p w14:paraId="326C7111">
      <w:pPr>
        <w:pStyle w:val="5"/>
        <w:shd w:val="clear"/>
        <w:bidi w:val="0"/>
        <w:ind w:left="0" w:leftChars="0" w:firstLine="0" w:firstLineChars="0"/>
        <w:jc w:val="left"/>
        <w:outlineLvl w:val="1"/>
        <w:rPr>
          <w:rFonts w:hint="eastAsia"/>
          <w:b/>
          <w:bCs w:val="0"/>
          <w:color w:val="auto"/>
          <w:sz w:val="28"/>
          <w:szCs w:val="36"/>
          <w:highlight w:val="none"/>
          <w:lang w:val="en-US" w:eastAsia="zh-CN"/>
        </w:rPr>
      </w:pPr>
      <w:bookmarkStart w:id="10" w:name="_Toc14907"/>
      <w:r>
        <w:rPr>
          <w:rFonts w:hint="eastAsia"/>
          <w:b/>
          <w:bCs w:val="0"/>
          <w:color w:val="auto"/>
          <w:sz w:val="28"/>
          <w:szCs w:val="36"/>
          <w:highlight w:val="none"/>
          <w:lang w:val="en-US" w:eastAsia="zh-CN"/>
        </w:rPr>
        <w:t>三、</w:t>
      </w:r>
      <w:bookmarkEnd w:id="10"/>
      <w:r>
        <w:rPr>
          <w:rFonts w:hint="eastAsia"/>
          <w:b/>
          <w:bCs w:val="0"/>
          <w:color w:val="auto"/>
          <w:sz w:val="28"/>
          <w:szCs w:val="36"/>
          <w:highlight w:val="none"/>
          <w:lang w:val="en-US" w:eastAsia="zh-CN"/>
        </w:rPr>
        <w:t>运维保障及技术服务项目</w:t>
      </w:r>
    </w:p>
    <w:p w14:paraId="42F7A970">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leftChars="0" w:firstLine="480" w:firstLineChars="200"/>
        <w:textAlignment w:val="baseline"/>
        <w:outlineLvl w:val="9"/>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园区监测站运维服务方面，制定详细的运维计划，定期对监测设备进行巡检和维护，确保设备正常运行。每周至少进行一次全面巡检，对仪器进行校准、清洁和保养，及时更换磨损或老化的零部件。建立快速响应机制，设备出现故障时，运维人员要在2小时内到达现场进行抢修，确保设备故障及时排除，保障监测数据的连续性。加强数据审核和管理，对监测数据进行实时监控和分析，发现异常数据及时核实和处理，确保数据的准确性和有效性。</w:t>
      </w:r>
    </w:p>
    <w:p w14:paraId="5D39B3F0">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leftChars="0" w:firstLine="480" w:firstLineChars="200"/>
        <w:textAlignment w:val="baseline"/>
        <w:outlineLvl w:val="9"/>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噪声国控站运维服务上，同样制定严格的运维制度。按照规定的频次对噪声监测设备进行校准和维护，保证监测数据的准确性和可靠性。定期对监测站点周围环境进行检查，确保监测点位不受外界干扰，如周边有新的噪声污染源出现，要及时调整监测点位或采取相应的措施。加强噪声监测数据的分析，利用数据分析结果评估区域噪声污染状况，为噪声污染防治提供数据支持。</w:t>
      </w:r>
    </w:p>
    <w:p w14:paraId="4D0A3FFD">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leftChars="0" w:firstLine="480" w:firstLineChars="200"/>
        <w:textAlignment w:val="baseline"/>
        <w:outlineLvl w:val="9"/>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在大气污染防治精细化管控综合技术服务方面，组建专业技术团队，对区域大气污染源进行详细调查和分析，掌握各类污染源的排放特征和规律。建立污染源排放清单，为大气污染防治提供基础数据。利用先进的监测技术和数据分析方法，对大气污染物的扩散、传输进行模拟预测，为制定大气污染应急预案提供科学依据。协助相关部门开展大气污染防治专项行动，提供技术指导和咨询，帮助企业制定废气治理方案，降低污染物排放，改善区域大气环境质量。</w:t>
      </w:r>
    </w:p>
    <w:p w14:paraId="2B5CB80D">
      <w:pPr>
        <w:pStyle w:val="5"/>
        <w:shd w:val="clear"/>
        <w:bidi w:val="0"/>
        <w:ind w:left="0" w:leftChars="0" w:firstLine="0" w:firstLineChars="0"/>
        <w:jc w:val="left"/>
        <w:outlineLvl w:val="1"/>
        <w:rPr>
          <w:rFonts w:hint="eastAsia"/>
          <w:b/>
          <w:bCs w:val="0"/>
          <w:color w:val="auto"/>
          <w:sz w:val="28"/>
          <w:szCs w:val="18"/>
          <w:highlight w:val="none"/>
          <w:lang w:val="en-US" w:eastAsia="zh-CN"/>
        </w:rPr>
      </w:pPr>
      <w:r>
        <w:rPr>
          <w:rFonts w:hint="eastAsia"/>
          <w:b/>
          <w:bCs w:val="0"/>
          <w:color w:val="auto"/>
          <w:sz w:val="28"/>
          <w:szCs w:val="18"/>
          <w:highlight w:val="none"/>
          <w:lang w:val="en-US" w:eastAsia="zh-CN"/>
        </w:rPr>
        <w:t>四、商务需求</w:t>
      </w:r>
    </w:p>
    <w:p w14:paraId="361B50B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474" w:firstLineChars="200"/>
        <w:textAlignment w:val="baseline"/>
        <w:outlineLvl w:val="2"/>
        <w:rPr>
          <w:rFonts w:hint="eastAsia" w:ascii="仿宋" w:hAnsi="仿宋" w:eastAsia="仿宋" w:cs="仿宋"/>
          <w:color w:val="auto"/>
          <w:sz w:val="24"/>
          <w:szCs w:val="24"/>
          <w:highlight w:val="none"/>
          <w:lang w:eastAsia="zh-CN"/>
        </w:rPr>
      </w:pPr>
      <w:r>
        <w:rPr>
          <w:rFonts w:hint="eastAsia" w:ascii="仿宋" w:hAnsi="仿宋" w:eastAsia="仿宋" w:cs="仿宋"/>
          <w:b/>
          <w:bCs/>
          <w:color w:val="auto"/>
          <w:spacing w:val="-2"/>
          <w:sz w:val="24"/>
          <w:szCs w:val="24"/>
          <w:highlight w:val="none"/>
        </w:rPr>
        <w:t>1.</w:t>
      </w:r>
      <w:r>
        <w:rPr>
          <w:rFonts w:hint="eastAsia" w:ascii="仿宋" w:hAnsi="仿宋" w:eastAsia="仿宋" w:cs="仿宋"/>
          <w:b/>
          <w:bCs/>
          <w:color w:val="auto"/>
          <w:spacing w:val="-5"/>
          <w:sz w:val="24"/>
          <w:szCs w:val="24"/>
          <w:highlight w:val="none"/>
        </w:rPr>
        <w:t>合同履约</w:t>
      </w:r>
      <w:r>
        <w:rPr>
          <w:rFonts w:hint="eastAsia" w:cs="仿宋"/>
          <w:b/>
          <w:bCs/>
          <w:color w:val="auto"/>
          <w:spacing w:val="-5"/>
          <w:sz w:val="24"/>
          <w:szCs w:val="24"/>
          <w:highlight w:val="none"/>
          <w:lang w:val="en-US" w:eastAsia="zh-CN"/>
        </w:rPr>
        <w:t>期限及履约</w:t>
      </w:r>
      <w:r>
        <w:rPr>
          <w:rFonts w:hint="eastAsia" w:ascii="仿宋" w:hAnsi="仿宋" w:eastAsia="仿宋" w:cs="仿宋"/>
          <w:b/>
          <w:bCs/>
          <w:color w:val="auto"/>
          <w:spacing w:val="-5"/>
          <w:sz w:val="24"/>
          <w:szCs w:val="24"/>
          <w:highlight w:val="none"/>
        </w:rPr>
        <w:t>地点</w:t>
      </w:r>
      <w:r>
        <w:rPr>
          <w:rFonts w:hint="eastAsia" w:cs="仿宋"/>
          <w:b/>
          <w:bCs/>
          <w:color w:val="auto"/>
          <w:spacing w:val="-5"/>
          <w:sz w:val="24"/>
          <w:szCs w:val="24"/>
          <w:highlight w:val="none"/>
          <w:lang w:eastAsia="zh-CN"/>
        </w:rPr>
        <w:t>：</w:t>
      </w:r>
    </w:p>
    <w:p w14:paraId="2B5F41F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470" w:firstLineChars="200"/>
        <w:textAlignment w:val="baseline"/>
        <w:outlineLvl w:val="9"/>
        <w:rPr>
          <w:rFonts w:hint="eastAsia" w:ascii="仿宋" w:hAnsi="仿宋" w:eastAsia="仿宋" w:cs="仿宋"/>
          <w:b/>
          <w:bCs/>
          <w:color w:val="auto"/>
          <w:spacing w:val="-3"/>
          <w:sz w:val="24"/>
          <w:szCs w:val="24"/>
          <w:highlight w:val="none"/>
        </w:rPr>
      </w:pPr>
      <w:r>
        <w:rPr>
          <w:rFonts w:hint="eastAsia" w:cs="仿宋"/>
          <w:b/>
          <w:bCs/>
          <w:color w:val="auto"/>
          <w:spacing w:val="-3"/>
          <w:sz w:val="24"/>
          <w:szCs w:val="24"/>
          <w:highlight w:val="none"/>
          <w:lang w:val="en-US" w:eastAsia="zh-CN"/>
        </w:rPr>
        <w:t>1</w:t>
      </w:r>
      <w:r>
        <w:rPr>
          <w:rFonts w:hint="eastAsia" w:ascii="仿宋" w:hAnsi="仿宋" w:eastAsia="仿宋" w:cs="仿宋"/>
          <w:b/>
          <w:bCs/>
          <w:color w:val="auto"/>
          <w:spacing w:val="-3"/>
          <w:sz w:val="24"/>
          <w:szCs w:val="24"/>
          <w:highlight w:val="none"/>
        </w:rPr>
        <w:t>.1</w:t>
      </w:r>
      <w:r>
        <w:rPr>
          <w:rFonts w:hint="eastAsia" w:ascii="仿宋" w:hAnsi="仿宋" w:eastAsia="仿宋" w:cs="仿宋"/>
          <w:b/>
          <w:bCs/>
          <w:color w:val="auto"/>
          <w:spacing w:val="-5"/>
          <w:sz w:val="24"/>
          <w:szCs w:val="24"/>
          <w:highlight w:val="none"/>
        </w:rPr>
        <w:t>合同履约</w:t>
      </w:r>
      <w:r>
        <w:rPr>
          <w:rFonts w:hint="eastAsia" w:cs="仿宋"/>
          <w:b/>
          <w:bCs/>
          <w:color w:val="auto"/>
          <w:spacing w:val="-5"/>
          <w:sz w:val="24"/>
          <w:szCs w:val="24"/>
          <w:highlight w:val="none"/>
          <w:lang w:val="en-US" w:eastAsia="zh-CN"/>
        </w:rPr>
        <w:t>期限</w:t>
      </w:r>
      <w:r>
        <w:rPr>
          <w:rFonts w:hint="eastAsia" w:ascii="仿宋" w:hAnsi="仿宋" w:eastAsia="仿宋" w:cs="仿宋"/>
          <w:b/>
          <w:bCs/>
          <w:color w:val="auto"/>
          <w:spacing w:val="-3"/>
          <w:sz w:val="24"/>
          <w:szCs w:val="24"/>
          <w:highlight w:val="none"/>
        </w:rPr>
        <w:t>：</w:t>
      </w:r>
      <w:r>
        <w:rPr>
          <w:rFonts w:hint="eastAsia" w:cs="仿宋"/>
          <w:color w:val="auto"/>
          <w:spacing w:val="-3"/>
          <w:sz w:val="24"/>
          <w:szCs w:val="24"/>
          <w:highlight w:val="none"/>
          <w:shd w:val="clear"/>
          <w:lang w:val="en-US" w:eastAsia="zh-CN"/>
        </w:rPr>
        <w:t>两年（2027年-2028年），具体以合同约定为准。</w:t>
      </w:r>
    </w:p>
    <w:p w14:paraId="572CC68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478" w:firstLineChars="200"/>
        <w:textAlignment w:val="baseline"/>
        <w:outlineLvl w:val="9"/>
        <w:rPr>
          <w:rFonts w:hint="eastAsia" w:ascii="仿宋" w:hAnsi="仿宋" w:eastAsia="仿宋" w:cs="仿宋"/>
          <w:b w:val="0"/>
          <w:bCs w:val="0"/>
          <w:color w:val="auto"/>
          <w:spacing w:val="-3"/>
          <w:sz w:val="24"/>
          <w:szCs w:val="24"/>
          <w:highlight w:val="none"/>
          <w:lang w:val="en-US" w:eastAsia="zh-CN"/>
        </w:rPr>
      </w:pPr>
      <w:r>
        <w:rPr>
          <w:rFonts w:hint="eastAsia" w:cs="仿宋"/>
          <w:b/>
          <w:bCs/>
          <w:color w:val="auto"/>
          <w:spacing w:val="-1"/>
          <w:sz w:val="24"/>
          <w:szCs w:val="24"/>
          <w:highlight w:val="none"/>
          <w:lang w:val="en-US" w:eastAsia="zh-CN"/>
        </w:rPr>
        <w:t>1</w:t>
      </w:r>
      <w:r>
        <w:rPr>
          <w:rFonts w:hint="eastAsia" w:ascii="仿宋" w:hAnsi="仿宋" w:eastAsia="仿宋" w:cs="仿宋"/>
          <w:b/>
          <w:bCs/>
          <w:color w:val="auto"/>
          <w:spacing w:val="-1"/>
          <w:sz w:val="24"/>
          <w:szCs w:val="24"/>
          <w:highlight w:val="none"/>
        </w:rPr>
        <w:t>.2</w:t>
      </w:r>
      <w:r>
        <w:rPr>
          <w:rFonts w:hint="eastAsia" w:ascii="仿宋" w:hAnsi="仿宋" w:eastAsia="仿宋" w:cs="仿宋"/>
          <w:b/>
          <w:bCs/>
          <w:color w:val="auto"/>
          <w:spacing w:val="-5"/>
          <w:sz w:val="24"/>
          <w:szCs w:val="24"/>
          <w:highlight w:val="none"/>
        </w:rPr>
        <w:t>合同履约</w:t>
      </w:r>
      <w:r>
        <w:rPr>
          <w:rFonts w:hint="eastAsia" w:ascii="仿宋" w:hAnsi="仿宋" w:eastAsia="仿宋" w:cs="仿宋"/>
          <w:b/>
          <w:bCs/>
          <w:color w:val="auto"/>
          <w:spacing w:val="-1"/>
          <w:sz w:val="24"/>
          <w:szCs w:val="24"/>
          <w:highlight w:val="none"/>
        </w:rPr>
        <w:t>地点：</w:t>
      </w:r>
      <w:r>
        <w:rPr>
          <w:rFonts w:hint="eastAsia" w:ascii="仿宋" w:hAnsi="仿宋" w:eastAsia="仿宋" w:cs="仿宋"/>
          <w:b w:val="0"/>
          <w:bCs w:val="0"/>
          <w:color w:val="auto"/>
          <w:spacing w:val="-3"/>
          <w:sz w:val="24"/>
          <w:szCs w:val="24"/>
          <w:highlight w:val="none"/>
          <w:lang w:val="en-US" w:eastAsia="zh-CN"/>
        </w:rPr>
        <w:t>用户指定地点</w:t>
      </w:r>
      <w:r>
        <w:rPr>
          <w:rFonts w:hint="eastAsia" w:cs="仿宋"/>
          <w:b w:val="0"/>
          <w:bCs w:val="0"/>
          <w:color w:val="auto"/>
          <w:spacing w:val="-3"/>
          <w:sz w:val="24"/>
          <w:szCs w:val="24"/>
          <w:highlight w:val="none"/>
          <w:lang w:val="en-US" w:eastAsia="zh-CN"/>
        </w:rPr>
        <w:t>。</w:t>
      </w:r>
    </w:p>
    <w:p w14:paraId="69D4BA2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454" w:firstLineChars="200"/>
        <w:textAlignment w:val="baseline"/>
        <w:outlineLvl w:val="2"/>
        <w:rPr>
          <w:rFonts w:hint="eastAsia" w:cs="仿宋"/>
          <w:b/>
          <w:bCs/>
          <w:color w:val="auto"/>
          <w:spacing w:val="-7"/>
          <w:sz w:val="24"/>
          <w:szCs w:val="24"/>
          <w:highlight w:val="none"/>
          <w:lang w:eastAsia="zh-CN"/>
        </w:rPr>
      </w:pPr>
      <w:r>
        <w:rPr>
          <w:rFonts w:hint="eastAsia" w:cs="仿宋"/>
          <w:b/>
          <w:bCs/>
          <w:color w:val="auto"/>
          <w:spacing w:val="-7"/>
          <w:sz w:val="24"/>
          <w:szCs w:val="24"/>
          <w:highlight w:val="none"/>
          <w:lang w:val="en-US" w:eastAsia="zh-CN"/>
        </w:rPr>
        <w:t>2</w:t>
      </w:r>
      <w:r>
        <w:rPr>
          <w:rFonts w:hint="eastAsia" w:ascii="仿宋" w:hAnsi="仿宋" w:eastAsia="仿宋" w:cs="仿宋"/>
          <w:b/>
          <w:bCs/>
          <w:color w:val="auto"/>
          <w:spacing w:val="-7"/>
          <w:sz w:val="24"/>
          <w:szCs w:val="24"/>
          <w:highlight w:val="none"/>
        </w:rPr>
        <w:t>.付款</w:t>
      </w:r>
      <w:r>
        <w:rPr>
          <w:rFonts w:hint="eastAsia" w:cs="仿宋"/>
          <w:b/>
          <w:bCs/>
          <w:color w:val="auto"/>
          <w:spacing w:val="-7"/>
          <w:sz w:val="24"/>
          <w:szCs w:val="24"/>
          <w:highlight w:val="none"/>
          <w:lang w:eastAsia="zh-CN"/>
        </w:rPr>
        <w:t>：</w:t>
      </w:r>
    </w:p>
    <w:p w14:paraId="7BE7DB2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b w:val="0"/>
          <w:bCs w:val="0"/>
          <w:color w:val="auto"/>
          <w:spacing w:val="-3"/>
          <w:sz w:val="24"/>
          <w:szCs w:val="24"/>
          <w:highlight w:val="none"/>
          <w:lang w:val="en-US" w:eastAsia="zh-CN"/>
        </w:rPr>
      </w:pPr>
      <w:r>
        <w:rPr>
          <w:rFonts w:hint="eastAsia" w:cs="仿宋"/>
          <w:b w:val="0"/>
          <w:bCs w:val="0"/>
          <w:color w:val="auto"/>
          <w:spacing w:val="-3"/>
          <w:sz w:val="24"/>
          <w:szCs w:val="24"/>
          <w:highlight w:val="none"/>
          <w:lang w:val="en-US" w:eastAsia="zh-CN"/>
        </w:rPr>
        <w:t>具体</w:t>
      </w:r>
      <w:r>
        <w:rPr>
          <w:rFonts w:hint="eastAsia" w:ascii="仿宋" w:hAnsi="仿宋" w:eastAsia="仿宋" w:cs="仿宋"/>
          <w:b w:val="0"/>
          <w:bCs w:val="0"/>
          <w:color w:val="auto"/>
          <w:spacing w:val="-3"/>
          <w:sz w:val="24"/>
          <w:szCs w:val="24"/>
          <w:highlight w:val="none"/>
          <w:lang w:val="en-US" w:eastAsia="zh-CN"/>
        </w:rPr>
        <w:t>以实际签订合同为准。</w:t>
      </w:r>
    </w:p>
    <w:p w14:paraId="480E2BC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454" w:firstLineChars="200"/>
        <w:textAlignment w:val="baseline"/>
        <w:outlineLvl w:val="2"/>
        <w:rPr>
          <w:rFonts w:hint="eastAsia" w:cs="仿宋"/>
          <w:b/>
          <w:bCs/>
          <w:color w:val="auto"/>
          <w:spacing w:val="-7"/>
          <w:sz w:val="24"/>
          <w:szCs w:val="24"/>
          <w:highlight w:val="none"/>
          <w:lang w:val="en-US" w:eastAsia="zh-CN"/>
        </w:rPr>
      </w:pPr>
      <w:bookmarkStart w:id="11" w:name="_Toc678"/>
      <w:r>
        <w:rPr>
          <w:rFonts w:hint="eastAsia" w:cs="仿宋"/>
          <w:b/>
          <w:bCs/>
          <w:color w:val="auto"/>
          <w:spacing w:val="-7"/>
          <w:sz w:val="24"/>
          <w:szCs w:val="24"/>
          <w:highlight w:val="none"/>
          <w:lang w:val="en-US" w:eastAsia="zh-CN"/>
        </w:rPr>
        <w:t>3.项目整体验收要求</w:t>
      </w:r>
      <w:bookmarkEnd w:id="11"/>
      <w:r>
        <w:rPr>
          <w:rFonts w:hint="eastAsia" w:cs="仿宋"/>
          <w:b/>
          <w:bCs/>
          <w:color w:val="auto"/>
          <w:spacing w:val="-7"/>
          <w:sz w:val="24"/>
          <w:szCs w:val="24"/>
          <w:highlight w:val="none"/>
          <w:lang w:val="en-US" w:eastAsia="zh-CN"/>
        </w:rPr>
        <w:t>：</w:t>
      </w:r>
    </w:p>
    <w:p w14:paraId="3595E7C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b w:val="0"/>
          <w:bCs w:val="0"/>
          <w:color w:val="auto"/>
          <w:spacing w:val="-3"/>
          <w:sz w:val="24"/>
          <w:szCs w:val="24"/>
          <w:highlight w:val="none"/>
          <w:lang w:val="en-US" w:eastAsia="zh-CN"/>
        </w:rPr>
      </w:pPr>
      <w:bookmarkStart w:id="12" w:name="heading_39"/>
      <w:r>
        <w:rPr>
          <w:rFonts w:hint="eastAsia" w:ascii="仿宋" w:hAnsi="仿宋" w:eastAsia="仿宋" w:cs="仿宋"/>
          <w:b w:val="0"/>
          <w:bCs w:val="0"/>
          <w:color w:val="auto"/>
          <w:spacing w:val="-3"/>
          <w:sz w:val="24"/>
          <w:szCs w:val="24"/>
          <w:highlight w:val="none"/>
          <w:lang w:val="en-US" w:eastAsia="zh-CN"/>
        </w:rPr>
        <w:t>1.分阶段验收</w:t>
      </w:r>
      <w:bookmarkEnd w:id="12"/>
    </w:p>
    <w:p w14:paraId="2857B64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b w:val="0"/>
          <w:bCs w:val="0"/>
          <w:color w:val="auto"/>
          <w:spacing w:val="-3"/>
          <w:sz w:val="24"/>
          <w:szCs w:val="24"/>
          <w:highlight w:val="none"/>
          <w:lang w:val="en-US" w:eastAsia="zh-CN"/>
        </w:rPr>
      </w:pPr>
      <w:r>
        <w:rPr>
          <w:rFonts w:hint="eastAsia" w:ascii="仿宋" w:hAnsi="仿宋" w:eastAsia="仿宋" w:cs="仿宋"/>
          <w:b w:val="0"/>
          <w:bCs w:val="0"/>
          <w:color w:val="auto"/>
          <w:spacing w:val="-3"/>
          <w:sz w:val="24"/>
          <w:szCs w:val="24"/>
          <w:highlight w:val="none"/>
          <w:lang w:val="en-US" w:eastAsia="zh-CN"/>
        </w:rPr>
        <w:t>（1）阶段性运维验收：每季度开展运维服务核查，核查设备运行率、数据有效率、台账完整性，确保运维服务达标。</w:t>
      </w:r>
    </w:p>
    <w:p w14:paraId="569AD0B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b w:val="0"/>
          <w:bCs w:val="0"/>
          <w:color w:val="auto"/>
          <w:spacing w:val="-3"/>
          <w:sz w:val="24"/>
          <w:szCs w:val="24"/>
          <w:highlight w:val="none"/>
          <w:lang w:val="en-US" w:eastAsia="zh-CN"/>
        </w:rPr>
      </w:pPr>
      <w:bookmarkStart w:id="13" w:name="heading_40"/>
      <w:r>
        <w:rPr>
          <w:rFonts w:hint="eastAsia" w:ascii="仿宋" w:hAnsi="仿宋" w:eastAsia="仿宋" w:cs="仿宋"/>
          <w:b w:val="0"/>
          <w:bCs w:val="0"/>
          <w:color w:val="auto"/>
          <w:spacing w:val="-3"/>
          <w:sz w:val="24"/>
          <w:szCs w:val="24"/>
          <w:highlight w:val="none"/>
          <w:lang w:val="en-US" w:eastAsia="zh-CN"/>
        </w:rPr>
        <w:t>2.整体竣工验收</w:t>
      </w:r>
      <w:bookmarkEnd w:id="13"/>
    </w:p>
    <w:p w14:paraId="36624AB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仿宋" w:hAnsi="仿宋" w:eastAsia="仿宋" w:cs="仿宋"/>
          <w:b w:val="0"/>
          <w:bCs w:val="0"/>
          <w:color w:val="auto"/>
          <w:spacing w:val="-3"/>
          <w:sz w:val="24"/>
          <w:szCs w:val="24"/>
          <w:highlight w:val="none"/>
          <w:lang w:val="en-US" w:eastAsia="zh-CN"/>
        </w:rPr>
      </w:pPr>
      <w:r>
        <w:rPr>
          <w:rFonts w:hint="eastAsia" w:ascii="仿宋" w:hAnsi="仿宋" w:eastAsia="仿宋" w:cs="仿宋"/>
          <w:b w:val="0"/>
          <w:bCs w:val="0"/>
          <w:color w:val="auto"/>
          <w:spacing w:val="-3"/>
          <w:sz w:val="24"/>
          <w:szCs w:val="24"/>
          <w:highlight w:val="none"/>
          <w:lang w:val="en-US" w:eastAsia="zh-CN"/>
        </w:rPr>
        <w:t>项目全部实施完成后，由实施单位组织自查整改，完善全套项目档案资料，邀请财政、生态环境主管部门及行业专家组成验收组，通过资料审核、现场核查、系统核验、座谈问询等方式开展全面验收。</w:t>
      </w:r>
    </w:p>
    <w:p w14:paraId="153A572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color w:val="auto"/>
          <w:highlight w:val="none"/>
          <w:lang w:val="en-US" w:eastAsia="zh-CN"/>
        </w:rPr>
      </w:pPr>
      <w:r>
        <w:rPr>
          <w:rFonts w:hint="eastAsia" w:ascii="仿宋" w:hAnsi="仿宋" w:eastAsia="仿宋" w:cs="仿宋"/>
          <w:b w:val="0"/>
          <w:bCs w:val="0"/>
          <w:color w:val="auto"/>
          <w:spacing w:val="-3"/>
          <w:sz w:val="24"/>
          <w:szCs w:val="24"/>
          <w:highlight w:val="none"/>
          <w:lang w:val="en-US" w:eastAsia="zh-CN"/>
        </w:rPr>
        <w:t>验收核心标准：设备运行稳定、监测数据精准，符合GB 3095-2026新标准；全部站点接入自治区监测一体化平台，数据实时上传、全程溯源；运维服务规范、台账完整；资金使用合规、账目清晰；项目完成全部绩效目标，无遗留问题。</w:t>
      </w:r>
    </w:p>
    <w:p w14:paraId="041DE68A">
      <w:pPr>
        <w:pStyle w:val="5"/>
        <w:shd w:val="clear"/>
        <w:bidi w:val="0"/>
        <w:ind w:left="0" w:leftChars="0" w:firstLine="0" w:firstLineChars="0"/>
        <w:jc w:val="left"/>
        <w:outlineLvl w:val="1"/>
        <w:rPr>
          <w:rFonts w:hint="eastAsia" w:ascii="Arial" w:hAnsi="Arial" w:eastAsia="等线" w:cs="Arial"/>
          <w:b/>
          <w:color w:val="auto"/>
          <w:sz w:val="28"/>
          <w:szCs w:val="28"/>
          <w:highlight w:val="none"/>
          <w:lang w:val="en-US" w:eastAsia="zh-CN"/>
        </w:rPr>
      </w:pPr>
      <w:r>
        <w:rPr>
          <w:rFonts w:hint="eastAsia"/>
          <w:b/>
          <w:bCs w:val="0"/>
          <w:color w:val="auto"/>
          <w:sz w:val="28"/>
          <w:szCs w:val="28"/>
          <w:highlight w:val="none"/>
          <w:lang w:val="en-US" w:eastAsia="zh-CN"/>
        </w:rPr>
        <w:t>五、技术需求</w:t>
      </w:r>
    </w:p>
    <w:p w14:paraId="025F229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leftChars="0" w:firstLine="482" w:firstLineChars="200"/>
        <w:jc w:val="left"/>
        <w:textAlignment w:val="baseline"/>
        <w:outlineLvl w:val="2"/>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1.运维服务采购清单</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656"/>
        <w:gridCol w:w="2607"/>
        <w:gridCol w:w="2966"/>
        <w:gridCol w:w="833"/>
      </w:tblGrid>
      <w:tr w14:paraId="0444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8" w:type="pct"/>
            <w:vAlign w:val="center"/>
          </w:tcPr>
          <w:p w14:paraId="6DC7A42A">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序号</w:t>
            </w:r>
          </w:p>
        </w:tc>
        <w:tc>
          <w:tcPr>
            <w:tcW w:w="971" w:type="pct"/>
            <w:vAlign w:val="center"/>
          </w:tcPr>
          <w:p w14:paraId="2B1B87D5">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项目名称</w:t>
            </w:r>
          </w:p>
        </w:tc>
        <w:tc>
          <w:tcPr>
            <w:tcW w:w="1530" w:type="pct"/>
            <w:vAlign w:val="center"/>
          </w:tcPr>
          <w:p w14:paraId="5A0D4F9B">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项目内容</w:t>
            </w:r>
          </w:p>
        </w:tc>
        <w:tc>
          <w:tcPr>
            <w:tcW w:w="1740" w:type="pct"/>
            <w:vAlign w:val="center"/>
          </w:tcPr>
          <w:p w14:paraId="162556BA">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需求</w:t>
            </w:r>
          </w:p>
        </w:tc>
        <w:tc>
          <w:tcPr>
            <w:tcW w:w="489" w:type="pct"/>
            <w:vAlign w:val="center"/>
          </w:tcPr>
          <w:p w14:paraId="6C6E0B55">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数量</w:t>
            </w:r>
          </w:p>
        </w:tc>
      </w:tr>
      <w:tr w14:paraId="3464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8" w:type="pct"/>
            <w:vMerge w:val="restart"/>
            <w:shd w:val="clear" w:color="auto" w:fill="auto"/>
            <w:vAlign w:val="center"/>
          </w:tcPr>
          <w:p w14:paraId="1CC4460B">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w:t>
            </w:r>
          </w:p>
        </w:tc>
        <w:tc>
          <w:tcPr>
            <w:tcW w:w="971" w:type="pct"/>
            <w:vMerge w:val="restart"/>
            <w:shd w:val="clear" w:color="auto" w:fill="auto"/>
            <w:vAlign w:val="center"/>
          </w:tcPr>
          <w:p w14:paraId="63B4B4C0">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和田地区空气自动站设备更换及运维项目（标段2：和田地区空气自动站运维保障项目（2027—2028年））</w:t>
            </w:r>
          </w:p>
        </w:tc>
        <w:tc>
          <w:tcPr>
            <w:tcW w:w="1530" w:type="pct"/>
            <w:shd w:val="clear" w:color="auto" w:fill="auto"/>
            <w:vAlign w:val="center"/>
          </w:tcPr>
          <w:p w14:paraId="1AD83925">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皮山县安徽工业园区站</w:t>
            </w:r>
          </w:p>
        </w:tc>
        <w:tc>
          <w:tcPr>
            <w:tcW w:w="1740" w:type="pct"/>
            <w:shd w:val="clear" w:color="auto" w:fill="auto"/>
            <w:vAlign w:val="center"/>
          </w:tcPr>
          <w:p w14:paraId="3BFEA5CB">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2028年运维服务</w:t>
            </w:r>
          </w:p>
        </w:tc>
        <w:tc>
          <w:tcPr>
            <w:tcW w:w="489" w:type="pct"/>
            <w:shd w:val="clear" w:color="auto" w:fill="auto"/>
            <w:vAlign w:val="center"/>
          </w:tcPr>
          <w:p w14:paraId="3E4D33A2">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1年</w:t>
            </w:r>
          </w:p>
        </w:tc>
      </w:tr>
      <w:tr w14:paraId="51BA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8" w:type="pct"/>
            <w:vMerge w:val="continue"/>
            <w:shd w:val="clear" w:color="auto" w:fill="auto"/>
            <w:vAlign w:val="center"/>
          </w:tcPr>
          <w:p w14:paraId="1CE30726">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971" w:type="pct"/>
            <w:vMerge w:val="continue"/>
            <w:shd w:val="clear" w:color="auto" w:fill="auto"/>
            <w:vAlign w:val="center"/>
          </w:tcPr>
          <w:p w14:paraId="20D45060">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530" w:type="pct"/>
            <w:shd w:val="clear" w:color="auto" w:fill="auto"/>
            <w:vAlign w:val="center"/>
          </w:tcPr>
          <w:p w14:paraId="39A8FDD1">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墨玉县现代农业产业园区站</w:t>
            </w:r>
          </w:p>
        </w:tc>
        <w:tc>
          <w:tcPr>
            <w:tcW w:w="1740" w:type="pct"/>
            <w:shd w:val="clear" w:color="auto" w:fill="auto"/>
            <w:vAlign w:val="center"/>
          </w:tcPr>
          <w:p w14:paraId="791485C5">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2027、2028年运维服务</w:t>
            </w:r>
          </w:p>
        </w:tc>
        <w:tc>
          <w:tcPr>
            <w:tcW w:w="489" w:type="pct"/>
            <w:shd w:val="clear" w:color="auto" w:fill="auto"/>
            <w:vAlign w:val="center"/>
          </w:tcPr>
          <w:p w14:paraId="0556004D">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2年</w:t>
            </w:r>
          </w:p>
        </w:tc>
      </w:tr>
      <w:tr w14:paraId="292E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8" w:type="pct"/>
            <w:vMerge w:val="continue"/>
            <w:shd w:val="clear" w:color="auto" w:fill="auto"/>
            <w:vAlign w:val="center"/>
          </w:tcPr>
          <w:p w14:paraId="537EC29C">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971" w:type="pct"/>
            <w:vMerge w:val="continue"/>
            <w:shd w:val="clear" w:color="auto" w:fill="auto"/>
            <w:vAlign w:val="center"/>
          </w:tcPr>
          <w:p w14:paraId="58B69B36">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530" w:type="pct"/>
            <w:shd w:val="clear" w:color="auto" w:fill="auto"/>
            <w:vAlign w:val="center"/>
          </w:tcPr>
          <w:p w14:paraId="2E21DA64">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和田市北京工业园区站</w:t>
            </w:r>
          </w:p>
        </w:tc>
        <w:tc>
          <w:tcPr>
            <w:tcW w:w="1740" w:type="pct"/>
            <w:shd w:val="clear" w:color="auto" w:fill="auto"/>
            <w:vAlign w:val="center"/>
          </w:tcPr>
          <w:p w14:paraId="66957111">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2027、2028年运维服务</w:t>
            </w:r>
          </w:p>
        </w:tc>
        <w:tc>
          <w:tcPr>
            <w:tcW w:w="489" w:type="pct"/>
            <w:shd w:val="clear" w:color="auto" w:fill="auto"/>
            <w:vAlign w:val="center"/>
          </w:tcPr>
          <w:p w14:paraId="697873C3">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2年</w:t>
            </w:r>
          </w:p>
        </w:tc>
      </w:tr>
      <w:tr w14:paraId="351D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8" w:type="pct"/>
            <w:vMerge w:val="continue"/>
            <w:shd w:val="clear" w:color="auto" w:fill="auto"/>
            <w:vAlign w:val="center"/>
          </w:tcPr>
          <w:p w14:paraId="373A2C2F">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971" w:type="pct"/>
            <w:vMerge w:val="continue"/>
            <w:shd w:val="clear" w:color="auto" w:fill="auto"/>
            <w:vAlign w:val="center"/>
          </w:tcPr>
          <w:p w14:paraId="437E962C">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530" w:type="pct"/>
            <w:shd w:val="clear" w:color="auto" w:fill="auto"/>
            <w:vAlign w:val="center"/>
          </w:tcPr>
          <w:p w14:paraId="35F7DAB8">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洛浦县北京工业园区站</w:t>
            </w:r>
          </w:p>
        </w:tc>
        <w:tc>
          <w:tcPr>
            <w:tcW w:w="1740" w:type="pct"/>
            <w:shd w:val="clear" w:color="auto" w:fill="auto"/>
            <w:vAlign w:val="center"/>
          </w:tcPr>
          <w:p w14:paraId="57C497F1">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2027、2028年运维服务</w:t>
            </w:r>
          </w:p>
        </w:tc>
        <w:tc>
          <w:tcPr>
            <w:tcW w:w="489" w:type="pct"/>
            <w:shd w:val="clear" w:color="auto" w:fill="auto"/>
            <w:vAlign w:val="center"/>
          </w:tcPr>
          <w:p w14:paraId="0BD1860E">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2年</w:t>
            </w:r>
          </w:p>
        </w:tc>
      </w:tr>
      <w:tr w14:paraId="5F37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8" w:type="pct"/>
            <w:vMerge w:val="continue"/>
            <w:shd w:val="clear" w:color="auto" w:fill="auto"/>
            <w:vAlign w:val="center"/>
          </w:tcPr>
          <w:p w14:paraId="252E01E9">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971" w:type="pct"/>
            <w:vMerge w:val="continue"/>
            <w:shd w:val="clear" w:color="auto" w:fill="auto"/>
            <w:vAlign w:val="center"/>
          </w:tcPr>
          <w:p w14:paraId="11B4F2AF">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530" w:type="pct"/>
            <w:shd w:val="clear" w:color="auto" w:fill="auto"/>
            <w:vAlign w:val="center"/>
          </w:tcPr>
          <w:p w14:paraId="57A4BDF5">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于田县天津工业园区站</w:t>
            </w:r>
          </w:p>
        </w:tc>
        <w:tc>
          <w:tcPr>
            <w:tcW w:w="1740" w:type="pct"/>
            <w:shd w:val="clear" w:color="auto" w:fill="auto"/>
            <w:vAlign w:val="center"/>
          </w:tcPr>
          <w:p w14:paraId="271FA58E">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2028年运维服务（含PAMS57）</w:t>
            </w:r>
          </w:p>
        </w:tc>
        <w:tc>
          <w:tcPr>
            <w:tcW w:w="489" w:type="pct"/>
            <w:shd w:val="clear" w:color="auto" w:fill="auto"/>
            <w:vAlign w:val="center"/>
          </w:tcPr>
          <w:p w14:paraId="223841D6">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1年</w:t>
            </w:r>
          </w:p>
        </w:tc>
      </w:tr>
      <w:tr w14:paraId="4A2E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8" w:type="pct"/>
            <w:vMerge w:val="continue"/>
            <w:shd w:val="clear" w:color="auto" w:fill="auto"/>
            <w:vAlign w:val="center"/>
          </w:tcPr>
          <w:p w14:paraId="7CDB833E">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971" w:type="pct"/>
            <w:vMerge w:val="continue"/>
            <w:shd w:val="clear" w:color="auto" w:fill="auto"/>
            <w:vAlign w:val="center"/>
          </w:tcPr>
          <w:p w14:paraId="41FF970C">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530" w:type="pct"/>
            <w:shd w:val="clear" w:color="auto" w:fill="auto"/>
            <w:vAlign w:val="center"/>
          </w:tcPr>
          <w:p w14:paraId="17E072D1">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和田市噪声国控站</w:t>
            </w:r>
          </w:p>
        </w:tc>
        <w:tc>
          <w:tcPr>
            <w:tcW w:w="1740" w:type="pct"/>
            <w:shd w:val="clear" w:color="auto" w:fill="auto"/>
            <w:vAlign w:val="center"/>
          </w:tcPr>
          <w:p w14:paraId="31C5F183">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2027、2028年运维服务</w:t>
            </w:r>
          </w:p>
        </w:tc>
        <w:tc>
          <w:tcPr>
            <w:tcW w:w="489" w:type="pct"/>
            <w:shd w:val="clear" w:color="auto" w:fill="auto"/>
            <w:vAlign w:val="center"/>
          </w:tcPr>
          <w:p w14:paraId="795FC6B8">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2年</w:t>
            </w:r>
          </w:p>
        </w:tc>
      </w:tr>
      <w:tr w14:paraId="2246D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8" w:type="pct"/>
            <w:vMerge w:val="continue"/>
            <w:shd w:val="clear" w:color="auto" w:fill="auto"/>
            <w:vAlign w:val="center"/>
          </w:tcPr>
          <w:p w14:paraId="1B0A6EA5">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971" w:type="pct"/>
            <w:vMerge w:val="continue"/>
            <w:shd w:val="clear" w:color="auto" w:fill="auto"/>
            <w:vAlign w:val="center"/>
          </w:tcPr>
          <w:p w14:paraId="1C735701">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530" w:type="pct"/>
            <w:shd w:val="clear" w:color="auto" w:fill="auto"/>
            <w:vAlign w:val="center"/>
          </w:tcPr>
          <w:p w14:paraId="116569FE">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和田地区大气污染防治精细化管控与环境空气质量综合监测技术服务</w:t>
            </w:r>
          </w:p>
        </w:tc>
        <w:tc>
          <w:tcPr>
            <w:tcW w:w="1740" w:type="pct"/>
            <w:shd w:val="clear" w:color="auto" w:fill="auto"/>
            <w:vAlign w:val="center"/>
          </w:tcPr>
          <w:p w14:paraId="03EDD833">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针对和田地区面临的大气污染问题及空气质量目标压力，开展重点区域精细化管控、污染源治理以及大气环境管理水平提升等工作，持续支撑和田地区空气质量持续、稳定改善。</w:t>
            </w:r>
          </w:p>
        </w:tc>
        <w:tc>
          <w:tcPr>
            <w:tcW w:w="489" w:type="pct"/>
            <w:shd w:val="clear" w:color="auto" w:fill="auto"/>
            <w:vAlign w:val="center"/>
          </w:tcPr>
          <w:p w14:paraId="6CD0C51A">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2年</w:t>
            </w:r>
          </w:p>
        </w:tc>
      </w:tr>
    </w:tbl>
    <w:p w14:paraId="1665906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2" w:firstLineChars="200"/>
        <w:textAlignment w:val="baseline"/>
        <w:outlineLvl w:val="2"/>
        <w:rPr>
          <w:rFonts w:hint="eastAsia" w:ascii="仿宋" w:hAnsi="仿宋" w:eastAsia="仿宋" w:cs="仿宋"/>
          <w:b/>
          <w:bCs/>
          <w:color w:val="auto"/>
          <w:spacing w:val="-3"/>
          <w:sz w:val="24"/>
          <w:szCs w:val="24"/>
          <w:highlight w:val="none"/>
          <w:lang w:val="en-US" w:eastAsia="zh-CN"/>
        </w:rPr>
      </w:pPr>
      <w:r>
        <w:rPr>
          <w:rFonts w:hint="eastAsia" w:cs="仿宋"/>
          <w:b/>
          <w:color w:val="auto"/>
          <w:sz w:val="24"/>
          <w:szCs w:val="24"/>
          <w:highlight w:val="none"/>
          <w:lang w:val="en-US" w:eastAsia="zh-CN"/>
        </w:rPr>
        <w:t>2</w:t>
      </w:r>
      <w:r>
        <w:rPr>
          <w:rFonts w:hint="eastAsia" w:ascii="仿宋" w:hAnsi="仿宋" w:eastAsia="仿宋" w:cs="仿宋"/>
          <w:b/>
          <w:color w:val="auto"/>
          <w:sz w:val="24"/>
          <w:szCs w:val="24"/>
          <w:highlight w:val="none"/>
          <w:lang w:val="en-US" w:eastAsia="zh-CN"/>
        </w:rPr>
        <w:t>.</w:t>
      </w:r>
      <w:r>
        <w:rPr>
          <w:rFonts w:hint="eastAsia" w:ascii="仿宋" w:hAnsi="仿宋" w:eastAsia="仿宋" w:cs="仿宋"/>
          <w:b/>
          <w:bCs/>
          <w:color w:val="auto"/>
          <w:spacing w:val="-3"/>
          <w:sz w:val="24"/>
          <w:szCs w:val="24"/>
          <w:highlight w:val="none"/>
        </w:rPr>
        <w:t>采购标的</w:t>
      </w:r>
      <w:r>
        <w:rPr>
          <w:rFonts w:hint="eastAsia" w:cs="仿宋"/>
          <w:b/>
          <w:bCs/>
          <w:color w:val="auto"/>
          <w:spacing w:val="-3"/>
          <w:sz w:val="24"/>
          <w:szCs w:val="24"/>
          <w:highlight w:val="none"/>
          <w:lang w:val="en-US" w:eastAsia="zh-CN"/>
        </w:rPr>
        <w:t>名称、</w:t>
      </w:r>
      <w:r>
        <w:rPr>
          <w:rFonts w:hint="eastAsia" w:ascii="仿宋" w:hAnsi="仿宋" w:eastAsia="仿宋" w:cs="仿宋"/>
          <w:b/>
          <w:bCs/>
          <w:color w:val="auto"/>
          <w:spacing w:val="-3"/>
          <w:sz w:val="24"/>
          <w:szCs w:val="24"/>
          <w:highlight w:val="none"/>
        </w:rPr>
        <w:t>数量</w:t>
      </w:r>
      <w:r>
        <w:rPr>
          <w:rFonts w:hint="eastAsia" w:cs="仿宋"/>
          <w:b/>
          <w:bCs/>
          <w:color w:val="auto"/>
          <w:spacing w:val="-3"/>
          <w:sz w:val="24"/>
          <w:szCs w:val="24"/>
          <w:highlight w:val="none"/>
          <w:lang w:val="en-US" w:eastAsia="zh-CN"/>
        </w:rPr>
        <w:t>及</w:t>
      </w:r>
      <w:r>
        <w:rPr>
          <w:rFonts w:hint="eastAsia" w:ascii="仿宋" w:hAnsi="仿宋" w:eastAsia="仿宋" w:cs="仿宋"/>
          <w:b/>
          <w:bCs/>
          <w:color w:val="auto"/>
          <w:sz w:val="24"/>
          <w:szCs w:val="24"/>
          <w:highlight w:val="none"/>
          <w:vertAlign w:val="baseline"/>
          <w:lang w:val="en-US" w:eastAsia="zh-CN"/>
        </w:rPr>
        <w:t>中小微企业所属行业</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3"/>
        <w:gridCol w:w="912"/>
        <w:gridCol w:w="1954"/>
      </w:tblGrid>
      <w:tr w14:paraId="60B7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17" w:type="pct"/>
            <w:vAlign w:val="center"/>
          </w:tcPr>
          <w:p w14:paraId="6A7D137F">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采购标的名称</w:t>
            </w:r>
          </w:p>
        </w:tc>
        <w:tc>
          <w:tcPr>
            <w:tcW w:w="535" w:type="pct"/>
            <w:vAlign w:val="center"/>
          </w:tcPr>
          <w:p w14:paraId="7927E1AE">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数量</w:t>
            </w:r>
          </w:p>
        </w:tc>
        <w:tc>
          <w:tcPr>
            <w:tcW w:w="1146" w:type="pct"/>
            <w:vAlign w:val="center"/>
          </w:tcPr>
          <w:p w14:paraId="7973C5EF">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中小微企业所属行业</w:t>
            </w:r>
          </w:p>
        </w:tc>
      </w:tr>
      <w:tr w14:paraId="2859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17" w:type="pct"/>
            <w:shd w:val="clear" w:color="auto" w:fill="auto"/>
            <w:vAlign w:val="center"/>
          </w:tcPr>
          <w:p w14:paraId="15A70DB1">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皮山县安徽工业园区站2028年空气自动站运维服务</w:t>
            </w:r>
          </w:p>
        </w:tc>
        <w:tc>
          <w:tcPr>
            <w:tcW w:w="535" w:type="pct"/>
            <w:shd w:val="clear" w:color="auto" w:fill="auto"/>
            <w:vAlign w:val="center"/>
          </w:tcPr>
          <w:p w14:paraId="1FBE27E1">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1年</w:t>
            </w:r>
          </w:p>
        </w:tc>
        <w:tc>
          <w:tcPr>
            <w:tcW w:w="1146" w:type="pct"/>
            <w:shd w:val="clear" w:color="auto" w:fill="auto"/>
            <w:vAlign w:val="center"/>
          </w:tcPr>
          <w:p w14:paraId="047D6C69">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其他未列明行业</w:t>
            </w:r>
          </w:p>
        </w:tc>
      </w:tr>
      <w:tr w14:paraId="4B409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17" w:type="pct"/>
            <w:shd w:val="clear" w:color="auto" w:fill="auto"/>
            <w:vAlign w:val="center"/>
          </w:tcPr>
          <w:p w14:paraId="2D330D5B">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墨玉县现代农业产业园区站2027-2028年空气自动站运维服务</w:t>
            </w:r>
          </w:p>
        </w:tc>
        <w:tc>
          <w:tcPr>
            <w:tcW w:w="535" w:type="pct"/>
            <w:shd w:val="clear" w:color="auto" w:fill="auto"/>
            <w:vAlign w:val="center"/>
          </w:tcPr>
          <w:p w14:paraId="5C94A7CA">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2年</w:t>
            </w:r>
          </w:p>
        </w:tc>
        <w:tc>
          <w:tcPr>
            <w:tcW w:w="1146" w:type="pct"/>
            <w:shd w:val="clear" w:color="auto" w:fill="auto"/>
            <w:vAlign w:val="center"/>
          </w:tcPr>
          <w:p w14:paraId="2C5E5E25">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其他未列明行业</w:t>
            </w:r>
          </w:p>
        </w:tc>
      </w:tr>
      <w:tr w14:paraId="37DF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17" w:type="pct"/>
            <w:shd w:val="clear" w:color="auto" w:fill="auto"/>
            <w:vAlign w:val="center"/>
          </w:tcPr>
          <w:p w14:paraId="15DAE113">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和田市北京工业园区站2027</w:t>
            </w:r>
            <w:r>
              <w:rPr>
                <w:rFonts w:hint="eastAsia" w:ascii="仿宋" w:hAnsi="仿宋" w:eastAsia="仿宋" w:cs="仿宋"/>
                <w:b w:val="0"/>
                <w:bCs w:val="0"/>
                <w:color w:val="auto"/>
                <w:sz w:val="24"/>
                <w:szCs w:val="24"/>
                <w:highlight w:val="none"/>
                <w:vertAlign w:val="baseline"/>
                <w:lang w:val="en-US" w:eastAsia="zh-CN"/>
              </w:rPr>
              <w:noBreakHyphen/>
            </w:r>
            <w:r>
              <w:rPr>
                <w:rFonts w:hint="eastAsia" w:ascii="仿宋" w:hAnsi="仿宋" w:eastAsia="仿宋" w:cs="仿宋"/>
                <w:b w:val="0"/>
                <w:bCs w:val="0"/>
                <w:color w:val="auto"/>
                <w:sz w:val="24"/>
                <w:szCs w:val="24"/>
                <w:highlight w:val="none"/>
                <w:vertAlign w:val="baseline"/>
                <w:lang w:val="en-US" w:eastAsia="zh-CN"/>
              </w:rPr>
              <w:t>2028年空气自动站运维服务</w:t>
            </w:r>
          </w:p>
        </w:tc>
        <w:tc>
          <w:tcPr>
            <w:tcW w:w="535" w:type="pct"/>
            <w:shd w:val="clear" w:color="auto" w:fill="auto"/>
            <w:vAlign w:val="center"/>
          </w:tcPr>
          <w:p w14:paraId="4C85F1E3">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2年</w:t>
            </w:r>
          </w:p>
        </w:tc>
        <w:tc>
          <w:tcPr>
            <w:tcW w:w="1146" w:type="pct"/>
            <w:shd w:val="clear" w:color="auto" w:fill="auto"/>
            <w:vAlign w:val="center"/>
          </w:tcPr>
          <w:p w14:paraId="2DDB6D85">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其他未列明行业</w:t>
            </w:r>
          </w:p>
        </w:tc>
      </w:tr>
      <w:tr w14:paraId="53271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17" w:type="pct"/>
            <w:shd w:val="clear" w:color="auto" w:fill="auto"/>
            <w:vAlign w:val="center"/>
          </w:tcPr>
          <w:p w14:paraId="710DF254">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color w:val="auto"/>
                <w:sz w:val="24"/>
                <w:szCs w:val="24"/>
                <w:highlight w:val="none"/>
              </w:rPr>
              <w:t>洛浦县北京工业园区站2027</w:t>
            </w:r>
            <w:r>
              <w:rPr>
                <w:rFonts w:hint="eastAsia" w:ascii="仿宋" w:hAnsi="仿宋" w:eastAsia="仿宋" w:cs="仿宋"/>
                <w:color w:val="auto"/>
                <w:sz w:val="24"/>
                <w:szCs w:val="24"/>
                <w:highlight w:val="none"/>
              </w:rPr>
              <w:noBreakHyphen/>
            </w:r>
            <w:r>
              <w:rPr>
                <w:rFonts w:hint="eastAsia" w:ascii="仿宋" w:hAnsi="仿宋" w:eastAsia="仿宋" w:cs="仿宋"/>
                <w:color w:val="auto"/>
                <w:sz w:val="24"/>
                <w:szCs w:val="24"/>
                <w:highlight w:val="none"/>
              </w:rPr>
              <w:t>2028年空气自动站运维服务</w:t>
            </w:r>
          </w:p>
        </w:tc>
        <w:tc>
          <w:tcPr>
            <w:tcW w:w="535" w:type="pct"/>
            <w:shd w:val="clear" w:color="auto" w:fill="auto"/>
            <w:vAlign w:val="center"/>
          </w:tcPr>
          <w:p w14:paraId="79E7EEBA">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2年</w:t>
            </w:r>
          </w:p>
        </w:tc>
        <w:tc>
          <w:tcPr>
            <w:tcW w:w="1146" w:type="pct"/>
            <w:shd w:val="clear" w:color="auto" w:fill="auto"/>
            <w:vAlign w:val="center"/>
          </w:tcPr>
          <w:p w14:paraId="38A5B2F8">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其他未列明行业</w:t>
            </w:r>
          </w:p>
        </w:tc>
      </w:tr>
      <w:tr w14:paraId="65EA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17" w:type="pct"/>
            <w:shd w:val="clear" w:color="auto" w:fill="auto"/>
            <w:vAlign w:val="center"/>
          </w:tcPr>
          <w:p w14:paraId="6764A70C">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color w:val="auto"/>
                <w:sz w:val="24"/>
                <w:szCs w:val="24"/>
                <w:highlight w:val="none"/>
              </w:rPr>
              <w:t>于田县天津工业园区站2028年空气自动站运维服务（含PAMS57）</w:t>
            </w:r>
          </w:p>
        </w:tc>
        <w:tc>
          <w:tcPr>
            <w:tcW w:w="535" w:type="pct"/>
            <w:shd w:val="clear" w:color="auto" w:fill="auto"/>
            <w:vAlign w:val="center"/>
          </w:tcPr>
          <w:p w14:paraId="2A67F6A0">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1年</w:t>
            </w:r>
          </w:p>
        </w:tc>
        <w:tc>
          <w:tcPr>
            <w:tcW w:w="1146" w:type="pct"/>
            <w:shd w:val="clear" w:color="auto" w:fill="auto"/>
            <w:vAlign w:val="center"/>
          </w:tcPr>
          <w:p w14:paraId="58E94029">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其他未列明行业</w:t>
            </w:r>
          </w:p>
        </w:tc>
      </w:tr>
      <w:tr w14:paraId="5DA1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17" w:type="pct"/>
            <w:shd w:val="clear" w:color="auto" w:fill="auto"/>
            <w:vAlign w:val="center"/>
          </w:tcPr>
          <w:p w14:paraId="1E66FCAE">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color w:val="auto"/>
                <w:sz w:val="24"/>
                <w:szCs w:val="24"/>
                <w:highlight w:val="none"/>
              </w:rPr>
              <w:t>和田市噪声国控站2027</w:t>
            </w:r>
            <w:r>
              <w:rPr>
                <w:rFonts w:hint="eastAsia" w:ascii="仿宋" w:hAnsi="仿宋" w:eastAsia="仿宋" w:cs="仿宋"/>
                <w:color w:val="auto"/>
                <w:sz w:val="24"/>
                <w:szCs w:val="24"/>
                <w:highlight w:val="none"/>
              </w:rPr>
              <w:noBreakHyphen/>
            </w:r>
            <w:r>
              <w:rPr>
                <w:rFonts w:hint="eastAsia" w:ascii="仿宋" w:hAnsi="仿宋" w:eastAsia="仿宋" w:cs="仿宋"/>
                <w:color w:val="auto"/>
                <w:sz w:val="24"/>
                <w:szCs w:val="24"/>
                <w:highlight w:val="none"/>
              </w:rPr>
              <w:t>2028年运维服务</w:t>
            </w:r>
          </w:p>
        </w:tc>
        <w:tc>
          <w:tcPr>
            <w:tcW w:w="535" w:type="pct"/>
            <w:shd w:val="clear" w:color="auto" w:fill="auto"/>
            <w:vAlign w:val="center"/>
          </w:tcPr>
          <w:p w14:paraId="5701D4C5">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2年</w:t>
            </w:r>
          </w:p>
        </w:tc>
        <w:tc>
          <w:tcPr>
            <w:tcW w:w="1146" w:type="pct"/>
            <w:shd w:val="clear" w:color="auto" w:fill="auto"/>
            <w:vAlign w:val="center"/>
          </w:tcPr>
          <w:p w14:paraId="54CF00EA">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其他未列明行业</w:t>
            </w:r>
          </w:p>
        </w:tc>
      </w:tr>
      <w:tr w14:paraId="6184F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317" w:type="pct"/>
            <w:shd w:val="clear" w:color="auto" w:fill="auto"/>
            <w:vAlign w:val="center"/>
          </w:tcPr>
          <w:p w14:paraId="05882AE5">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color w:val="auto"/>
                <w:sz w:val="24"/>
                <w:szCs w:val="24"/>
                <w:highlight w:val="none"/>
              </w:rPr>
              <w:t>和田地区大气污染防治精细化管控与环境空气质量综合监测技术服务</w:t>
            </w:r>
          </w:p>
        </w:tc>
        <w:tc>
          <w:tcPr>
            <w:tcW w:w="535" w:type="pct"/>
            <w:shd w:val="clear" w:color="auto" w:fill="auto"/>
            <w:vAlign w:val="center"/>
          </w:tcPr>
          <w:p w14:paraId="635DA748">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2年</w:t>
            </w:r>
          </w:p>
        </w:tc>
        <w:tc>
          <w:tcPr>
            <w:tcW w:w="1146" w:type="pct"/>
            <w:shd w:val="clear" w:color="auto" w:fill="auto"/>
            <w:vAlign w:val="center"/>
          </w:tcPr>
          <w:p w14:paraId="448E4340">
            <w:pPr>
              <w:keepNext w:val="0"/>
              <w:keepLines w:val="0"/>
              <w:pageBreakBefore w:val="0"/>
              <w:widowControl w:val="0"/>
              <w:shd w:val="clea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其他未列明行业</w:t>
            </w:r>
          </w:p>
        </w:tc>
      </w:tr>
    </w:tbl>
    <w:p w14:paraId="0C59E97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2" w:firstLineChars="200"/>
        <w:textAlignment w:val="baseline"/>
        <w:outlineLvl w:val="2"/>
        <w:rPr>
          <w:rFonts w:hint="eastAsia" w:ascii="仿宋" w:hAnsi="仿宋" w:eastAsia="仿宋" w:cs="仿宋"/>
          <w:b/>
          <w:color w:val="auto"/>
          <w:sz w:val="24"/>
          <w:szCs w:val="24"/>
          <w:highlight w:val="none"/>
          <w:lang w:val="en-US" w:eastAsia="zh-CN"/>
        </w:rPr>
      </w:pPr>
      <w:r>
        <w:rPr>
          <w:rFonts w:hint="eastAsia" w:cs="仿宋"/>
          <w:b/>
          <w:color w:val="auto"/>
          <w:sz w:val="24"/>
          <w:szCs w:val="24"/>
          <w:highlight w:val="none"/>
          <w:lang w:val="en-US" w:eastAsia="zh-CN"/>
        </w:rPr>
        <w:t>3</w:t>
      </w:r>
      <w:r>
        <w:rPr>
          <w:rFonts w:hint="eastAsia" w:ascii="仿宋" w:hAnsi="仿宋" w:eastAsia="仿宋" w:cs="仿宋"/>
          <w:b/>
          <w:color w:val="auto"/>
          <w:sz w:val="24"/>
          <w:szCs w:val="24"/>
          <w:highlight w:val="none"/>
          <w:lang w:val="en-US" w:eastAsia="zh-CN"/>
        </w:rPr>
        <w:t>.技术服务要求</w:t>
      </w:r>
    </w:p>
    <w:p w14:paraId="05525958">
      <w:pPr>
        <w:pStyle w:val="7"/>
        <w:pageBreakBefore w:val="0"/>
        <w:widowControl/>
        <w:shd w:val="clear"/>
        <w:overflowPunct/>
        <w:topLinePunct w:val="0"/>
        <w:autoSpaceDE w:val="0"/>
        <w:autoSpaceDN w:val="0"/>
        <w:bidi w:val="0"/>
        <w:adjustRightInd w:val="0"/>
        <w:snapToGrid w:val="0"/>
        <w:ind w:firstLine="482" w:firstLineChars="200"/>
        <w:textAlignment w:val="baseline"/>
        <w:outlineLvl w:val="3"/>
        <w:rPr>
          <w:rFonts w:hint="eastAsia"/>
          <w:b/>
          <w:bCs w:val="0"/>
          <w:color w:val="auto"/>
          <w:highlight w:val="none"/>
          <w:lang w:val="en-US" w:eastAsia="zh-CN"/>
        </w:rPr>
      </w:pPr>
      <w:bookmarkStart w:id="14" w:name="_Toc15980"/>
      <w:r>
        <w:rPr>
          <w:rFonts w:hint="eastAsia"/>
          <w:b/>
          <w:bCs w:val="0"/>
          <w:color w:val="auto"/>
          <w:highlight w:val="none"/>
          <w:lang w:val="en-US" w:eastAsia="zh-CN"/>
        </w:rPr>
        <w:t>（1）</w:t>
      </w:r>
      <w:r>
        <w:rPr>
          <w:b/>
          <w:bCs w:val="0"/>
          <w:color w:val="auto"/>
          <w:highlight w:val="none"/>
        </w:rPr>
        <w:t>工业园区环境空气质量自动运维服务</w:t>
      </w:r>
      <w:bookmarkEnd w:id="14"/>
    </w:p>
    <w:p w14:paraId="3A6CD80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2" w:firstLineChars="200"/>
        <w:textAlignment w:val="baseline"/>
        <w:outlineLvl w:val="4"/>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lang w:val="en-US" w:eastAsia="zh-CN"/>
        </w:rPr>
        <w:t>①</w:t>
      </w:r>
      <w:r>
        <w:rPr>
          <w:rFonts w:hint="eastAsia" w:ascii="仿宋" w:hAnsi="仿宋" w:eastAsia="仿宋" w:cs="仿宋"/>
          <w:b/>
          <w:bCs w:val="0"/>
          <w:color w:val="auto"/>
          <w:sz w:val="24"/>
          <w:szCs w:val="24"/>
          <w:highlight w:val="none"/>
        </w:rPr>
        <w:t>服务范围</w:t>
      </w:r>
    </w:p>
    <w:p w14:paraId="5716722B">
      <w:pPr>
        <w:pageBreakBefore w:val="0"/>
        <w:widowControl/>
        <w:shd w:val="clear"/>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包括：各子站所有监测仪器、气象仪器、质控设备、数据采集与传输设备、辅助设备等基础设施的日常维护、质量控制、故障维修、年度检修、检定等工作，以及站房租赁与维护、电力供应、网络通讯保障，必须接受和田地区生态环境局的质控检查和考核，确保子站各项监测仪器正常稳定运行并与地区、自治区环保部门联网正常。涉及站点迁移的，监测仪器、辅助设备的拆卸、安装、调试等具体工作由运维单位负责。</w:t>
      </w:r>
    </w:p>
    <w:p w14:paraId="3849AB1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2" w:firstLineChars="200"/>
        <w:textAlignment w:val="baseline"/>
        <w:outlineLvl w:val="4"/>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②</w:t>
      </w:r>
      <w:r>
        <w:rPr>
          <w:rFonts w:hint="eastAsia" w:ascii="仿宋" w:hAnsi="仿宋" w:eastAsia="仿宋" w:cs="仿宋"/>
          <w:b/>
          <w:bCs/>
          <w:color w:val="auto"/>
          <w:sz w:val="24"/>
          <w:szCs w:val="24"/>
          <w:highlight w:val="none"/>
        </w:rPr>
        <w:t>空气自动监测标准站情况</w:t>
      </w:r>
    </w:p>
    <w:p w14:paraId="6F2D2FCC">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）监测设备和辅助设施</w:t>
      </w:r>
    </w:p>
    <w:p w14:paraId="6717D4A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运维单位负责运维的设备主要包括监测仪器、气象仪器和辅助设备设施三部分。其中，监测仪器包括 </w:t>
      </w:r>
      <w:r>
        <w:rPr>
          <w:rFonts w:hint="eastAsia" w:ascii="仿宋" w:hAnsi="仿宋" w:eastAsia="仿宋" w:cs="仿宋"/>
          <w:color w:val="auto"/>
          <w:sz w:val="24"/>
          <w:szCs w:val="24"/>
          <w:highlight w:val="none"/>
          <w:lang w:eastAsia="zh-CN"/>
        </w:rPr>
        <w:t>SO₂</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NO₂</w:t>
      </w:r>
      <w:r>
        <w:rPr>
          <w:rFonts w:hint="eastAsia" w:ascii="仿宋" w:hAnsi="仿宋" w:eastAsia="仿宋" w:cs="仿宋"/>
          <w:color w:val="auto"/>
          <w:sz w:val="24"/>
          <w:szCs w:val="24"/>
          <w:highlight w:val="none"/>
        </w:rPr>
        <w:t>(NOX、NO</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、CO、</w:t>
      </w:r>
      <w:r>
        <w:rPr>
          <w:rFonts w:hint="eastAsia" w:ascii="仿宋" w:hAnsi="仿宋" w:eastAsia="仿宋" w:cs="仿宋"/>
          <w:color w:val="auto"/>
          <w:sz w:val="24"/>
          <w:szCs w:val="24"/>
          <w:highlight w:val="none"/>
          <w:lang w:eastAsia="zh-CN"/>
        </w:rPr>
        <w:t>O₃</w:t>
      </w:r>
      <w:r>
        <w:rPr>
          <w:rFonts w:hint="eastAsia" w:ascii="仿宋" w:hAnsi="仿宋" w:eastAsia="仿宋" w:cs="仿宋"/>
          <w:color w:val="auto"/>
          <w:sz w:val="24"/>
          <w:szCs w:val="24"/>
          <w:highlight w:val="none"/>
        </w:rPr>
        <w:t>、PM10、PM2.5指标分析仪、零气发生器、动态校准仪。气象仪器主要包括风速、风向、温度、湿度、气压等气象五参数监测仪器，辅助设备设施包括采样系统、数据采集与传输软硬件、钢瓶气、UPS、制冷系统、供电系统、视频监控系统、子站站房、安防设施等。</w:t>
      </w:r>
    </w:p>
    <w:p w14:paraId="7D685112">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）监测项目</w:t>
      </w:r>
    </w:p>
    <w:p w14:paraId="69DD7C2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站点监测 </w:t>
      </w:r>
      <w:r>
        <w:rPr>
          <w:rFonts w:hint="eastAsia" w:ascii="仿宋" w:hAnsi="仿宋" w:eastAsia="仿宋" w:cs="仿宋"/>
          <w:color w:val="auto"/>
          <w:sz w:val="24"/>
          <w:szCs w:val="24"/>
          <w:highlight w:val="none"/>
          <w:lang w:eastAsia="zh-CN"/>
        </w:rPr>
        <w:t>SO₂</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NO₂</w:t>
      </w:r>
      <w:r>
        <w:rPr>
          <w:rFonts w:hint="eastAsia" w:ascii="仿宋" w:hAnsi="仿宋" w:eastAsia="仿宋" w:cs="仿宋"/>
          <w:color w:val="auto"/>
          <w:sz w:val="24"/>
          <w:szCs w:val="24"/>
          <w:highlight w:val="none"/>
        </w:rPr>
        <w:t xml:space="preserve">   (NOX 、NO）、CO、</w:t>
      </w:r>
      <w:r>
        <w:rPr>
          <w:rFonts w:hint="eastAsia" w:ascii="仿宋" w:hAnsi="仿宋" w:eastAsia="仿宋" w:cs="仿宋"/>
          <w:color w:val="auto"/>
          <w:sz w:val="24"/>
          <w:szCs w:val="24"/>
          <w:highlight w:val="none"/>
          <w:lang w:eastAsia="zh-CN"/>
        </w:rPr>
        <w:t>O₃</w:t>
      </w:r>
      <w:r>
        <w:rPr>
          <w:rFonts w:hint="eastAsia" w:ascii="仿宋" w:hAnsi="仿宋" w:eastAsia="仿宋" w:cs="仿宋"/>
          <w:color w:val="auto"/>
          <w:sz w:val="24"/>
          <w:szCs w:val="24"/>
          <w:highlight w:val="none"/>
        </w:rPr>
        <w:t xml:space="preserve">  、PM10 、PM2.5 指标，以及气象仪五参数（包括风速、风向、温度、湿度、气压等）。</w:t>
      </w:r>
    </w:p>
    <w:p w14:paraId="587A04C2">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）监测频次及数据传输</w:t>
      </w:r>
    </w:p>
    <w:p w14:paraId="281E22A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监测工作方式为24 小时不间断连续自动监测，采用一点多发方式，通过有线网络向中心平台实时上传监测数据，上传数据包括各监测设备的实时监测分钟值、小时值等。</w:t>
      </w:r>
    </w:p>
    <w:p w14:paraId="7384CE0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2" w:firstLineChars="200"/>
        <w:textAlignment w:val="baseline"/>
        <w:outlineLvl w:val="4"/>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③</w:t>
      </w:r>
      <w:r>
        <w:rPr>
          <w:rFonts w:hint="eastAsia" w:ascii="仿宋" w:hAnsi="仿宋" w:eastAsia="仿宋" w:cs="仿宋"/>
          <w:b/>
          <w:bCs/>
          <w:color w:val="auto"/>
          <w:sz w:val="24"/>
          <w:szCs w:val="24"/>
          <w:highlight w:val="none"/>
        </w:rPr>
        <w:t>运维技术指标</w:t>
      </w:r>
    </w:p>
    <w:p w14:paraId="1F133570">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（一）机构、人员、车辆、设备配备要求</w:t>
      </w:r>
    </w:p>
    <w:p w14:paraId="12DEC3E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1、运维单位应在当地设立运维技术支持机构。</w:t>
      </w:r>
    </w:p>
    <w:p w14:paraId="5476C83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2、运维单位应保证配备的专业技术人员负责日常维护。</w:t>
      </w:r>
    </w:p>
    <w:p w14:paraId="3B7AAAD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3、运维单位投入本项目的全部运维人员须取得省级及以上环保部门颁发的空气自动监测领域上岗证。</w:t>
      </w:r>
    </w:p>
    <w:p w14:paraId="242C9DB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4、运维单位须至少配备必要的质量控制设备。</w:t>
      </w:r>
    </w:p>
    <w:p w14:paraId="51A8C49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5、运维单位应以技术支持机构为单位配备专用仪器维修工具（包括便携式电脑、万用表、远程数据查询系统等）、通讯调试工具（包括各种硬件接口线、改线工具、接口调试软件及常用零部件等）。</w:t>
      </w:r>
    </w:p>
    <w:p w14:paraId="605A862D">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（二）运维工作内容</w:t>
      </w:r>
    </w:p>
    <w:p w14:paraId="24EC72F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运维过程中主要完成以下工作：</w:t>
      </w:r>
    </w:p>
    <w:p w14:paraId="2350CE9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1.空气自动监测标准站的日常运行维护；</w:t>
      </w:r>
    </w:p>
    <w:p w14:paraId="43374BE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2.空气自动监测标准站的日常质量管理；</w:t>
      </w:r>
    </w:p>
    <w:p w14:paraId="5E2CDD7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3.空气自动监测标准站的日常安全管理；</w:t>
      </w:r>
    </w:p>
    <w:p w14:paraId="0EFEC48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4.空气自动监测标准站监测数据的日常审核、上报；</w:t>
      </w:r>
    </w:p>
    <w:p w14:paraId="6378DCB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5.空气自动监测标准站的设备维护保养及维修；</w:t>
      </w:r>
    </w:p>
    <w:p w14:paraId="4A0A0BD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6.其他空气自动监测标准站相关辅助设施的维护、保养、维修。</w:t>
      </w:r>
    </w:p>
    <w:p w14:paraId="3C3D04A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7.空气自动监测标准站数据采集及传输系统的维护及维修，保障空气自动监测标准站通讯正常。</w:t>
      </w:r>
    </w:p>
    <w:p w14:paraId="1DE0ACD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8.当仪器出现故障不能及时修复时，应在48小时之内使用备机开展监测；</w:t>
      </w:r>
    </w:p>
    <w:p w14:paraId="743293F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9.当仪器损坏报废不能修复时，应在48小时之内使用备机开展监测，并同时报告采购人，由采购人组织确认仪器损坏情况及原因，酌情处理。</w:t>
      </w:r>
    </w:p>
    <w:p w14:paraId="0A656B9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10.空气自动监测标准站站房的场地租赁费、防雷检测费、站房大型维修费、电力设施维修由采购单位负责，其余运行过程中发生的所有费用由运维单位承担，并包含在本项目投标报价中。</w:t>
      </w:r>
    </w:p>
    <w:p w14:paraId="7AAA0C0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11.当点位需要新增、撤销、变更时，涉及站点迁移的，运维公司负责监测仪器、辅助设备的拆卸、安装、调试具体工作。</w:t>
      </w:r>
    </w:p>
    <w:p w14:paraId="1942700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12.站点运行半年内，运维单位需完成所有空气自动监测标准站气态污染物监测设备的第一次量值溯源工作。</w:t>
      </w:r>
    </w:p>
    <w:p w14:paraId="24CF9974">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（三）运行维护工作目标</w:t>
      </w:r>
    </w:p>
    <w:p w14:paraId="2E1D802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运维单位必须建立完善的运行维护工作规范与质量管理体系，确保提供及时、准确、有效的监测数据，空气自动监测标准站的运行质量应达到以下指标：</w:t>
      </w:r>
    </w:p>
    <w:p w14:paraId="0577CDC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1.所获取的各项指标的有效监测数据必须满足《环境空气质量标准》（GB3095-2026）中规定的污染物浓度数据有效性最低要求。</w:t>
      </w:r>
    </w:p>
    <w:p w14:paraId="3B1029A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2.数据捕获率达到95%（以小时值计）以上；</w:t>
      </w:r>
    </w:p>
    <w:p w14:paraId="4E1BF1C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3.数据质控合格率达到90%（以小时值计）以上；</w:t>
      </w:r>
    </w:p>
    <w:p w14:paraId="16FBFC7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4.运维任务完成率100%；</w:t>
      </w:r>
    </w:p>
    <w:p w14:paraId="637F05F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5.异常情况处理率100%。</w:t>
      </w:r>
    </w:p>
    <w:p w14:paraId="6E12D7C4">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（四）运维工作要求</w:t>
      </w:r>
    </w:p>
    <w:p w14:paraId="68AF356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运维单位应遵守中国环境监测总站、自治区生态环境厅、和田地区生态环境局关于空气自动</w:t>
      </w:r>
    </w:p>
    <w:p w14:paraId="487C642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监测标准站运行管理的各项规定，如运维期间上级管理部门出台新的空气自动监测标准站运行管理规定，则运维工作按照要求随之执行最新规定。</w:t>
      </w:r>
    </w:p>
    <w:p w14:paraId="625CE5C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1、运维工作一般要求</w:t>
      </w:r>
    </w:p>
    <w:p w14:paraId="7D04C02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1.1.保持站房内部环境清洁，布置整齐，各仪器设备干净清洁，设备标识清楚；</w:t>
      </w:r>
    </w:p>
    <w:p w14:paraId="6FAE647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1.2.检查供电、电话及网络通讯的情况，保证系统的正常运行；</w:t>
      </w:r>
    </w:p>
    <w:p w14:paraId="5707C9F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1.3.保证空调正常工作，仪器运行温度保持在25℃左右，站房内温度日波动范围小于3℃,相对湿度保持在80%RH以下；</w:t>
      </w:r>
    </w:p>
    <w:p w14:paraId="33885B7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1.4.指派专人维护，设备固定牢固，门窗关闭良好，人走关门，非工作人员未经许可不得入内；</w:t>
      </w:r>
    </w:p>
    <w:p w14:paraId="6F97CFB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1.5.定期检查消防和安全设施；</w:t>
      </w:r>
    </w:p>
    <w:p w14:paraId="29DAC0D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1.6.每次维护后做好系统运行维护记录；</w:t>
      </w:r>
    </w:p>
    <w:p w14:paraId="4946380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1.7.进行维护时，应规范操作，注意安全，防止意外发生。</w:t>
      </w:r>
    </w:p>
    <w:p w14:paraId="60CA0B3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2、每日工作内容</w:t>
      </w:r>
    </w:p>
    <w:p w14:paraId="597FC38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2.1.每天上午和下午两次远程查看空气自动监测标准站数据并形成记录，分析监测数据，对站点运行情况进行远程诊断和运行管理，内容包括：</w:t>
      </w:r>
    </w:p>
    <w:p w14:paraId="619BC74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2.2.判断系统数据采集与传输情况；</w:t>
      </w:r>
    </w:p>
    <w:p w14:paraId="6974A6C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2.3.根据电源电压、站房温度、湿度数据判断站房内部情况；</w:t>
      </w:r>
    </w:p>
    <w:p w14:paraId="13282C2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2.4.发现运行数据有持续异常值时，应立即通知总站，在每日6时～23时出现的故障，应在4小时内解决（通信线路、电力线路故障除外，但应及时与相关部门联系积极解决）；</w:t>
      </w:r>
    </w:p>
    <w:p w14:paraId="7CEB0F0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2.5.根据仪器分析数据判断仪器运行情况；</w:t>
      </w:r>
    </w:p>
    <w:p w14:paraId="6560563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2.6.根据故障报警信号判断现场状况；</w:t>
      </w:r>
    </w:p>
    <w:p w14:paraId="3BCB39C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2.7.每日检查数据是否及时上传至业主、省站并正常发布，发现数据掉线及时恢复。</w:t>
      </w:r>
    </w:p>
    <w:p w14:paraId="702DE3B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2.8.对臭氧、氮氧化物分析仪进行零点检查，如果漂移超过国家相关规范要求，需要进行校准。</w:t>
      </w:r>
    </w:p>
    <w:p w14:paraId="49A02CA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2.9.每天通过中心管理平台完成对前一日各监测点位原始小时值的审核，并提交小时值审核结果。数据审核报送工作应于每日上午9时前完成。</w:t>
      </w:r>
    </w:p>
    <w:p w14:paraId="4F7638C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3、每周工作内容</w:t>
      </w:r>
    </w:p>
    <w:p w14:paraId="6A96CCF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3.1.每周至少巡视空气自动监测标准站1次，并做好巡查记录，巡检时需要完成的工作包括：</w:t>
      </w:r>
    </w:p>
    <w:p w14:paraId="2673108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3.2.查看空气自动监测标准站设备是否齐备，无丢失和损坏；检查接地线路是否可靠，排风排气装置工作是否正常，标准气钢瓶阀门是否漏气，标准气的消耗情况；</w:t>
      </w:r>
    </w:p>
    <w:p w14:paraId="579ED37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3.3.检查采样和排气管路是否有漏气或堵塞现象，各分析仪器采样流量是否正常。</w:t>
      </w:r>
    </w:p>
    <w:p w14:paraId="457E230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3.4.检查各分析仪器的运行状况和工作参数，判断是否正常，如有异常情况及时处理，保证仪器运行正常。</w:t>
      </w:r>
    </w:p>
    <w:p w14:paraId="017A0F3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3.5.对臭氧、氮氧化物分析仪进行零点、跨度检查，如果漂移超过国家相关规范要求，需要进行校准。</w:t>
      </w:r>
    </w:p>
    <w:p w14:paraId="0802BB7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3.6.检查外部环境是否正常，有没有对测定结果或运行环境存在明显影响的污染源；</w:t>
      </w:r>
    </w:p>
    <w:p w14:paraId="62A2C3C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3.7.检查电路系统和通讯系统，保证系统供电正常，电压稳定；</w:t>
      </w:r>
    </w:p>
    <w:p w14:paraId="068C992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3.8.检查空气自动监测标准站的通讯系统，保证空气自动监测标准站与远程监控中心的连接正常，数据传输正常；</w:t>
      </w:r>
    </w:p>
    <w:p w14:paraId="1465C93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3.9.检查监测仪器的采样入口与采样支路管线结合部之间安装的过滤膜的污染情况，每周更换滤膜，每周检查监测仪器散热风扇污染情况，及时清洗。</w:t>
      </w:r>
    </w:p>
    <w:p w14:paraId="37E53B1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3.10.在冬、夏季节应注意空气自动监测标准站房室内外温差，若温差较大，应及时改变站房温度或对采样总管采取适当的控制措施，防止冷凝现象。</w:t>
      </w:r>
    </w:p>
    <w:p w14:paraId="0C439AE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3.11.应及时清除空气自动监测标准站房周围的杂草和积水，当周围树木生长超过规范规定的控制限时，应及时剪除对采样或监测光束有影响的树枝。</w:t>
      </w:r>
    </w:p>
    <w:p w14:paraId="298F991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3.12.应经常检查避雷设施是否可靠，空气自动监测标准站房屋是否有漏雨现象，气象杆和天线是否被刮坏，站房外围的</w:t>
      </w:r>
      <w:r>
        <w:rPr>
          <w:rFonts w:hint="eastAsia" w:ascii="仿宋" w:hAnsi="仿宋" w:eastAsia="仿宋" w:cs="仿宋"/>
          <w:color w:val="auto"/>
          <w:sz w:val="24"/>
          <w:szCs w:val="24"/>
          <w:highlight w:val="none"/>
          <w:lang w:eastAsia="zh-CN"/>
        </w:rPr>
        <w:t>其他</w:t>
      </w:r>
      <w:r>
        <w:rPr>
          <w:rFonts w:hint="eastAsia" w:ascii="仿宋" w:hAnsi="仿宋" w:eastAsia="仿宋" w:cs="仿宋"/>
          <w:color w:val="auto"/>
          <w:sz w:val="24"/>
          <w:szCs w:val="24"/>
          <w:highlight w:val="none"/>
        </w:rPr>
        <w:t>设施是否有损坏或被水淹，如遇到以上问题应及时处理，保证系统能安全运行。</w:t>
      </w:r>
    </w:p>
    <w:p w14:paraId="6F79DE0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3.13.检查站房的安全设施，做好防火防盗工作。</w:t>
      </w:r>
    </w:p>
    <w:p w14:paraId="154E30A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3.14.每周对气象仪器的运行情况进行检查。</w:t>
      </w:r>
    </w:p>
    <w:p w14:paraId="2D80A92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3.15.每周对颗粒物的采样纸带或滤膜进行检查，如纸带即将用尽，及时进行更换。</w:t>
      </w:r>
    </w:p>
    <w:p w14:paraId="121B308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3.16.每周对站房内外环境卫生进行检查，及时保洁。</w:t>
      </w:r>
    </w:p>
    <w:p w14:paraId="03ED33A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4、每月工作内容</w:t>
      </w:r>
    </w:p>
    <w:p w14:paraId="316AE0C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4.1.清洗PM10及PM2.5切割器，检查β法颗粒物分析仪仪器喷嘴、压环等部件；</w:t>
      </w:r>
    </w:p>
    <w:p w14:paraId="226554C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4.2.检查PM10及PM2.5监测仪、气态分析仪、动态校准仪流量，超过国家相关规范要求，及时进行校准。</w:t>
      </w:r>
    </w:p>
    <w:p w14:paraId="483DDD1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4.3.根据实际情况，每月至少5天PM10和PM2.5进行比对监测。</w:t>
      </w:r>
    </w:p>
    <w:p w14:paraId="7C04005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4.4.对仪器显示数据和数据采集仪之间的一致性进行检查；</w:t>
      </w:r>
    </w:p>
    <w:p w14:paraId="3C20B59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4.5.每月对数据进行备份。</w:t>
      </w:r>
    </w:p>
    <w:p w14:paraId="5B9EC98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5、每两个月工作</w:t>
      </w:r>
    </w:p>
    <w:p w14:paraId="154FBC9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5.1.更换PM10、PM2.5分析仪滤纸带（必要时），进行系统自检；</w:t>
      </w:r>
    </w:p>
    <w:p w14:paraId="03FB52A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5.2.校准和检查PM10及PM2.5分析仪的温度、气压和时钟；</w:t>
      </w:r>
    </w:p>
    <w:p w14:paraId="2778C2B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5.3.用标准气压计、温度计、湿度计、手持式风速风向仪，校准相关的自动仪器。</w:t>
      </w:r>
    </w:p>
    <w:p w14:paraId="01AB5FA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6、每季度工作内容</w:t>
      </w:r>
    </w:p>
    <w:p w14:paraId="4F1BDA6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6.1.采样总管及采样风机每季度至少清洗一次；</w:t>
      </w:r>
    </w:p>
    <w:p w14:paraId="6ADD613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6.2.对PM10和PM2.5监测仪器进行标准膜校准或K0值检查，超过国家相关规范要求时，及时进行校准。</w:t>
      </w:r>
    </w:p>
    <w:p w14:paraId="22B279C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7、每半年工作内容</w:t>
      </w:r>
    </w:p>
    <w:p w14:paraId="31482EF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7.1.检查PM2.5、PM10分析仪相对湿度、温度传感器和动态加热装置是否正常工作；</w:t>
      </w:r>
    </w:p>
    <w:p w14:paraId="61B24A6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7.2.对气态污染物监测仪进行多点校准，绘制校准曲线，检验相关系数、斜率和截距。</w:t>
      </w:r>
    </w:p>
    <w:p w14:paraId="56A0CF3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7.3.对动态校准仪流量进行多点检查，必要时校准；</w:t>
      </w:r>
    </w:p>
    <w:p w14:paraId="0604BE7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7.4.采用臭氧传递标准对空气自动监测标准站臭氧工作标准进行标准传递，更换零气源净化剂和氧化剂，对零气性能进行检查；</w:t>
      </w:r>
    </w:p>
    <w:p w14:paraId="28ECB72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7.5.对氮氧化物分析仪钼炉转化率进行检查。</w:t>
      </w:r>
    </w:p>
    <w:p w14:paraId="4BC8D00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8、每年工作内容</w:t>
      </w:r>
    </w:p>
    <w:p w14:paraId="1809B49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对所有的仪器进行预防性维护，按说明书的要求更换备件，更换所有泵组件。</w:t>
      </w:r>
    </w:p>
    <w:p w14:paraId="122E7E4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9、运维单位应建立空气自动监测标准站维护档案</w:t>
      </w:r>
    </w:p>
    <w:p w14:paraId="133D902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将空气自动监测标准站的运行过程和运行事件进行详细记录，并进行归档管理。日常运维中</w:t>
      </w:r>
    </w:p>
    <w:p w14:paraId="7828AAD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使用的相关记录表格，应当使用业主制定的统一样式表格。日常运维中使用运行管理相关记录至少应包括：</w:t>
      </w:r>
    </w:p>
    <w:p w14:paraId="67E3CE8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1.空气自动监测标准站运行维护记录表；</w:t>
      </w:r>
    </w:p>
    <w:p w14:paraId="0FA8E7B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2.颗粒监测仪校准检查记录；</w:t>
      </w:r>
    </w:p>
    <w:p w14:paraId="58207E2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3.气态污染物监测仪校准检查记录；</w:t>
      </w:r>
    </w:p>
    <w:p w14:paraId="4572BA6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4.空气自动监测系统仪器设备维修记录表；</w:t>
      </w:r>
    </w:p>
    <w:p w14:paraId="2CB9C77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5.空气自动监测系统备品备件管理记录表；</w:t>
      </w:r>
    </w:p>
    <w:p w14:paraId="672CF7E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6.空气自动监测标准站主要消耗材料使用登记表；</w:t>
      </w:r>
    </w:p>
    <w:p w14:paraId="56B271F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7.多点线性校准表格；</w:t>
      </w:r>
    </w:p>
    <w:p w14:paraId="0900F5D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8.空气自动监测标准站室内外环境记录；</w:t>
      </w:r>
    </w:p>
    <w:p w14:paraId="7FB5FB3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9.标准物质使用记录；</w:t>
      </w:r>
    </w:p>
    <w:p w14:paraId="5930B6C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10.空气自动监测系统仪器资料保管清单。</w:t>
      </w:r>
    </w:p>
    <w:p w14:paraId="67A9A97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10、日常运维其他相关要求</w:t>
      </w:r>
    </w:p>
    <w:p w14:paraId="4BACE1E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10.1.每周更换的气态污染物监测仪器所用滤膜，必须为聚四氟乙烯材质；</w:t>
      </w:r>
    </w:p>
    <w:p w14:paraId="7E5410E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10.2.应及时制定每月工作计划，并严格按计划执行，若有变更应及时通知采购人。</w:t>
      </w:r>
    </w:p>
    <w:p w14:paraId="7D8A887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10.3.应每月5日前，将上月各类记录表格交给采购人，用于运维质量考核。</w:t>
      </w:r>
    </w:p>
    <w:p w14:paraId="7EF335B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10.4.运维单位保证满足环保部门对空气自动监测标准站故障的响应时间要求，当空气自动监测标准站每日6时～23时出现故障，应在1小时之内响应，8小时内到达现场解决（通信线路、电力线路故障除外，但应及时与相关部门联系积极解决）。若仪器故障无法排除，运维单位必须在48小时内提供并更换相应的备机，保证自动站正常运行。</w:t>
      </w:r>
    </w:p>
    <w:p w14:paraId="071642D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10.5.当仪器损坏报废不能修复时，应在48小时之内使用备机开展监测，并同时报告采购人，由采购人组织确认仪器损坏情况及原因，酌情处理。</w:t>
      </w:r>
    </w:p>
    <w:p w14:paraId="4FADF3B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10.6.对于因洪水、地震、飓风、台风、站房外部火灾、爆炸、恐怖袭击、武装冲突、蓄意破坏等不可抗力所造成的仪器损坏导致的仪器报废，运维单位要先行提供备机开展监测，并及时报告采购人，采购人视情况决定重新购置监测仪器，或者继续使用备机，继续使用备机的，采购人将支付相关费用。</w:t>
      </w:r>
    </w:p>
    <w:p w14:paraId="031573B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10.7.严禁擅自改变采样管路连接方式和更改仪器参数设置。</w:t>
      </w:r>
    </w:p>
    <w:p w14:paraId="2DFC5B2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11、质量控制要求</w:t>
      </w:r>
    </w:p>
    <w:p w14:paraId="198F84D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中标方需认真落实质量管理制度，做好相应记录。</w:t>
      </w:r>
    </w:p>
    <w:p w14:paraId="46021ED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（1）量值溯源要求</w:t>
      </w:r>
    </w:p>
    <w:p w14:paraId="41723F4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标方在每个空气自动监测标准站需配备标准气体，所使用的标准气体须为国家环保部标样所或国家标物中心等机构生产的有证标准物质，新购标准气体应做验证实验，形成验证报告。另外，在用标准气体当钢瓶压力低于500PSIG时，标准需要进行重新验证；当钢瓶压力低于150PSIG(1.0MPa）时，标准停止使用。标准气体必须在有效期内使用。</w:t>
      </w:r>
    </w:p>
    <w:p w14:paraId="5004179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标方应每年将空气自动监测标准站所用的流量传感器、温度传感器、气压传感器等设备溯源到标准设备，每半年将空气自动监测标准站所用的臭氧标准进行溯源，每半年对空气自动监测标准站所用的零气发生器进行核查，性能指标应符合要求。</w:t>
      </w:r>
    </w:p>
    <w:p w14:paraId="363A639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（2）日常质量控制要求</w:t>
      </w:r>
    </w:p>
    <w:p w14:paraId="0BF2DC6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分析仪在以下情况下需进行校准和再校准：</w:t>
      </w:r>
    </w:p>
    <w:p w14:paraId="5987A0E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1.安装时</w:t>
      </w:r>
    </w:p>
    <w:p w14:paraId="34B82C7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2.移动位置时</w:t>
      </w:r>
    </w:p>
    <w:p w14:paraId="72EFD6C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3.进行可能影响校准结果的维修或维护后</w:t>
      </w:r>
    </w:p>
    <w:p w14:paraId="3B206CA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4.分析仪暂停工作一段时间后</w:t>
      </w:r>
    </w:p>
    <w:p w14:paraId="4CFDE1E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5.有迹象表明分析仪工作不正常或校准结果出现变化</w:t>
      </w:r>
    </w:p>
    <w:p w14:paraId="2BC2A3D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6.达到国家规范或本招标文件要求的校准周期或校准要求的。</w:t>
      </w:r>
    </w:p>
    <w:p w14:paraId="2F0703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（3）异常数据的审核与检验</w:t>
      </w:r>
    </w:p>
    <w:p w14:paraId="51AF0C1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中标方应对监测数据异常值进行分析，查明原因，如属于系统或仪器故障，应在24小时内处理并上报业主。</w:t>
      </w:r>
    </w:p>
    <w:p w14:paraId="319EFD9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投标单位须在投标文件中说明异常数据处理的方法。</w:t>
      </w:r>
    </w:p>
    <w:p w14:paraId="6271845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（4）质量控制资料整理</w:t>
      </w:r>
    </w:p>
    <w:p w14:paraId="58AE211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各种技术与质量文件均保持现行有效，可根据管理需要进行调整或修订，巡检记录、维修记录、日常检查与监督抽查等质量保证与质量控制记录均须按要求进行填写，每年进行整理归档。</w:t>
      </w:r>
    </w:p>
    <w:p w14:paraId="4E80117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12、系统设备维修要求</w:t>
      </w:r>
    </w:p>
    <w:p w14:paraId="34FAAC7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（1）运行维修工作界定</w:t>
      </w:r>
    </w:p>
    <w:p w14:paraId="04CF4AE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中标方负责系统所有设备和仪器的维护、维修和部件更换（包括空调设备等附属设施），并将维修费用计算在运维报价中。本服务内容同样包括由于外部原因意外丢失和损坏设备的维修或更换。</w:t>
      </w:r>
    </w:p>
    <w:p w14:paraId="258ADF0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（2）设备维修质量控制要求</w:t>
      </w:r>
    </w:p>
    <w:p w14:paraId="5B3D86F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监测仪器被修复后，当其检测性能受到影响时，需要进行检验，采用标气测定、颗粒物手工或自动比对等方法进行。</w:t>
      </w:r>
    </w:p>
    <w:p w14:paraId="3AAC24C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仪器大修后（更换设备测试关键部件），应按顺序进行漂移实验（零点漂移、量程漂移）、重复性及准确度实验、多点线性实验，并提交相应报告。</w:t>
      </w:r>
    </w:p>
    <w:p w14:paraId="19A8B33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2" w:firstLineChars="200"/>
        <w:textAlignment w:val="baseline"/>
        <w:outlineLvl w:val="4"/>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④</w:t>
      </w:r>
      <w:r>
        <w:rPr>
          <w:rFonts w:hint="eastAsia" w:ascii="仿宋" w:hAnsi="仿宋" w:eastAsia="仿宋" w:cs="仿宋"/>
          <w:b/>
          <w:bCs/>
          <w:color w:val="auto"/>
          <w:sz w:val="24"/>
          <w:szCs w:val="24"/>
          <w:highlight w:val="none"/>
        </w:rPr>
        <w:t>监督考核要求</w:t>
      </w:r>
    </w:p>
    <w:p w14:paraId="04135F0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采购人组织开展运维管理和质控考核，对达不到运维要求或违规操作的，采购人可以扣减相应的运维费，并有权根据合同相应条款终止运维合同，运维费不予支付。</w:t>
      </w:r>
    </w:p>
    <w:p w14:paraId="3AAC0C66">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（一）监督管理</w:t>
      </w:r>
    </w:p>
    <w:p w14:paraId="7E1D40E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1、运维单位应承担监测数据的保密责任（签订保密协议），不得利用本项目的数据、档案或有关资料对外开展技术交流、业务联系、数据交换或其他工商业活动等。</w:t>
      </w:r>
    </w:p>
    <w:p w14:paraId="69E5AF5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2、运维期间出现调整数据、修改参数、改动设备、弄虚作假等违规行为的，采购人有权进行处罚。</w:t>
      </w:r>
    </w:p>
    <w:p w14:paraId="0F7FEE6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3、投标人承诺如维护点位发生变更（如点位调整，更换等），维护地点也相应进行调整，维护内容不变。</w:t>
      </w:r>
    </w:p>
    <w:p w14:paraId="7DFCA0E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4、运维期间，运维单位应按安全生产有关规定，建立安全生产制度，切实消除安全隐患。</w:t>
      </w:r>
    </w:p>
    <w:p w14:paraId="32084D71">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（二）考核办法</w:t>
      </w:r>
    </w:p>
    <w:p w14:paraId="3559621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对运维单位绩效每年考核一次。主要包括站点数据有效性，监测数据获取率、数据质控合格率（以下简称“两率”）以及运行维护的内容。</w:t>
      </w:r>
    </w:p>
    <w:p w14:paraId="2154824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数据捕获率指考核时段内各监测项目实际获取的小时值监测数据量总和除以应获得小时值数据量总和。</w:t>
      </w:r>
    </w:p>
    <w:p w14:paraId="74D5AAF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数据质控合格率指考核时段内各监测项目实际获取的质控合格的小时值监测数据量总和除以应获得小时值数据量总和。</w:t>
      </w:r>
    </w:p>
    <w:p w14:paraId="55978D0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每日各项目应获得小时值数据量均按24个计，考核时段天数按考核时段内日历天数计。计算应获得小时值数据量时，应扣除因不可抗力造成的停止监测的小时数。</w:t>
      </w:r>
    </w:p>
    <w:p w14:paraId="6975FE8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1、数据有效性</w:t>
      </w:r>
    </w:p>
    <w:p w14:paraId="2361F7C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考核时段内单个站点任一监测项目有效数据量应满足《环境空气质量标准》（GB3095-2026）中规定的污染物浓度数据有效性的最低要求，否则考核总分为0分。</w:t>
      </w:r>
    </w:p>
    <w:p w14:paraId="23B9CEA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设备数据捕获率必须高于90%（含），否则考核总分以0分计，不予支付运维费用。设备数据质控合格率必须高于90%，否则考核总分以0分计，不予支付运维费用。</w:t>
      </w:r>
    </w:p>
    <w:p w14:paraId="2F09ACB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2、两率及运行维护</w:t>
      </w:r>
    </w:p>
    <w:p w14:paraId="7F873BE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符合数据有效性要求后，参照本部分执行。</w:t>
      </w:r>
    </w:p>
    <w:p w14:paraId="6865505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（1）两率部分（70分）</w:t>
      </w:r>
    </w:p>
    <w:p w14:paraId="024D2DA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监测数据质控合格率高于90%（含）的，得70分；80%（含）-90%的，得分为70×（数据质控合格率/90%）。</w:t>
      </w:r>
    </w:p>
    <w:p w14:paraId="4627B99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（2）运行维护部分（30分）</w:t>
      </w:r>
    </w:p>
    <w:p w14:paraId="372BD41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行维护部分每月由业主组织检查核实，核查内容包括日常运维任务完成情况、异常情况处理情况、站房环境保障效果、采样系统维护效果、仪器日常维护效果、质量控制效果、通讯系统维护效果（数据上传发布情况）、人员与档案记录管理情况等，共计30分。</w:t>
      </w:r>
    </w:p>
    <w:p w14:paraId="28E69D5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（3）考核总分（100分）考核总分=两率得分+运维得分</w:t>
      </w:r>
    </w:p>
    <w:p w14:paraId="3172A18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3、运维费核算方法</w:t>
      </w:r>
    </w:p>
    <w:p w14:paraId="623D4ED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考核总分低于80分的，不予支付该站点当期运维费；绩效考核总分95（含）分以上的，支付该站点全额运维费；绩效考核总分在80（含）-95分的，该站点运维费=（实际考核总分/95)×全额运维费。</w:t>
      </w:r>
    </w:p>
    <w:p w14:paraId="762615D0">
      <w:pPr>
        <w:pStyle w:val="7"/>
        <w:shd w:val="clear"/>
        <w:bidi w:val="0"/>
        <w:outlineLvl w:val="3"/>
        <w:rPr>
          <w:rFonts w:hint="default"/>
          <w:b/>
          <w:bCs w:val="0"/>
          <w:color w:val="auto"/>
          <w:highlight w:val="none"/>
          <w:lang w:val="en-US" w:eastAsia="zh-CN"/>
        </w:rPr>
      </w:pPr>
      <w:bookmarkStart w:id="15" w:name="_Toc20595"/>
      <w:r>
        <w:rPr>
          <w:rFonts w:hint="eastAsia"/>
          <w:b/>
          <w:bCs w:val="0"/>
          <w:color w:val="auto"/>
          <w:highlight w:val="none"/>
          <w:lang w:val="en-US" w:eastAsia="zh-CN"/>
        </w:rPr>
        <w:t>（2）国控噪声自动站运维要求</w:t>
      </w:r>
      <w:bookmarkEnd w:id="15"/>
    </w:p>
    <w:p w14:paraId="72E74DE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运维服务按照《功能区声环境质量自动监测技术规范》（HJ906-2017）《环境噪声自动监测系统技术要求》（HJ907-2017）等文件的相关要求进行，全面负责噪声自动监测系统的日常运行维护和应急保障，包括运维管理、人员现场维护、数据联网、考核数据统计、质量管理、关联数据分析、定期报告、系统计量检定、通讯费用等所有运维期间的工作内容。中标人应能够提供本地化服务，并配置所需的计算机、打印机等相关办公设备。</w:t>
      </w:r>
    </w:p>
    <w:p w14:paraId="4532B9DA">
      <w:pPr>
        <w:shd w:val="clear"/>
        <w:bidi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（一）总体要求</w:t>
      </w:r>
    </w:p>
    <w:p w14:paraId="5BCA4CF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（1）对各站点的设备建立档案，包括点位信息（站点编号、地址、海拔、经纬度等）、设备信息（仪器型号、编号、运行时间、IP地址等）、仪器故障检修更换记录等；</w:t>
      </w:r>
    </w:p>
    <w:p w14:paraId="3058ED3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（2）暴雨、沙尘等特殊天气下应提前做好防护工作，必要时可断电，卸下传声器，检查机箱密闭性。强对流天气后，须增加现场巡检维护。沙尘天气后尽快检查防风罩，并进行清理；</w:t>
      </w:r>
    </w:p>
    <w:p w14:paraId="5955F0F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（3）检查维护应由专业人员进行。检查维护后应做好记录，记录内容包括维护人的姓名、维护时间、各站点状态、站点各部件状态、故障处置信息等；</w:t>
      </w:r>
    </w:p>
    <w:p w14:paraId="508766D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（4）保证有足够的备件及备用仪器。根据实际需要进行增购，以不断调整和补充；</w:t>
      </w:r>
    </w:p>
    <w:p w14:paraId="3DB446FD">
      <w:pPr>
        <w:shd w:val="clear"/>
        <w:bidi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（二）运维目标</w:t>
      </w:r>
    </w:p>
    <w:p w14:paraId="3F33B419">
      <w:pPr>
        <w:shd w:val="clear"/>
        <w:bidi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（1）保证噪声自动监测站点每月正常工作时间90%以上；</w:t>
      </w:r>
    </w:p>
    <w:p w14:paraId="0F116B38">
      <w:pPr>
        <w:shd w:val="clear"/>
        <w:bidi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（2）每站点现场声校准合格率达到100%；</w:t>
      </w:r>
    </w:p>
    <w:p w14:paraId="709A9728">
      <w:pPr>
        <w:shd w:val="clear"/>
        <w:bidi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（3）一般仪器故障排除时间不超过24小时，如无法远程解决，则48小时内到达现场检查故障，72小时内解决故障。如72小时内无法解决，经采购人同意后更换备机。</w:t>
      </w:r>
    </w:p>
    <w:p w14:paraId="21CAED03">
      <w:pPr>
        <w:shd w:val="clear"/>
        <w:bidi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（三）日常检查</w:t>
      </w:r>
    </w:p>
    <w:p w14:paraId="0E1369C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（1）每天定时远程自检，自检偏差大于0.5dB则进行现场声校准，并及时查明原因；</w:t>
      </w:r>
    </w:p>
    <w:p w14:paraId="21F18BE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（2）每日检查各监测站点的数据传输情况是否正常。若发现某站点数据传输异常，应立即查明原因并排除故障。短时无法解决数据传输问题时，应及时从站点终端处人工备份数据；</w:t>
      </w:r>
    </w:p>
    <w:p w14:paraId="32C53DD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（3）每日通过远程监控系统，检查各站点运行状况是否正常；</w:t>
      </w:r>
    </w:p>
    <w:p w14:paraId="07AC385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（4）每日对各站点的时钟和日历设置进行检查，若发现时钟和日历错误应及时调整；</w:t>
      </w:r>
    </w:p>
    <w:p w14:paraId="6D3F67B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（5）每日对各站点噪声事件的录音进行回放，备注主要噪声源；</w:t>
      </w:r>
    </w:p>
    <w:p w14:paraId="06EFBD1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（6）每日检查数据是否异常，如：急剧升高、降低或连续不变等。出现异常值时，均不得擅自删除，应先检查数据异常原因，再根据原因判断数据是否有效；</w:t>
      </w:r>
    </w:p>
    <w:p w14:paraId="4755A2C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（7）日常检查情况应每日记录。</w:t>
      </w:r>
    </w:p>
    <w:p w14:paraId="1EBDBDE0">
      <w:pPr>
        <w:shd w:val="clear"/>
        <w:bidi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（四）定期巡检及维护</w:t>
      </w:r>
    </w:p>
    <w:p w14:paraId="2322567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（1）应定期（至少每月一次）进行声校准，声校准用校准器校准；</w:t>
      </w:r>
    </w:p>
    <w:p w14:paraId="29F710F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（2）检查站点支架、机箱外观是否完好。检查传声器、延长电缆、避雷设施等外部设备是否被损坏，是否附有异物；</w:t>
      </w:r>
    </w:p>
    <w:p w14:paraId="1F73B58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（3）对噪声自动监测站点机箱内、外进行清洁；</w:t>
      </w:r>
    </w:p>
    <w:p w14:paraId="44AF498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检查仪器及系统的工作状态参数是否正常，电源、风扇、通讯设备和辅助设施等是否稳定，如需更换，现场需用备件替代。检查维护要求:传声器:外观是否变形、破损，进行声校准，防风罩视风化和清洁情况更换；噪声分析仪：检查所有电参数是否正常，空开有无跳闸，检查路由器工作状态、数据通讯是否正常；辅助设备：蓄电池电压是否稳定、是否欠压、漏液，气象仪是否清洁、无变形、无破损，车流量是否正确、风扇通风是否正常、是否有异响。</w:t>
      </w:r>
    </w:p>
    <w:p w14:paraId="3C9341B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（5）检查仪器的各连接线是否可靠，包括电源连接线、通信设备连接线、传声器连接线等；</w:t>
      </w:r>
    </w:p>
    <w:p w14:paraId="25394F0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（6）采用手持式风速仪，对气象单元自动监测的风速值进行核对；</w:t>
      </w:r>
    </w:p>
    <w:p w14:paraId="6E41F52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（7）做好巡检维护记录。有问题应及时处理，保证系统能安全运行；</w:t>
      </w:r>
    </w:p>
    <w:p w14:paraId="387CC3A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（8）备份上月功能区声环境质量自动监测的原始数据，包括气象、车流量、视频监控等相关数据。</w:t>
      </w:r>
    </w:p>
    <w:p w14:paraId="1317D639">
      <w:pPr>
        <w:shd w:val="clear"/>
        <w:bidi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（五）年度维护</w:t>
      </w:r>
    </w:p>
    <w:p w14:paraId="2F1F503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（1）按厂家提供的使用和维修手册规定的要求，根据配件的使用状态，及时更换监测仪器中的风罩、路由器等配件；</w:t>
      </w:r>
    </w:p>
    <w:p w14:paraId="6D012D7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（2）视老化程度对机箱、支架等外部件进行保养，如：更换零件、喷涂防锈漆等，保证站点安全稳固；</w:t>
      </w:r>
    </w:p>
    <w:p w14:paraId="307CD3A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（3）对电路板、电线、各种接头的老化程度进行检测，发现问题和安全隐患及时更换；</w:t>
      </w:r>
    </w:p>
    <w:p w14:paraId="41DA26B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（4）对服务器、系统软件等进行全面检查，检查运行情况、安全漏洞、占用资源情况、剩余储存空间、是否感染病毒等，必要时应对软硬件进行升级；</w:t>
      </w:r>
    </w:p>
    <w:p w14:paraId="6BA1341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（5）对维护及更换配件情况进行记录；</w:t>
      </w:r>
    </w:p>
    <w:p w14:paraId="3086B93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（6）存档上年的原始监测数据。</w:t>
      </w:r>
    </w:p>
    <w:p w14:paraId="3E467167">
      <w:pPr>
        <w:shd w:val="clear"/>
        <w:bidi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（六）运维报告</w:t>
      </w:r>
    </w:p>
    <w:p w14:paraId="08971E1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（1）应在运维服务结束后15日内提交年度运营维护报告（具体时间按合同执行），报告内容应包含：监测子站仪器运行情况总结、监测仪器可能潜在的问题及建议、监测子站周边安全危害与改善状况等内容；</w:t>
      </w:r>
    </w:p>
    <w:p w14:paraId="57ED69B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（2）应协助采购人完成各类声环境质量分析报告编写工作，并利用自己的技术优势帮助采购人对声环境质量进行数据分析，提出合理化建议、建设性意见和有效可行的改善措施。</w:t>
      </w:r>
    </w:p>
    <w:p w14:paraId="61F9FC4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（七）噪声自动监测监控平台系统运维服务要求</w:t>
      </w:r>
    </w:p>
    <w:p w14:paraId="30D3691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（1）信息安全保障：噪声数据平台运行维护及信息安全必须符合采购方的信息安全管理制度要求，确保噪声数据平台信息安全，及时排除噪声数据平台的信息安全隐患,配合采购方的定期安全检查；</w:t>
      </w:r>
    </w:p>
    <w:p w14:paraId="4C04EDC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（2）数据库维护：数据库是支撑业务运作的基础平台，需要定期检查运行状态，维护包含数据内容的增加、数据结构的调整、数据的备份与恢复等；</w:t>
      </w:r>
    </w:p>
    <w:p w14:paraId="4D288C2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（3）运行保障：中标方承担噪声监测监控平台的运行值守、系统优化、BUG完善、定期补丁升级等相关工作；</w:t>
      </w:r>
    </w:p>
    <w:p w14:paraId="160E778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服务响应：当噪声监测监控平台出现故障时，中标方30分钟内响应、工作日内要求4小时内进行维护处理（其他时间16个小时内进行维护处理），48小时内须恢复正常状态。若48小时内无法修复，须将现场数据拷贝并发送数据至采购方，直至平台修复，并提交书面报告。</w:t>
      </w:r>
    </w:p>
    <w:p w14:paraId="54C0EA37">
      <w:pPr>
        <w:pStyle w:val="7"/>
        <w:shd w:val="clear"/>
        <w:bidi w:val="0"/>
        <w:outlineLvl w:val="3"/>
        <w:rPr>
          <w:b/>
          <w:bCs w:val="0"/>
          <w:color w:val="auto"/>
          <w:highlight w:val="none"/>
        </w:rPr>
      </w:pPr>
      <w:bookmarkStart w:id="16" w:name="_Toc26488"/>
      <w:r>
        <w:rPr>
          <w:rFonts w:hint="eastAsia"/>
          <w:b/>
          <w:bCs w:val="0"/>
          <w:color w:val="auto"/>
          <w:highlight w:val="none"/>
          <w:lang w:val="en-US" w:eastAsia="zh-CN"/>
        </w:rPr>
        <w:t>（3）和田地区大气污染防治精细化管控与环境空气质量综合监测技术服务</w:t>
      </w:r>
      <w:bookmarkEnd w:id="16"/>
    </w:p>
    <w:p w14:paraId="78DF0D3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本技术服务周期为2027年1月—2028年12月，服务范围覆盖和田地区全域，重点聚焦和田市城区、工业园区、沙尘高发区域，严格对标《生态环境监测“十五五”规划》、GB3095-2026《环境空气质量标准》、自治区生态环境监测一体化平台管理要求，围绕常态化走航综合监测、全地区空气质量数据技术支撑、大气污染精细化溯源与管控研判三大核心内容开展服务，全面支撑和田地区大气污染精准治污、科学治污、依法治污。</w:t>
      </w:r>
    </w:p>
    <w:p w14:paraId="0E3710E1">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1.总体技术要求</w:t>
      </w:r>
    </w:p>
    <w:p w14:paraId="0052574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服务商需具备成熟的区域大气环境精细化监测研判技术体系，适配和田地区干旱、大风、沙尘频发、二次扬尘突出、工业园区VOC与异味叠加的区域污染特征，严格执行国家、自治区生态环境监测质控规范，所有监测数据、分析报告、研判结论需满足生态环境考核、执法取证、数据溯源、平台上报及督查迎检要求，实现“监测全覆盖、数据全质控、溯源精准化、管控可落地”。</w:t>
      </w:r>
    </w:p>
    <w:p w14:paraId="797F3ED7">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2.和田市2027-2028年环境空气质量走航综合监测技术要求</w:t>
      </w:r>
    </w:p>
    <w:p w14:paraId="30073CD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监测设备要求：配备符合国家技术规范的车载式大气综合监测设备，可实时监测PM10、PM2.5、SO₂、NO₂、CO、O₃、VOC、硫化氢、恶臭前驱物等关键因子，设备检出限、零点漂移、跨度漂移、响应时间满足HJ系列技术规范及GB3095-2026质控要求，适配沙尘、高温、大风复杂野外监测环境，数据稳定、抗干扰性强。</w:t>
      </w:r>
    </w:p>
    <w:p w14:paraId="08226BE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常态化走航监测频次：全年开展常态化网格化走航监测，覆盖和田市建成区、国控站点周边、工业园区、城乡结合部、扬尘高发路段、重点污染源周边；常态化非污染天气每周不少于2次全域网格化走航；沙尘天气、重污染天气、臭氧高发季节加密走航，每日不少于1次；突发异味、突发扬尘、突发空气质量异常时段立即启动应急走航排查。</w:t>
      </w:r>
    </w:p>
    <w:p w14:paraId="32264A4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走航监测核心任务：通过车载移动监测，精准捕捉区域颗粒物扬尘污染带、VOC高值热点网格、臭氧前驱物聚集区域、异味污染点位；动态掌握城区空气质量时空分布差异，识别零散面源、移动源、无组织源污染问题；建立和田市走航污染热点台账，动态更新高污染区域、重点问题点位清单。</w:t>
      </w:r>
    </w:p>
    <w:p w14:paraId="3277397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（4）走航成果输出：每次走航完成后形成走航简报，每月形成月度走航监测分析报告，每季度形成季度热点污染研判报告，明确污染时段、污染区域、污染类型、溯源结论及针对性管控建议。</w:t>
      </w:r>
    </w:p>
    <w:p w14:paraId="2D5200EE">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3.全地区2027-2028年空气质量数据技术支持服务要求</w:t>
      </w:r>
    </w:p>
    <w:p w14:paraId="02AC401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数据质控审核服务：对和田地区七县市国控、区控、园区站全部空气监测数据开展常态化质控审核，对照GB3095-2026新标准开展数据有效性判别、异常数据筛查、漂移数据修正、缺失数据分析，杜绝无效数据、失真数据、异常数据纳入考核，保障全地区空气质量考核数据真实、准确、可溯源。</w:t>
      </w:r>
    </w:p>
    <w:p w14:paraId="1079249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数据统计与对标分析：按月、季、年度统计全地区PM10、PM2.5、优良天数比例、重污染天数、污染物浓度均值等核心指标，对标自治区下达考核目标、“十五五”阶段性管控目标、GB3095-2026过渡阶段限值，开展同比、环比、横向对比分析，精准研判达标形势、存在差距及风险隐患。</w:t>
      </w:r>
    </w:p>
    <w:p w14:paraId="4BBD3E0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平台数据对接支撑：配合和田地区生态环境局完成站点监测数据与自治区生态环境监测一体化平台的数据对接、审核、数据溯源、异常申诉工作，协助处理平台预警、数据驳回、异常告警问题，保障全地区站点联网率、数据有效率稳定达标。</w:t>
      </w:r>
    </w:p>
    <w:p w14:paraId="15ABA69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（4）台账及资料支撑：建立全地区空气质量数据技术台账，包含每日数据质控记录、异常数据说明、月度达标分析、季度问题清单、年度总结资料，全程留痕、可查可溯，满足上级督查、审计、考核验收要求。</w:t>
      </w:r>
    </w:p>
    <w:p w14:paraId="2EFE0DF9">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4.大气污染防治精细化管控研判技术服务要求</w:t>
      </w:r>
    </w:p>
    <w:p w14:paraId="2F07F5C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常态化污染溯源分析：针对和田地区突出的沙尘扬尘、二次扬尘、臭氧超标、VOC异味、工业园区无组织废气等污染问题，结合站点定点监测+车载走航动态监测数据，开展源解析、趋势研判、成因分析，区分自然沙尘与人为扬尘污染、工业源与面源污染，为精准管控提供技术依据。</w:t>
      </w:r>
    </w:p>
    <w:p w14:paraId="6C976B4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重污染天气应急技术支撑：重污染天气预警期间，实时跟踪空气质量变化趋势，动态研判污染输送、累积、消散过程，提出针对性的减排管控、巡查管控、扬尘管控建议，协助开展应急效果评估，形成重污染天气过程分析报告。</w:t>
      </w:r>
    </w:p>
    <w:p w14:paraId="456A1C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季节性专项管控支撑：针对春季沙尘、夏季臭氧、秋冬静稳累积污染等季节性特征，开展专项研判，制定季节性大气污染防控技术方案，梳理阶段性重点管控区域、重点行业、重点问题，支撑季节性攻坚行动。</w:t>
      </w:r>
    </w:p>
    <w:p w14:paraId="05DB95F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问题整改与帮扶指导：针对上级督查反馈、平台预警、日常监测发现的大气污染问题，提供技术整改建议，协助属地开展问题溯源、整改研判、成效复核，形成“发现问题—溯源分析—提出措施—整改复核”闭环技术支撑体系。</w:t>
      </w:r>
    </w:p>
    <w:p w14:paraId="47C1E0DC">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5.报告编制与成果交付要求</w:t>
      </w:r>
    </w:p>
    <w:p w14:paraId="23E456B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服务商需按期交付全套技术成果，所有报告格式规范、数据精准、结论清晰、措施可落地，具体交付清单：每日数据质控简报、每周污染研判简报、月度空气质量分析报告、季度精细化管控评估报告、年度大气环境质量综合分析及管控对策报告、重污染天气专项分析报告、季节性专项防控报告、走航热点污染台账。</w:t>
      </w:r>
    </w:p>
    <w:p w14:paraId="78844D7D">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6.服务质控与人员保障要求</w:t>
      </w:r>
    </w:p>
    <w:p w14:paraId="1F67D1E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人员要求：配置固定驻场技术服务团队，配备大气环境、环境监测相关专业技术人员，全程驻场服务，熟悉新疆及和田地区大气污染特征、监测质控标准、平台管理要求，具备三年以上地市级大气精细化管控服务经验。</w:t>
      </w:r>
    </w:p>
    <w:p w14:paraId="209D912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（2）质控要求：严格落实生态环境监测全流程质控，所有监测、分析、研判、报告工作符合国家现行技术规范，数据误差、分析结论、成果质量满足考核验收标准，严禁数据造假、研判失真、报告敷衍。</w:t>
      </w:r>
    </w:p>
    <w:p w14:paraId="4391257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（3）响应要求：建立7×24小时应急响应机制，接到空气质量异常、突发污染、督查迎检需求后，1小时内响应、4小时内完成初步研判、24小时内形成专项分析材料。</w:t>
      </w:r>
    </w:p>
    <w:p w14:paraId="0F203E43">
      <w:pPr>
        <w:shd w:val="clear"/>
        <w:bidi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7.合规与绩效要求</w:t>
      </w:r>
    </w:p>
    <w:p w14:paraId="0E5E406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Arial"/>
          <w:color w:val="auto"/>
          <w:sz w:val="21"/>
          <w:highlight w:val="none"/>
        </w:rPr>
      </w:pPr>
      <w:r>
        <w:rPr>
          <w:rFonts w:hint="eastAsia" w:ascii="仿宋" w:hAnsi="仿宋" w:eastAsia="仿宋" w:cs="仿宋"/>
          <w:color w:val="auto"/>
          <w:sz w:val="24"/>
          <w:szCs w:val="24"/>
          <w:highlight w:val="none"/>
          <w:lang w:val="en-US" w:eastAsia="zh-CN"/>
        </w:rPr>
        <w:t>服务周期内，支撑全地区空气站点数据有效率≥95%、设备运行率≥98%；精准识别各类大气污染问题，年度形成不少于12份专项技术研判成果；有效支撑和田地区空气质量稳定达标、大气污染防治攻坚提质增效，契合“十五五”生态监测精细化、数智化、长效化建设目标。</w:t>
      </w:r>
    </w:p>
    <w:p w14:paraId="2153B269">
      <w:pPr>
        <w:pageBreakBefore w:val="0"/>
        <w:shd w:val="clear"/>
        <w:wordWrap/>
        <w:overflowPunct/>
        <w:topLinePunct w:val="0"/>
        <w:bidi w:val="0"/>
        <w:spacing w:line="25" w:lineRule="atLeast"/>
        <w:rPr>
          <w:rFonts w:hint="eastAsia" w:ascii="Arial"/>
          <w:color w:val="auto"/>
          <w:sz w:val="21"/>
          <w:highlight w:val="none"/>
        </w:rPr>
      </w:pPr>
    </w:p>
    <w:p w14:paraId="43B8C0DB">
      <w:pPr>
        <w:pageBreakBefore w:val="0"/>
        <w:shd w:val="clear"/>
        <w:wordWrap/>
        <w:overflowPunct/>
        <w:topLinePunct w:val="0"/>
        <w:bidi w:val="0"/>
        <w:spacing w:line="25" w:lineRule="atLeast"/>
        <w:rPr>
          <w:color w:val="auto"/>
          <w:sz w:val="24"/>
          <w:szCs w:val="24"/>
          <w:highlight w:val="none"/>
        </w:rPr>
        <w:sectPr>
          <w:headerReference r:id="rId9" w:type="default"/>
          <w:footerReference r:id="rId10" w:type="default"/>
          <w:pgSz w:w="11906" w:h="16839"/>
          <w:pgMar w:top="1440" w:right="1800" w:bottom="1440" w:left="1800" w:header="1090" w:footer="994" w:gutter="0"/>
          <w:pgNumType w:fmt="decimal"/>
          <w:cols w:space="720" w:num="1"/>
        </w:sectPr>
      </w:pPr>
    </w:p>
    <w:p w14:paraId="3B5B2930">
      <w:pPr>
        <w:pStyle w:val="2"/>
        <w:shd w:val="clear"/>
        <w:bidi w:val="0"/>
        <w:rPr>
          <w:color w:val="auto"/>
          <w:highlight w:val="none"/>
        </w:rPr>
      </w:pPr>
      <w:bookmarkStart w:id="17" w:name="bookmark8"/>
      <w:bookmarkEnd w:id="17"/>
      <w:bookmarkStart w:id="18" w:name="_Toc524"/>
      <w:r>
        <w:rPr>
          <w:color w:val="auto"/>
          <w:highlight w:val="none"/>
        </w:rPr>
        <w:t>第四章</w:t>
      </w:r>
      <w:r>
        <w:rPr>
          <w:rFonts w:hint="eastAsia"/>
          <w:color w:val="auto"/>
          <w:highlight w:val="none"/>
          <w:lang w:val="en-US" w:eastAsia="zh-CN"/>
        </w:rPr>
        <w:t xml:space="preserve"> </w:t>
      </w:r>
      <w:r>
        <w:rPr>
          <w:color w:val="auto"/>
          <w:highlight w:val="none"/>
        </w:rPr>
        <w:t>评标办法</w:t>
      </w:r>
      <w:bookmarkEnd w:id="18"/>
    </w:p>
    <w:p w14:paraId="6489CFD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4" w:firstLineChars="200"/>
        <w:jc w:val="left"/>
        <w:textAlignment w:val="baseline"/>
        <w:outlineLvl w:val="1"/>
        <w:rPr>
          <w:rFonts w:hint="eastAsia" w:ascii="仿宋" w:hAnsi="仿宋" w:eastAsia="仿宋" w:cs="仿宋"/>
          <w:color w:val="auto"/>
          <w:sz w:val="24"/>
          <w:szCs w:val="24"/>
          <w:highlight w:val="none"/>
        </w:rPr>
      </w:pPr>
      <w:r>
        <w:rPr>
          <w:rFonts w:hint="eastAsia" w:ascii="仿宋" w:hAnsi="仿宋" w:eastAsia="仿宋" w:cs="仿宋"/>
          <w:b/>
          <w:bCs/>
          <w:color w:val="auto"/>
          <w:spacing w:val="-7"/>
          <w:sz w:val="24"/>
          <w:szCs w:val="24"/>
          <w:highlight w:val="none"/>
        </w:rPr>
        <w:t>1.相关要求</w:t>
      </w:r>
    </w:p>
    <w:p w14:paraId="2A29DA6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rPr>
        <w:t>1.1执行国家统一定价标准和采用固定价格采购的项目，其</w:t>
      </w:r>
      <w:r>
        <w:rPr>
          <w:rFonts w:hint="eastAsia" w:ascii="仿宋" w:hAnsi="仿宋" w:eastAsia="仿宋" w:cs="仿宋"/>
          <w:color w:val="auto"/>
          <w:spacing w:val="-3"/>
          <w:sz w:val="24"/>
          <w:szCs w:val="24"/>
          <w:highlight w:val="none"/>
        </w:rPr>
        <w:t>价格不列为评标</w:t>
      </w:r>
      <w:r>
        <w:rPr>
          <w:rFonts w:hint="eastAsia" w:ascii="仿宋" w:hAnsi="仿宋" w:eastAsia="仿宋" w:cs="仿宋"/>
          <w:color w:val="auto"/>
          <w:spacing w:val="-20"/>
          <w:sz w:val="24"/>
          <w:szCs w:val="24"/>
          <w:highlight w:val="none"/>
        </w:rPr>
        <w:t>因素</w:t>
      </w:r>
      <w:r>
        <w:rPr>
          <w:rFonts w:hint="eastAsia" w:cs="仿宋"/>
          <w:color w:val="auto"/>
          <w:spacing w:val="-20"/>
          <w:sz w:val="24"/>
          <w:szCs w:val="24"/>
          <w:highlight w:val="none"/>
          <w:lang w:eastAsia="zh-CN"/>
        </w:rPr>
        <w:t>；</w:t>
      </w:r>
    </w:p>
    <w:p w14:paraId="564572F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jc w:val="left"/>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1.2依据《关于促进残疾人就业政府采购政策的通知》（财库〔2017〕141</w:t>
      </w:r>
      <w:r>
        <w:rPr>
          <w:rFonts w:hint="eastAsia" w:ascii="仿宋" w:hAnsi="仿宋" w:eastAsia="仿宋" w:cs="仿宋"/>
          <w:color w:val="auto"/>
          <w:spacing w:val="-3"/>
          <w:sz w:val="24"/>
          <w:szCs w:val="24"/>
          <w:highlight w:val="none"/>
        </w:rPr>
        <w:t>号）文件规定，残疾人福利性单位参加招标报价的须提供</w:t>
      </w:r>
      <w:r>
        <w:rPr>
          <w:rFonts w:hint="eastAsia" w:ascii="仿宋" w:hAnsi="仿宋" w:eastAsia="仿宋" w:cs="仿宋"/>
          <w:color w:val="auto"/>
          <w:spacing w:val="-4"/>
          <w:sz w:val="24"/>
          <w:szCs w:val="24"/>
          <w:highlight w:val="none"/>
        </w:rPr>
        <w:t>本单位的服务及《残疾</w:t>
      </w:r>
      <w:r>
        <w:rPr>
          <w:rFonts w:hint="eastAsia" w:ascii="仿宋" w:hAnsi="仿宋" w:eastAsia="仿宋" w:cs="仿宋"/>
          <w:color w:val="auto"/>
          <w:spacing w:val="-3"/>
          <w:sz w:val="24"/>
          <w:szCs w:val="24"/>
          <w:highlight w:val="none"/>
        </w:rPr>
        <w:t>人福利性单位声明函》并对声明函的真实性负责；残疾人福利性单位参加招标报价的视同小型、微型企业，按照本招标文件小型、微型企业的相关价格扣除标准</w:t>
      </w:r>
      <w:r>
        <w:rPr>
          <w:rFonts w:hint="eastAsia" w:ascii="仿宋" w:hAnsi="仿宋" w:eastAsia="仿宋" w:cs="仿宋"/>
          <w:color w:val="auto"/>
          <w:sz w:val="24"/>
          <w:szCs w:val="24"/>
          <w:highlight w:val="none"/>
        </w:rPr>
        <w:t>执行。残疾人福利性单位属于小型、微型企</w:t>
      </w:r>
      <w:r>
        <w:rPr>
          <w:rFonts w:hint="eastAsia" w:ascii="仿宋" w:hAnsi="仿宋" w:eastAsia="仿宋" w:cs="仿宋"/>
          <w:color w:val="auto"/>
          <w:spacing w:val="-1"/>
          <w:sz w:val="24"/>
          <w:szCs w:val="24"/>
          <w:highlight w:val="none"/>
        </w:rPr>
        <w:t>业的，不重复享受政策。</w:t>
      </w:r>
    </w:p>
    <w:p w14:paraId="4C53D9B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1.2.1享受政府采购支持政策的残疾人福利性单位应当</w:t>
      </w:r>
      <w:r>
        <w:rPr>
          <w:rFonts w:hint="eastAsia" w:ascii="仿宋" w:hAnsi="仿宋" w:eastAsia="仿宋" w:cs="仿宋"/>
          <w:color w:val="auto"/>
          <w:spacing w:val="-4"/>
          <w:sz w:val="24"/>
          <w:szCs w:val="24"/>
          <w:highlight w:val="none"/>
        </w:rPr>
        <w:t>同时满足以下条件：</w:t>
      </w:r>
    </w:p>
    <w:p w14:paraId="707353D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（1）安置的残疾人占本单位在职职工人数的比例不低于25%（含25%</w:t>
      </w:r>
      <w:r>
        <w:rPr>
          <w:rFonts w:hint="eastAsia" w:ascii="仿宋" w:hAnsi="仿宋" w:eastAsia="仿宋" w:cs="仿宋"/>
          <w:color w:val="auto"/>
          <w:spacing w:val="-12"/>
          <w:sz w:val="24"/>
          <w:szCs w:val="24"/>
          <w:highlight w:val="none"/>
        </w:rPr>
        <w:t>），</w:t>
      </w:r>
      <w:r>
        <w:rPr>
          <w:rFonts w:hint="eastAsia" w:ascii="仿宋" w:hAnsi="仿宋" w:eastAsia="仿宋" w:cs="仿宋"/>
          <w:color w:val="auto"/>
          <w:spacing w:val="-5"/>
          <w:sz w:val="24"/>
          <w:szCs w:val="24"/>
          <w:highlight w:val="none"/>
        </w:rPr>
        <w:t>并且安置的残疾人人数不少于10人（含10人</w:t>
      </w:r>
      <w:r>
        <w:rPr>
          <w:rFonts w:hint="eastAsia" w:ascii="仿宋" w:hAnsi="仿宋" w:eastAsia="仿宋" w:cs="仿宋"/>
          <w:color w:val="auto"/>
          <w:spacing w:val="6"/>
          <w:sz w:val="24"/>
          <w:szCs w:val="24"/>
          <w:highlight w:val="none"/>
        </w:rPr>
        <w:t>）；</w:t>
      </w:r>
    </w:p>
    <w:p w14:paraId="4E3727A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（2）依法与安置的每位残疾人签订了一年以上（含一年）的劳动合同或服</w:t>
      </w:r>
      <w:r>
        <w:rPr>
          <w:rFonts w:hint="eastAsia" w:ascii="仿宋" w:hAnsi="仿宋" w:eastAsia="仿宋" w:cs="仿宋"/>
          <w:color w:val="auto"/>
          <w:spacing w:val="-4"/>
          <w:sz w:val="24"/>
          <w:szCs w:val="24"/>
          <w:highlight w:val="none"/>
        </w:rPr>
        <w:t>务协议；</w:t>
      </w:r>
    </w:p>
    <w:p w14:paraId="14A421E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（3）为安置的每位残疾人按月足额缴纳了基本养老保险、基本医疗保险、</w:t>
      </w:r>
      <w:r>
        <w:rPr>
          <w:rFonts w:hint="eastAsia" w:ascii="仿宋" w:hAnsi="仿宋" w:eastAsia="仿宋" w:cs="仿宋"/>
          <w:color w:val="auto"/>
          <w:spacing w:val="-1"/>
          <w:sz w:val="24"/>
          <w:szCs w:val="24"/>
          <w:highlight w:val="none"/>
        </w:rPr>
        <w:t>失业保险、工伤保险和生育保险等社会保险</w:t>
      </w:r>
      <w:r>
        <w:rPr>
          <w:rFonts w:hint="eastAsia" w:ascii="仿宋" w:hAnsi="仿宋" w:eastAsia="仿宋" w:cs="仿宋"/>
          <w:color w:val="auto"/>
          <w:spacing w:val="-2"/>
          <w:sz w:val="24"/>
          <w:szCs w:val="24"/>
          <w:highlight w:val="none"/>
        </w:rPr>
        <w:t>费；</w:t>
      </w:r>
    </w:p>
    <w:p w14:paraId="74A9A8F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（4）通过银行等金融机构向安置的每位残疾人，按月支付了不低于单位所在区县适用的经省级人民政府批准的月最低工资标准的工资；</w:t>
      </w:r>
    </w:p>
    <w:p w14:paraId="2AABBD7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（5）提供本单位制造的货物、承担的工程或者服务（以下简称产品</w:t>
      </w:r>
      <w:r>
        <w:rPr>
          <w:rFonts w:hint="eastAsia" w:ascii="仿宋" w:hAnsi="仿宋" w:eastAsia="仿宋" w:cs="仿宋"/>
          <w:color w:val="auto"/>
          <w:spacing w:val="7"/>
          <w:sz w:val="24"/>
          <w:szCs w:val="24"/>
          <w:highlight w:val="none"/>
        </w:rPr>
        <w:t>），</w:t>
      </w:r>
      <w:r>
        <w:rPr>
          <w:rFonts w:hint="eastAsia" w:ascii="仿宋" w:hAnsi="仿宋" w:eastAsia="仿宋" w:cs="仿宋"/>
          <w:color w:val="auto"/>
          <w:spacing w:val="-4"/>
          <w:sz w:val="24"/>
          <w:szCs w:val="24"/>
          <w:highlight w:val="none"/>
        </w:rPr>
        <w:t>或</w:t>
      </w:r>
      <w:r>
        <w:rPr>
          <w:rFonts w:hint="eastAsia" w:ascii="仿宋" w:hAnsi="仿宋" w:eastAsia="仿宋" w:cs="仿宋"/>
          <w:color w:val="auto"/>
          <w:spacing w:val="-3"/>
          <w:sz w:val="24"/>
          <w:szCs w:val="24"/>
          <w:highlight w:val="none"/>
        </w:rPr>
        <w:t>者提供其他残疾人福利性单位制造的货物（不包括使用非残疾人福利性单位注册</w:t>
      </w:r>
      <w:r>
        <w:rPr>
          <w:rFonts w:hint="eastAsia" w:ascii="仿宋" w:hAnsi="仿宋" w:eastAsia="仿宋" w:cs="仿宋"/>
          <w:color w:val="auto"/>
          <w:spacing w:val="-2"/>
          <w:sz w:val="24"/>
          <w:szCs w:val="24"/>
          <w:highlight w:val="none"/>
        </w:rPr>
        <w:t>商标的货物）。</w:t>
      </w:r>
    </w:p>
    <w:p w14:paraId="1AE6AEA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1.2.2前款所称残疾人是指法定劳动年龄内，持有《中华人民共</w:t>
      </w:r>
      <w:r>
        <w:rPr>
          <w:rFonts w:hint="eastAsia" w:ascii="仿宋" w:hAnsi="仿宋" w:eastAsia="仿宋" w:cs="仿宋"/>
          <w:color w:val="auto"/>
          <w:spacing w:val="-3"/>
          <w:sz w:val="24"/>
          <w:szCs w:val="24"/>
          <w:highlight w:val="none"/>
        </w:rPr>
        <w:t>和国残疾人</w:t>
      </w:r>
      <w:r>
        <w:rPr>
          <w:rFonts w:hint="eastAsia" w:ascii="仿宋" w:hAnsi="仿宋" w:eastAsia="仿宋" w:cs="仿宋"/>
          <w:color w:val="auto"/>
          <w:spacing w:val="-5"/>
          <w:sz w:val="24"/>
          <w:szCs w:val="24"/>
          <w:highlight w:val="none"/>
        </w:rPr>
        <w:t>证》或者《中华人民共和国残疾军人证（1至8级）》的自然人，包括具有劳动</w:t>
      </w:r>
      <w:r>
        <w:rPr>
          <w:rFonts w:hint="eastAsia" w:ascii="仿宋" w:hAnsi="仿宋" w:eastAsia="仿宋" w:cs="仿宋"/>
          <w:color w:val="auto"/>
          <w:spacing w:val="-3"/>
          <w:sz w:val="24"/>
          <w:szCs w:val="24"/>
          <w:highlight w:val="none"/>
        </w:rPr>
        <w:t>条件和劳动意愿的精神残疾人。在职职工人数是指与残疾人福利性单位建立</w:t>
      </w:r>
      <w:r>
        <w:rPr>
          <w:rFonts w:hint="eastAsia" w:ascii="仿宋" w:hAnsi="仿宋" w:eastAsia="仿宋" w:cs="仿宋"/>
          <w:color w:val="auto"/>
          <w:spacing w:val="-4"/>
          <w:sz w:val="24"/>
          <w:szCs w:val="24"/>
          <w:highlight w:val="none"/>
        </w:rPr>
        <w:t>劳动</w:t>
      </w:r>
      <w:r>
        <w:rPr>
          <w:rFonts w:hint="eastAsia" w:ascii="仿宋" w:hAnsi="仿宋" w:eastAsia="仿宋" w:cs="仿宋"/>
          <w:color w:val="auto"/>
          <w:spacing w:val="-1"/>
          <w:sz w:val="24"/>
          <w:szCs w:val="24"/>
          <w:highlight w:val="none"/>
        </w:rPr>
        <w:t>关系并依法签订劳动合同或者服务协议的雇员人数。</w:t>
      </w:r>
    </w:p>
    <w:p w14:paraId="7FCF205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1.2.3符合条件的残疾人福利性单位在参加政府采购活动时，应</w:t>
      </w:r>
      <w:r>
        <w:rPr>
          <w:rFonts w:hint="eastAsia" w:ascii="仿宋" w:hAnsi="仿宋" w:eastAsia="仿宋" w:cs="仿宋"/>
          <w:color w:val="auto"/>
          <w:spacing w:val="-3"/>
          <w:sz w:val="24"/>
          <w:szCs w:val="24"/>
          <w:highlight w:val="none"/>
        </w:rPr>
        <w:t>当提供《残</w:t>
      </w:r>
      <w:r>
        <w:rPr>
          <w:rFonts w:hint="eastAsia" w:ascii="仿宋" w:hAnsi="仿宋" w:eastAsia="仿宋" w:cs="仿宋"/>
          <w:color w:val="auto"/>
          <w:spacing w:val="-1"/>
          <w:sz w:val="24"/>
          <w:szCs w:val="24"/>
          <w:highlight w:val="none"/>
        </w:rPr>
        <w:t>疾人福利性单位声明函》（见附件</w:t>
      </w:r>
      <w:r>
        <w:rPr>
          <w:rFonts w:hint="eastAsia" w:ascii="仿宋" w:hAnsi="仿宋" w:eastAsia="仿宋" w:cs="仿宋"/>
          <w:color w:val="auto"/>
          <w:spacing w:val="8"/>
          <w:sz w:val="24"/>
          <w:szCs w:val="24"/>
          <w:highlight w:val="none"/>
        </w:rPr>
        <w:t>），</w:t>
      </w:r>
      <w:r>
        <w:rPr>
          <w:rFonts w:hint="eastAsia" w:ascii="仿宋" w:hAnsi="仿宋" w:eastAsia="仿宋" w:cs="仿宋"/>
          <w:color w:val="auto"/>
          <w:spacing w:val="-1"/>
          <w:sz w:val="24"/>
          <w:szCs w:val="24"/>
          <w:highlight w:val="none"/>
        </w:rPr>
        <w:t>并对声明的真实性负</w:t>
      </w:r>
      <w:r>
        <w:rPr>
          <w:rFonts w:hint="eastAsia" w:ascii="仿宋" w:hAnsi="仿宋" w:eastAsia="仿宋" w:cs="仿宋"/>
          <w:color w:val="auto"/>
          <w:spacing w:val="-2"/>
          <w:sz w:val="24"/>
          <w:szCs w:val="24"/>
          <w:highlight w:val="none"/>
        </w:rPr>
        <w:t>责。</w:t>
      </w:r>
    </w:p>
    <w:p w14:paraId="7D7E206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1.2.4成交投标人为残疾人福利性单位的，采购代理机构应当随</w:t>
      </w:r>
      <w:r>
        <w:rPr>
          <w:rFonts w:hint="eastAsia" w:ascii="仿宋" w:hAnsi="仿宋" w:eastAsia="仿宋" w:cs="仿宋"/>
          <w:color w:val="auto"/>
          <w:spacing w:val="-3"/>
          <w:sz w:val="24"/>
          <w:szCs w:val="24"/>
          <w:highlight w:val="none"/>
        </w:rPr>
        <w:t>成交结果同</w:t>
      </w:r>
      <w:r>
        <w:rPr>
          <w:rFonts w:hint="eastAsia" w:ascii="仿宋" w:hAnsi="仿宋" w:eastAsia="仿宋" w:cs="仿宋"/>
          <w:color w:val="auto"/>
          <w:spacing w:val="-2"/>
          <w:sz w:val="24"/>
          <w:szCs w:val="24"/>
          <w:highlight w:val="none"/>
        </w:rPr>
        <w:t>时公告其《残疾人福利性单位声明函》，接受社会监督。</w:t>
      </w:r>
    </w:p>
    <w:p w14:paraId="79F9153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1.2.5投标人提供的《残疾人福利性单位声明函》与事实不符的，依照</w:t>
      </w:r>
      <w:r>
        <w:rPr>
          <w:rFonts w:hint="eastAsia" w:ascii="仿宋" w:hAnsi="仿宋" w:eastAsia="仿宋" w:cs="仿宋"/>
          <w:color w:val="auto"/>
          <w:spacing w:val="-3"/>
          <w:sz w:val="24"/>
          <w:szCs w:val="24"/>
          <w:highlight w:val="none"/>
        </w:rPr>
        <w:t>《</w:t>
      </w:r>
      <w:r>
        <w:rPr>
          <w:rFonts w:hint="eastAsia" w:cs="仿宋"/>
          <w:color w:val="auto"/>
          <w:spacing w:val="-3"/>
          <w:sz w:val="24"/>
          <w:szCs w:val="24"/>
          <w:highlight w:val="none"/>
          <w:lang w:eastAsia="zh-CN"/>
        </w:rPr>
        <w:t>中华人民共和国政府采购法</w:t>
      </w:r>
      <w:r>
        <w:rPr>
          <w:rFonts w:hint="eastAsia" w:ascii="仿宋" w:hAnsi="仿宋" w:eastAsia="仿宋" w:cs="仿宋"/>
          <w:color w:val="auto"/>
          <w:spacing w:val="-1"/>
          <w:sz w:val="24"/>
          <w:szCs w:val="24"/>
          <w:highlight w:val="none"/>
        </w:rPr>
        <w:t>》第七十七条第一款的规定追究法律责任。</w:t>
      </w:r>
    </w:p>
    <w:p w14:paraId="6702B1D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1.3面向中小企业预留情况详见投标人须知前附表。</w:t>
      </w:r>
    </w:p>
    <w:p w14:paraId="4F9F062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1.3.1依据财政部、工业和信息化部《政府采购促进中</w:t>
      </w:r>
      <w:r>
        <w:rPr>
          <w:rFonts w:hint="eastAsia" w:ascii="仿宋" w:hAnsi="仿宋" w:eastAsia="仿宋" w:cs="仿宋"/>
          <w:color w:val="auto"/>
          <w:spacing w:val="-6"/>
          <w:sz w:val="24"/>
          <w:szCs w:val="24"/>
          <w:highlight w:val="none"/>
        </w:rPr>
        <w:t>小企业发展管理办法》</w:t>
      </w:r>
      <w:r>
        <w:rPr>
          <w:rFonts w:hint="eastAsia" w:ascii="仿宋" w:hAnsi="仿宋" w:eastAsia="仿宋" w:cs="仿宋"/>
          <w:color w:val="auto"/>
          <w:spacing w:val="2"/>
          <w:sz w:val="24"/>
          <w:szCs w:val="24"/>
          <w:highlight w:val="none"/>
        </w:rPr>
        <w:t>（财库〔2020〕46号）规定，中型、小型</w:t>
      </w:r>
      <w:r>
        <w:rPr>
          <w:rFonts w:hint="eastAsia" w:ascii="仿宋" w:hAnsi="仿宋" w:eastAsia="仿宋" w:cs="仿宋"/>
          <w:color w:val="auto"/>
          <w:spacing w:val="1"/>
          <w:sz w:val="24"/>
          <w:szCs w:val="24"/>
          <w:highlight w:val="none"/>
        </w:rPr>
        <w:t>和微型企业参加政府采购活动的须提</w:t>
      </w:r>
      <w:r>
        <w:rPr>
          <w:rFonts w:hint="eastAsia" w:ascii="仿宋" w:hAnsi="仿宋" w:eastAsia="仿宋" w:cs="仿宋"/>
          <w:color w:val="auto"/>
          <w:spacing w:val="-1"/>
          <w:sz w:val="24"/>
          <w:szCs w:val="24"/>
          <w:highlight w:val="none"/>
        </w:rPr>
        <w:t>供《中小企业声明函》（格式见附件</w:t>
      </w:r>
      <w:r>
        <w:rPr>
          <w:rFonts w:hint="eastAsia" w:ascii="仿宋" w:hAnsi="仿宋" w:eastAsia="仿宋" w:cs="仿宋"/>
          <w:color w:val="auto"/>
          <w:spacing w:val="13"/>
          <w:sz w:val="24"/>
          <w:szCs w:val="24"/>
          <w:highlight w:val="none"/>
        </w:rPr>
        <w:t>），</w:t>
      </w:r>
      <w:r>
        <w:rPr>
          <w:rFonts w:hint="eastAsia" w:ascii="仿宋" w:hAnsi="仿宋" w:eastAsia="仿宋" w:cs="仿宋"/>
          <w:color w:val="auto"/>
          <w:spacing w:val="-1"/>
          <w:sz w:val="24"/>
          <w:szCs w:val="24"/>
          <w:highlight w:val="none"/>
        </w:rPr>
        <w:t>否则不得享受相关中小企业扶持政策；</w:t>
      </w:r>
    </w:p>
    <w:p w14:paraId="501F193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1.3.2企业划型标准按照《关于印发中小企业划型标准规定的通知》（工信部联企业〔2011〕300号）规定执行。</w:t>
      </w:r>
    </w:p>
    <w:p w14:paraId="2E9A145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1.3.3投标人提供的货物、工程或者服务符合下列情形的，享受《政府</w:t>
      </w:r>
      <w:r>
        <w:rPr>
          <w:rFonts w:hint="eastAsia" w:ascii="仿宋" w:hAnsi="仿宋" w:eastAsia="仿宋" w:cs="仿宋"/>
          <w:color w:val="auto"/>
          <w:spacing w:val="-3"/>
          <w:sz w:val="24"/>
          <w:szCs w:val="24"/>
          <w:highlight w:val="none"/>
        </w:rPr>
        <w:t>采购促进中小企业发展管理办法》（财库〔2020〕</w:t>
      </w:r>
      <w:r>
        <w:rPr>
          <w:rFonts w:hint="eastAsia" w:ascii="仿宋" w:hAnsi="仿宋" w:eastAsia="仿宋" w:cs="仿宋"/>
          <w:color w:val="auto"/>
          <w:spacing w:val="-4"/>
          <w:sz w:val="24"/>
          <w:szCs w:val="24"/>
          <w:highlight w:val="none"/>
        </w:rPr>
        <w:t>46号）规定的中小企业扶持政策：</w:t>
      </w:r>
    </w:p>
    <w:p w14:paraId="7E481B8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（一）在货物采购项目中，货物由中小企业制造，即货物由中小企业生产且</w:t>
      </w:r>
      <w:r>
        <w:rPr>
          <w:rFonts w:hint="eastAsia" w:ascii="仿宋" w:hAnsi="仿宋" w:eastAsia="仿宋" w:cs="仿宋"/>
          <w:color w:val="auto"/>
          <w:spacing w:val="-1"/>
          <w:sz w:val="24"/>
          <w:szCs w:val="24"/>
          <w:highlight w:val="none"/>
        </w:rPr>
        <w:t>使用该中小企业商号或者注册商标；</w:t>
      </w:r>
    </w:p>
    <w:p w14:paraId="3DCCF0C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（二）在工程采购项目中，工程由中小企业承建，即工程施工单位为中小企</w:t>
      </w:r>
      <w:r>
        <w:rPr>
          <w:rFonts w:hint="eastAsia" w:ascii="仿宋" w:hAnsi="仿宋" w:eastAsia="仿宋" w:cs="仿宋"/>
          <w:color w:val="auto"/>
          <w:spacing w:val="-10"/>
          <w:sz w:val="24"/>
          <w:szCs w:val="24"/>
          <w:highlight w:val="none"/>
        </w:rPr>
        <w:t>业；</w:t>
      </w:r>
    </w:p>
    <w:p w14:paraId="2004868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（三）在服务采购项目中，服务由中小企业承接，即提供服务的人员为中小</w:t>
      </w:r>
      <w:r>
        <w:rPr>
          <w:rFonts w:hint="eastAsia" w:ascii="仿宋" w:hAnsi="仿宋" w:eastAsia="仿宋" w:cs="仿宋"/>
          <w:color w:val="auto"/>
          <w:spacing w:val="-1"/>
          <w:sz w:val="24"/>
          <w:szCs w:val="24"/>
          <w:highlight w:val="none"/>
        </w:rPr>
        <w:t>企业依照《中华人民共和国劳动合同法》订立劳动合同的从业人员。</w:t>
      </w:r>
    </w:p>
    <w:p w14:paraId="7CA01B5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在货物采购项目中，投标人提供的货物既有中小企业制造</w:t>
      </w:r>
      <w:r>
        <w:rPr>
          <w:rFonts w:hint="eastAsia" w:ascii="仿宋" w:hAnsi="仿宋" w:eastAsia="仿宋" w:cs="仿宋"/>
          <w:color w:val="auto"/>
          <w:spacing w:val="-4"/>
          <w:sz w:val="24"/>
          <w:szCs w:val="24"/>
          <w:highlight w:val="none"/>
        </w:rPr>
        <w:t>货物，也有大型企</w:t>
      </w:r>
      <w:r>
        <w:rPr>
          <w:rFonts w:hint="eastAsia" w:ascii="仿宋" w:hAnsi="仿宋" w:eastAsia="仿宋" w:cs="仿宋"/>
          <w:color w:val="auto"/>
          <w:spacing w:val="-1"/>
          <w:sz w:val="24"/>
          <w:szCs w:val="24"/>
          <w:highlight w:val="none"/>
        </w:rPr>
        <w:t>业制造货物的，不享受本办法规定的中小企业扶持政策。</w:t>
      </w:r>
    </w:p>
    <w:p w14:paraId="7345239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以联合体形式参加政府采购活动，联合体各方均为中小企业的，</w:t>
      </w:r>
      <w:r>
        <w:rPr>
          <w:rFonts w:hint="eastAsia" w:ascii="仿宋" w:hAnsi="仿宋" w:eastAsia="仿宋" w:cs="仿宋"/>
          <w:color w:val="auto"/>
          <w:spacing w:val="-5"/>
          <w:sz w:val="24"/>
          <w:szCs w:val="24"/>
          <w:highlight w:val="none"/>
        </w:rPr>
        <w:t>联合体视同</w:t>
      </w:r>
      <w:r>
        <w:rPr>
          <w:rFonts w:hint="eastAsia" w:ascii="仿宋" w:hAnsi="仿宋" w:eastAsia="仿宋" w:cs="仿宋"/>
          <w:color w:val="auto"/>
          <w:spacing w:val="-1"/>
          <w:sz w:val="24"/>
          <w:szCs w:val="24"/>
          <w:highlight w:val="none"/>
        </w:rPr>
        <w:t>中小企业。其中，联合体各方均为小微企业的，联合</w:t>
      </w:r>
      <w:r>
        <w:rPr>
          <w:rFonts w:hint="eastAsia" w:ascii="仿宋" w:hAnsi="仿宋" w:eastAsia="仿宋" w:cs="仿宋"/>
          <w:color w:val="auto"/>
          <w:spacing w:val="-2"/>
          <w:sz w:val="24"/>
          <w:szCs w:val="24"/>
          <w:highlight w:val="none"/>
        </w:rPr>
        <w:t>体视同小微企业。</w:t>
      </w:r>
    </w:p>
    <w:p w14:paraId="1F54F8B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1.4评分得分非整数的保留小数点后两位（小数点后第三位数四舍五入）。</w:t>
      </w:r>
    </w:p>
    <w:p w14:paraId="412BD9F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1.5监狱企业参与政府采购活动，均视同小型、微型企业</w:t>
      </w:r>
      <w:r>
        <w:rPr>
          <w:rFonts w:hint="eastAsia" w:ascii="仿宋" w:hAnsi="仿宋" w:eastAsia="仿宋" w:cs="仿宋"/>
          <w:color w:val="auto"/>
          <w:spacing w:val="-3"/>
          <w:sz w:val="24"/>
          <w:szCs w:val="24"/>
          <w:highlight w:val="none"/>
        </w:rPr>
        <w:t>，享受国家优惠政策，应当提供由省级以上监狱管理局、戒毒管理局或新疆生产建设兵</w:t>
      </w:r>
      <w:r>
        <w:rPr>
          <w:rFonts w:hint="eastAsia" w:ascii="仿宋" w:hAnsi="仿宋" w:eastAsia="仿宋" w:cs="仿宋"/>
          <w:color w:val="auto"/>
          <w:spacing w:val="-4"/>
          <w:sz w:val="24"/>
          <w:szCs w:val="24"/>
          <w:highlight w:val="none"/>
        </w:rPr>
        <w:t>团出具的属</w:t>
      </w:r>
      <w:r>
        <w:rPr>
          <w:rFonts w:hint="eastAsia" w:ascii="仿宋" w:hAnsi="仿宋" w:eastAsia="仿宋" w:cs="仿宋"/>
          <w:color w:val="auto"/>
          <w:spacing w:val="-3"/>
          <w:sz w:val="24"/>
          <w:szCs w:val="24"/>
          <w:highlight w:val="none"/>
        </w:rPr>
        <w:t>于监狱企业的证明原件的扫描件，且对上述材料的真实性负责，否则</w:t>
      </w:r>
      <w:r>
        <w:rPr>
          <w:rFonts w:hint="eastAsia" w:ascii="仿宋" w:hAnsi="仿宋" w:eastAsia="仿宋" w:cs="仿宋"/>
          <w:color w:val="auto"/>
          <w:spacing w:val="-4"/>
          <w:sz w:val="24"/>
          <w:szCs w:val="24"/>
          <w:highlight w:val="none"/>
        </w:rPr>
        <w:t>不给予价格</w:t>
      </w:r>
      <w:r>
        <w:rPr>
          <w:rFonts w:hint="eastAsia" w:ascii="仿宋" w:hAnsi="仿宋" w:eastAsia="仿宋" w:cs="仿宋"/>
          <w:color w:val="auto"/>
          <w:spacing w:val="-6"/>
          <w:sz w:val="24"/>
          <w:szCs w:val="24"/>
          <w:highlight w:val="none"/>
        </w:rPr>
        <w:t>扣除。</w:t>
      </w:r>
    </w:p>
    <w:p w14:paraId="1D8D428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jc w:val="left"/>
        <w:textAlignment w:val="baseline"/>
        <w:outlineLvl w:val="1"/>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2.评分标准</w:t>
      </w:r>
    </w:p>
    <w:p w14:paraId="18D5660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本项目采用</w:t>
      </w:r>
      <w:r>
        <w:rPr>
          <w:rFonts w:hint="eastAsia" w:ascii="仿宋" w:hAnsi="仿宋" w:eastAsia="仿宋" w:cs="仿宋"/>
          <w:color w:val="auto"/>
          <w:spacing w:val="-1"/>
          <w:sz w:val="24"/>
          <w:szCs w:val="24"/>
          <w:highlight w:val="none"/>
          <w:u w:val="single" w:color="auto"/>
        </w:rPr>
        <w:t>综合评分法</w:t>
      </w:r>
      <w:r>
        <w:rPr>
          <w:rFonts w:hint="eastAsia" w:ascii="仿宋" w:hAnsi="仿宋" w:eastAsia="仿宋" w:cs="仿宋"/>
          <w:color w:val="auto"/>
          <w:spacing w:val="-1"/>
          <w:sz w:val="24"/>
          <w:szCs w:val="24"/>
          <w:highlight w:val="none"/>
        </w:rPr>
        <w:t>进行评标。</w:t>
      </w:r>
    </w:p>
    <w:p w14:paraId="4956A43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综合评分法，是指投标文件满足招标文件全部实质性要求且按评标因素的量</w:t>
      </w:r>
      <w:r>
        <w:rPr>
          <w:rFonts w:hint="eastAsia" w:ascii="仿宋" w:hAnsi="仿宋" w:eastAsia="仿宋" w:cs="仿宋"/>
          <w:color w:val="auto"/>
          <w:spacing w:val="-1"/>
          <w:sz w:val="24"/>
          <w:szCs w:val="24"/>
          <w:highlight w:val="none"/>
        </w:rPr>
        <w:t>化指标评标得分最高的投标人为成交候选投标人的评标方法。</w:t>
      </w:r>
    </w:p>
    <w:p w14:paraId="2130FDE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jc w:val="left"/>
        <w:textAlignment w:val="baseline"/>
        <w:outlineLvl w:val="1"/>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3.政策加分以及计算方法</w:t>
      </w:r>
    </w:p>
    <w:p w14:paraId="4FA195C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3.1说明：</w:t>
      </w:r>
    </w:p>
    <w:p w14:paraId="1A43F2B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3.1.1投标人所提供的材料或者填写的内容必须真实、可靠，如</w:t>
      </w:r>
      <w:r>
        <w:rPr>
          <w:rFonts w:hint="eastAsia" w:ascii="仿宋" w:hAnsi="仿宋" w:eastAsia="仿宋" w:cs="仿宋"/>
          <w:color w:val="auto"/>
          <w:spacing w:val="-3"/>
          <w:sz w:val="24"/>
          <w:szCs w:val="24"/>
          <w:highlight w:val="none"/>
        </w:rPr>
        <w:t>有虚假或隐瞒，一经查实将导致投标被拒绝，并按照《中华人民共和国政府采购法》第七十七条第一款“提供虚假材料谋取成交的”进行处罚，给采购人造成损失的应承担</w:t>
      </w:r>
      <w:r>
        <w:rPr>
          <w:rFonts w:hint="eastAsia" w:ascii="仿宋" w:hAnsi="仿宋" w:eastAsia="仿宋" w:cs="仿宋"/>
          <w:color w:val="auto"/>
          <w:spacing w:val="-2"/>
          <w:sz w:val="24"/>
          <w:szCs w:val="24"/>
          <w:highlight w:val="none"/>
        </w:rPr>
        <w:t>赔偿责任。</w:t>
      </w:r>
    </w:p>
    <w:p w14:paraId="517AE23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3.2小微企业价格扣除优惠标准详见投标人须知前附表。</w:t>
      </w:r>
    </w:p>
    <w:p w14:paraId="7E287C0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3.3按照财政部等四部委联合印发《关于调整优化节能产品、环</w:t>
      </w:r>
      <w:r>
        <w:rPr>
          <w:rFonts w:hint="eastAsia" w:ascii="仿宋" w:hAnsi="仿宋" w:eastAsia="仿宋" w:cs="仿宋"/>
          <w:color w:val="auto"/>
          <w:spacing w:val="-3"/>
          <w:sz w:val="24"/>
          <w:szCs w:val="24"/>
          <w:highlight w:val="none"/>
        </w:rPr>
        <w:t>境标志产品</w:t>
      </w:r>
      <w:r>
        <w:rPr>
          <w:rFonts w:hint="eastAsia" w:ascii="仿宋" w:hAnsi="仿宋" w:eastAsia="仿宋" w:cs="仿宋"/>
          <w:color w:val="auto"/>
          <w:spacing w:val="-2"/>
          <w:sz w:val="24"/>
          <w:szCs w:val="24"/>
          <w:highlight w:val="none"/>
        </w:rPr>
        <w:t>政府采购执行机制的通知》〔2019〕9号、财政部发展改革委《关于印发节能产</w:t>
      </w:r>
      <w:r>
        <w:rPr>
          <w:rFonts w:hint="eastAsia" w:ascii="仿宋" w:hAnsi="仿宋" w:eastAsia="仿宋" w:cs="仿宋"/>
          <w:color w:val="auto"/>
          <w:spacing w:val="1"/>
          <w:sz w:val="24"/>
          <w:szCs w:val="24"/>
          <w:highlight w:val="none"/>
        </w:rPr>
        <w:t>品政府采购品目清单的通知》财库〔2019〕19号、财政部生态环境部《关于印</w:t>
      </w:r>
      <w:r>
        <w:rPr>
          <w:rFonts w:hint="eastAsia" w:ascii="仿宋" w:hAnsi="仿宋" w:eastAsia="仿宋" w:cs="仿宋"/>
          <w:color w:val="auto"/>
          <w:spacing w:val="-1"/>
          <w:sz w:val="24"/>
          <w:szCs w:val="24"/>
          <w:highlight w:val="none"/>
        </w:rPr>
        <w:t>发环境标志产品政府采购品目清单的通知》财库〔2019〕18号的规定：</w:t>
      </w:r>
    </w:p>
    <w:p w14:paraId="6334DA4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（1）采购标的物属于节能、环境标志产品品目清单中强制性采购产</w:t>
      </w:r>
      <w:r>
        <w:rPr>
          <w:rFonts w:hint="eastAsia" w:ascii="仿宋" w:hAnsi="仿宋" w:eastAsia="仿宋" w:cs="仿宋"/>
          <w:color w:val="auto"/>
          <w:spacing w:val="-2"/>
          <w:sz w:val="24"/>
          <w:szCs w:val="24"/>
          <w:highlight w:val="none"/>
        </w:rPr>
        <w:t>品的，</w:t>
      </w:r>
      <w:r>
        <w:rPr>
          <w:rFonts w:hint="eastAsia" w:ascii="仿宋" w:hAnsi="仿宋" w:eastAsia="仿宋" w:cs="仿宋"/>
          <w:color w:val="auto"/>
          <w:spacing w:val="-3"/>
          <w:sz w:val="24"/>
          <w:szCs w:val="24"/>
          <w:highlight w:val="none"/>
        </w:rPr>
        <w:t>投标人必须提供国家确定的认证机构出具的、处于有效期之内的节能产品认</w:t>
      </w:r>
      <w:r>
        <w:rPr>
          <w:rFonts w:hint="eastAsia" w:ascii="仿宋" w:hAnsi="仿宋" w:eastAsia="仿宋" w:cs="仿宋"/>
          <w:color w:val="auto"/>
          <w:spacing w:val="-4"/>
          <w:sz w:val="24"/>
          <w:szCs w:val="24"/>
          <w:highlight w:val="none"/>
        </w:rPr>
        <w:t>证证</w:t>
      </w:r>
      <w:r>
        <w:rPr>
          <w:rFonts w:hint="eastAsia" w:ascii="仿宋" w:hAnsi="仿宋" w:eastAsia="仿宋" w:cs="仿宋"/>
          <w:color w:val="auto"/>
          <w:spacing w:val="-7"/>
          <w:sz w:val="24"/>
          <w:szCs w:val="24"/>
          <w:highlight w:val="none"/>
        </w:rPr>
        <w:t>书；</w:t>
      </w:r>
    </w:p>
    <w:p w14:paraId="1A06D28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0"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（2）采购标的物属于节能、环境标志产品品目清单中非强制性采购产品的，</w:t>
      </w:r>
      <w:r>
        <w:rPr>
          <w:rFonts w:hint="eastAsia" w:ascii="仿宋" w:hAnsi="仿宋" w:eastAsia="仿宋" w:cs="仿宋"/>
          <w:color w:val="auto"/>
          <w:spacing w:val="-2"/>
          <w:sz w:val="24"/>
          <w:szCs w:val="24"/>
          <w:highlight w:val="none"/>
        </w:rPr>
        <w:t>享受政府采购优先政策：</w:t>
      </w:r>
    </w:p>
    <w:p w14:paraId="701095C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jc w:val="left"/>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·在综合评分法项目中，评审得分相同的投标人，对提供清单中非强制</w:t>
      </w:r>
      <w:r>
        <w:rPr>
          <w:rFonts w:hint="eastAsia" w:ascii="仿宋" w:hAnsi="仿宋" w:eastAsia="仿宋" w:cs="仿宋"/>
          <w:color w:val="auto"/>
          <w:spacing w:val="-7"/>
          <w:sz w:val="24"/>
          <w:szCs w:val="24"/>
          <w:highlight w:val="none"/>
        </w:rPr>
        <w:t>性采</w:t>
      </w:r>
      <w:r>
        <w:rPr>
          <w:rFonts w:hint="eastAsia" w:ascii="仿宋" w:hAnsi="仿宋" w:eastAsia="仿宋" w:cs="仿宋"/>
          <w:color w:val="auto"/>
          <w:spacing w:val="-1"/>
          <w:sz w:val="24"/>
          <w:szCs w:val="24"/>
          <w:highlight w:val="none"/>
        </w:rPr>
        <w:t>购产品的相关认证证书的投标人，可优先选择。</w:t>
      </w:r>
    </w:p>
    <w:p w14:paraId="0022E6B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jc w:val="left"/>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·在最低评标价法项目中，最终报价相同的投标人，提供清单中非强制</w:t>
      </w:r>
      <w:r>
        <w:rPr>
          <w:rFonts w:hint="eastAsia" w:ascii="仿宋" w:hAnsi="仿宋" w:eastAsia="仿宋" w:cs="仿宋"/>
          <w:color w:val="auto"/>
          <w:spacing w:val="-7"/>
          <w:sz w:val="24"/>
          <w:szCs w:val="24"/>
          <w:highlight w:val="none"/>
        </w:rPr>
        <w:t>性采</w:t>
      </w:r>
      <w:r>
        <w:rPr>
          <w:rFonts w:hint="eastAsia" w:ascii="仿宋" w:hAnsi="仿宋" w:eastAsia="仿宋" w:cs="仿宋"/>
          <w:color w:val="auto"/>
          <w:spacing w:val="-1"/>
          <w:sz w:val="24"/>
          <w:szCs w:val="24"/>
          <w:highlight w:val="none"/>
        </w:rPr>
        <w:t>购产品的相关认证证书的投标人，可优先选择。</w:t>
      </w:r>
    </w:p>
    <w:p w14:paraId="1821425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jc w:val="left"/>
        <w:textAlignment w:val="baseline"/>
        <w:outlineLvl w:val="1"/>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4.政府采购异常低价的说明：</w:t>
      </w:r>
    </w:p>
    <w:p w14:paraId="13AC572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jc w:val="left"/>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根据《关于推动解决政府采购异常低价问题的通知》（财库〔2026〕2号）</w:t>
      </w:r>
      <w:r>
        <w:rPr>
          <w:rFonts w:hint="eastAsia" w:ascii="仿宋" w:hAnsi="仿宋" w:eastAsia="仿宋" w:cs="仿宋"/>
          <w:color w:val="auto"/>
          <w:spacing w:val="-2"/>
          <w:sz w:val="24"/>
          <w:szCs w:val="24"/>
          <w:highlight w:val="none"/>
        </w:rPr>
        <w:t>文件规定及采购人要求：</w:t>
      </w:r>
    </w:p>
    <w:p w14:paraId="6CF9658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jc w:val="left"/>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（一）政府采购评审中出现下列情形之一的，评审委员会应当启动异常低价</w:t>
      </w:r>
      <w:r>
        <w:rPr>
          <w:rFonts w:hint="eastAsia" w:ascii="仿宋" w:hAnsi="仿宋" w:eastAsia="仿宋" w:cs="仿宋"/>
          <w:color w:val="auto"/>
          <w:spacing w:val="-2"/>
          <w:sz w:val="24"/>
          <w:szCs w:val="24"/>
          <w:highlight w:val="none"/>
        </w:rPr>
        <w:t>投标（响应）审查程序：</w:t>
      </w:r>
    </w:p>
    <w:p w14:paraId="2394808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jc w:val="left"/>
        <w:textAlignment w:val="baseline"/>
        <w:outlineLvl w:val="9"/>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1.投标（响应）报价低于全部通过符合性审查供应商投标（响应）报价平均值50%的，即投标（响应）报价&lt;全部通过符合性审查供应商投标（响应）报价平均值×50%；</w:t>
      </w:r>
    </w:p>
    <w:p w14:paraId="36573A4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jc w:val="left"/>
        <w:textAlignment w:val="baseline"/>
        <w:outlineLvl w:val="9"/>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2.投标（响应）报价低于通过符合性审查的次低报价供应商投标（响应）报价50%的，即投标（响应）报价&lt;通过符合性审查的次低报价供应商投标（响应）报价×50%；</w:t>
      </w:r>
    </w:p>
    <w:p w14:paraId="472CF55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jc w:val="left"/>
        <w:textAlignment w:val="baseline"/>
        <w:outlineLvl w:val="9"/>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3.投标（响应）报价低于采购项目最高限价45%的，即投标（响应）报价&lt;采购项目最高限价×45%；</w:t>
      </w:r>
    </w:p>
    <w:p w14:paraId="18D7A0D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jc w:val="left"/>
        <w:textAlignment w:val="baseline"/>
        <w:outlineLvl w:val="9"/>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4.评审委员会基于专业判断，认为供应商报价过低，有可能影响产品质量或者不能诚信履约的其他情形。</w:t>
      </w:r>
    </w:p>
    <w:p w14:paraId="216C99A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jc w:val="left"/>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采购人可以结合具体项目实际情况，提高上述第1项至第3项中启动异常低</w:t>
      </w:r>
      <w:r>
        <w:rPr>
          <w:rFonts w:hint="eastAsia" w:ascii="仿宋" w:hAnsi="仿宋" w:eastAsia="仿宋" w:cs="仿宋"/>
          <w:color w:val="auto"/>
          <w:spacing w:val="-2"/>
          <w:sz w:val="24"/>
          <w:szCs w:val="24"/>
          <w:highlight w:val="none"/>
        </w:rPr>
        <w:t>价投标（响应）审查的数值标准，但是最高不得超过65%。相关法律法规对供应商报价有规定的，从其规定。</w:t>
      </w:r>
    </w:p>
    <w:p w14:paraId="4B32EBD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jc w:val="left"/>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（二）评审委员会启动异常低价投标（响应）审查后，属于前述第1项至第</w:t>
      </w:r>
      <w:r>
        <w:rPr>
          <w:rFonts w:hint="eastAsia" w:ascii="仿宋" w:hAnsi="仿宋" w:eastAsia="仿宋" w:cs="仿宋"/>
          <w:color w:val="auto"/>
          <w:spacing w:val="-2"/>
          <w:sz w:val="24"/>
          <w:szCs w:val="24"/>
          <w:highlight w:val="none"/>
        </w:rPr>
        <w:t>4项情形的，应当要求相关供应商在评审现场合理的时间内对投标（响应）价格</w:t>
      </w:r>
      <w:r>
        <w:rPr>
          <w:rFonts w:hint="eastAsia" w:ascii="仿宋" w:hAnsi="仿宋" w:eastAsia="仿宋" w:cs="仿宋"/>
          <w:color w:val="auto"/>
          <w:spacing w:val="-3"/>
          <w:sz w:val="24"/>
          <w:szCs w:val="24"/>
          <w:highlight w:val="none"/>
        </w:rPr>
        <w:t>作出解释，提供项目具体成本测算等与报价合理性相关的书面说明及必要的</w:t>
      </w:r>
      <w:r>
        <w:rPr>
          <w:rFonts w:hint="eastAsia" w:ascii="仿宋" w:hAnsi="仿宋" w:eastAsia="仿宋" w:cs="仿宋"/>
          <w:color w:val="auto"/>
          <w:spacing w:val="-4"/>
          <w:sz w:val="24"/>
          <w:szCs w:val="24"/>
          <w:highlight w:val="none"/>
        </w:rPr>
        <w:t>证明</w:t>
      </w:r>
      <w:r>
        <w:rPr>
          <w:rFonts w:hint="eastAsia" w:ascii="仿宋" w:hAnsi="仿宋" w:eastAsia="仿宋" w:cs="仿宋"/>
          <w:color w:val="auto"/>
          <w:spacing w:val="-3"/>
          <w:sz w:val="24"/>
          <w:szCs w:val="24"/>
          <w:highlight w:val="none"/>
        </w:rPr>
        <w:t>材料，包括但不限于原材料成本、人工成本、制造费用等，给予相关供应商</w:t>
      </w:r>
      <w:r>
        <w:rPr>
          <w:rFonts w:hint="eastAsia" w:ascii="仿宋" w:hAnsi="仿宋" w:eastAsia="仿宋" w:cs="仿宋"/>
          <w:color w:val="auto"/>
          <w:spacing w:val="-4"/>
          <w:sz w:val="24"/>
          <w:szCs w:val="24"/>
          <w:highlight w:val="none"/>
        </w:rPr>
        <w:t>的合</w:t>
      </w:r>
      <w:r>
        <w:rPr>
          <w:rFonts w:hint="eastAsia" w:ascii="仿宋" w:hAnsi="仿宋" w:eastAsia="仿宋" w:cs="仿宋"/>
          <w:color w:val="auto"/>
          <w:spacing w:val="-2"/>
          <w:sz w:val="24"/>
          <w:szCs w:val="24"/>
          <w:highlight w:val="none"/>
        </w:rPr>
        <w:t>理时间一般不少于30分钟。其中，属于第3项情形，供应商已随投标（响应）文件一并提交相关书面说明及必要的证明材料的，在评审现场可不再重复提交。</w:t>
      </w:r>
    </w:p>
    <w:p w14:paraId="76D0257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jc w:val="left"/>
        <w:textAlignment w:val="baseline"/>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投标（响应）供应商不能提供书面说明、证</w:t>
      </w:r>
      <w:r>
        <w:rPr>
          <w:rFonts w:hint="eastAsia" w:ascii="仿宋" w:hAnsi="仿宋" w:eastAsia="仿宋" w:cs="仿宋"/>
          <w:color w:val="auto"/>
          <w:spacing w:val="-1"/>
          <w:sz w:val="24"/>
          <w:szCs w:val="24"/>
          <w:highlight w:val="none"/>
        </w:rPr>
        <w:t>明材料，或者提供的书面说明、证明材料不能证明其报价合理性的，评审委员会应当将其作为无效投标（响应）</w:t>
      </w:r>
      <w:r>
        <w:rPr>
          <w:rFonts w:hint="eastAsia" w:ascii="仿宋" w:hAnsi="仿宋" w:eastAsia="仿宋" w:cs="仿宋"/>
          <w:color w:val="auto"/>
          <w:spacing w:val="-7"/>
          <w:sz w:val="24"/>
          <w:szCs w:val="24"/>
          <w:highlight w:val="none"/>
        </w:rPr>
        <w:t>处理。</w:t>
      </w:r>
    </w:p>
    <w:p w14:paraId="4BF2C38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jc w:val="left"/>
        <w:textAlignment w:val="baseline"/>
        <w:outlineLvl w:val="1"/>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5.评标细则</w:t>
      </w:r>
    </w:p>
    <w:p w14:paraId="2CE07D5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5.1资格性审查</w:t>
      </w:r>
    </w:p>
    <w:p w14:paraId="26CC592F">
      <w:pPr>
        <w:keepNext w:val="0"/>
        <w:keepLines w:val="0"/>
        <w:pageBreakBefore w:val="0"/>
        <w:widowControl/>
        <w:shd w:val="clear"/>
        <w:kinsoku w:val="0"/>
        <w:wordWrap w:val="0"/>
        <w:overflowPunct/>
        <w:topLinePunct w:val="0"/>
        <w:autoSpaceDE w:val="0"/>
        <w:autoSpaceDN w:val="0"/>
        <w:bidi w:val="0"/>
        <w:adjustRightInd w:val="0"/>
        <w:snapToGrid w:val="0"/>
        <w:spacing w:line="52" w:lineRule="auto"/>
        <w:textAlignment w:val="baseline"/>
        <w:rPr>
          <w:rFonts w:ascii="Arial"/>
          <w:color w:val="auto"/>
          <w:sz w:val="2"/>
          <w:highlight w:val="none"/>
        </w:rPr>
      </w:pPr>
    </w:p>
    <w:tbl>
      <w:tblPr>
        <w:tblStyle w:val="24"/>
        <w:tblW w:w="504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6"/>
        <w:gridCol w:w="1558"/>
        <w:gridCol w:w="4779"/>
        <w:gridCol w:w="645"/>
        <w:gridCol w:w="645"/>
      </w:tblGrid>
      <w:tr w14:paraId="2E28D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6" w:type="pct"/>
            <w:vMerge w:val="restart"/>
            <w:tcBorders>
              <w:bottom w:val="nil"/>
            </w:tcBorders>
            <w:vAlign w:val="center"/>
          </w:tcPr>
          <w:p w14:paraId="1BF38A81">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b/>
                <w:bCs/>
                <w:color w:val="auto"/>
                <w:spacing w:val="-14"/>
                <w:highlight w:val="none"/>
              </w:rPr>
              <w:t>类别</w:t>
            </w:r>
          </w:p>
        </w:tc>
        <w:tc>
          <w:tcPr>
            <w:tcW w:w="928" w:type="pct"/>
            <w:vMerge w:val="restart"/>
            <w:tcBorders>
              <w:bottom w:val="nil"/>
            </w:tcBorders>
            <w:vAlign w:val="center"/>
          </w:tcPr>
          <w:p w14:paraId="0D3B1D5D">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b/>
                <w:bCs/>
                <w:color w:val="auto"/>
                <w:spacing w:val="-5"/>
                <w:highlight w:val="none"/>
              </w:rPr>
              <w:t>评分点</w:t>
            </w:r>
          </w:p>
        </w:tc>
        <w:tc>
          <w:tcPr>
            <w:tcW w:w="2846" w:type="pct"/>
            <w:vMerge w:val="restart"/>
            <w:tcBorders>
              <w:bottom w:val="nil"/>
            </w:tcBorders>
            <w:vAlign w:val="center"/>
          </w:tcPr>
          <w:p w14:paraId="7B32E2A7">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b/>
                <w:bCs/>
                <w:color w:val="auto"/>
                <w:spacing w:val="-5"/>
                <w:highlight w:val="none"/>
              </w:rPr>
              <w:t>评标内容</w:t>
            </w:r>
          </w:p>
        </w:tc>
        <w:tc>
          <w:tcPr>
            <w:tcW w:w="768" w:type="pct"/>
            <w:gridSpan w:val="2"/>
            <w:vAlign w:val="center"/>
          </w:tcPr>
          <w:p w14:paraId="04609DE2">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b/>
                <w:bCs/>
                <w:color w:val="auto"/>
                <w:spacing w:val="-5"/>
                <w:highlight w:val="none"/>
              </w:rPr>
              <w:t>评标意见</w:t>
            </w:r>
            <w:r>
              <w:rPr>
                <w:b/>
                <w:bCs/>
                <w:color w:val="auto"/>
                <w:spacing w:val="-4"/>
                <w:highlight w:val="none"/>
              </w:rPr>
              <w:t>（是否通过）</w:t>
            </w:r>
          </w:p>
        </w:tc>
      </w:tr>
      <w:tr w14:paraId="47329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6" w:type="pct"/>
            <w:vMerge w:val="continue"/>
            <w:tcBorders>
              <w:top w:val="nil"/>
            </w:tcBorders>
            <w:vAlign w:val="center"/>
          </w:tcPr>
          <w:p w14:paraId="40CD94A7">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928" w:type="pct"/>
            <w:vMerge w:val="continue"/>
            <w:tcBorders>
              <w:top w:val="nil"/>
            </w:tcBorders>
            <w:vAlign w:val="center"/>
          </w:tcPr>
          <w:p w14:paraId="18045469">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2846" w:type="pct"/>
            <w:vMerge w:val="continue"/>
            <w:tcBorders>
              <w:top w:val="nil"/>
            </w:tcBorders>
            <w:vAlign w:val="center"/>
          </w:tcPr>
          <w:p w14:paraId="79A038B0">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384" w:type="pct"/>
            <w:vAlign w:val="center"/>
          </w:tcPr>
          <w:p w14:paraId="0F320AA8">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b/>
                <w:bCs/>
                <w:color w:val="auto"/>
                <w:spacing w:val="-3"/>
                <w:highlight w:val="none"/>
              </w:rPr>
              <w:t>是</w:t>
            </w:r>
          </w:p>
        </w:tc>
        <w:tc>
          <w:tcPr>
            <w:tcW w:w="384" w:type="pct"/>
            <w:vAlign w:val="center"/>
          </w:tcPr>
          <w:p w14:paraId="17F6B62C">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b/>
                <w:bCs/>
                <w:color w:val="auto"/>
                <w:spacing w:val="-3"/>
                <w:highlight w:val="none"/>
              </w:rPr>
              <w:t>否</w:t>
            </w:r>
          </w:p>
        </w:tc>
      </w:tr>
      <w:tr w14:paraId="29F77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6" w:type="pct"/>
            <w:vMerge w:val="restart"/>
            <w:vAlign w:val="center"/>
          </w:tcPr>
          <w:p w14:paraId="2E89E14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r>
              <w:rPr>
                <w:b/>
                <w:bCs/>
                <w:color w:val="auto"/>
                <w:spacing w:val="-13"/>
                <w:highlight w:val="none"/>
              </w:rPr>
              <w:t>资格</w:t>
            </w:r>
            <w:r>
              <w:rPr>
                <w:b/>
                <w:bCs/>
                <w:color w:val="auto"/>
                <w:spacing w:val="-10"/>
                <w:highlight w:val="none"/>
              </w:rPr>
              <w:t>性审</w:t>
            </w:r>
            <w:r>
              <w:rPr>
                <w:b/>
                <w:bCs/>
                <w:color w:val="auto"/>
                <w:spacing w:val="43"/>
                <w:w w:val="125"/>
                <w:highlight w:val="none"/>
              </w:rPr>
              <w:t>查</w:t>
            </w:r>
            <w:r>
              <w:rPr>
                <w:color w:val="auto"/>
                <w:highlight w:val="none"/>
              </w:rPr>
              <mc:AlternateContent>
                <mc:Choice Requires="wps">
                  <w:drawing>
                    <wp:anchor distT="0" distB="0" distL="114300" distR="114300" simplePos="0" relativeHeight="251672576" behindDoc="0" locked="0" layoutInCell="0" allowOverlap="1">
                      <wp:simplePos x="0" y="0"/>
                      <wp:positionH relativeFrom="page">
                        <wp:posOffset>1143000</wp:posOffset>
                      </wp:positionH>
                      <wp:positionV relativeFrom="page">
                        <wp:posOffset>692150</wp:posOffset>
                      </wp:positionV>
                      <wp:extent cx="5274310" cy="9525"/>
                      <wp:effectExtent l="0" t="0" r="0" b="0"/>
                      <wp:wrapNone/>
                      <wp:docPr id="1" name="任意多边形 1"/>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4.5pt;height:0.75pt;width:415.3pt;mso-position-horizontal-relative:page;mso-position-vertical-relative:page;z-index:251672576;mso-width-relative:page;mso-height-relative:page;" fillcolor="#000000" filled="t" stroked="f" coordsize="8305,15" o:allowincell="f" o:gfxdata="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CSyY9cAAAAMAQAADwAAAAAAAAAB&#10;ACAAAAAiAAAAZHJzL2Rvd25yZXYueG1sUEsBAhQAFAAAAAgAh07iQDl3qGsRAgAAewQAAA4AAAAA&#10;AAAAAQAgAAAAJgEAAGRycy9lMm9Eb2MueG1sUEsFBgAAAAAGAAYAWQEAAKkFAAAAAA==&#10;" path="m0,0l8305,0,8305,14,0,14,0,0xe">
                      <v:fill on="t" focussize="0,0"/>
                      <v:stroke on="f"/>
                      <v:imagedata o:title=""/>
                      <o:lock v:ext="edit" aspectratio="f"/>
                    </v:shape>
                  </w:pict>
                </mc:Fallback>
              </mc:AlternateContent>
            </w:r>
          </w:p>
        </w:tc>
        <w:tc>
          <w:tcPr>
            <w:tcW w:w="928" w:type="pct"/>
            <w:vAlign w:val="center"/>
          </w:tcPr>
          <w:p w14:paraId="1BC0F4C9">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color w:val="auto"/>
                <w:spacing w:val="-2"/>
                <w:highlight w:val="none"/>
              </w:rPr>
              <w:t>具有独立承担民事责任的</w:t>
            </w:r>
            <w:r>
              <w:rPr>
                <w:color w:val="auto"/>
                <w:spacing w:val="-15"/>
                <w:highlight w:val="none"/>
              </w:rPr>
              <w:t>能力</w:t>
            </w:r>
          </w:p>
        </w:tc>
        <w:tc>
          <w:tcPr>
            <w:tcW w:w="2846" w:type="pct"/>
            <w:vAlign w:val="center"/>
          </w:tcPr>
          <w:p w14:paraId="23DCB4C1">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spacing w:val="-1"/>
                <w:highlight w:val="none"/>
              </w:rPr>
            </w:pPr>
            <w:r>
              <w:rPr>
                <w:color w:val="auto"/>
                <w:spacing w:val="-2"/>
                <w:highlight w:val="none"/>
              </w:rPr>
              <w:t>1.具有独立承担民事责任的能力的法</w:t>
            </w:r>
            <w:r>
              <w:rPr>
                <w:color w:val="auto"/>
                <w:spacing w:val="-1"/>
                <w:highlight w:val="none"/>
              </w:rPr>
              <w:t>人参与招标需提供营业执照及有效期</w:t>
            </w:r>
            <w:r>
              <w:rPr>
                <w:color w:val="auto"/>
                <w:spacing w:val="-5"/>
                <w:highlight w:val="none"/>
              </w:rPr>
              <w:t>内的法定代表人身份证明（有授权委托人的需提交授权委托书，且授权委托人身份证明应为有效期内证件）文件复印</w:t>
            </w:r>
            <w:r>
              <w:rPr>
                <w:color w:val="auto"/>
                <w:spacing w:val="-1"/>
                <w:highlight w:val="none"/>
              </w:rPr>
              <w:t>件加盖公章;自然人参与招标需提供自然人有效期内的身份证明。</w:t>
            </w:r>
          </w:p>
          <w:p w14:paraId="0BF63E98">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highlight w:val="none"/>
              </w:rPr>
            </w:pPr>
            <w:r>
              <w:rPr>
                <w:color w:val="auto"/>
                <w:spacing w:val="-12"/>
                <w:highlight w:val="none"/>
              </w:rPr>
              <w:t>2.投标人需提供《投标人资格声明函》。</w:t>
            </w:r>
            <w:r>
              <w:rPr>
                <w:color w:val="auto"/>
                <w:spacing w:val="-1"/>
                <w:highlight w:val="none"/>
              </w:rPr>
              <w:t>单位法人为同一人或者存在直接控股、</w:t>
            </w:r>
            <w:r>
              <w:rPr>
                <w:color w:val="auto"/>
                <w:spacing w:val="-5"/>
                <w:highlight w:val="none"/>
              </w:rPr>
              <w:t>管理关系的不同投标人，不得参加同一合同项下的政府采购活动。除单一来源</w:t>
            </w:r>
            <w:r>
              <w:rPr>
                <w:color w:val="auto"/>
                <w:spacing w:val="-1"/>
                <w:highlight w:val="none"/>
              </w:rPr>
              <w:t>采购项目外，为采购项目提供整体设</w:t>
            </w:r>
            <w:r>
              <w:rPr>
                <w:color w:val="auto"/>
                <w:spacing w:val="-4"/>
                <w:highlight w:val="none"/>
              </w:rPr>
              <w:t>计、规范编制或者项目管理、监理、检测等服务的投标人，不得再参加该采购</w:t>
            </w:r>
            <w:r>
              <w:rPr>
                <w:color w:val="auto"/>
                <w:spacing w:val="-1"/>
                <w:highlight w:val="none"/>
              </w:rPr>
              <w:t>项目的其他采购活动；处于被责令停</w:t>
            </w:r>
            <w:r>
              <w:rPr>
                <w:color w:val="auto"/>
                <w:spacing w:val="-4"/>
                <w:highlight w:val="none"/>
              </w:rPr>
              <w:t>业、财产被接管、冻结和破产状态，以</w:t>
            </w:r>
            <w:r>
              <w:rPr>
                <w:color w:val="auto"/>
                <w:spacing w:val="-1"/>
                <w:highlight w:val="none"/>
              </w:rPr>
              <w:t>及投标资格被取消或者被暂停且在暂停期内的投标人将被拒绝参加本次采购活动。</w:t>
            </w:r>
          </w:p>
        </w:tc>
        <w:tc>
          <w:tcPr>
            <w:tcW w:w="384" w:type="pct"/>
            <w:vAlign w:val="center"/>
          </w:tcPr>
          <w:p w14:paraId="0E91F843">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384" w:type="pct"/>
            <w:vAlign w:val="center"/>
          </w:tcPr>
          <w:p w14:paraId="2B5ACDB4">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r>
      <w:tr w14:paraId="17D7E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6" w:type="pct"/>
            <w:vMerge w:val="continue"/>
            <w:vAlign w:val="center"/>
          </w:tcPr>
          <w:p w14:paraId="3C978A30">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928" w:type="pct"/>
            <w:vAlign w:val="center"/>
          </w:tcPr>
          <w:p w14:paraId="0E98AB1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color w:val="auto"/>
                <w:spacing w:val="-2"/>
                <w:highlight w:val="none"/>
              </w:rPr>
              <w:t>具有良好的商业信誉和健全的财务会计制度</w:t>
            </w:r>
          </w:p>
        </w:tc>
        <w:tc>
          <w:tcPr>
            <w:tcW w:w="2846" w:type="pct"/>
            <w:vAlign w:val="center"/>
          </w:tcPr>
          <w:p w14:paraId="5C455B69">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highlight w:val="none"/>
              </w:rPr>
            </w:pPr>
            <w:r>
              <w:rPr>
                <w:color w:val="auto"/>
                <w:spacing w:val="6"/>
                <w:highlight w:val="none"/>
              </w:rPr>
              <w:t>投标人需提供近1年内或上一年度财</w:t>
            </w:r>
            <w:r>
              <w:rPr>
                <w:color w:val="auto"/>
                <w:spacing w:val="-5"/>
                <w:highlight w:val="none"/>
              </w:rPr>
              <w:t>务报告（财务报表或审计报告或银行出具的资信证明）等材料复印件（需加盖</w:t>
            </w:r>
            <w:r>
              <w:rPr>
                <w:color w:val="auto"/>
                <w:spacing w:val="-4"/>
                <w:highlight w:val="none"/>
              </w:rPr>
              <w:t>公章</w:t>
            </w:r>
            <w:r>
              <w:rPr>
                <w:color w:val="auto"/>
                <w:spacing w:val="-26"/>
                <w:highlight w:val="none"/>
              </w:rPr>
              <w:t>）；</w:t>
            </w:r>
            <w:r>
              <w:rPr>
                <w:color w:val="auto"/>
                <w:spacing w:val="-4"/>
                <w:highlight w:val="none"/>
              </w:rPr>
              <w:t>新成立不满1年的企业及其他</w:t>
            </w:r>
            <w:r>
              <w:rPr>
                <w:color w:val="auto"/>
                <w:spacing w:val="10"/>
                <w:highlight w:val="none"/>
              </w:rPr>
              <w:t>组织提供具有良好的商业信誉的书面</w:t>
            </w:r>
            <w:r>
              <w:rPr>
                <w:color w:val="auto"/>
                <w:spacing w:val="-3"/>
                <w:highlight w:val="none"/>
              </w:rPr>
              <w:t>声明。</w:t>
            </w:r>
            <w:r>
              <w:rPr>
                <w:color w:val="auto"/>
                <w:spacing w:val="-4"/>
                <w:highlight w:val="none"/>
              </w:rPr>
              <w:t>注：财务报表应至少包括资产负债表、</w:t>
            </w:r>
            <w:r>
              <w:rPr>
                <w:color w:val="auto"/>
                <w:spacing w:val="-1"/>
                <w:highlight w:val="none"/>
              </w:rPr>
              <w:t>损益表、现金流量表。</w:t>
            </w:r>
          </w:p>
        </w:tc>
        <w:tc>
          <w:tcPr>
            <w:tcW w:w="384" w:type="pct"/>
            <w:vAlign w:val="center"/>
          </w:tcPr>
          <w:p w14:paraId="18899F25">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384" w:type="pct"/>
            <w:vAlign w:val="center"/>
          </w:tcPr>
          <w:p w14:paraId="28791742">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r>
      <w:tr w14:paraId="142B4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6" w:type="pct"/>
            <w:vMerge w:val="continue"/>
            <w:vAlign w:val="center"/>
          </w:tcPr>
          <w:p w14:paraId="264DF06D">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928" w:type="pct"/>
            <w:vAlign w:val="center"/>
          </w:tcPr>
          <w:p w14:paraId="25DDA595">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color w:val="auto"/>
                <w:spacing w:val="-2"/>
                <w:highlight w:val="none"/>
              </w:rPr>
              <w:t>具有履行合同</w:t>
            </w:r>
            <w:r>
              <w:rPr>
                <w:rFonts w:hint="eastAsia"/>
                <w:color w:val="auto"/>
                <w:spacing w:val="-2"/>
                <w:highlight w:val="none"/>
                <w:lang w:eastAsia="zh-CN"/>
              </w:rPr>
              <w:t>所必需的</w:t>
            </w:r>
            <w:r>
              <w:rPr>
                <w:color w:val="auto"/>
                <w:spacing w:val="-2"/>
                <w:highlight w:val="none"/>
              </w:rPr>
              <w:t>设备和专业技术能力</w:t>
            </w:r>
          </w:p>
        </w:tc>
        <w:tc>
          <w:tcPr>
            <w:tcW w:w="2846" w:type="pct"/>
            <w:vAlign w:val="center"/>
          </w:tcPr>
          <w:p w14:paraId="152D7FC1">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highlight w:val="none"/>
              </w:rPr>
            </w:pPr>
            <w:r>
              <w:rPr>
                <w:color w:val="auto"/>
                <w:spacing w:val="9"/>
                <w:highlight w:val="none"/>
              </w:rPr>
              <w:t>需提供具有履行合同所必需的设备和</w:t>
            </w:r>
            <w:r>
              <w:rPr>
                <w:color w:val="auto"/>
                <w:spacing w:val="-2"/>
                <w:highlight w:val="none"/>
              </w:rPr>
              <w:t>专业技术能力的声明函。</w:t>
            </w:r>
          </w:p>
        </w:tc>
        <w:tc>
          <w:tcPr>
            <w:tcW w:w="384" w:type="pct"/>
            <w:vAlign w:val="center"/>
          </w:tcPr>
          <w:p w14:paraId="24CC9E65">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384" w:type="pct"/>
            <w:vAlign w:val="center"/>
          </w:tcPr>
          <w:p w14:paraId="455C3D59">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r>
      <w:tr w14:paraId="203D3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6" w:type="pct"/>
            <w:vMerge w:val="continue"/>
            <w:vAlign w:val="center"/>
          </w:tcPr>
          <w:p w14:paraId="3869DE68">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928" w:type="pct"/>
            <w:vAlign w:val="center"/>
          </w:tcPr>
          <w:p w14:paraId="12240C60">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color w:val="auto"/>
                <w:spacing w:val="-2"/>
                <w:highlight w:val="none"/>
              </w:rPr>
              <w:t>参加政府采购活动前三年</w:t>
            </w:r>
            <w:r>
              <w:rPr>
                <w:color w:val="auto"/>
                <w:spacing w:val="-4"/>
                <w:highlight w:val="none"/>
              </w:rPr>
              <w:t>内,在经营活动中没有重</w:t>
            </w:r>
            <w:r>
              <w:rPr>
                <w:color w:val="auto"/>
                <w:spacing w:val="-2"/>
                <w:highlight w:val="none"/>
              </w:rPr>
              <w:t>大违法记录及未被列入失</w:t>
            </w:r>
            <w:r>
              <w:rPr>
                <w:color w:val="auto"/>
                <w:spacing w:val="-1"/>
                <w:highlight w:val="none"/>
              </w:rPr>
              <w:t>信被执行人、重大税收违</w:t>
            </w:r>
            <w:r>
              <w:rPr>
                <w:color w:val="auto"/>
                <w:spacing w:val="-2"/>
                <w:highlight w:val="none"/>
              </w:rPr>
              <w:t>法案件当事人、政府采购</w:t>
            </w:r>
            <w:r>
              <w:rPr>
                <w:color w:val="auto"/>
                <w:spacing w:val="-1"/>
                <w:highlight w:val="none"/>
              </w:rPr>
              <w:t>严重违法失信行为记录名</w:t>
            </w:r>
            <w:r>
              <w:rPr>
                <w:color w:val="auto"/>
                <w:spacing w:val="-3"/>
                <w:highlight w:val="none"/>
              </w:rPr>
              <w:t>单等印证资料</w:t>
            </w:r>
          </w:p>
        </w:tc>
        <w:tc>
          <w:tcPr>
            <w:tcW w:w="2846" w:type="pct"/>
            <w:vAlign w:val="center"/>
          </w:tcPr>
          <w:p w14:paraId="3B71BA5F">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spacing w:val="-1"/>
                <w:highlight w:val="none"/>
              </w:rPr>
            </w:pPr>
            <w:r>
              <w:rPr>
                <w:color w:val="auto"/>
                <w:spacing w:val="-2"/>
                <w:highlight w:val="none"/>
              </w:rPr>
              <w:t>1.需提供参加政府采购活动前三年内</w:t>
            </w:r>
            <w:r>
              <w:rPr>
                <w:color w:val="auto"/>
                <w:spacing w:val="-1"/>
                <w:highlight w:val="none"/>
              </w:rPr>
              <w:t>在经营活动中没有重大违法记录的声</w:t>
            </w:r>
            <w:r>
              <w:rPr>
                <w:color w:val="auto"/>
                <w:spacing w:val="-5"/>
                <w:highlight w:val="none"/>
              </w:rPr>
              <w:t>明函（截至提交投标文件截止日成立不</w:t>
            </w:r>
            <w:r>
              <w:rPr>
                <w:color w:val="auto"/>
                <w:spacing w:val="-3"/>
                <w:highlight w:val="none"/>
              </w:rPr>
              <w:t>足3年的供应商可提供自成立以来无</w:t>
            </w:r>
            <w:r>
              <w:rPr>
                <w:color w:val="auto"/>
                <w:spacing w:val="-1"/>
                <w:highlight w:val="none"/>
              </w:rPr>
              <w:t>重大违法记录的书面声明）。</w:t>
            </w:r>
          </w:p>
          <w:p w14:paraId="7F657A18">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highlight w:val="none"/>
              </w:rPr>
            </w:pPr>
            <w:r>
              <w:rPr>
                <w:color w:val="auto"/>
                <w:spacing w:val="-9"/>
                <w:highlight w:val="none"/>
              </w:rPr>
              <w:t>2.未被列入失信被执行人、重大税收违法案件当事人、政府采购严重违法失信</w:t>
            </w:r>
            <w:r>
              <w:rPr>
                <w:color w:val="auto"/>
                <w:spacing w:val="-1"/>
                <w:highlight w:val="none"/>
              </w:rPr>
              <w:t>行为记录名单（现场查询“信用中国”</w:t>
            </w:r>
            <w:r>
              <w:rPr>
                <w:color w:val="auto"/>
                <w:spacing w:val="-3"/>
                <w:highlight w:val="none"/>
              </w:rPr>
              <w:t>网</w:t>
            </w:r>
            <w:r>
              <w:rPr>
                <w:color w:val="auto"/>
                <w:highlight w:val="none"/>
              </w:rPr>
              <w:fldChar w:fldCharType="begin"/>
            </w:r>
            <w:r>
              <w:rPr>
                <w:color w:val="auto"/>
                <w:highlight w:val="none"/>
              </w:rPr>
              <w:instrText xml:space="preserve"> HYPERLINK "https://www.creditchina.gov.cn" </w:instrText>
            </w:r>
            <w:r>
              <w:rPr>
                <w:color w:val="auto"/>
                <w:highlight w:val="none"/>
              </w:rPr>
              <w:fldChar w:fldCharType="separate"/>
            </w:r>
            <w:r>
              <w:rPr>
                <w:color w:val="auto"/>
                <w:spacing w:val="-3"/>
                <w:highlight w:val="none"/>
              </w:rPr>
              <w:t>www.creditchina.gov.cn</w:t>
            </w:r>
            <w:r>
              <w:rPr>
                <w:color w:val="auto"/>
                <w:spacing w:val="-3"/>
                <w:highlight w:val="none"/>
              </w:rPr>
              <w:fldChar w:fldCharType="end"/>
            </w:r>
            <w:r>
              <w:rPr>
                <w:color w:val="auto"/>
                <w:spacing w:val="-3"/>
                <w:highlight w:val="none"/>
              </w:rPr>
              <w:t>、中国政</w:t>
            </w:r>
            <w:r>
              <w:rPr>
                <w:color w:val="auto"/>
                <w:spacing w:val="-2"/>
                <w:highlight w:val="none"/>
              </w:rPr>
              <w:t>府采购网</w:t>
            </w:r>
            <w:r>
              <w:rPr>
                <w:color w:val="auto"/>
                <w:highlight w:val="none"/>
              </w:rPr>
              <w:fldChar w:fldCharType="begin"/>
            </w:r>
            <w:r>
              <w:rPr>
                <w:color w:val="auto"/>
                <w:highlight w:val="none"/>
              </w:rPr>
              <w:instrText xml:space="preserve"> HYPERLINK "https://www.ccgp.gov.cn" </w:instrText>
            </w:r>
            <w:r>
              <w:rPr>
                <w:color w:val="auto"/>
                <w:highlight w:val="none"/>
              </w:rPr>
              <w:fldChar w:fldCharType="separate"/>
            </w:r>
            <w:r>
              <w:rPr>
                <w:color w:val="auto"/>
                <w:spacing w:val="-2"/>
                <w:highlight w:val="none"/>
              </w:rPr>
              <w:t>www.ccgp.gov.cn</w:t>
            </w:r>
            <w:r>
              <w:rPr>
                <w:color w:val="auto"/>
                <w:spacing w:val="-2"/>
                <w:highlight w:val="none"/>
              </w:rPr>
              <w:fldChar w:fldCharType="end"/>
            </w:r>
            <w:r>
              <w:rPr>
                <w:color w:val="auto"/>
                <w:spacing w:val="-2"/>
                <w:highlight w:val="none"/>
              </w:rPr>
              <w:t>）。</w:t>
            </w:r>
            <w:r>
              <w:rPr>
                <w:color w:val="auto"/>
                <w:spacing w:val="-5"/>
                <w:highlight w:val="none"/>
              </w:rPr>
              <w:t>注：1.其他组织或自然人不查询“信用</w:t>
            </w:r>
            <w:r>
              <w:rPr>
                <w:color w:val="auto"/>
                <w:spacing w:val="-13"/>
                <w:highlight w:val="none"/>
              </w:rPr>
              <w:t>中国”网站。</w:t>
            </w:r>
            <w:r>
              <w:rPr>
                <w:color w:val="auto"/>
                <w:spacing w:val="-2"/>
                <w:highlight w:val="none"/>
              </w:rPr>
              <w:t>2.此项内容由相关人员现场查询。</w:t>
            </w:r>
          </w:p>
        </w:tc>
        <w:tc>
          <w:tcPr>
            <w:tcW w:w="384" w:type="pct"/>
            <w:vAlign w:val="center"/>
          </w:tcPr>
          <w:p w14:paraId="5C66DB64">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384" w:type="pct"/>
            <w:vAlign w:val="center"/>
          </w:tcPr>
          <w:p w14:paraId="134DD695">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r>
      <w:tr w14:paraId="4E9D5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6" w:type="pct"/>
            <w:vMerge w:val="continue"/>
            <w:vAlign w:val="center"/>
          </w:tcPr>
          <w:p w14:paraId="0A48CDA3">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928" w:type="pct"/>
            <w:vAlign w:val="center"/>
          </w:tcPr>
          <w:p w14:paraId="4B07F0B2">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color w:val="auto"/>
                <w:spacing w:val="-2"/>
                <w:highlight w:val="none"/>
              </w:rPr>
              <w:t>有依法缴纳税收和社会保</w:t>
            </w:r>
            <w:r>
              <w:rPr>
                <w:color w:val="auto"/>
                <w:spacing w:val="-3"/>
                <w:highlight w:val="none"/>
              </w:rPr>
              <w:t>障资金的良好记录</w:t>
            </w:r>
          </w:p>
        </w:tc>
        <w:tc>
          <w:tcPr>
            <w:tcW w:w="2846" w:type="pct"/>
            <w:vAlign w:val="center"/>
          </w:tcPr>
          <w:p w14:paraId="68C2BD4C">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eastAsia="仿宋"/>
                <w:color w:val="auto"/>
                <w:highlight w:val="none"/>
                <w:lang w:eastAsia="zh-CN"/>
              </w:rPr>
            </w:pPr>
            <w:r>
              <w:rPr>
                <w:rFonts w:hint="eastAsia"/>
                <w:color w:val="auto"/>
                <w:spacing w:val="8"/>
                <w:highlight w:val="none"/>
                <w:lang w:eastAsia="zh-CN"/>
              </w:rPr>
              <w:t>有依法缴纳税收和社会保障资金的良好记录：提供投标截止日前6个月内任意1个月的社保证明材料（社保缴费明细表及缴费凭证），如依法不需要缴纳社会保障资金的，应提供相应文件证明（新成立不满3个月的企业，按实际发生的提供）；提供投标截止日前6个月内任意1个月的缴纳税收的完税证明或税务部门出具的纳税证明；如依法免税的，应提供相应文件证明（新成立不满3个月的企业，按实际发生的提供）；</w:t>
            </w:r>
          </w:p>
        </w:tc>
        <w:tc>
          <w:tcPr>
            <w:tcW w:w="384" w:type="pct"/>
            <w:vAlign w:val="center"/>
          </w:tcPr>
          <w:p w14:paraId="6159B3E8">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384" w:type="pct"/>
            <w:vAlign w:val="center"/>
          </w:tcPr>
          <w:p w14:paraId="58C23381">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r>
      <w:tr w14:paraId="161E5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6" w:type="pct"/>
            <w:vAlign w:val="center"/>
          </w:tcPr>
          <w:p w14:paraId="129557C4">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928" w:type="pct"/>
            <w:vAlign w:val="center"/>
          </w:tcPr>
          <w:p w14:paraId="32A2408B">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spacing w:val="-2"/>
                <w:highlight w:val="none"/>
              </w:rPr>
            </w:pPr>
            <w:r>
              <w:rPr>
                <w:color w:val="auto"/>
                <w:spacing w:val="8"/>
                <w:highlight w:val="none"/>
              </w:rPr>
              <w:t>落实政府采购政策需满足的资格要求</w:t>
            </w:r>
          </w:p>
        </w:tc>
        <w:tc>
          <w:tcPr>
            <w:tcW w:w="2846" w:type="pct"/>
            <w:vAlign w:val="center"/>
          </w:tcPr>
          <w:p w14:paraId="342AC927">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spacing w:val="8"/>
                <w:highlight w:val="none"/>
              </w:rPr>
            </w:pPr>
            <w:r>
              <w:rPr>
                <w:color w:val="auto"/>
                <w:spacing w:val="8"/>
                <w:highlight w:val="none"/>
              </w:rPr>
              <w:t>本项目专门面向中小微企业采购。即：提供的货物或服务全部由符合政策要求的中小/小微企业制造、服务全部由符合政策要求的中小/小微企业承接。</w:t>
            </w:r>
            <w:r>
              <w:rPr>
                <w:color w:val="auto"/>
                <w:spacing w:val="9"/>
                <w:highlight w:val="none"/>
              </w:rPr>
              <w:t>需提供</w:t>
            </w:r>
            <w:r>
              <w:rPr>
                <w:rFonts w:hint="eastAsia"/>
                <w:color w:val="auto"/>
                <w:spacing w:val="8"/>
                <w:highlight w:val="none"/>
                <w:lang w:val="en-US" w:eastAsia="zh-CN"/>
              </w:rPr>
              <w:t>《中小企业声明函》</w:t>
            </w:r>
          </w:p>
        </w:tc>
        <w:tc>
          <w:tcPr>
            <w:tcW w:w="384" w:type="pct"/>
            <w:vAlign w:val="center"/>
          </w:tcPr>
          <w:p w14:paraId="76FF6C81">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c>
          <w:tcPr>
            <w:tcW w:w="384" w:type="pct"/>
            <w:vAlign w:val="center"/>
          </w:tcPr>
          <w:p w14:paraId="46E39EEB">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r>
      <w:tr w14:paraId="31A30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231" w:type="pct"/>
            <w:gridSpan w:val="3"/>
            <w:vAlign w:val="center"/>
          </w:tcPr>
          <w:p w14:paraId="3404B916">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highlight w:val="none"/>
              </w:rPr>
            </w:pPr>
            <w:r>
              <w:rPr>
                <w:color w:val="auto"/>
                <w:spacing w:val="-2"/>
                <w:highlight w:val="none"/>
              </w:rPr>
              <w:t>审查汇总结果（通过/不通过）</w:t>
            </w:r>
          </w:p>
        </w:tc>
        <w:tc>
          <w:tcPr>
            <w:tcW w:w="768" w:type="pct"/>
            <w:gridSpan w:val="2"/>
            <w:vAlign w:val="center"/>
          </w:tcPr>
          <w:p w14:paraId="61932384">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highlight w:val="none"/>
              </w:rPr>
            </w:pPr>
          </w:p>
        </w:tc>
      </w:tr>
      <w:tr w14:paraId="752CB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000" w:type="pct"/>
            <w:gridSpan w:val="5"/>
            <w:vAlign w:val="center"/>
          </w:tcPr>
          <w:p w14:paraId="5E8C7EAA">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color w:val="auto"/>
                <w:spacing w:val="9"/>
                <w:sz w:val="20"/>
                <w:szCs w:val="20"/>
                <w:highlight w:val="none"/>
              </w:rPr>
            </w:pPr>
            <w:r>
              <w:rPr>
                <w:rFonts w:hint="eastAsia" w:ascii="仿宋" w:hAnsi="仿宋" w:eastAsia="仿宋" w:cs="仿宋"/>
                <w:color w:val="auto"/>
                <w:spacing w:val="9"/>
                <w:sz w:val="20"/>
                <w:szCs w:val="20"/>
                <w:highlight w:val="none"/>
              </w:rPr>
              <w:t>备注：</w:t>
            </w:r>
          </w:p>
          <w:p w14:paraId="24DE3F21">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color w:val="auto"/>
                <w:spacing w:val="8"/>
                <w:sz w:val="20"/>
                <w:szCs w:val="20"/>
                <w:highlight w:val="none"/>
              </w:rPr>
            </w:pPr>
            <w:r>
              <w:rPr>
                <w:rFonts w:hint="eastAsia" w:ascii="仿宋" w:hAnsi="仿宋" w:eastAsia="仿宋" w:cs="仿宋"/>
                <w:color w:val="auto"/>
                <w:spacing w:val="9"/>
                <w:sz w:val="20"/>
                <w:szCs w:val="20"/>
                <w:highlight w:val="none"/>
              </w:rPr>
              <w:t>1.以上条款均为有效期内通过年度年检</w:t>
            </w:r>
            <w:r>
              <w:rPr>
                <w:rFonts w:hint="eastAsia" w:ascii="仿宋" w:hAnsi="仿宋" w:eastAsia="仿宋" w:cs="仿宋"/>
                <w:color w:val="auto"/>
                <w:spacing w:val="8"/>
                <w:sz w:val="20"/>
                <w:szCs w:val="20"/>
                <w:highlight w:val="none"/>
              </w:rPr>
              <w:t>或复审的证书。</w:t>
            </w:r>
          </w:p>
          <w:p w14:paraId="575D31E1">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color w:val="auto"/>
                <w:spacing w:val="9"/>
                <w:sz w:val="20"/>
                <w:szCs w:val="20"/>
                <w:highlight w:val="none"/>
              </w:rPr>
            </w:pPr>
            <w:r>
              <w:rPr>
                <w:rFonts w:hint="eastAsia" w:ascii="仿宋" w:hAnsi="仿宋" w:eastAsia="仿宋" w:cs="仿宋"/>
                <w:color w:val="auto"/>
                <w:spacing w:val="6"/>
                <w:sz w:val="20"/>
                <w:szCs w:val="20"/>
                <w:highlight w:val="none"/>
              </w:rPr>
              <w:t>2.相关证件原件在年检期间或者确因特殊情况不能提供原件，则须提供相应的有效证明材料（由政</w:t>
            </w:r>
            <w:r>
              <w:rPr>
                <w:rFonts w:hint="eastAsia" w:ascii="仿宋" w:hAnsi="仿宋" w:eastAsia="仿宋" w:cs="仿宋"/>
                <w:color w:val="auto"/>
                <w:spacing w:val="5"/>
                <w:sz w:val="20"/>
                <w:szCs w:val="20"/>
                <w:highlight w:val="none"/>
              </w:rPr>
              <w:t>府主</w:t>
            </w:r>
            <w:r>
              <w:rPr>
                <w:rFonts w:hint="eastAsia" w:ascii="仿宋" w:hAnsi="仿宋" w:eastAsia="仿宋" w:cs="仿宋"/>
                <w:color w:val="auto"/>
                <w:spacing w:val="9"/>
                <w:sz w:val="20"/>
                <w:szCs w:val="20"/>
                <w:highlight w:val="none"/>
              </w:rPr>
              <w:t>管部门出具并加盖其公章的证明原件或政府以正式文件官方发布的有效证明</w:t>
            </w:r>
            <w:r>
              <w:rPr>
                <w:rFonts w:hint="eastAsia" w:ascii="仿宋" w:hAnsi="仿宋" w:eastAsia="仿宋" w:cs="仿宋"/>
                <w:color w:val="auto"/>
                <w:spacing w:val="19"/>
                <w:sz w:val="20"/>
                <w:szCs w:val="20"/>
                <w:highlight w:val="none"/>
              </w:rPr>
              <w:t>），</w:t>
            </w:r>
            <w:r>
              <w:rPr>
                <w:rFonts w:hint="eastAsia" w:ascii="仿宋" w:hAnsi="仿宋" w:eastAsia="仿宋" w:cs="仿宋"/>
                <w:color w:val="auto"/>
                <w:spacing w:val="9"/>
                <w:sz w:val="20"/>
                <w:szCs w:val="20"/>
                <w:highlight w:val="none"/>
              </w:rPr>
              <w:t>否则其投标无效。</w:t>
            </w:r>
          </w:p>
          <w:p w14:paraId="061EE13B">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color w:val="auto"/>
                <w:sz w:val="21"/>
                <w:highlight w:val="none"/>
              </w:rPr>
            </w:pPr>
            <w:r>
              <w:rPr>
                <w:rFonts w:hint="eastAsia" w:ascii="仿宋" w:hAnsi="仿宋" w:eastAsia="仿宋" w:cs="仿宋"/>
                <w:color w:val="auto"/>
                <w:spacing w:val="7"/>
                <w:sz w:val="20"/>
                <w:szCs w:val="20"/>
                <w:highlight w:val="none"/>
              </w:rPr>
              <w:t>3.如果投标文件中有一项未通过上述审查标准，资格审查小组将认定整个投标文件为无效响应处理，并</w:t>
            </w:r>
            <w:r>
              <w:rPr>
                <w:rFonts w:hint="eastAsia" w:ascii="仿宋" w:hAnsi="仿宋" w:eastAsia="仿宋" w:cs="仿宋"/>
                <w:color w:val="auto"/>
                <w:spacing w:val="9"/>
                <w:sz w:val="20"/>
                <w:szCs w:val="20"/>
                <w:highlight w:val="none"/>
              </w:rPr>
              <w:t>且不允许投标人通过修改或撤销其不符合要求投标文</w:t>
            </w:r>
            <w:r>
              <w:rPr>
                <w:rFonts w:hint="eastAsia" w:ascii="仿宋" w:hAnsi="仿宋" w:eastAsia="仿宋" w:cs="仿宋"/>
                <w:color w:val="auto"/>
                <w:spacing w:val="8"/>
                <w:sz w:val="20"/>
                <w:szCs w:val="20"/>
                <w:highlight w:val="none"/>
              </w:rPr>
              <w:t>件。</w:t>
            </w:r>
          </w:p>
        </w:tc>
      </w:tr>
    </w:tbl>
    <w:p w14:paraId="0A691F6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jc w:val="left"/>
        <w:textAlignment w:val="baseline"/>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5.2符合性审查</w:t>
      </w:r>
    </w:p>
    <w:tbl>
      <w:tblPr>
        <w:tblStyle w:val="24"/>
        <w:tblW w:w="5058"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774"/>
        <w:gridCol w:w="1560"/>
        <w:gridCol w:w="4127"/>
        <w:gridCol w:w="938"/>
        <w:gridCol w:w="1013"/>
      </w:tblGrid>
      <w:tr w14:paraId="7B672BB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9" w:type="pct"/>
            <w:vMerge w:val="restart"/>
            <w:tcBorders>
              <w:bottom w:val="nil"/>
            </w:tcBorders>
            <w:vAlign w:val="center"/>
          </w:tcPr>
          <w:p w14:paraId="6C5741FB">
            <w:pPr>
              <w:pStyle w:val="11"/>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0"/>
              <w:rPr>
                <w:color w:val="auto"/>
                <w:sz w:val="20"/>
                <w:szCs w:val="20"/>
              </w:rPr>
            </w:pPr>
            <w:bookmarkStart w:id="19" w:name="_Toc2979"/>
            <w:r>
              <w:rPr>
                <w:b/>
                <w:bCs/>
                <w:color w:val="auto"/>
                <w:spacing w:val="-2"/>
                <w:sz w:val="20"/>
                <w:szCs w:val="20"/>
              </w:rPr>
              <w:t>类别</w:t>
            </w:r>
            <w:bookmarkEnd w:id="19"/>
          </w:p>
        </w:tc>
        <w:tc>
          <w:tcPr>
            <w:tcW w:w="927" w:type="pct"/>
            <w:vMerge w:val="restart"/>
            <w:tcBorders>
              <w:bottom w:val="nil"/>
            </w:tcBorders>
            <w:vAlign w:val="center"/>
          </w:tcPr>
          <w:p w14:paraId="539CD01A">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sz w:val="20"/>
                <w:szCs w:val="20"/>
              </w:rPr>
            </w:pPr>
            <w:r>
              <w:rPr>
                <w:b/>
                <w:bCs/>
                <w:color w:val="auto"/>
                <w:spacing w:val="5"/>
                <w:sz w:val="20"/>
                <w:szCs w:val="20"/>
              </w:rPr>
              <w:t>评分点</w:t>
            </w:r>
          </w:p>
        </w:tc>
        <w:tc>
          <w:tcPr>
            <w:tcW w:w="2452" w:type="pct"/>
            <w:vMerge w:val="restart"/>
            <w:tcBorders>
              <w:bottom w:val="nil"/>
            </w:tcBorders>
            <w:vAlign w:val="center"/>
          </w:tcPr>
          <w:p w14:paraId="3A30353D">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sz w:val="20"/>
                <w:szCs w:val="20"/>
              </w:rPr>
            </w:pPr>
            <w:r>
              <w:rPr>
                <w:b/>
                <w:bCs/>
                <w:color w:val="auto"/>
                <w:spacing w:val="6"/>
                <w:sz w:val="20"/>
                <w:szCs w:val="20"/>
              </w:rPr>
              <w:t>评标内容</w:t>
            </w:r>
          </w:p>
        </w:tc>
        <w:tc>
          <w:tcPr>
            <w:tcW w:w="1159" w:type="pct"/>
            <w:gridSpan w:val="2"/>
            <w:vAlign w:val="center"/>
          </w:tcPr>
          <w:p w14:paraId="7DC39ACE">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sz w:val="20"/>
                <w:szCs w:val="20"/>
              </w:rPr>
            </w:pPr>
            <w:r>
              <w:rPr>
                <w:b/>
                <w:bCs/>
                <w:color w:val="auto"/>
                <w:spacing w:val="6"/>
                <w:sz w:val="20"/>
                <w:szCs w:val="20"/>
              </w:rPr>
              <w:t>评标意见（是否通过）</w:t>
            </w:r>
          </w:p>
        </w:tc>
      </w:tr>
      <w:tr w14:paraId="63C4E0D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9" w:type="pct"/>
            <w:vMerge w:val="continue"/>
            <w:tcBorders>
              <w:top w:val="nil"/>
            </w:tcBorders>
            <w:vAlign w:val="center"/>
          </w:tcPr>
          <w:p w14:paraId="57783F49">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927" w:type="pct"/>
            <w:vMerge w:val="continue"/>
            <w:tcBorders>
              <w:top w:val="nil"/>
            </w:tcBorders>
            <w:vAlign w:val="center"/>
          </w:tcPr>
          <w:p w14:paraId="38D72A3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2452" w:type="pct"/>
            <w:vMerge w:val="continue"/>
            <w:tcBorders>
              <w:top w:val="nil"/>
            </w:tcBorders>
            <w:vAlign w:val="center"/>
          </w:tcPr>
          <w:p w14:paraId="3139A26B">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557" w:type="pct"/>
            <w:vAlign w:val="center"/>
          </w:tcPr>
          <w:p w14:paraId="131068B6">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rPr>
            </w:pPr>
            <w:r>
              <w:rPr>
                <w:b/>
                <w:bCs/>
                <w:color w:val="auto"/>
                <w:spacing w:val="-3"/>
              </w:rPr>
              <w:t>是</w:t>
            </w:r>
          </w:p>
        </w:tc>
        <w:tc>
          <w:tcPr>
            <w:tcW w:w="602" w:type="pct"/>
            <w:vAlign w:val="center"/>
          </w:tcPr>
          <w:p w14:paraId="4B3EEF73">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rPr>
            </w:pPr>
            <w:r>
              <w:rPr>
                <w:b/>
                <w:bCs/>
                <w:color w:val="auto"/>
                <w:spacing w:val="-3"/>
              </w:rPr>
              <w:t>否</w:t>
            </w:r>
          </w:p>
        </w:tc>
      </w:tr>
      <w:tr w14:paraId="77A2EA2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9" w:type="pct"/>
            <w:vMerge w:val="restart"/>
            <w:vAlign w:val="center"/>
          </w:tcPr>
          <w:p w14:paraId="16DFC95C">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r>
              <w:rPr>
                <w:b/>
                <w:bCs/>
                <w:color w:val="auto"/>
                <w:spacing w:val="-11"/>
              </w:rPr>
              <w:t>符合</w:t>
            </w:r>
            <w:r>
              <w:rPr>
                <w:b/>
                <w:bCs/>
                <w:color w:val="auto"/>
                <w:spacing w:val="-10"/>
              </w:rPr>
              <w:t>性审</w:t>
            </w:r>
            <w:r>
              <w:rPr>
                <w:b/>
                <w:bCs/>
                <w:color w:val="auto"/>
                <w:spacing w:val="43"/>
                <w:w w:val="125"/>
              </w:rPr>
              <w:t>查</w:t>
            </w:r>
            <w:r>
              <w:rPr>
                <w:color w:val="auto"/>
              </w:rPr>
              <mc:AlternateContent>
                <mc:Choice Requires="wps">
                  <w:drawing>
                    <wp:anchor distT="0" distB="0" distL="114300" distR="114300" simplePos="0" relativeHeight="251688960" behindDoc="0" locked="0" layoutInCell="0" allowOverlap="1">
                      <wp:simplePos x="0" y="0"/>
                      <wp:positionH relativeFrom="page">
                        <wp:posOffset>1143000</wp:posOffset>
                      </wp:positionH>
                      <wp:positionV relativeFrom="page">
                        <wp:posOffset>692150</wp:posOffset>
                      </wp:positionV>
                      <wp:extent cx="5274310"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4.5pt;height:0.75pt;width:415.3pt;mso-position-horizontal-relative:page;mso-position-vertical-relative:page;z-index:251688960;mso-width-relative:page;mso-height-relative:page;" fillcolor="#000000" filled="t" stroked="f" coordsize="8305,15" o:allowincell="f" o:gfxdata="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CSyY9cAAAAMAQAADwAAAAAAAAAB&#10;ACAAAAAiAAAAZHJzL2Rvd25yZXYueG1sUEsBAhQAFAAAAAgAh07iQDdv5DMRAgAAewQAAA4AAAAA&#10;AAAAAQAgAAAAJgEAAGRycy9lMm9Eb2MueG1sUEsFBgAAAAAGAAYAWQEAAKkFAAAAAA==&#10;" path="m0,0l8305,0,8305,14,0,14,0,0xe">
                      <v:fill on="t" focussize="0,0"/>
                      <v:stroke on="f"/>
                      <v:imagedata o:title=""/>
                      <o:lock v:ext="edit" aspectratio="f"/>
                    </v:shape>
                  </w:pict>
                </mc:Fallback>
              </mc:AlternateContent>
            </w:r>
          </w:p>
        </w:tc>
        <w:tc>
          <w:tcPr>
            <w:tcW w:w="927" w:type="pct"/>
            <w:tcBorders>
              <w:bottom w:val="single" w:color="auto" w:sz="4" w:space="0"/>
            </w:tcBorders>
            <w:vAlign w:val="center"/>
          </w:tcPr>
          <w:p w14:paraId="5C27F5C7">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rPr>
            </w:pPr>
            <w:r>
              <w:rPr>
                <w:color w:val="auto"/>
                <w:spacing w:val="-2"/>
              </w:rPr>
              <w:t>对招标文件做出实质性响</w:t>
            </w:r>
            <w:r>
              <w:rPr>
                <w:color w:val="auto"/>
                <w:spacing w:val="-4"/>
              </w:rPr>
              <w:t>应的投标人</w:t>
            </w:r>
          </w:p>
        </w:tc>
        <w:tc>
          <w:tcPr>
            <w:tcW w:w="2452" w:type="pct"/>
            <w:tcBorders>
              <w:bottom w:val="single" w:color="auto" w:sz="4" w:space="0"/>
            </w:tcBorders>
            <w:vAlign w:val="center"/>
          </w:tcPr>
          <w:p w14:paraId="31E083C5">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rPr>
            </w:pPr>
            <w:r>
              <w:rPr>
                <w:color w:val="auto"/>
                <w:spacing w:val="2"/>
              </w:rPr>
              <w:t>对招标文件做出实质性响应的投标人需</w:t>
            </w:r>
            <w:r>
              <w:rPr>
                <w:color w:val="auto"/>
                <w:spacing w:val="-4"/>
              </w:rPr>
              <w:t>满足3家。</w:t>
            </w:r>
          </w:p>
        </w:tc>
        <w:tc>
          <w:tcPr>
            <w:tcW w:w="557" w:type="pct"/>
            <w:tcBorders>
              <w:bottom w:val="single" w:color="auto" w:sz="4" w:space="0"/>
            </w:tcBorders>
            <w:vAlign w:val="center"/>
          </w:tcPr>
          <w:p w14:paraId="2E9D46CF">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602" w:type="pct"/>
            <w:tcBorders>
              <w:bottom w:val="single" w:color="auto" w:sz="4" w:space="0"/>
            </w:tcBorders>
            <w:vAlign w:val="center"/>
          </w:tcPr>
          <w:p w14:paraId="769D92F9">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r>
      <w:tr w14:paraId="74CB4A2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9" w:type="pct"/>
            <w:vMerge w:val="continue"/>
            <w:vAlign w:val="center"/>
          </w:tcPr>
          <w:p w14:paraId="06235C28">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927" w:type="pct"/>
            <w:tcBorders>
              <w:top w:val="single" w:color="auto" w:sz="4" w:space="0"/>
            </w:tcBorders>
            <w:vAlign w:val="center"/>
          </w:tcPr>
          <w:p w14:paraId="57C560DD">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rPr>
            </w:pPr>
            <w:r>
              <w:rPr>
                <w:color w:val="auto"/>
                <w:spacing w:val="-2"/>
              </w:rPr>
              <w:t>投标文件按照招标文件要</w:t>
            </w:r>
            <w:r>
              <w:rPr>
                <w:color w:val="auto"/>
                <w:spacing w:val="-4"/>
              </w:rPr>
              <w:t>求签字、盖章</w:t>
            </w:r>
          </w:p>
        </w:tc>
        <w:tc>
          <w:tcPr>
            <w:tcW w:w="2452" w:type="pct"/>
            <w:tcBorders>
              <w:top w:val="single" w:color="auto" w:sz="4" w:space="0"/>
            </w:tcBorders>
            <w:vAlign w:val="center"/>
          </w:tcPr>
          <w:p w14:paraId="374A127D">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rPr>
            </w:pPr>
            <w:r>
              <w:rPr>
                <w:color w:val="auto"/>
                <w:spacing w:val="2"/>
              </w:rPr>
              <w:t>投标文件签署符合采购文件要求在规定</w:t>
            </w:r>
            <w:r>
              <w:rPr>
                <w:color w:val="auto"/>
                <w:spacing w:val="-6"/>
              </w:rPr>
              <w:t>区域签字、盖章。</w:t>
            </w:r>
          </w:p>
        </w:tc>
        <w:tc>
          <w:tcPr>
            <w:tcW w:w="557" w:type="pct"/>
            <w:tcBorders>
              <w:top w:val="single" w:color="auto" w:sz="4" w:space="0"/>
            </w:tcBorders>
            <w:vAlign w:val="center"/>
          </w:tcPr>
          <w:p w14:paraId="4259A87D">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602" w:type="pct"/>
            <w:tcBorders>
              <w:top w:val="single" w:color="auto" w:sz="4" w:space="0"/>
            </w:tcBorders>
            <w:vAlign w:val="center"/>
          </w:tcPr>
          <w:p w14:paraId="61140A8C">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r>
      <w:tr w14:paraId="4B8605E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9" w:type="pct"/>
            <w:vMerge w:val="continue"/>
            <w:vAlign w:val="center"/>
          </w:tcPr>
          <w:p w14:paraId="076B4B8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927" w:type="pct"/>
            <w:vAlign w:val="center"/>
          </w:tcPr>
          <w:p w14:paraId="6E3363D8">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rPr>
            </w:pPr>
            <w:r>
              <w:rPr>
                <w:color w:val="auto"/>
                <w:spacing w:val="-2"/>
              </w:rPr>
              <w:t>报价不得超过招标文件中</w:t>
            </w:r>
            <w:r>
              <w:rPr>
                <w:color w:val="auto"/>
                <w:spacing w:val="-3"/>
              </w:rPr>
              <w:t>规定的预算金额</w:t>
            </w:r>
          </w:p>
        </w:tc>
        <w:tc>
          <w:tcPr>
            <w:tcW w:w="2452" w:type="pct"/>
            <w:vAlign w:val="center"/>
          </w:tcPr>
          <w:p w14:paraId="3404E39B">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rPr>
            </w:pPr>
            <w:r>
              <w:rPr>
                <w:color w:val="auto"/>
                <w:spacing w:val="2"/>
              </w:rPr>
              <w:t>投标报价为有效报价，未超过政府采购预算金额（设置最高限价的，不得超过</w:t>
            </w:r>
            <w:r>
              <w:rPr>
                <w:color w:val="auto"/>
                <w:spacing w:val="-3"/>
              </w:rPr>
              <w:t>最高限价）。</w:t>
            </w:r>
          </w:p>
        </w:tc>
        <w:tc>
          <w:tcPr>
            <w:tcW w:w="557" w:type="pct"/>
            <w:vAlign w:val="center"/>
          </w:tcPr>
          <w:p w14:paraId="0C0AA216">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602" w:type="pct"/>
            <w:vAlign w:val="center"/>
          </w:tcPr>
          <w:p w14:paraId="6808593F">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r>
      <w:tr w14:paraId="40D960B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9" w:type="pct"/>
            <w:vMerge w:val="continue"/>
            <w:vAlign w:val="center"/>
          </w:tcPr>
          <w:p w14:paraId="5F71CE26">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927" w:type="pct"/>
            <w:vAlign w:val="center"/>
          </w:tcPr>
          <w:p w14:paraId="3774A922">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rPr>
            </w:pPr>
            <w:r>
              <w:rPr>
                <w:color w:val="auto"/>
                <w:spacing w:val="-2"/>
              </w:rPr>
              <w:t>投标文件不得含有不能接</w:t>
            </w:r>
            <w:r>
              <w:rPr>
                <w:color w:val="auto"/>
                <w:spacing w:val="-4"/>
              </w:rPr>
              <w:t>受的附加条件</w:t>
            </w:r>
          </w:p>
        </w:tc>
        <w:tc>
          <w:tcPr>
            <w:tcW w:w="2452" w:type="pct"/>
            <w:vAlign w:val="center"/>
          </w:tcPr>
          <w:p w14:paraId="05CC9037">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rPr>
            </w:pPr>
            <w:r>
              <w:rPr>
                <w:color w:val="auto"/>
                <w:spacing w:val="2"/>
              </w:rPr>
              <w:t>投标文件中不得含有不能接受的附加条</w:t>
            </w:r>
            <w:r>
              <w:rPr>
                <w:color w:val="auto"/>
                <w:spacing w:val="-4"/>
              </w:rPr>
              <w:t>件。</w:t>
            </w:r>
          </w:p>
        </w:tc>
        <w:tc>
          <w:tcPr>
            <w:tcW w:w="557" w:type="pct"/>
            <w:vAlign w:val="center"/>
          </w:tcPr>
          <w:p w14:paraId="6B68B7BF">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602" w:type="pct"/>
            <w:vAlign w:val="center"/>
          </w:tcPr>
          <w:p w14:paraId="193310AC">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r>
      <w:tr w14:paraId="3AB07BE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9" w:type="pct"/>
            <w:vMerge w:val="continue"/>
            <w:vAlign w:val="center"/>
          </w:tcPr>
          <w:p w14:paraId="1A96368F">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927" w:type="pct"/>
            <w:vAlign w:val="center"/>
          </w:tcPr>
          <w:p w14:paraId="28EB017F">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spacing w:val="-2"/>
              </w:rPr>
            </w:pPr>
            <w:r>
              <w:rPr>
                <w:color w:val="auto"/>
                <w:spacing w:val="-2"/>
                <w:lang w:val="en-US" w:eastAsia="zh-CN"/>
              </w:rPr>
              <w:t>投标文件符合招标文件中规定的实质性要求</w:t>
            </w:r>
          </w:p>
        </w:tc>
        <w:tc>
          <w:tcPr>
            <w:tcW w:w="2452" w:type="pct"/>
            <w:vAlign w:val="center"/>
          </w:tcPr>
          <w:p w14:paraId="06792D4E">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spacing w:val="2"/>
              </w:rPr>
            </w:pPr>
            <w:r>
              <w:rPr>
                <w:color w:val="auto"/>
                <w:spacing w:val="2"/>
                <w:lang w:val="en-US" w:eastAsia="zh-CN"/>
              </w:rPr>
              <w:t>投标文件符合招标文件中规定的实质性要求（含政府采购政策需落实的内容），且需提供《所供货物（服务）完全符合本项目采购需求的承诺函》及满足采购需求货物（服务）内容的相关资料。格式以招标文件要求为准。</w:t>
            </w:r>
          </w:p>
        </w:tc>
        <w:tc>
          <w:tcPr>
            <w:tcW w:w="557" w:type="pct"/>
            <w:vAlign w:val="center"/>
          </w:tcPr>
          <w:p w14:paraId="1F955924">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602" w:type="pct"/>
            <w:vAlign w:val="center"/>
          </w:tcPr>
          <w:p w14:paraId="08990923">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r>
      <w:tr w14:paraId="4D109EA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9" w:type="pct"/>
            <w:vMerge w:val="continue"/>
            <w:vAlign w:val="center"/>
          </w:tcPr>
          <w:p w14:paraId="763214AC">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927" w:type="pct"/>
            <w:vAlign w:val="center"/>
          </w:tcPr>
          <w:p w14:paraId="5DC0E5DA">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rPr>
            </w:pPr>
            <w:r>
              <w:rPr>
                <w:color w:val="auto"/>
                <w:spacing w:val="-2"/>
              </w:rPr>
              <w:t>投标文件对招标文件的实</w:t>
            </w:r>
            <w:r>
              <w:rPr>
                <w:color w:val="auto"/>
                <w:spacing w:val="-1"/>
              </w:rPr>
              <w:t>质性要求和条件做出投标</w:t>
            </w:r>
            <w:r>
              <w:rPr>
                <w:color w:val="auto"/>
                <w:spacing w:val="-9"/>
              </w:rPr>
              <w:t>响应</w:t>
            </w:r>
          </w:p>
        </w:tc>
        <w:tc>
          <w:tcPr>
            <w:tcW w:w="2452" w:type="pct"/>
            <w:vAlign w:val="center"/>
          </w:tcPr>
          <w:p w14:paraId="139FA2A7">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rPr>
            </w:pPr>
            <w:r>
              <w:rPr>
                <w:color w:val="auto"/>
                <w:spacing w:val="2"/>
              </w:rPr>
              <w:t>投标文件对招标文件实质性要求和条件皆做出投标响应（包含响应承诺函、商务条款响应及偏离说明表和技术参数响</w:t>
            </w:r>
            <w:r>
              <w:rPr>
                <w:color w:val="auto"/>
                <w:spacing w:val="-2"/>
              </w:rPr>
              <w:t>应及偏离说明表等内容）。</w:t>
            </w:r>
          </w:p>
        </w:tc>
        <w:tc>
          <w:tcPr>
            <w:tcW w:w="557" w:type="pct"/>
            <w:vAlign w:val="center"/>
          </w:tcPr>
          <w:p w14:paraId="676B2C95">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602" w:type="pct"/>
            <w:vAlign w:val="center"/>
          </w:tcPr>
          <w:p w14:paraId="7835515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r>
      <w:tr w14:paraId="17C450E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9" w:type="pct"/>
            <w:vMerge w:val="continue"/>
            <w:vAlign w:val="center"/>
          </w:tcPr>
          <w:p w14:paraId="17458DC3">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927" w:type="pct"/>
            <w:vAlign w:val="center"/>
          </w:tcPr>
          <w:p w14:paraId="4FD06C2F">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rPr>
            </w:pPr>
            <w:r>
              <w:rPr>
                <w:color w:val="auto"/>
                <w:spacing w:val="-1"/>
              </w:rPr>
              <w:t>影响采购公正的违法、违</w:t>
            </w:r>
            <w:r>
              <w:rPr>
                <w:color w:val="auto"/>
                <w:spacing w:val="-6"/>
              </w:rPr>
              <w:t>规行为</w:t>
            </w:r>
          </w:p>
        </w:tc>
        <w:tc>
          <w:tcPr>
            <w:tcW w:w="2452" w:type="pct"/>
            <w:vAlign w:val="center"/>
          </w:tcPr>
          <w:p w14:paraId="6CF9507A">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color w:val="auto"/>
              </w:rPr>
            </w:pPr>
            <w:r>
              <w:rPr>
                <w:color w:val="auto"/>
                <w:spacing w:val="1"/>
              </w:rPr>
              <w:t>1.投标人需提供《不参与围标串标承诺</w:t>
            </w:r>
            <w:r>
              <w:rPr>
                <w:color w:val="auto"/>
                <w:spacing w:val="-2"/>
              </w:rPr>
              <w:t>书》，格式以招标文件要求为准。</w:t>
            </w:r>
            <w:r>
              <w:rPr>
                <w:color w:val="auto"/>
                <w:spacing w:val="2"/>
              </w:rPr>
              <w:t>2.评标委员会发现是否存在影响采购公</w:t>
            </w:r>
            <w:r>
              <w:rPr>
                <w:color w:val="auto"/>
                <w:spacing w:val="-2"/>
              </w:rPr>
              <w:t>正的违法、违规行为。</w:t>
            </w:r>
          </w:p>
        </w:tc>
        <w:tc>
          <w:tcPr>
            <w:tcW w:w="557" w:type="pct"/>
            <w:vAlign w:val="center"/>
          </w:tcPr>
          <w:p w14:paraId="37172B2F">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c>
          <w:tcPr>
            <w:tcW w:w="602" w:type="pct"/>
            <w:vAlign w:val="center"/>
          </w:tcPr>
          <w:p w14:paraId="3E1D7465">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r>
      <w:tr w14:paraId="09408CF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840" w:type="pct"/>
            <w:gridSpan w:val="3"/>
            <w:vAlign w:val="center"/>
          </w:tcPr>
          <w:p w14:paraId="30610B5C">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rPr>
            </w:pPr>
            <w:r>
              <w:rPr>
                <w:color w:val="auto"/>
                <w:spacing w:val="-2"/>
              </w:rPr>
              <w:t>审查汇总结果（通过/不通过）</w:t>
            </w:r>
          </w:p>
        </w:tc>
        <w:tc>
          <w:tcPr>
            <w:tcW w:w="1159" w:type="pct"/>
            <w:gridSpan w:val="2"/>
            <w:vAlign w:val="center"/>
          </w:tcPr>
          <w:p w14:paraId="56863A8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color w:val="auto"/>
                <w:sz w:val="21"/>
              </w:rPr>
            </w:pPr>
          </w:p>
        </w:tc>
      </w:tr>
      <w:tr w14:paraId="1929190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000" w:type="pct"/>
            <w:gridSpan w:val="5"/>
            <w:vAlign w:val="center"/>
          </w:tcPr>
          <w:p w14:paraId="426C472C">
            <w:pPr>
              <w:pStyle w:val="25"/>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color w:val="auto"/>
                <w:spacing w:val="9"/>
                <w:sz w:val="20"/>
                <w:szCs w:val="20"/>
              </w:rPr>
            </w:pPr>
            <w:r>
              <w:rPr>
                <w:rFonts w:hint="eastAsia" w:ascii="仿宋" w:hAnsi="仿宋" w:eastAsia="仿宋" w:cs="仿宋"/>
                <w:color w:val="auto"/>
                <w:spacing w:val="9"/>
                <w:sz w:val="20"/>
                <w:szCs w:val="20"/>
              </w:rPr>
              <w:t>备注：</w:t>
            </w:r>
          </w:p>
          <w:p w14:paraId="6B6FEA8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ascii="Arial"/>
                <w:color w:val="auto"/>
                <w:sz w:val="21"/>
              </w:rPr>
            </w:pPr>
            <w:r>
              <w:rPr>
                <w:rFonts w:hint="eastAsia" w:ascii="仿宋" w:hAnsi="仿宋" w:eastAsia="仿宋" w:cs="仿宋"/>
                <w:color w:val="auto"/>
                <w:spacing w:val="9"/>
                <w:sz w:val="20"/>
                <w:szCs w:val="20"/>
              </w:rPr>
              <w:t>如果投标文件中有一项未通过上述审查标准，评标</w:t>
            </w:r>
            <w:r>
              <w:rPr>
                <w:rFonts w:hint="eastAsia" w:ascii="仿宋" w:hAnsi="仿宋" w:eastAsia="仿宋" w:cs="仿宋"/>
                <w:color w:val="auto"/>
                <w:spacing w:val="8"/>
                <w:sz w:val="20"/>
                <w:szCs w:val="20"/>
              </w:rPr>
              <w:t>委员会将认定整个投标文件为无效响应处理，</w:t>
            </w:r>
            <w:r>
              <w:rPr>
                <w:rFonts w:hint="eastAsia" w:ascii="仿宋" w:hAnsi="仿宋" w:eastAsia="仿宋" w:cs="仿宋"/>
                <w:color w:val="auto"/>
                <w:spacing w:val="9"/>
                <w:sz w:val="20"/>
                <w:szCs w:val="20"/>
              </w:rPr>
              <w:t>并且不允许投标人通过修改或撤销其不符合要求投标文件。</w:t>
            </w:r>
          </w:p>
        </w:tc>
      </w:tr>
    </w:tbl>
    <w:p w14:paraId="77E29345">
      <w:pPr>
        <w:pStyle w:val="11"/>
        <w:pageBreakBefore w:val="0"/>
        <w:shd w:val="clear"/>
        <w:wordWrap/>
        <w:overflowPunct/>
        <w:topLinePunct w:val="0"/>
        <w:bidi w:val="0"/>
        <w:spacing w:before="78" w:line="25" w:lineRule="atLeast"/>
        <w:ind w:left="327"/>
        <w:outlineLvl w:val="9"/>
        <w:rPr>
          <w:color w:val="auto"/>
          <w:highlight w:val="none"/>
        </w:rPr>
      </w:pPr>
      <w:r>
        <w:rPr>
          <w:rFonts w:hint="eastAsia"/>
          <w:color w:val="auto"/>
          <w:spacing w:val="-5"/>
          <w:sz w:val="24"/>
          <w:szCs w:val="24"/>
          <w:highlight w:val="none"/>
          <w:lang w:val="en-US" w:eastAsia="zh-CN"/>
        </w:rPr>
        <w:t>5</w:t>
      </w:r>
      <w:r>
        <w:rPr>
          <w:color w:val="auto"/>
          <w:spacing w:val="-5"/>
          <w:sz w:val="24"/>
          <w:szCs w:val="24"/>
          <w:highlight w:val="none"/>
        </w:rPr>
        <w:t>.3综合评分表</w:t>
      </w:r>
    </w:p>
    <w:tbl>
      <w:tblPr>
        <w:tblStyle w:val="24"/>
        <w:tblW w:w="504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70"/>
        <w:gridCol w:w="1186"/>
        <w:gridCol w:w="984"/>
        <w:gridCol w:w="5043"/>
      </w:tblGrid>
      <w:tr w14:paraId="55F86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vAlign w:val="center"/>
          </w:tcPr>
          <w:p w14:paraId="5F1FF997">
            <w:pPr>
              <w:widowControl/>
              <w:shd w:val="clear"/>
              <w:spacing w:line="240" w:lineRule="auto"/>
              <w:ind w:left="0" w:leftChars="0" w:firstLine="0" w:firstLineChars="0"/>
              <w:jc w:val="center"/>
              <w:rPr>
                <w:rFonts w:hint="eastAsia" w:ascii="仿宋" w:hAnsi="仿宋" w:eastAsia="仿宋" w:cs="仿宋"/>
                <w:color w:val="auto"/>
                <w:spacing w:val="-6"/>
                <w:highlight w:val="none"/>
              </w:rPr>
            </w:pPr>
            <w:bookmarkStart w:id="20" w:name="bookmark5"/>
            <w:bookmarkEnd w:id="20"/>
            <w:bookmarkStart w:id="21" w:name="_Toc32666"/>
            <w:r>
              <w:rPr>
                <w:rFonts w:hint="eastAsia" w:ascii="仿宋" w:hAnsi="仿宋" w:eastAsia="仿宋" w:cs="仿宋"/>
                <w:b/>
                <w:bCs/>
                <w:color w:val="auto"/>
                <w:kern w:val="0"/>
                <w:sz w:val="24"/>
                <w:szCs w:val="24"/>
                <w:highlight w:val="none"/>
                <w:lang w:val="en-US" w:eastAsia="zh-CN"/>
              </w:rPr>
              <w:t>序号</w:t>
            </w:r>
          </w:p>
        </w:tc>
        <w:tc>
          <w:tcPr>
            <w:tcW w:w="1185" w:type="dxa"/>
            <w:vAlign w:val="center"/>
          </w:tcPr>
          <w:p w14:paraId="3F94F904">
            <w:pPr>
              <w:widowControl/>
              <w:shd w:val="clear"/>
              <w:spacing w:line="240" w:lineRule="auto"/>
              <w:ind w:left="0" w:leftChars="0" w:firstLine="0" w:firstLineChars="0"/>
              <w:jc w:val="center"/>
              <w:rPr>
                <w:rFonts w:hint="eastAsia" w:ascii="仿宋" w:hAnsi="仿宋" w:eastAsia="仿宋" w:cs="仿宋"/>
                <w:color w:val="auto"/>
                <w:spacing w:val="-6"/>
                <w:highlight w:val="none"/>
              </w:rPr>
            </w:pPr>
            <w:r>
              <w:rPr>
                <w:rFonts w:hint="eastAsia" w:ascii="仿宋" w:hAnsi="仿宋" w:eastAsia="仿宋" w:cs="仿宋"/>
                <w:b/>
                <w:bCs/>
                <w:color w:val="auto"/>
                <w:kern w:val="0"/>
                <w:sz w:val="24"/>
                <w:szCs w:val="24"/>
                <w:highlight w:val="none"/>
                <w:lang w:val="en-US" w:eastAsia="zh-CN"/>
              </w:rPr>
              <w:t>评分内容</w:t>
            </w:r>
          </w:p>
        </w:tc>
        <w:tc>
          <w:tcPr>
            <w:tcW w:w="983" w:type="dxa"/>
            <w:vAlign w:val="center"/>
          </w:tcPr>
          <w:p w14:paraId="2B0AA701">
            <w:pPr>
              <w:widowControl/>
              <w:shd w:val="clear"/>
              <w:spacing w:line="240" w:lineRule="auto"/>
              <w:ind w:left="0" w:leftChars="0" w:firstLine="0" w:firstLineChars="0"/>
              <w:jc w:val="center"/>
              <w:rPr>
                <w:rFonts w:hint="eastAsia" w:ascii="仿宋" w:hAnsi="仿宋" w:eastAsia="仿宋" w:cs="仿宋"/>
                <w:color w:val="auto"/>
                <w:highlight w:val="none"/>
              </w:rPr>
            </w:pPr>
            <w:r>
              <w:rPr>
                <w:rFonts w:hint="eastAsia" w:ascii="仿宋" w:hAnsi="仿宋" w:eastAsia="仿宋" w:cs="仿宋"/>
                <w:b/>
                <w:bCs/>
                <w:color w:val="auto"/>
                <w:kern w:val="0"/>
                <w:sz w:val="24"/>
                <w:szCs w:val="24"/>
                <w:highlight w:val="none"/>
                <w:lang w:val="en-US" w:eastAsia="zh-CN"/>
              </w:rPr>
              <w:t>满分</w:t>
            </w:r>
          </w:p>
        </w:tc>
        <w:tc>
          <w:tcPr>
            <w:tcW w:w="5040" w:type="dxa"/>
            <w:vAlign w:val="top"/>
          </w:tcPr>
          <w:p w14:paraId="6000D43F">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4"/>
                <w:highlight w:val="none"/>
              </w:rPr>
              <w:t>评分标准</w:t>
            </w:r>
          </w:p>
        </w:tc>
      </w:tr>
      <w:tr w14:paraId="2BA04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vAlign w:val="center"/>
          </w:tcPr>
          <w:p w14:paraId="1150AA77">
            <w:pPr>
              <w:widowControl/>
              <w:shd w:val="clear"/>
              <w:spacing w:line="240" w:lineRule="auto"/>
              <w:ind w:left="0" w:leftChars="0" w:firstLine="0" w:firstLineChars="0"/>
              <w:jc w:val="center"/>
              <w:rPr>
                <w:rFonts w:hint="eastAsia" w:ascii="仿宋" w:hAnsi="仿宋" w:eastAsia="仿宋" w:cs="仿宋"/>
                <w:b w:val="0"/>
                <w:bCs w:val="0"/>
                <w:color w:val="auto"/>
                <w:spacing w:val="-12"/>
                <w:highlight w:val="none"/>
              </w:rPr>
            </w:pPr>
            <w:r>
              <w:rPr>
                <w:rFonts w:hint="eastAsia" w:ascii="仿宋" w:hAnsi="仿宋" w:eastAsia="仿宋" w:cs="仿宋"/>
                <w:color w:val="auto"/>
                <w:kern w:val="0"/>
                <w:sz w:val="24"/>
                <w:szCs w:val="24"/>
                <w:highlight w:val="none"/>
                <w:lang w:val="en-US" w:eastAsia="zh-CN"/>
              </w:rPr>
              <w:t>1</w:t>
            </w:r>
          </w:p>
        </w:tc>
        <w:tc>
          <w:tcPr>
            <w:tcW w:w="1185" w:type="dxa"/>
            <w:vAlign w:val="center"/>
          </w:tcPr>
          <w:p w14:paraId="2C4961D4">
            <w:pPr>
              <w:widowControl/>
              <w:shd w:val="clear"/>
              <w:spacing w:line="240" w:lineRule="auto"/>
              <w:ind w:left="0" w:leftChars="0" w:firstLine="0" w:firstLineChars="0"/>
              <w:jc w:val="center"/>
              <w:rPr>
                <w:rFonts w:hint="eastAsia" w:ascii="仿宋" w:hAnsi="仿宋" w:eastAsia="仿宋" w:cs="仿宋"/>
                <w:b w:val="0"/>
                <w:bCs w:val="0"/>
                <w:color w:val="auto"/>
                <w:spacing w:val="-12"/>
                <w:highlight w:val="none"/>
              </w:rPr>
            </w:pPr>
            <w:r>
              <w:rPr>
                <w:rFonts w:hint="eastAsia" w:ascii="仿宋" w:hAnsi="仿宋" w:eastAsia="仿宋" w:cs="仿宋"/>
                <w:color w:val="auto"/>
                <w:kern w:val="0"/>
                <w:sz w:val="24"/>
                <w:szCs w:val="24"/>
                <w:highlight w:val="none"/>
                <w:lang w:val="en-US" w:eastAsia="zh-CN"/>
              </w:rPr>
              <w:t>价格</w:t>
            </w:r>
          </w:p>
        </w:tc>
        <w:tc>
          <w:tcPr>
            <w:tcW w:w="983" w:type="dxa"/>
            <w:vAlign w:val="center"/>
          </w:tcPr>
          <w:p w14:paraId="67111CE3">
            <w:pPr>
              <w:widowControl/>
              <w:shd w:val="clear"/>
              <w:spacing w:line="240" w:lineRule="auto"/>
              <w:ind w:left="0" w:leftChars="0" w:firstLine="0" w:firstLineChars="0"/>
              <w:jc w:val="center"/>
              <w:rPr>
                <w:rFonts w:hint="eastAsia" w:ascii="仿宋" w:hAnsi="仿宋" w:eastAsia="仿宋" w:cs="仿宋"/>
                <w:b w:val="0"/>
                <w:bCs w:val="0"/>
                <w:color w:val="auto"/>
                <w:spacing w:val="-12"/>
                <w:highlight w:val="none"/>
              </w:rPr>
            </w:pPr>
            <w:r>
              <w:rPr>
                <w:rFonts w:hint="eastAsia" w:ascii="仿宋" w:hAnsi="仿宋" w:eastAsia="仿宋" w:cs="仿宋"/>
                <w:color w:val="auto"/>
                <w:kern w:val="0"/>
                <w:sz w:val="24"/>
                <w:szCs w:val="24"/>
                <w:highlight w:val="none"/>
                <w:lang w:val="en-US" w:eastAsia="zh-CN"/>
              </w:rPr>
              <w:t>10</w:t>
            </w:r>
          </w:p>
        </w:tc>
        <w:tc>
          <w:tcPr>
            <w:tcW w:w="5040" w:type="dxa"/>
            <w:vAlign w:val="center"/>
          </w:tcPr>
          <w:p w14:paraId="107C31E4">
            <w:pPr>
              <w:keepNext w:val="0"/>
              <w:keepLines w:val="0"/>
              <w:pageBreakBefore w:val="0"/>
              <w:widowControl/>
              <w:suppressLineNumbers w:val="0"/>
              <w:shd w:val="clear"/>
              <w:kinsoku/>
              <w:wordWrap w:val="0"/>
              <w:overflowPunct/>
              <w:topLinePunct w:val="0"/>
              <w:autoSpaceDE w:val="0"/>
              <w:autoSpaceDN w:val="0"/>
              <w:bidi w:val="0"/>
              <w:adjustRightInd w:val="0"/>
              <w:snapToGrid w:val="0"/>
              <w:ind w:left="0" w:leftChars="0" w:right="0" w:firstLine="0" w:firstLineChars="0"/>
              <w:jc w:val="left"/>
              <w:textAlignment w:val="baseline"/>
              <w:rPr>
                <w:rFonts w:hint="eastAsia" w:ascii="仿宋" w:hAnsi="仿宋" w:eastAsia="仿宋" w:cs="仿宋"/>
                <w:b w:val="0"/>
                <w:bCs w:val="0"/>
                <w:color w:val="auto"/>
                <w:spacing w:val="4"/>
                <w:sz w:val="24"/>
                <w:szCs w:val="24"/>
                <w:highlight w:val="none"/>
              </w:rPr>
            </w:pPr>
            <w:r>
              <w:rPr>
                <w:rFonts w:hint="eastAsia" w:ascii="仿宋" w:hAnsi="仿宋" w:eastAsia="仿宋" w:cs="仿宋"/>
                <w:color w:val="auto"/>
                <w:kern w:val="0"/>
                <w:sz w:val="24"/>
                <w:szCs w:val="24"/>
                <w:highlight w:val="none"/>
                <w:lang w:val="en-US" w:eastAsia="en-US" w:bidi="ar-SA"/>
              </w:rPr>
              <w:t>价格分采用低价优先法计算，即满足本招标文件要求的最低投标报价</w:t>
            </w:r>
            <w:r>
              <w:rPr>
                <w:rFonts w:hint="eastAsia" w:ascii="仿宋" w:hAnsi="仿宋" w:eastAsia="仿宋" w:cs="仿宋"/>
                <w:color w:val="auto"/>
                <w:kern w:val="0"/>
                <w:sz w:val="24"/>
                <w:szCs w:val="24"/>
                <w:highlight w:val="none"/>
                <w:lang w:val="en-US" w:eastAsia="zh-CN" w:bidi="ar-SA"/>
              </w:rPr>
              <w:t>作为</w:t>
            </w:r>
            <w:r>
              <w:rPr>
                <w:rFonts w:hint="eastAsia" w:ascii="仿宋" w:hAnsi="仿宋" w:eastAsia="仿宋" w:cs="仿宋"/>
                <w:color w:val="auto"/>
                <w:kern w:val="0"/>
                <w:sz w:val="24"/>
                <w:szCs w:val="24"/>
                <w:highlight w:val="none"/>
                <w:lang w:val="en-US" w:eastAsia="en-US" w:bidi="ar-SA"/>
              </w:rPr>
              <w:t>评标基准价，其价格分为满分，</w:t>
            </w:r>
            <w:r>
              <w:rPr>
                <w:rFonts w:hint="eastAsia" w:ascii="仿宋" w:hAnsi="仿宋" w:eastAsia="仿宋" w:cs="仿宋"/>
                <w:color w:val="auto"/>
                <w:kern w:val="0"/>
                <w:sz w:val="24"/>
                <w:szCs w:val="24"/>
                <w:highlight w:val="none"/>
                <w:lang w:val="en-US" w:eastAsia="zh-CN" w:bidi="ar-SA"/>
              </w:rPr>
              <w:t>其他</w:t>
            </w:r>
            <w:r>
              <w:rPr>
                <w:rFonts w:hint="eastAsia" w:ascii="仿宋" w:hAnsi="仿宋" w:eastAsia="仿宋" w:cs="仿宋"/>
                <w:color w:val="auto"/>
                <w:kern w:val="0"/>
                <w:sz w:val="24"/>
                <w:szCs w:val="24"/>
                <w:highlight w:val="none"/>
                <w:lang w:val="en-US" w:eastAsia="en-US" w:bidi="ar-SA"/>
              </w:rPr>
              <w:t>投标人的价格分统一按照下列公式计算：投标报价得分=（评标基准价／投标报价）×价格分分值（精确到小数点后两位）。超过采购项目最高限价的，为无效投标。</w:t>
            </w:r>
          </w:p>
        </w:tc>
      </w:tr>
      <w:tr w14:paraId="76F5C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vAlign w:val="center"/>
          </w:tcPr>
          <w:p w14:paraId="5BF43D4A">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12"/>
                <w:highlight w:val="none"/>
                <w:lang w:val="en-US" w:eastAsia="zh-CN"/>
              </w:rPr>
            </w:pPr>
            <w:r>
              <w:rPr>
                <w:rFonts w:hint="eastAsia" w:ascii="仿宋" w:hAnsi="仿宋" w:eastAsia="仿宋" w:cs="仿宋"/>
                <w:color w:val="auto"/>
                <w:spacing w:val="-12"/>
                <w:highlight w:val="none"/>
                <w:lang w:val="en-US" w:eastAsia="zh-CN"/>
              </w:rPr>
              <w:t>2</w:t>
            </w:r>
          </w:p>
        </w:tc>
        <w:tc>
          <w:tcPr>
            <w:tcW w:w="1185" w:type="dxa"/>
            <w:vAlign w:val="center"/>
          </w:tcPr>
          <w:p w14:paraId="23D2EC94">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12"/>
                <w:highlight w:val="none"/>
              </w:rPr>
            </w:pPr>
            <w:r>
              <w:rPr>
                <w:rFonts w:hint="eastAsia" w:ascii="仿宋" w:hAnsi="仿宋" w:eastAsia="仿宋" w:cs="仿宋"/>
                <w:color w:val="auto"/>
                <w:spacing w:val="-13"/>
                <w:highlight w:val="none"/>
              </w:rPr>
              <w:t>类似项目业绩</w:t>
            </w:r>
          </w:p>
        </w:tc>
        <w:tc>
          <w:tcPr>
            <w:tcW w:w="983" w:type="dxa"/>
            <w:vAlign w:val="center"/>
          </w:tcPr>
          <w:p w14:paraId="7970766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仿宋" w:hAnsi="仿宋" w:eastAsia="仿宋" w:cs="仿宋"/>
                <w:color w:val="auto"/>
                <w:highlight w:val="none"/>
                <w:lang w:val="en-US" w:eastAsia="zh-CN"/>
              </w:rPr>
            </w:pPr>
            <w:r>
              <w:rPr>
                <w:rFonts w:hint="eastAsia" w:cs="仿宋"/>
                <w:color w:val="auto"/>
                <w:spacing w:val="-12"/>
                <w:highlight w:val="none"/>
                <w:lang w:val="en-US" w:eastAsia="zh-CN"/>
              </w:rPr>
              <w:t>10</w:t>
            </w:r>
          </w:p>
        </w:tc>
        <w:tc>
          <w:tcPr>
            <w:tcW w:w="5040" w:type="dxa"/>
            <w:vAlign w:val="top"/>
          </w:tcPr>
          <w:p w14:paraId="26A6C745">
            <w:pPr>
              <w:keepNext w:val="0"/>
              <w:keepLines w:val="0"/>
              <w:pageBreakBefore w:val="0"/>
              <w:widowControl/>
              <w:suppressLineNumbers w:val="0"/>
              <w:shd w:val="clear"/>
              <w:kinsoku w:val="0"/>
              <w:wordWrap/>
              <w:overflowPunct/>
              <w:autoSpaceDE w:val="0"/>
              <w:autoSpaceDN w:val="0"/>
              <w:bidi w:val="0"/>
              <w:adjustRightInd w:val="0"/>
              <w:snapToGrid w:val="0"/>
              <w:spacing w:line="240" w:lineRule="auto"/>
              <w:ind w:left="0" w:leftChars="0" w:firstLine="0" w:firstLineChars="0"/>
              <w:jc w:val="left"/>
              <w:textAlignment w:val="baseline"/>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val="en-US" w:eastAsia="zh-CN" w:bidi="ar"/>
              </w:rPr>
              <w:t>投标人提供2023年1月1日至今完成的类似业绩，每提供一份得2分，最多得10分。</w:t>
            </w:r>
          </w:p>
          <w:p w14:paraId="2C582A5C">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lang w:val="en-US" w:eastAsia="zh-CN" w:bidi="ar"/>
              </w:rPr>
              <w:t>注：提供中标（成交）通知书或合同扫描件，以中标（成交）通知书发出时间或合同签订时间为准。</w:t>
            </w:r>
          </w:p>
        </w:tc>
      </w:tr>
      <w:tr w14:paraId="6B405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shd w:val="clear" w:color="auto" w:fill="auto"/>
            <w:vAlign w:val="center"/>
          </w:tcPr>
          <w:p w14:paraId="45C2B701">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12"/>
                <w:highlight w:val="none"/>
                <w:lang w:val="en-US" w:eastAsia="zh-CN"/>
              </w:rPr>
            </w:pPr>
            <w:r>
              <w:rPr>
                <w:rFonts w:hint="eastAsia" w:ascii="仿宋" w:hAnsi="仿宋" w:eastAsia="仿宋" w:cs="仿宋"/>
                <w:color w:val="auto"/>
                <w:spacing w:val="-12"/>
                <w:highlight w:val="none"/>
                <w:lang w:val="en-US" w:eastAsia="zh-CN"/>
              </w:rPr>
              <w:t>3</w:t>
            </w:r>
          </w:p>
        </w:tc>
        <w:tc>
          <w:tcPr>
            <w:tcW w:w="1185" w:type="dxa"/>
            <w:shd w:val="clear" w:color="auto" w:fill="auto"/>
            <w:vAlign w:val="center"/>
          </w:tcPr>
          <w:p w14:paraId="69DDDCD9">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12"/>
                <w:highlight w:val="none"/>
              </w:rPr>
            </w:pPr>
            <w:r>
              <w:rPr>
                <w:rFonts w:hint="eastAsia" w:ascii="仿宋" w:hAnsi="仿宋" w:eastAsia="仿宋" w:cs="仿宋"/>
                <w:color w:val="auto"/>
                <w:highlight w:val="none"/>
                <w:lang w:eastAsia="zh-CN"/>
              </w:rPr>
              <w:t>项目负责人</w:t>
            </w:r>
          </w:p>
        </w:tc>
        <w:tc>
          <w:tcPr>
            <w:tcW w:w="983" w:type="dxa"/>
            <w:shd w:val="clear" w:color="auto" w:fill="auto"/>
            <w:vAlign w:val="center"/>
          </w:tcPr>
          <w:p w14:paraId="04AD1B2E">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highlight w:val="none"/>
                <w:lang w:val="en-US" w:eastAsia="zh-CN"/>
              </w:rPr>
            </w:pPr>
            <w:r>
              <w:rPr>
                <w:rFonts w:hint="eastAsia" w:cs="仿宋"/>
                <w:color w:val="auto"/>
                <w:highlight w:val="none"/>
                <w:lang w:val="en-US" w:eastAsia="zh-CN"/>
              </w:rPr>
              <w:t>6</w:t>
            </w:r>
          </w:p>
        </w:tc>
        <w:tc>
          <w:tcPr>
            <w:tcW w:w="5040" w:type="dxa"/>
            <w:shd w:val="clear" w:color="auto" w:fill="auto"/>
            <w:vAlign w:val="top"/>
          </w:tcPr>
          <w:p w14:paraId="752E13B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r>
              <w:rPr>
                <w:rFonts w:hint="eastAsia"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项目负责人具有</w:t>
            </w:r>
            <w:r>
              <w:rPr>
                <w:rFonts w:hint="eastAsia" w:cs="仿宋"/>
                <w:color w:val="auto"/>
                <w:sz w:val="24"/>
                <w:szCs w:val="24"/>
                <w:highlight w:val="none"/>
                <w:lang w:val="en-US" w:eastAsia="zh-CN"/>
              </w:rPr>
              <w:t>生态</w:t>
            </w:r>
            <w:r>
              <w:rPr>
                <w:rFonts w:hint="eastAsia" w:ascii="仿宋" w:hAnsi="仿宋" w:eastAsia="仿宋" w:cs="仿宋"/>
                <w:color w:val="auto"/>
                <w:sz w:val="24"/>
                <w:szCs w:val="24"/>
                <w:highlight w:val="none"/>
                <w:lang w:eastAsia="zh-CN"/>
              </w:rPr>
              <w:t>环境</w:t>
            </w:r>
            <w:r>
              <w:rPr>
                <w:rFonts w:hint="eastAsia" w:cs="仿宋"/>
                <w:color w:val="auto"/>
                <w:sz w:val="24"/>
                <w:szCs w:val="24"/>
                <w:highlight w:val="none"/>
                <w:lang w:val="en-US" w:eastAsia="zh-CN"/>
              </w:rPr>
              <w:t>技术</w:t>
            </w:r>
            <w:r>
              <w:rPr>
                <w:rFonts w:hint="eastAsia" w:ascii="仿宋" w:hAnsi="仿宋" w:eastAsia="仿宋" w:cs="仿宋"/>
                <w:color w:val="auto"/>
                <w:sz w:val="24"/>
                <w:szCs w:val="24"/>
                <w:highlight w:val="none"/>
                <w:lang w:eastAsia="zh-CN"/>
              </w:rPr>
              <w:t>或大气环境相关专业中级及以上职称的，得</w:t>
            </w: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分；</w:t>
            </w:r>
          </w:p>
          <w:p w14:paraId="41EADC6F">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注：须提供相关人员证书复印件，以及投标人为其缴纳的社保证明材料。</w:t>
            </w:r>
          </w:p>
          <w:p w14:paraId="070EC64E">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w:t>
            </w:r>
            <w:r>
              <w:rPr>
                <w:rFonts w:hint="eastAsia"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项目负责人</w:t>
            </w:r>
            <w:r>
              <w:rPr>
                <w:rFonts w:hint="eastAsia" w:ascii="仿宋" w:hAnsi="仿宋" w:eastAsia="仿宋" w:cs="仿宋"/>
                <w:color w:val="auto"/>
                <w:spacing w:val="3"/>
                <w:sz w:val="24"/>
                <w:szCs w:val="24"/>
                <w:highlight w:val="none"/>
                <w:lang w:eastAsia="zh-CN"/>
              </w:rPr>
              <w:t>近3年（2023年1月1日至今）具有类似</w:t>
            </w:r>
            <w:r>
              <w:rPr>
                <w:rFonts w:hint="eastAsia" w:ascii="仿宋" w:hAnsi="仿宋" w:eastAsia="仿宋" w:cs="仿宋"/>
                <w:color w:val="auto"/>
                <w:sz w:val="24"/>
                <w:szCs w:val="24"/>
                <w:highlight w:val="none"/>
                <w:lang w:eastAsia="zh-CN"/>
              </w:rPr>
              <w:t>业绩的，每提供1份</w:t>
            </w:r>
            <w:r>
              <w:rPr>
                <w:rFonts w:hint="eastAsia" w:ascii="仿宋" w:hAnsi="仿宋" w:eastAsia="仿宋" w:cs="仿宋"/>
                <w:color w:val="auto"/>
                <w:sz w:val="24"/>
                <w:szCs w:val="24"/>
                <w:highlight w:val="none"/>
                <w:lang w:val="en-US" w:eastAsia="zh-CN"/>
              </w:rPr>
              <w:t>证明材料</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分，最多</w:t>
            </w:r>
            <w:r>
              <w:rPr>
                <w:rFonts w:hint="eastAsia" w:ascii="仿宋" w:hAnsi="仿宋" w:eastAsia="仿宋" w:cs="仿宋"/>
                <w:color w:val="auto"/>
                <w:sz w:val="24"/>
                <w:szCs w:val="24"/>
                <w:highlight w:val="none"/>
                <w:lang w:val="en-US" w:eastAsia="zh-CN"/>
              </w:rPr>
              <w:t>得2</w:t>
            </w:r>
            <w:r>
              <w:rPr>
                <w:rFonts w:hint="eastAsia" w:ascii="仿宋" w:hAnsi="仿宋" w:eastAsia="仿宋" w:cs="仿宋"/>
                <w:color w:val="auto"/>
                <w:sz w:val="24"/>
                <w:szCs w:val="24"/>
                <w:highlight w:val="none"/>
                <w:lang w:eastAsia="zh-CN"/>
              </w:rPr>
              <w:t>分；</w:t>
            </w:r>
          </w:p>
          <w:p w14:paraId="0CAFDCAB">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注：提供中标（成交）通知书或合同扫描件，以中标（成交）通知书发出时间或合同签订时间为准，且</w:t>
            </w:r>
            <w:r>
              <w:rPr>
                <w:rFonts w:hint="eastAsia" w:ascii="仿宋" w:hAnsi="仿宋" w:eastAsia="仿宋" w:cs="仿宋"/>
                <w:color w:val="auto"/>
                <w:sz w:val="24"/>
                <w:szCs w:val="24"/>
                <w:highlight w:val="none"/>
                <w:lang w:val="en-US" w:eastAsia="zh-CN"/>
              </w:rPr>
              <w:t>证明材料须体现</w:t>
            </w:r>
            <w:r>
              <w:rPr>
                <w:rFonts w:hint="eastAsia" w:ascii="仿宋" w:hAnsi="仿宋" w:eastAsia="仿宋" w:cs="仿宋"/>
                <w:color w:val="auto"/>
                <w:sz w:val="24"/>
                <w:szCs w:val="24"/>
                <w:highlight w:val="none"/>
                <w:lang w:eastAsia="zh-CN"/>
              </w:rPr>
              <w:t>项目负责人</w:t>
            </w:r>
            <w:r>
              <w:rPr>
                <w:rFonts w:hint="eastAsia" w:ascii="仿宋" w:hAnsi="仿宋" w:eastAsia="仿宋" w:cs="仿宋"/>
                <w:color w:val="auto"/>
                <w:kern w:val="0"/>
                <w:sz w:val="24"/>
                <w:szCs w:val="24"/>
                <w:highlight w:val="none"/>
                <w:lang w:val="en-US" w:eastAsia="zh-CN" w:bidi="ar"/>
              </w:rPr>
              <w:t>。</w:t>
            </w:r>
          </w:p>
        </w:tc>
      </w:tr>
      <w:tr w14:paraId="58F17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shd w:val="clear" w:color="auto" w:fill="auto"/>
            <w:vAlign w:val="center"/>
          </w:tcPr>
          <w:p w14:paraId="3D19C43D">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12"/>
                <w:highlight w:val="none"/>
                <w:lang w:val="en-US" w:eastAsia="zh-CN"/>
              </w:rPr>
            </w:pPr>
            <w:r>
              <w:rPr>
                <w:rFonts w:hint="eastAsia" w:ascii="仿宋" w:hAnsi="仿宋" w:eastAsia="仿宋" w:cs="仿宋"/>
                <w:color w:val="auto"/>
                <w:spacing w:val="-12"/>
                <w:highlight w:val="none"/>
                <w:lang w:val="en-US" w:eastAsia="zh-CN"/>
              </w:rPr>
              <w:t>4</w:t>
            </w:r>
          </w:p>
        </w:tc>
        <w:tc>
          <w:tcPr>
            <w:tcW w:w="1185" w:type="dxa"/>
            <w:shd w:val="clear" w:color="auto" w:fill="auto"/>
            <w:vAlign w:val="center"/>
          </w:tcPr>
          <w:p w14:paraId="66E923F9">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运维技术人员配置</w:t>
            </w:r>
          </w:p>
        </w:tc>
        <w:tc>
          <w:tcPr>
            <w:tcW w:w="983" w:type="dxa"/>
            <w:shd w:val="clear" w:color="auto" w:fill="auto"/>
            <w:vAlign w:val="center"/>
          </w:tcPr>
          <w:p w14:paraId="67AC8FA5">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12"/>
                <w:highlight w:val="none"/>
                <w:lang w:val="en-US" w:eastAsia="zh-CN"/>
              </w:rPr>
            </w:pPr>
            <w:r>
              <w:rPr>
                <w:rFonts w:hint="eastAsia" w:ascii="仿宋" w:hAnsi="仿宋" w:eastAsia="仿宋" w:cs="仿宋"/>
                <w:color w:val="auto"/>
                <w:spacing w:val="-12"/>
                <w:highlight w:val="none"/>
                <w:lang w:val="en-US" w:eastAsia="zh-CN"/>
              </w:rPr>
              <w:t>6</w:t>
            </w:r>
          </w:p>
        </w:tc>
        <w:tc>
          <w:tcPr>
            <w:tcW w:w="5040" w:type="dxa"/>
            <w:shd w:val="clear" w:color="auto" w:fill="auto"/>
            <w:vAlign w:val="top"/>
          </w:tcPr>
          <w:p w14:paraId="5894BB68">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拟投入本项目的空气自动监测运维人员，具备省级及以上生态环境部门颁发的空气自动监测上岗证的，每人得1分，最高得6分；</w:t>
            </w:r>
          </w:p>
        </w:tc>
      </w:tr>
      <w:tr w14:paraId="086B0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shd w:val="clear" w:color="auto" w:fill="auto"/>
            <w:vAlign w:val="center"/>
          </w:tcPr>
          <w:p w14:paraId="7C41242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仿宋" w:hAnsi="仿宋" w:eastAsia="仿宋" w:cs="仿宋"/>
                <w:color w:val="auto"/>
                <w:spacing w:val="-12"/>
                <w:highlight w:val="none"/>
                <w:lang w:val="en-US" w:eastAsia="zh-CN"/>
              </w:rPr>
            </w:pPr>
            <w:r>
              <w:rPr>
                <w:rFonts w:hint="eastAsia" w:cs="仿宋"/>
                <w:color w:val="auto"/>
                <w:spacing w:val="-12"/>
                <w:highlight w:val="none"/>
                <w:lang w:val="en-US" w:eastAsia="zh-CN"/>
              </w:rPr>
              <w:t>5</w:t>
            </w:r>
          </w:p>
        </w:tc>
        <w:tc>
          <w:tcPr>
            <w:tcW w:w="1185" w:type="dxa"/>
            <w:shd w:val="clear" w:color="auto" w:fill="auto"/>
            <w:vAlign w:val="center"/>
          </w:tcPr>
          <w:p w14:paraId="3E7DF231">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 w:val="0"/>
                <w:bCs w:val="0"/>
                <w:color w:val="auto"/>
                <w:highlight w:val="none"/>
                <w:lang w:eastAsia="zh-CN"/>
              </w:rPr>
            </w:pPr>
            <w:r>
              <w:rPr>
                <w:color w:val="auto"/>
                <w:spacing w:val="-3"/>
                <w:highlight w:val="none"/>
              </w:rPr>
              <w:t>运维服务车辆配备</w:t>
            </w:r>
          </w:p>
        </w:tc>
        <w:tc>
          <w:tcPr>
            <w:tcW w:w="983" w:type="dxa"/>
            <w:shd w:val="clear" w:color="auto" w:fill="auto"/>
            <w:vAlign w:val="center"/>
          </w:tcPr>
          <w:p w14:paraId="1A019079">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仿宋" w:hAnsi="仿宋" w:eastAsia="仿宋" w:cs="仿宋"/>
                <w:color w:val="auto"/>
                <w:spacing w:val="-12"/>
                <w:highlight w:val="none"/>
                <w:lang w:val="en-US" w:eastAsia="zh-CN"/>
              </w:rPr>
            </w:pPr>
            <w:r>
              <w:rPr>
                <w:rFonts w:hint="eastAsia" w:cs="仿宋"/>
                <w:color w:val="auto"/>
                <w:spacing w:val="-12"/>
                <w:highlight w:val="none"/>
                <w:lang w:val="en-US" w:eastAsia="zh-CN"/>
              </w:rPr>
              <w:t>5</w:t>
            </w:r>
          </w:p>
        </w:tc>
        <w:tc>
          <w:tcPr>
            <w:tcW w:w="5040" w:type="dxa"/>
            <w:shd w:val="clear" w:color="auto" w:fill="auto"/>
            <w:vAlign w:val="top"/>
          </w:tcPr>
          <w:p w14:paraId="79C9C9B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投标人拟投入4辆</w:t>
            </w:r>
            <w:r>
              <w:rPr>
                <w:rFonts w:hint="eastAsia" w:cs="仿宋"/>
                <w:color w:val="auto"/>
                <w:sz w:val="24"/>
                <w:szCs w:val="24"/>
                <w:highlight w:val="none"/>
                <w:lang w:val="en-US" w:eastAsia="zh-CN"/>
              </w:rPr>
              <w:t>运维车辆</w:t>
            </w:r>
            <w:r>
              <w:rPr>
                <w:rFonts w:hint="eastAsia" w:ascii="仿宋" w:hAnsi="仿宋" w:eastAsia="仿宋" w:cs="仿宋"/>
                <w:color w:val="auto"/>
                <w:sz w:val="24"/>
                <w:szCs w:val="24"/>
                <w:highlight w:val="none"/>
                <w:lang w:val="en-US" w:eastAsia="zh-CN"/>
              </w:rPr>
              <w:t>及</w:t>
            </w:r>
            <w:r>
              <w:rPr>
                <w:rFonts w:hint="eastAsia" w:cs="仿宋"/>
                <w:color w:val="auto"/>
                <w:sz w:val="24"/>
                <w:szCs w:val="24"/>
                <w:highlight w:val="none"/>
                <w:lang w:val="en-US" w:eastAsia="zh-CN"/>
              </w:rPr>
              <w:t>1辆移动走航监测车辆，</w:t>
            </w:r>
            <w:r>
              <w:rPr>
                <w:rFonts w:hint="eastAsia" w:ascii="仿宋" w:hAnsi="仿宋" w:eastAsia="仿宋" w:cs="仿宋"/>
                <w:color w:val="auto"/>
                <w:sz w:val="24"/>
                <w:szCs w:val="24"/>
                <w:highlight w:val="none"/>
                <w:lang w:val="en-US" w:eastAsia="zh-CN"/>
              </w:rPr>
              <w:t>用于本项目的，得</w:t>
            </w:r>
            <w:r>
              <w:rPr>
                <w:rFonts w:hint="eastAsia" w:cs="仿宋"/>
                <w:color w:val="auto"/>
                <w:sz w:val="24"/>
                <w:szCs w:val="24"/>
                <w:highlight w:val="none"/>
                <w:lang w:val="en-US" w:eastAsia="zh-CN"/>
              </w:rPr>
              <w:t>5</w:t>
            </w:r>
            <w:r>
              <w:rPr>
                <w:rFonts w:hint="eastAsia" w:ascii="仿宋" w:hAnsi="仿宋" w:eastAsia="仿宋" w:cs="仿宋"/>
                <w:color w:val="auto"/>
                <w:sz w:val="24"/>
                <w:szCs w:val="24"/>
                <w:highlight w:val="none"/>
                <w:lang w:val="en-US" w:eastAsia="zh-CN"/>
              </w:rPr>
              <w:t>分；车辆数量不满足或未提供相关内容的，得0分。</w:t>
            </w:r>
          </w:p>
          <w:p w14:paraId="32751C5D">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注：提供车辆照片或行驶</w:t>
            </w:r>
            <w:r>
              <w:rPr>
                <w:rFonts w:hint="eastAsia" w:cs="仿宋"/>
                <w:color w:val="auto"/>
                <w:sz w:val="24"/>
                <w:szCs w:val="24"/>
                <w:highlight w:val="none"/>
                <w:lang w:val="en-US" w:eastAsia="zh-CN"/>
              </w:rPr>
              <w:t>证</w:t>
            </w:r>
            <w:r>
              <w:rPr>
                <w:rFonts w:hint="eastAsia" w:ascii="仿宋" w:hAnsi="仿宋" w:eastAsia="仿宋" w:cs="仿宋"/>
                <w:color w:val="auto"/>
                <w:sz w:val="24"/>
                <w:szCs w:val="24"/>
                <w:highlight w:val="none"/>
                <w:lang w:val="en-US" w:eastAsia="zh-CN"/>
              </w:rPr>
              <w:t>等相关证明材料，</w:t>
            </w:r>
            <w:r>
              <w:rPr>
                <w:rFonts w:hint="eastAsia" w:ascii="仿宋" w:hAnsi="仿宋" w:eastAsia="仿宋" w:cs="仿宋"/>
                <w:color w:val="auto"/>
                <w:kern w:val="0"/>
                <w:sz w:val="24"/>
                <w:szCs w:val="24"/>
                <w:highlight w:val="none"/>
                <w:lang w:val="en-US" w:eastAsia="zh-CN" w:bidi="ar"/>
              </w:rPr>
              <w:t>否则本项不得分。</w:t>
            </w:r>
          </w:p>
        </w:tc>
      </w:tr>
      <w:tr w14:paraId="43800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vAlign w:val="center"/>
          </w:tcPr>
          <w:p w14:paraId="31A78B5E">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3"/>
                <w:highlight w:val="none"/>
                <w:lang w:val="en-US" w:eastAsia="zh-CN"/>
              </w:rPr>
            </w:pPr>
            <w:r>
              <w:rPr>
                <w:rFonts w:hint="eastAsia" w:cs="仿宋"/>
                <w:color w:val="auto"/>
                <w:spacing w:val="-3"/>
                <w:highlight w:val="none"/>
                <w:lang w:val="en-US" w:eastAsia="zh-CN"/>
              </w:rPr>
              <w:t>6</w:t>
            </w:r>
          </w:p>
        </w:tc>
        <w:tc>
          <w:tcPr>
            <w:tcW w:w="1185" w:type="dxa"/>
            <w:vAlign w:val="center"/>
          </w:tcPr>
          <w:p w14:paraId="12E379BC">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3"/>
                <w:highlight w:val="none"/>
              </w:rPr>
            </w:pPr>
            <w:r>
              <w:rPr>
                <w:rFonts w:hint="eastAsia" w:ascii="仿宋" w:hAnsi="仿宋" w:eastAsia="仿宋" w:cs="仿宋"/>
                <w:color w:val="auto"/>
                <w:spacing w:val="-3"/>
                <w:highlight w:val="none"/>
              </w:rPr>
              <w:t>项目总体实施方案</w:t>
            </w:r>
          </w:p>
        </w:tc>
        <w:tc>
          <w:tcPr>
            <w:tcW w:w="983" w:type="dxa"/>
            <w:vAlign w:val="center"/>
          </w:tcPr>
          <w:p w14:paraId="32EE4A1D">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highlight w:val="none"/>
                <w:lang w:val="en-US" w:eastAsia="zh-CN"/>
              </w:rPr>
            </w:pPr>
            <w:r>
              <w:rPr>
                <w:rFonts w:hint="eastAsia" w:ascii="仿宋" w:hAnsi="仿宋" w:eastAsia="仿宋" w:cs="仿宋"/>
                <w:color w:val="auto"/>
                <w:spacing w:val="-5"/>
                <w:highlight w:val="none"/>
                <w:lang w:val="en-US" w:eastAsia="zh-CN"/>
              </w:rPr>
              <w:t>1</w:t>
            </w:r>
            <w:r>
              <w:rPr>
                <w:rFonts w:hint="eastAsia" w:cs="仿宋"/>
                <w:color w:val="auto"/>
                <w:spacing w:val="-5"/>
                <w:highlight w:val="none"/>
                <w:lang w:val="en-US" w:eastAsia="zh-CN"/>
              </w:rPr>
              <w:t>5</w:t>
            </w:r>
          </w:p>
        </w:tc>
        <w:tc>
          <w:tcPr>
            <w:tcW w:w="5040" w:type="dxa"/>
            <w:vAlign w:val="top"/>
          </w:tcPr>
          <w:p w14:paraId="7A7760F2">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pacing w:val="-3"/>
                <w:sz w:val="24"/>
                <w:szCs w:val="24"/>
                <w:highlight w:val="none"/>
              </w:rPr>
            </w:pPr>
            <w:r>
              <w:rPr>
                <w:rFonts w:hint="eastAsia" w:ascii="仿宋" w:hAnsi="仿宋" w:eastAsia="仿宋" w:cs="仿宋"/>
                <w:color w:val="auto"/>
                <w:kern w:val="0"/>
                <w:sz w:val="24"/>
                <w:szCs w:val="24"/>
                <w:highlight w:val="none"/>
                <w:lang w:val="en-US" w:eastAsia="zh-CN" w:bidi="ar"/>
              </w:rPr>
              <w:t>根据投标人提供的项目总体实施方案</w:t>
            </w:r>
            <w:r>
              <w:rPr>
                <w:rFonts w:hint="eastAsia" w:ascii="仿宋" w:hAnsi="仿宋" w:eastAsia="仿宋" w:cs="仿宋"/>
                <w:color w:val="auto"/>
                <w:spacing w:val="-3"/>
                <w:sz w:val="24"/>
                <w:szCs w:val="24"/>
                <w:highlight w:val="none"/>
                <w:lang w:val="en-US" w:eastAsia="zh-CN"/>
              </w:rPr>
              <w:t>进行评审，方案内容包括但不限于：</w:t>
            </w:r>
          </w:p>
          <w:p w14:paraId="44561A91">
            <w:pPr>
              <w:keepNext w:val="0"/>
              <w:keepLines w:val="0"/>
              <w:pageBreakBefore w:val="0"/>
              <w:widowControl/>
              <w:suppressLineNumbers w:val="0"/>
              <w:shd w:val="clear"/>
              <w:kinsoku/>
              <w:wordWrap w:val="0"/>
              <w:overflowPunct/>
              <w:topLinePunct w:val="0"/>
              <w:autoSpaceDE w:val="0"/>
              <w:autoSpaceDN w:val="0"/>
              <w:bidi w:val="0"/>
              <w:adjustRightInd w:val="0"/>
              <w:snapToGrid w:val="0"/>
              <w:spacing w:line="240" w:lineRule="auto"/>
              <w:ind w:left="0" w:leftChars="0" w:right="0" w:firstLine="0" w:firstLineChars="0"/>
              <w:jc w:val="left"/>
              <w:textAlignment w:val="baseline"/>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r>
              <w:rPr>
                <w:rFonts w:hint="eastAsia" w:ascii="仿宋" w:hAnsi="仿宋" w:eastAsia="仿宋" w:cs="仿宋"/>
                <w:snapToGrid w:val="0"/>
                <w:color w:val="auto"/>
                <w:kern w:val="0"/>
                <w:sz w:val="24"/>
                <w:szCs w:val="24"/>
                <w:highlight w:val="none"/>
                <w:lang w:val="en-US" w:eastAsia="zh-CN" w:bidi="ar"/>
              </w:rPr>
              <w:t>.项目总体目标理解与实施思路；</w:t>
            </w:r>
          </w:p>
          <w:p w14:paraId="2A88C835">
            <w:pPr>
              <w:keepNext w:val="0"/>
              <w:keepLines w:val="0"/>
              <w:pageBreakBefore w:val="0"/>
              <w:widowControl/>
              <w:suppressLineNumbers w:val="0"/>
              <w:shd w:val="clear"/>
              <w:kinsoku/>
              <w:wordWrap w:val="0"/>
              <w:overflowPunct/>
              <w:topLinePunct w:val="0"/>
              <w:autoSpaceDE w:val="0"/>
              <w:autoSpaceDN w:val="0"/>
              <w:bidi w:val="0"/>
              <w:adjustRightInd w:val="0"/>
              <w:snapToGrid w:val="0"/>
              <w:spacing w:line="240" w:lineRule="auto"/>
              <w:ind w:left="0" w:leftChars="0" w:right="0" w:firstLine="0" w:firstLineChars="0"/>
              <w:jc w:val="left"/>
              <w:textAlignment w:val="baseline"/>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2.工作架构、整体实施计划与进度管控；</w:t>
            </w:r>
          </w:p>
          <w:p w14:paraId="602C9617">
            <w:pPr>
              <w:keepNext w:val="0"/>
              <w:keepLines w:val="0"/>
              <w:pageBreakBefore w:val="0"/>
              <w:widowControl/>
              <w:suppressLineNumbers w:val="0"/>
              <w:shd w:val="clear"/>
              <w:kinsoku/>
              <w:wordWrap w:val="0"/>
              <w:overflowPunct/>
              <w:topLinePunct w:val="0"/>
              <w:autoSpaceDE w:val="0"/>
              <w:autoSpaceDN w:val="0"/>
              <w:bidi w:val="0"/>
              <w:adjustRightInd w:val="0"/>
              <w:snapToGrid w:val="0"/>
              <w:spacing w:line="240" w:lineRule="auto"/>
              <w:ind w:left="0" w:leftChars="0" w:right="0" w:firstLine="0" w:firstLineChars="0"/>
              <w:jc w:val="left"/>
              <w:textAlignment w:val="baseline"/>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3.运维设备配置方案；</w:t>
            </w:r>
          </w:p>
          <w:p w14:paraId="111EC47D">
            <w:pPr>
              <w:keepNext w:val="0"/>
              <w:keepLines w:val="0"/>
              <w:pageBreakBefore w:val="0"/>
              <w:widowControl/>
              <w:suppressLineNumbers w:val="0"/>
              <w:shd w:val="clear"/>
              <w:kinsoku/>
              <w:wordWrap w:val="0"/>
              <w:overflowPunct/>
              <w:topLinePunct w:val="0"/>
              <w:autoSpaceDE w:val="0"/>
              <w:autoSpaceDN w:val="0"/>
              <w:bidi w:val="0"/>
              <w:adjustRightInd w:val="0"/>
              <w:snapToGrid w:val="0"/>
              <w:spacing w:line="240" w:lineRule="auto"/>
              <w:ind w:left="0" w:leftChars="0" w:right="0" w:firstLine="0" w:firstLineChars="0"/>
              <w:jc w:val="left"/>
              <w:textAlignment w:val="baseline"/>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4.运维备机配置方案；</w:t>
            </w:r>
          </w:p>
          <w:p w14:paraId="6AF9B6B2">
            <w:pPr>
              <w:keepNext w:val="0"/>
              <w:keepLines w:val="0"/>
              <w:pageBreakBefore w:val="0"/>
              <w:widowControl/>
              <w:suppressLineNumbers w:val="0"/>
              <w:shd w:val="clear"/>
              <w:kinsoku/>
              <w:wordWrap w:val="0"/>
              <w:overflowPunct/>
              <w:topLinePunct w:val="0"/>
              <w:autoSpaceDE w:val="0"/>
              <w:autoSpaceDN w:val="0"/>
              <w:bidi w:val="0"/>
              <w:adjustRightInd w:val="0"/>
              <w:snapToGrid w:val="0"/>
              <w:spacing w:line="240" w:lineRule="auto"/>
              <w:ind w:left="0" w:leftChars="0" w:right="0" w:firstLine="0" w:firstLineChars="0"/>
              <w:jc w:val="left"/>
              <w:textAlignment w:val="baseline"/>
              <w:rPr>
                <w:rFonts w:hint="default"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5.运维交接工作方案；</w:t>
            </w:r>
          </w:p>
          <w:p w14:paraId="3973806E">
            <w:pPr>
              <w:keepNext w:val="0"/>
              <w:keepLines w:val="0"/>
              <w:pageBreakBefore w:val="0"/>
              <w:widowControl/>
              <w:suppressLineNumbers w:val="0"/>
              <w:shd w:val="clear"/>
              <w:kinsoku/>
              <w:wordWrap w:val="0"/>
              <w:overflowPunct/>
              <w:topLinePunct w:val="0"/>
              <w:autoSpaceDE w:val="0"/>
              <w:autoSpaceDN w:val="0"/>
              <w:bidi w:val="0"/>
              <w:adjustRightInd w:val="0"/>
              <w:snapToGrid w:val="0"/>
              <w:ind w:left="0" w:right="0"/>
              <w:jc w:val="left"/>
              <w:textAlignment w:val="baseline"/>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以上5项完整提供且满足采购需求的得15分；缺少上述任意1个完整模块的扣3分；模块已提供但存在下列缺陷</w:t>
            </w:r>
            <w:r>
              <w:rPr>
                <w:rFonts w:hint="eastAsia" w:ascii="仿宋" w:hAnsi="仿宋" w:eastAsia="仿宋" w:cs="仿宋"/>
                <w:color w:val="auto"/>
                <w:kern w:val="0"/>
                <w:sz w:val="24"/>
                <w:szCs w:val="24"/>
                <w:highlight w:val="none"/>
                <w:lang w:val="en-US" w:eastAsia="zh-CN" w:bidi="ar"/>
              </w:rPr>
              <w:t>的，每处扣1分，</w:t>
            </w:r>
            <w:r>
              <w:rPr>
                <w:rFonts w:hint="eastAsia" w:ascii="仿宋" w:hAnsi="仿宋" w:eastAsia="仿宋" w:cs="仿宋"/>
                <w:snapToGrid w:val="0"/>
                <w:color w:val="auto"/>
                <w:kern w:val="0"/>
                <w:sz w:val="24"/>
                <w:szCs w:val="24"/>
                <w:highlight w:val="none"/>
                <w:lang w:val="en-US" w:eastAsia="zh-CN" w:bidi="ar"/>
              </w:rPr>
              <w:t>扣完为止。未提供相关内容不得分。</w:t>
            </w:r>
          </w:p>
          <w:p w14:paraId="1AB3B5C9">
            <w:pPr>
              <w:pStyle w:val="11"/>
              <w:keepNext w:val="0"/>
              <w:keepLines w:val="0"/>
              <w:pageBreakBefore w:val="0"/>
              <w:widowControl/>
              <w:shd w:val="clear"/>
              <w:kinsoku/>
              <w:wordWrap w:val="0"/>
              <w:overflowPunct/>
              <w:topLinePunct w:val="0"/>
              <w:autoSpaceDE w:val="0"/>
              <w:autoSpaceDN w:val="0"/>
              <w:bidi w:val="0"/>
              <w:adjustRightInd w:val="0"/>
              <w:snapToGrid w:val="0"/>
              <w:ind w:left="0" w:right="0"/>
              <w:textAlignment w:val="baseline"/>
              <w:rPr>
                <w:rFonts w:hint="eastAsia" w:ascii="仿宋" w:hAnsi="仿宋" w:eastAsia="仿宋" w:cs="仿宋"/>
                <w:color w:val="auto"/>
                <w:sz w:val="24"/>
                <w:szCs w:val="24"/>
                <w:highlight w:val="none"/>
              </w:rPr>
            </w:pPr>
            <w:r>
              <w:rPr>
                <w:rFonts w:hint="eastAsia" w:ascii="仿宋" w:hAnsi="仿宋" w:eastAsia="仿宋" w:cs="仿宋"/>
                <w:snapToGrid w:val="0"/>
                <w:color w:val="auto"/>
                <w:kern w:val="0"/>
                <w:sz w:val="24"/>
                <w:szCs w:val="24"/>
                <w:highlight w:val="none"/>
                <w:lang w:val="en-US" w:eastAsia="zh-CN" w:bidi="ar"/>
              </w:rPr>
              <w:t>（缺陷是指：①项目适配性偏差②模块内部关键内容缺失③文本逻辑矛盾④标准规范错误⑤照搬招标文件无针对性内容）</w:t>
            </w:r>
          </w:p>
        </w:tc>
      </w:tr>
      <w:tr w14:paraId="1D3C5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vAlign w:val="center"/>
          </w:tcPr>
          <w:p w14:paraId="772A60A9">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3"/>
                <w:highlight w:val="none"/>
                <w:lang w:val="en-US" w:eastAsia="zh-CN"/>
              </w:rPr>
            </w:pPr>
            <w:r>
              <w:rPr>
                <w:rFonts w:hint="eastAsia" w:cs="仿宋"/>
                <w:color w:val="auto"/>
                <w:spacing w:val="-3"/>
                <w:highlight w:val="none"/>
                <w:lang w:val="en-US" w:eastAsia="zh-CN"/>
              </w:rPr>
              <w:t>7</w:t>
            </w:r>
          </w:p>
        </w:tc>
        <w:tc>
          <w:tcPr>
            <w:tcW w:w="1185" w:type="dxa"/>
            <w:vAlign w:val="center"/>
          </w:tcPr>
          <w:p w14:paraId="48D86C85">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3"/>
                <w:highlight w:val="none"/>
              </w:rPr>
            </w:pPr>
            <w:r>
              <w:rPr>
                <w:rFonts w:hint="eastAsia" w:ascii="仿宋" w:hAnsi="仿宋" w:eastAsia="仿宋" w:cs="仿宋"/>
                <w:color w:val="auto"/>
                <w:spacing w:val="-3"/>
                <w:highlight w:val="none"/>
              </w:rPr>
              <w:t>运维服务方案</w:t>
            </w:r>
          </w:p>
        </w:tc>
        <w:tc>
          <w:tcPr>
            <w:tcW w:w="983" w:type="dxa"/>
            <w:vAlign w:val="center"/>
          </w:tcPr>
          <w:p w14:paraId="1E860E54">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highlight w:val="none"/>
                <w:lang w:val="en-US" w:eastAsia="zh-CN"/>
              </w:rPr>
            </w:pPr>
            <w:r>
              <w:rPr>
                <w:rFonts w:hint="eastAsia" w:ascii="仿宋" w:hAnsi="仿宋" w:eastAsia="仿宋" w:cs="仿宋"/>
                <w:color w:val="auto"/>
                <w:spacing w:val="-5"/>
                <w:highlight w:val="none"/>
                <w:lang w:val="en-US" w:eastAsia="zh-CN"/>
              </w:rPr>
              <w:t>16</w:t>
            </w:r>
          </w:p>
        </w:tc>
        <w:tc>
          <w:tcPr>
            <w:tcW w:w="5040" w:type="dxa"/>
            <w:vAlign w:val="top"/>
          </w:tcPr>
          <w:p w14:paraId="1FB4ACBA">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pacing w:val="-3"/>
                <w:sz w:val="24"/>
                <w:szCs w:val="24"/>
                <w:highlight w:val="none"/>
              </w:rPr>
            </w:pPr>
            <w:r>
              <w:rPr>
                <w:rFonts w:hint="eastAsia" w:ascii="仿宋" w:hAnsi="仿宋" w:eastAsia="仿宋" w:cs="仿宋"/>
                <w:color w:val="auto"/>
                <w:spacing w:val="-3"/>
                <w:sz w:val="24"/>
                <w:szCs w:val="24"/>
                <w:highlight w:val="none"/>
                <w:lang w:val="en-US" w:eastAsia="zh-CN"/>
              </w:rPr>
              <w:t>根据投标人提供的</w:t>
            </w:r>
            <w:r>
              <w:rPr>
                <w:rFonts w:hint="eastAsia" w:ascii="仿宋" w:hAnsi="仿宋" w:eastAsia="仿宋" w:cs="仿宋"/>
                <w:color w:val="auto"/>
                <w:spacing w:val="-3"/>
                <w:sz w:val="24"/>
                <w:szCs w:val="24"/>
                <w:highlight w:val="none"/>
              </w:rPr>
              <w:t>空气自动站运维服务方案</w:t>
            </w:r>
            <w:r>
              <w:rPr>
                <w:rFonts w:hint="eastAsia" w:ascii="仿宋" w:hAnsi="仿宋" w:eastAsia="仿宋" w:cs="仿宋"/>
                <w:color w:val="auto"/>
                <w:spacing w:val="-3"/>
                <w:sz w:val="24"/>
                <w:szCs w:val="24"/>
                <w:highlight w:val="none"/>
                <w:lang w:val="en-US" w:eastAsia="zh-CN"/>
              </w:rPr>
              <w:t>进行评审，方案内容包括但不限于：</w:t>
            </w:r>
          </w:p>
          <w:p w14:paraId="4B539D5B">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val="en-US" w:eastAsia="zh-CN"/>
              </w:rPr>
              <w:t>1.</w:t>
            </w:r>
            <w:r>
              <w:rPr>
                <w:rFonts w:hint="eastAsia" w:ascii="仿宋" w:hAnsi="仿宋" w:eastAsia="仿宋" w:cs="仿宋"/>
                <w:color w:val="auto"/>
                <w:sz w:val="24"/>
                <w:szCs w:val="24"/>
                <w:highlight w:val="none"/>
              </w:rPr>
              <w:t>站点日常运维</w:t>
            </w:r>
            <w:r>
              <w:rPr>
                <w:rFonts w:hint="eastAsia" w:ascii="仿宋" w:hAnsi="仿宋" w:eastAsia="仿宋" w:cs="仿宋"/>
                <w:color w:val="auto"/>
                <w:sz w:val="24"/>
                <w:szCs w:val="24"/>
                <w:highlight w:val="none"/>
                <w:lang w:eastAsia="zh-CN"/>
              </w:rPr>
              <w:t>；</w:t>
            </w:r>
          </w:p>
          <w:p w14:paraId="7816F4B2">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日/周/月/季度/半年/年度运维作业计划</w:t>
            </w:r>
            <w:r>
              <w:rPr>
                <w:rFonts w:hint="eastAsia" w:ascii="仿宋" w:hAnsi="仿宋" w:eastAsia="仿宋" w:cs="仿宋"/>
                <w:color w:val="auto"/>
                <w:sz w:val="24"/>
                <w:szCs w:val="24"/>
                <w:highlight w:val="none"/>
                <w:lang w:eastAsia="zh-CN"/>
              </w:rPr>
              <w:t>；</w:t>
            </w:r>
          </w:p>
          <w:p w14:paraId="2E47A7EC">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质量控制与量值溯源</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安全生产管理</w:t>
            </w:r>
            <w:r>
              <w:rPr>
                <w:rFonts w:hint="eastAsia" w:ascii="仿宋" w:hAnsi="仿宋" w:eastAsia="仿宋" w:cs="仿宋"/>
                <w:color w:val="auto"/>
                <w:sz w:val="24"/>
                <w:szCs w:val="24"/>
                <w:highlight w:val="none"/>
                <w:lang w:eastAsia="zh-CN"/>
              </w:rPr>
              <w:t>；</w:t>
            </w:r>
          </w:p>
          <w:p w14:paraId="0854FDAA">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故障应急处置</w:t>
            </w:r>
            <w:r>
              <w:rPr>
                <w:rFonts w:hint="eastAsia" w:ascii="仿宋" w:hAnsi="仿宋" w:eastAsia="仿宋" w:cs="仿宋"/>
                <w:color w:val="auto"/>
                <w:sz w:val="24"/>
                <w:szCs w:val="24"/>
                <w:highlight w:val="none"/>
                <w:lang w:eastAsia="zh-CN"/>
              </w:rPr>
              <w:t>；</w:t>
            </w:r>
          </w:p>
          <w:p w14:paraId="2CF57CC9">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备机保障</w:t>
            </w:r>
            <w:r>
              <w:rPr>
                <w:rFonts w:hint="eastAsia" w:ascii="仿宋" w:hAnsi="仿宋" w:eastAsia="仿宋" w:cs="仿宋"/>
                <w:color w:val="auto"/>
                <w:sz w:val="24"/>
                <w:szCs w:val="24"/>
                <w:highlight w:val="none"/>
                <w:lang w:eastAsia="zh-CN"/>
              </w:rPr>
              <w:t>；</w:t>
            </w:r>
          </w:p>
          <w:p w14:paraId="6BC6B897">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档案台账管理</w:t>
            </w:r>
            <w:r>
              <w:rPr>
                <w:rFonts w:hint="eastAsia" w:ascii="仿宋" w:hAnsi="仿宋" w:eastAsia="仿宋" w:cs="仿宋"/>
                <w:color w:val="auto"/>
                <w:sz w:val="24"/>
                <w:szCs w:val="24"/>
                <w:highlight w:val="none"/>
                <w:lang w:eastAsia="zh-CN"/>
              </w:rPr>
              <w:t>；</w:t>
            </w:r>
          </w:p>
          <w:p w14:paraId="74E9D3E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站点迁移实施</w:t>
            </w:r>
            <w:r>
              <w:rPr>
                <w:rFonts w:hint="eastAsia" w:ascii="仿宋" w:hAnsi="仿宋" w:eastAsia="仿宋" w:cs="仿宋"/>
                <w:color w:val="auto"/>
                <w:sz w:val="24"/>
                <w:szCs w:val="24"/>
                <w:highlight w:val="none"/>
                <w:lang w:eastAsia="zh-CN"/>
              </w:rPr>
              <w:t>；</w:t>
            </w:r>
          </w:p>
          <w:p w14:paraId="573C1F67">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信息保护管理等内容</w:t>
            </w:r>
            <w:r>
              <w:rPr>
                <w:rFonts w:hint="eastAsia" w:cs="仿宋"/>
                <w:color w:val="auto"/>
                <w:sz w:val="24"/>
                <w:szCs w:val="24"/>
                <w:highlight w:val="none"/>
                <w:lang w:eastAsia="zh-CN"/>
              </w:rPr>
              <w:t>；</w:t>
            </w:r>
          </w:p>
          <w:p w14:paraId="67C52A9C">
            <w:pPr>
              <w:keepNext w:val="0"/>
              <w:keepLines w:val="0"/>
              <w:pageBreakBefore w:val="0"/>
              <w:widowControl/>
              <w:suppressLineNumbers w:val="0"/>
              <w:shd w:val="clear"/>
              <w:kinsoku/>
              <w:wordWrap w:val="0"/>
              <w:overflowPunct/>
              <w:topLinePunct w:val="0"/>
              <w:autoSpaceDE w:val="0"/>
              <w:autoSpaceDN w:val="0"/>
              <w:bidi w:val="0"/>
              <w:adjustRightInd w:val="0"/>
              <w:snapToGrid w:val="0"/>
              <w:ind w:left="0" w:right="0"/>
              <w:jc w:val="left"/>
              <w:textAlignment w:val="baseline"/>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以上8项完整提供且满足采购需求的得16分；缺少上述任意1个完整模块的扣2分；模块已提供但存在下列缺陷的，每处扣1分，</w:t>
            </w:r>
            <w:r>
              <w:rPr>
                <w:rFonts w:hint="eastAsia" w:ascii="仿宋" w:hAnsi="仿宋" w:eastAsia="仿宋" w:cs="仿宋"/>
                <w:snapToGrid w:val="0"/>
                <w:color w:val="auto"/>
                <w:kern w:val="0"/>
                <w:sz w:val="24"/>
                <w:szCs w:val="24"/>
                <w:highlight w:val="none"/>
                <w:lang w:val="en-US" w:eastAsia="zh-CN" w:bidi="ar"/>
              </w:rPr>
              <w:t>扣完为止。未提供相关内容不得分。</w:t>
            </w:r>
          </w:p>
          <w:p w14:paraId="2E092EF4">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rPr>
            </w:pPr>
            <w:r>
              <w:rPr>
                <w:rFonts w:hint="eastAsia" w:ascii="仿宋" w:hAnsi="仿宋" w:eastAsia="仿宋" w:cs="仿宋"/>
                <w:snapToGrid w:val="0"/>
                <w:color w:val="auto"/>
                <w:kern w:val="0"/>
                <w:sz w:val="24"/>
                <w:szCs w:val="24"/>
                <w:highlight w:val="none"/>
                <w:lang w:val="en-US" w:eastAsia="zh-CN" w:bidi="ar"/>
              </w:rPr>
              <w:t>（缺陷是指：①项目适配性偏差②模块内部关键内容缺失③文本逻辑矛盾④标准规范错误⑤照搬招标文件无针对性内容）</w:t>
            </w:r>
          </w:p>
        </w:tc>
      </w:tr>
      <w:tr w14:paraId="2B5B0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shd w:val="clear" w:color="auto" w:fill="auto"/>
            <w:vAlign w:val="center"/>
          </w:tcPr>
          <w:p w14:paraId="690F23D7">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5"/>
                <w:highlight w:val="none"/>
                <w:lang w:val="en-US" w:eastAsia="zh-CN"/>
              </w:rPr>
            </w:pPr>
            <w:r>
              <w:rPr>
                <w:rFonts w:hint="eastAsia" w:cs="仿宋"/>
                <w:color w:val="auto"/>
                <w:spacing w:val="-5"/>
                <w:highlight w:val="none"/>
                <w:lang w:val="en-US" w:eastAsia="zh-CN"/>
              </w:rPr>
              <w:t>8</w:t>
            </w:r>
          </w:p>
        </w:tc>
        <w:tc>
          <w:tcPr>
            <w:tcW w:w="1185" w:type="dxa"/>
            <w:shd w:val="clear" w:color="auto" w:fill="auto"/>
            <w:vAlign w:val="center"/>
          </w:tcPr>
          <w:p w14:paraId="343760D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5"/>
                <w:highlight w:val="none"/>
              </w:rPr>
            </w:pPr>
            <w:r>
              <w:rPr>
                <w:rFonts w:hint="eastAsia" w:ascii="仿宋" w:hAnsi="仿宋" w:eastAsia="仿宋" w:cs="仿宋"/>
                <w:color w:val="auto"/>
                <w:spacing w:val="-5"/>
                <w:highlight w:val="none"/>
              </w:rPr>
              <w:t>质量控制方案</w:t>
            </w:r>
          </w:p>
        </w:tc>
        <w:tc>
          <w:tcPr>
            <w:tcW w:w="983" w:type="dxa"/>
            <w:shd w:val="clear" w:color="auto" w:fill="auto"/>
            <w:vAlign w:val="center"/>
          </w:tcPr>
          <w:p w14:paraId="0FFDF78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highlight w:val="none"/>
                <w:lang w:val="en-US" w:eastAsia="zh-CN"/>
              </w:rPr>
            </w:pPr>
            <w:r>
              <w:rPr>
                <w:rFonts w:hint="eastAsia" w:cs="仿宋"/>
                <w:color w:val="auto"/>
                <w:spacing w:val="-5"/>
                <w:highlight w:val="none"/>
                <w:lang w:val="en-US" w:eastAsia="zh-CN"/>
              </w:rPr>
              <w:t>8</w:t>
            </w:r>
          </w:p>
        </w:tc>
        <w:tc>
          <w:tcPr>
            <w:tcW w:w="5040" w:type="dxa"/>
            <w:shd w:val="clear" w:color="auto" w:fill="auto"/>
            <w:vAlign w:val="top"/>
          </w:tcPr>
          <w:p w14:paraId="4CD43696">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根据投标人提供的</w:t>
            </w:r>
            <w:r>
              <w:rPr>
                <w:color w:val="auto"/>
                <w:spacing w:val="-3"/>
                <w:sz w:val="24"/>
                <w:szCs w:val="24"/>
                <w:highlight w:val="none"/>
              </w:rPr>
              <w:t>质量控制</w:t>
            </w:r>
            <w:r>
              <w:rPr>
                <w:rFonts w:hint="eastAsia" w:ascii="仿宋" w:hAnsi="仿宋" w:eastAsia="仿宋" w:cs="仿宋"/>
                <w:color w:val="auto"/>
                <w:spacing w:val="-5"/>
                <w:sz w:val="24"/>
                <w:szCs w:val="24"/>
                <w:highlight w:val="none"/>
              </w:rPr>
              <w:t>方案</w:t>
            </w:r>
            <w:r>
              <w:rPr>
                <w:rFonts w:hint="eastAsia" w:ascii="仿宋" w:hAnsi="仿宋" w:eastAsia="仿宋" w:cs="仿宋"/>
                <w:color w:val="auto"/>
                <w:spacing w:val="-3"/>
                <w:sz w:val="24"/>
                <w:szCs w:val="24"/>
                <w:highlight w:val="none"/>
                <w:lang w:val="en-US" w:eastAsia="zh-CN"/>
              </w:rPr>
              <w:t>进行评审，方案内容包括但不限于：</w:t>
            </w:r>
          </w:p>
          <w:p w14:paraId="53145B15">
            <w:pPr>
              <w:keepNext w:val="0"/>
              <w:keepLines w:val="0"/>
              <w:pageBreakBefore w:val="0"/>
              <w:widowControl/>
              <w:suppressLineNumbers w:val="0"/>
              <w:shd w:val="clear"/>
              <w:kinsoku/>
              <w:wordWrap w:val="0"/>
              <w:overflowPunct/>
              <w:topLinePunct w:val="0"/>
              <w:autoSpaceDE w:val="0"/>
              <w:autoSpaceDN w:val="0"/>
              <w:bidi w:val="0"/>
              <w:adjustRightInd w:val="0"/>
              <w:snapToGrid w:val="0"/>
              <w:ind w:left="0" w:right="0"/>
              <w:jc w:val="left"/>
              <w:textAlignment w:val="baseline"/>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1.质量保证体系；2.质量控制要求；3.质量控制工作；4.质量控制督查。</w:t>
            </w:r>
          </w:p>
          <w:p w14:paraId="1D44BF1F">
            <w:pPr>
              <w:keepNext w:val="0"/>
              <w:keepLines w:val="0"/>
              <w:pageBreakBefore w:val="0"/>
              <w:widowControl/>
              <w:suppressLineNumbers w:val="0"/>
              <w:shd w:val="clear"/>
              <w:kinsoku/>
              <w:wordWrap w:val="0"/>
              <w:overflowPunct/>
              <w:topLinePunct w:val="0"/>
              <w:autoSpaceDE w:val="0"/>
              <w:autoSpaceDN w:val="0"/>
              <w:bidi w:val="0"/>
              <w:adjustRightInd w:val="0"/>
              <w:snapToGrid w:val="0"/>
              <w:ind w:left="0" w:right="0"/>
              <w:jc w:val="left"/>
              <w:textAlignment w:val="baseline"/>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以上4项完整提供且满足采购需求的得8分；缺少上述任意1个完整模块的扣2分；模块已提供但存在下列缺陷的，每处扣1分，</w:t>
            </w:r>
            <w:r>
              <w:rPr>
                <w:rFonts w:hint="eastAsia" w:ascii="仿宋" w:hAnsi="仿宋" w:eastAsia="仿宋" w:cs="仿宋"/>
                <w:snapToGrid w:val="0"/>
                <w:color w:val="auto"/>
                <w:kern w:val="0"/>
                <w:sz w:val="24"/>
                <w:szCs w:val="24"/>
                <w:highlight w:val="none"/>
                <w:lang w:val="en-US" w:eastAsia="zh-CN" w:bidi="ar"/>
              </w:rPr>
              <w:t>扣完为止。未提供相关内容不得分。</w:t>
            </w:r>
          </w:p>
          <w:p w14:paraId="71B8AC91">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rPr>
            </w:pPr>
            <w:r>
              <w:rPr>
                <w:rFonts w:hint="eastAsia" w:ascii="仿宋" w:hAnsi="仿宋" w:eastAsia="仿宋" w:cs="仿宋"/>
                <w:snapToGrid w:val="0"/>
                <w:color w:val="auto"/>
                <w:kern w:val="0"/>
                <w:sz w:val="24"/>
                <w:szCs w:val="24"/>
                <w:highlight w:val="none"/>
                <w:lang w:val="en-US" w:eastAsia="zh-CN" w:bidi="ar"/>
              </w:rPr>
              <w:t>（缺陷是指：①项目适配性偏差②模块内部关键内容缺失③文本逻辑矛盾④标准规范错误⑤照搬招标文件无针对性内容）</w:t>
            </w:r>
          </w:p>
        </w:tc>
      </w:tr>
      <w:tr w14:paraId="62C60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vAlign w:val="center"/>
          </w:tcPr>
          <w:p w14:paraId="12551C8B">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2"/>
                <w:highlight w:val="none"/>
                <w:lang w:val="en-US" w:eastAsia="zh-CN"/>
              </w:rPr>
            </w:pPr>
            <w:r>
              <w:rPr>
                <w:rFonts w:hint="eastAsia" w:cs="仿宋"/>
                <w:color w:val="auto"/>
                <w:spacing w:val="-2"/>
                <w:highlight w:val="none"/>
                <w:lang w:val="en-US" w:eastAsia="zh-CN"/>
              </w:rPr>
              <w:t>9</w:t>
            </w:r>
          </w:p>
        </w:tc>
        <w:tc>
          <w:tcPr>
            <w:tcW w:w="1185" w:type="dxa"/>
            <w:vAlign w:val="center"/>
          </w:tcPr>
          <w:p w14:paraId="333928EC">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2"/>
                <w:highlight w:val="none"/>
              </w:rPr>
            </w:pPr>
            <w:r>
              <w:rPr>
                <w:color w:val="auto"/>
                <w:spacing w:val="-3"/>
                <w:highlight w:val="none"/>
              </w:rPr>
              <w:t>应急方案</w:t>
            </w:r>
          </w:p>
        </w:tc>
        <w:tc>
          <w:tcPr>
            <w:tcW w:w="983" w:type="dxa"/>
            <w:vAlign w:val="center"/>
          </w:tcPr>
          <w:p w14:paraId="5CF6474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highlight w:val="none"/>
                <w:lang w:eastAsia="zh-CN"/>
              </w:rPr>
            </w:pPr>
            <w:r>
              <w:rPr>
                <w:rFonts w:hint="eastAsia" w:cs="仿宋"/>
                <w:color w:val="auto"/>
                <w:spacing w:val="-5"/>
                <w:highlight w:val="none"/>
                <w:lang w:val="en-US" w:eastAsia="zh-CN"/>
              </w:rPr>
              <w:t>4</w:t>
            </w:r>
          </w:p>
        </w:tc>
        <w:tc>
          <w:tcPr>
            <w:tcW w:w="5040" w:type="dxa"/>
            <w:vAlign w:val="top"/>
          </w:tcPr>
          <w:p w14:paraId="038E31CD">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根据投标人提供的</w:t>
            </w:r>
            <w:r>
              <w:rPr>
                <w:color w:val="auto"/>
                <w:spacing w:val="-3"/>
                <w:sz w:val="24"/>
                <w:szCs w:val="24"/>
                <w:highlight w:val="none"/>
              </w:rPr>
              <w:t>应急</w:t>
            </w:r>
            <w:r>
              <w:rPr>
                <w:rFonts w:hint="eastAsia" w:ascii="仿宋" w:hAnsi="仿宋" w:eastAsia="仿宋" w:cs="仿宋"/>
                <w:color w:val="auto"/>
                <w:spacing w:val="-2"/>
                <w:sz w:val="24"/>
                <w:szCs w:val="24"/>
                <w:highlight w:val="none"/>
              </w:rPr>
              <w:t>方案</w:t>
            </w:r>
            <w:r>
              <w:rPr>
                <w:rFonts w:hint="eastAsia" w:ascii="仿宋" w:hAnsi="仿宋" w:eastAsia="仿宋" w:cs="仿宋"/>
                <w:color w:val="auto"/>
                <w:spacing w:val="-3"/>
                <w:sz w:val="24"/>
                <w:szCs w:val="24"/>
                <w:highlight w:val="none"/>
                <w:lang w:val="en-US" w:eastAsia="zh-CN"/>
              </w:rPr>
              <w:t>进行评审，方案内容包括但不限于：</w:t>
            </w:r>
          </w:p>
          <w:p w14:paraId="6C078836">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val="en-US" w:eastAsia="zh-CN"/>
              </w:rPr>
            </w:pPr>
            <w:r>
              <w:rPr>
                <w:rFonts w:hint="eastAsia" w:cs="仿宋"/>
                <w:color w:val="auto"/>
                <w:sz w:val="24"/>
                <w:szCs w:val="24"/>
                <w:highlight w:val="none"/>
                <w:lang w:val="en-US" w:eastAsia="zh-CN"/>
              </w:rPr>
              <w:t>1.</w:t>
            </w:r>
            <w:r>
              <w:rPr>
                <w:rFonts w:hint="eastAsia" w:ascii="仿宋" w:hAnsi="仿宋" w:eastAsia="仿宋" w:cs="仿宋"/>
                <w:color w:val="auto"/>
                <w:sz w:val="24"/>
                <w:szCs w:val="24"/>
                <w:highlight w:val="none"/>
                <w:lang w:val="en-US" w:eastAsia="zh-CN"/>
              </w:rPr>
              <w:t>应急工作规划</w:t>
            </w:r>
            <w:r>
              <w:rPr>
                <w:rFonts w:hint="eastAsia" w:cs="仿宋"/>
                <w:color w:val="auto"/>
                <w:sz w:val="24"/>
                <w:szCs w:val="24"/>
                <w:highlight w:val="none"/>
                <w:lang w:val="en-US" w:eastAsia="zh-CN"/>
              </w:rPr>
              <w:t>；2.</w:t>
            </w:r>
            <w:r>
              <w:rPr>
                <w:rFonts w:hint="eastAsia" w:ascii="仿宋" w:hAnsi="仿宋" w:eastAsia="仿宋" w:cs="仿宋"/>
                <w:color w:val="auto"/>
                <w:sz w:val="24"/>
                <w:szCs w:val="24"/>
                <w:highlight w:val="none"/>
                <w:lang w:val="en-US" w:eastAsia="zh-CN"/>
              </w:rPr>
              <w:t>预防措施</w:t>
            </w:r>
            <w:r>
              <w:rPr>
                <w:rFonts w:hint="eastAsia" w:cs="仿宋"/>
                <w:color w:val="auto"/>
                <w:sz w:val="24"/>
                <w:szCs w:val="24"/>
                <w:highlight w:val="none"/>
                <w:lang w:val="en-US" w:eastAsia="zh-CN"/>
              </w:rPr>
              <w:t>；3.</w:t>
            </w:r>
            <w:r>
              <w:rPr>
                <w:rFonts w:hint="eastAsia" w:ascii="仿宋" w:hAnsi="仿宋" w:eastAsia="仿宋" w:cs="仿宋"/>
                <w:color w:val="auto"/>
                <w:sz w:val="24"/>
                <w:szCs w:val="24"/>
                <w:highlight w:val="none"/>
                <w:lang w:val="en-US" w:eastAsia="zh-CN"/>
              </w:rPr>
              <w:t>应急预案</w:t>
            </w: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lang w:val="en-US" w:eastAsia="zh-CN"/>
              </w:rPr>
              <w:t>工作流程。</w:t>
            </w:r>
          </w:p>
          <w:p w14:paraId="29A81A1B">
            <w:pPr>
              <w:keepNext w:val="0"/>
              <w:keepLines w:val="0"/>
              <w:pageBreakBefore w:val="0"/>
              <w:widowControl/>
              <w:suppressLineNumbers w:val="0"/>
              <w:shd w:val="clear"/>
              <w:kinsoku/>
              <w:wordWrap w:val="0"/>
              <w:overflowPunct/>
              <w:topLinePunct w:val="0"/>
              <w:autoSpaceDE w:val="0"/>
              <w:autoSpaceDN w:val="0"/>
              <w:bidi w:val="0"/>
              <w:adjustRightInd w:val="0"/>
              <w:snapToGrid w:val="0"/>
              <w:ind w:left="0" w:right="0"/>
              <w:jc w:val="left"/>
              <w:textAlignment w:val="baseline"/>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以上4项完整提供且满足采购需求的得4分；缺少上述任意1个完整模块的扣1分；模块已提供但存在下列缺陷的，每处扣0.5分，</w:t>
            </w:r>
            <w:r>
              <w:rPr>
                <w:rFonts w:hint="eastAsia" w:ascii="仿宋" w:hAnsi="仿宋" w:eastAsia="仿宋" w:cs="仿宋"/>
                <w:snapToGrid w:val="0"/>
                <w:color w:val="auto"/>
                <w:kern w:val="0"/>
                <w:sz w:val="24"/>
                <w:szCs w:val="24"/>
                <w:highlight w:val="none"/>
                <w:lang w:val="en-US" w:eastAsia="zh-CN" w:bidi="ar"/>
              </w:rPr>
              <w:t>扣完为止。未提供相关内容不得分。</w:t>
            </w:r>
          </w:p>
          <w:p w14:paraId="03BB347E">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snapToGrid w:val="0"/>
                <w:color w:val="auto"/>
                <w:kern w:val="0"/>
                <w:sz w:val="24"/>
                <w:szCs w:val="24"/>
                <w:highlight w:val="none"/>
                <w:lang w:val="en-US" w:eastAsia="zh-CN" w:bidi="ar"/>
              </w:rPr>
              <w:t>（缺陷是指：①项目适配性偏差②模块内部关键内容缺失③文本逻辑矛盾④标准规范错误⑤照搬招标文件无针对性内容）</w:t>
            </w:r>
          </w:p>
        </w:tc>
      </w:tr>
      <w:tr w14:paraId="0F415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vAlign w:val="center"/>
          </w:tcPr>
          <w:p w14:paraId="66336451">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仿宋" w:hAnsi="仿宋" w:eastAsia="仿宋" w:cs="仿宋"/>
                <w:color w:val="auto"/>
                <w:spacing w:val="-2"/>
                <w:highlight w:val="none"/>
                <w:lang w:val="en-US" w:eastAsia="zh-CN"/>
              </w:rPr>
            </w:pPr>
            <w:r>
              <w:rPr>
                <w:rFonts w:hint="eastAsia" w:cs="仿宋"/>
                <w:color w:val="auto"/>
                <w:spacing w:val="-2"/>
                <w:highlight w:val="none"/>
                <w:lang w:val="en-US" w:eastAsia="zh-CN"/>
              </w:rPr>
              <w:t>10</w:t>
            </w:r>
          </w:p>
        </w:tc>
        <w:tc>
          <w:tcPr>
            <w:tcW w:w="1185" w:type="dxa"/>
            <w:vAlign w:val="center"/>
          </w:tcPr>
          <w:p w14:paraId="53FBFABE">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2"/>
                <w:highlight w:val="none"/>
              </w:rPr>
            </w:pPr>
            <w:r>
              <w:rPr>
                <w:rFonts w:hint="eastAsia" w:ascii="仿宋" w:hAnsi="仿宋" w:eastAsia="仿宋" w:cs="仿宋"/>
                <w:color w:val="auto"/>
                <w:spacing w:val="-2"/>
                <w:highlight w:val="none"/>
              </w:rPr>
              <w:t>运维工具、质控设备配置</w:t>
            </w:r>
          </w:p>
        </w:tc>
        <w:tc>
          <w:tcPr>
            <w:tcW w:w="983" w:type="dxa"/>
            <w:vAlign w:val="center"/>
          </w:tcPr>
          <w:p w14:paraId="5018F3F2">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5"/>
                <w:highlight w:val="none"/>
                <w:lang w:val="en-US" w:eastAsia="zh-CN"/>
              </w:rPr>
            </w:pPr>
            <w:r>
              <w:rPr>
                <w:rFonts w:hint="eastAsia" w:ascii="仿宋" w:hAnsi="仿宋" w:eastAsia="仿宋" w:cs="仿宋"/>
                <w:color w:val="auto"/>
                <w:spacing w:val="-5"/>
                <w:highlight w:val="none"/>
                <w:lang w:val="en-US" w:eastAsia="zh-CN"/>
              </w:rPr>
              <w:t>8</w:t>
            </w:r>
          </w:p>
        </w:tc>
        <w:tc>
          <w:tcPr>
            <w:tcW w:w="5040" w:type="dxa"/>
            <w:vAlign w:val="top"/>
          </w:tcPr>
          <w:p w14:paraId="146D277E">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根据投标人提供的</w:t>
            </w:r>
            <w:r>
              <w:rPr>
                <w:rFonts w:hint="eastAsia" w:ascii="仿宋" w:hAnsi="仿宋" w:eastAsia="仿宋" w:cs="仿宋"/>
                <w:color w:val="auto"/>
                <w:spacing w:val="-2"/>
                <w:sz w:val="24"/>
                <w:szCs w:val="24"/>
                <w:highlight w:val="none"/>
              </w:rPr>
              <w:t>设备配置</w:t>
            </w:r>
            <w:r>
              <w:rPr>
                <w:rFonts w:hint="eastAsia" w:ascii="仿宋" w:hAnsi="仿宋" w:eastAsia="仿宋" w:cs="仿宋"/>
                <w:color w:val="auto"/>
                <w:kern w:val="0"/>
                <w:sz w:val="24"/>
                <w:szCs w:val="24"/>
                <w:highlight w:val="none"/>
                <w:lang w:val="en-US" w:eastAsia="zh-CN" w:bidi="ar"/>
              </w:rPr>
              <w:t>情况（备机包含监测设备、数采设备等）</w:t>
            </w:r>
            <w:r>
              <w:rPr>
                <w:rFonts w:hint="eastAsia" w:ascii="仿宋" w:hAnsi="仿宋" w:eastAsia="仿宋" w:cs="仿宋"/>
                <w:color w:val="auto"/>
                <w:spacing w:val="-3"/>
                <w:sz w:val="24"/>
                <w:szCs w:val="24"/>
                <w:highlight w:val="none"/>
                <w:lang w:val="en-US" w:eastAsia="zh-CN"/>
              </w:rPr>
              <w:t>进行评审，包括但不限于：</w:t>
            </w:r>
          </w:p>
          <w:p w14:paraId="20495872">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备机配置情况清单（包含但不限于备机种类、数量、品牌、型号、价格、来源、原理等）；</w:t>
            </w:r>
          </w:p>
          <w:p w14:paraId="6EA1347F">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备机权属佐证资料（投标人为仪器设备生产厂家的须提供库存设备清单；仪器设备为已经购买的须提供购置发票和采购合同复印件；仪器设备未购买的须与生产厂家签订供货协议或意向性供货协议，并提供协议复印件；否则不予认可）；</w:t>
            </w:r>
          </w:p>
          <w:p w14:paraId="4DC629C1">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备机监测原理符合性材料（备机监测原理满足国家要求，气态污染物监测仪必须使用点式仪器，其中SO₂监测仪为紫外荧光法、NO₂监测仪为化学发光法、O₃监测仪为紫外吸收法、CO监测仪为红外吸收法）；</w:t>
            </w:r>
          </w:p>
          <w:p w14:paraId="343F416B">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颗粒物监测设备技术符合性材料（PM10和PM2.5颗粒物监测仪必须使用动态加热的β射线法）</w:t>
            </w:r>
          </w:p>
          <w:p w14:paraId="51FA7222">
            <w:pPr>
              <w:keepNext w:val="0"/>
              <w:keepLines w:val="0"/>
              <w:pageBreakBefore w:val="0"/>
              <w:widowControl/>
              <w:suppressLineNumbers w:val="0"/>
              <w:shd w:val="clear"/>
              <w:kinsoku/>
              <w:wordWrap w:val="0"/>
              <w:overflowPunct/>
              <w:topLinePunct w:val="0"/>
              <w:autoSpaceDE w:val="0"/>
              <w:autoSpaceDN w:val="0"/>
              <w:bidi w:val="0"/>
              <w:adjustRightInd w:val="0"/>
              <w:snapToGrid w:val="0"/>
              <w:ind w:left="0" w:right="0"/>
              <w:jc w:val="left"/>
              <w:textAlignment w:val="baseline"/>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以上4项完整提供且满足采购需求的得8分；缺少上述任意1个完整模块的扣2分；模块已提供但存在下列缺陷的，每处扣0.5分，</w:t>
            </w:r>
            <w:r>
              <w:rPr>
                <w:rFonts w:hint="eastAsia" w:ascii="仿宋" w:hAnsi="仿宋" w:eastAsia="仿宋" w:cs="仿宋"/>
                <w:snapToGrid w:val="0"/>
                <w:color w:val="auto"/>
                <w:kern w:val="0"/>
                <w:sz w:val="24"/>
                <w:szCs w:val="24"/>
                <w:highlight w:val="none"/>
                <w:lang w:val="en-US" w:eastAsia="zh-CN" w:bidi="ar"/>
              </w:rPr>
              <w:t>扣完为止。未提供相关内容不得分。</w:t>
            </w:r>
          </w:p>
          <w:p w14:paraId="5735E560">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snapToGrid w:val="0"/>
                <w:color w:val="auto"/>
                <w:kern w:val="0"/>
                <w:sz w:val="24"/>
                <w:szCs w:val="24"/>
                <w:highlight w:val="none"/>
                <w:lang w:val="en-US" w:eastAsia="zh-CN" w:bidi="ar"/>
              </w:rPr>
              <w:t>（缺陷是指：①项目适配性偏差②模块内部关键内容缺失③文本逻辑矛盾④标准规范错误⑤照搬招标文件无针对性内容）</w:t>
            </w:r>
          </w:p>
        </w:tc>
      </w:tr>
      <w:tr w14:paraId="71687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vAlign w:val="center"/>
          </w:tcPr>
          <w:p w14:paraId="1669422B">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仿宋" w:hAnsi="仿宋" w:eastAsia="仿宋" w:cs="仿宋"/>
                <w:color w:val="auto"/>
                <w:spacing w:val="-2"/>
                <w:highlight w:val="none"/>
                <w:lang w:val="en-US" w:eastAsia="zh-CN"/>
              </w:rPr>
            </w:pPr>
            <w:r>
              <w:rPr>
                <w:rFonts w:hint="eastAsia" w:cs="仿宋"/>
                <w:color w:val="auto"/>
                <w:spacing w:val="-2"/>
                <w:highlight w:val="none"/>
                <w:lang w:val="en-US" w:eastAsia="zh-CN"/>
              </w:rPr>
              <w:t>11</w:t>
            </w:r>
          </w:p>
        </w:tc>
        <w:tc>
          <w:tcPr>
            <w:tcW w:w="1185" w:type="dxa"/>
            <w:vAlign w:val="center"/>
          </w:tcPr>
          <w:p w14:paraId="0D186A48">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2"/>
                <w:highlight w:val="none"/>
              </w:rPr>
            </w:pPr>
            <w:r>
              <w:rPr>
                <w:rFonts w:hint="eastAsia" w:ascii="仿宋" w:hAnsi="仿宋" w:eastAsia="仿宋" w:cs="仿宋"/>
                <w:color w:val="auto"/>
                <w:spacing w:val="-2"/>
                <w:highlight w:val="none"/>
              </w:rPr>
              <w:t>运维工作记录</w:t>
            </w:r>
          </w:p>
        </w:tc>
        <w:tc>
          <w:tcPr>
            <w:tcW w:w="983" w:type="dxa"/>
            <w:vAlign w:val="center"/>
          </w:tcPr>
          <w:p w14:paraId="40595BF7">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5"/>
                <w:highlight w:val="none"/>
                <w:lang w:val="en-US" w:eastAsia="zh-CN"/>
              </w:rPr>
            </w:pPr>
            <w:r>
              <w:rPr>
                <w:rFonts w:hint="eastAsia" w:cs="仿宋"/>
                <w:color w:val="auto"/>
                <w:spacing w:val="-5"/>
                <w:highlight w:val="none"/>
                <w:lang w:val="en-US" w:eastAsia="zh-CN"/>
              </w:rPr>
              <w:t>6</w:t>
            </w:r>
          </w:p>
        </w:tc>
        <w:tc>
          <w:tcPr>
            <w:tcW w:w="5040" w:type="dxa"/>
            <w:vAlign w:val="top"/>
          </w:tcPr>
          <w:p w14:paraId="3206CB0F">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根据投标人提供的</w:t>
            </w:r>
            <w:r>
              <w:rPr>
                <w:rFonts w:hint="eastAsia" w:ascii="仿宋" w:hAnsi="仿宋" w:eastAsia="仿宋" w:cs="仿宋"/>
                <w:color w:val="auto"/>
                <w:spacing w:val="-2"/>
                <w:sz w:val="24"/>
                <w:szCs w:val="24"/>
                <w:highlight w:val="none"/>
              </w:rPr>
              <w:t>运维工作记录</w:t>
            </w:r>
            <w:r>
              <w:rPr>
                <w:rFonts w:hint="eastAsia" w:ascii="仿宋" w:hAnsi="仿宋" w:eastAsia="仿宋" w:cs="仿宋"/>
                <w:color w:val="auto"/>
                <w:spacing w:val="-2"/>
                <w:sz w:val="24"/>
                <w:szCs w:val="24"/>
                <w:highlight w:val="none"/>
                <w:lang w:val="en-US" w:eastAsia="zh-CN"/>
              </w:rPr>
              <w:t>方案</w:t>
            </w:r>
            <w:r>
              <w:rPr>
                <w:rFonts w:hint="eastAsia" w:ascii="仿宋" w:hAnsi="仿宋" w:eastAsia="仿宋" w:cs="仿宋"/>
                <w:color w:val="auto"/>
                <w:spacing w:val="-3"/>
                <w:sz w:val="24"/>
                <w:szCs w:val="24"/>
                <w:highlight w:val="none"/>
                <w:lang w:val="en-US" w:eastAsia="zh-CN"/>
              </w:rPr>
              <w:t>进行评审，包括但不限于：</w:t>
            </w:r>
          </w:p>
          <w:p w14:paraId="36F319B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textAlignment w:val="baseline"/>
              <w:rPr>
                <w:rFonts w:hint="eastAsia" w:ascii="仿宋" w:hAnsi="仿宋" w:eastAsia="仿宋" w:cs="仿宋"/>
                <w:color w:val="auto"/>
                <w:spacing w:val="-4"/>
                <w:sz w:val="24"/>
                <w:szCs w:val="24"/>
                <w:highlight w:val="none"/>
              </w:rPr>
            </w:pPr>
            <w:r>
              <w:rPr>
                <w:rFonts w:hint="eastAsia" w:ascii="仿宋" w:hAnsi="仿宋" w:eastAsia="仿宋" w:cs="仿宋"/>
                <w:color w:val="auto"/>
                <w:spacing w:val="3"/>
                <w:sz w:val="24"/>
                <w:szCs w:val="24"/>
                <w:highlight w:val="none"/>
                <w:lang w:val="en-US" w:eastAsia="zh-CN"/>
              </w:rPr>
              <w:t>1.</w:t>
            </w:r>
            <w:r>
              <w:rPr>
                <w:rFonts w:hint="eastAsia" w:ascii="仿宋" w:hAnsi="仿宋" w:eastAsia="仿宋" w:cs="仿宋"/>
                <w:color w:val="auto"/>
                <w:spacing w:val="3"/>
                <w:sz w:val="24"/>
                <w:szCs w:val="24"/>
                <w:highlight w:val="none"/>
              </w:rPr>
              <w:t>运维巡检</w:t>
            </w:r>
            <w:r>
              <w:rPr>
                <w:rFonts w:hint="eastAsia" w:ascii="仿宋" w:hAnsi="仿宋" w:eastAsia="仿宋" w:cs="仿宋"/>
                <w:color w:val="auto"/>
                <w:spacing w:val="3"/>
                <w:sz w:val="24"/>
                <w:szCs w:val="24"/>
                <w:highlight w:val="none"/>
                <w:lang w:eastAsia="zh-CN"/>
              </w:rPr>
              <w:t>；</w:t>
            </w:r>
            <w:r>
              <w:rPr>
                <w:rFonts w:hint="eastAsia" w:ascii="仿宋" w:hAnsi="仿宋" w:eastAsia="仿宋" w:cs="仿宋"/>
                <w:color w:val="auto"/>
                <w:spacing w:val="3"/>
                <w:sz w:val="24"/>
                <w:szCs w:val="24"/>
                <w:highlight w:val="none"/>
                <w:lang w:val="en-US" w:eastAsia="zh-CN"/>
              </w:rPr>
              <w:t>2.</w:t>
            </w:r>
            <w:r>
              <w:rPr>
                <w:rFonts w:hint="eastAsia" w:ascii="仿宋" w:hAnsi="仿宋" w:eastAsia="仿宋" w:cs="仿宋"/>
                <w:color w:val="auto"/>
                <w:spacing w:val="3"/>
                <w:sz w:val="24"/>
                <w:szCs w:val="24"/>
                <w:highlight w:val="none"/>
              </w:rPr>
              <w:t>质控</w:t>
            </w:r>
            <w:r>
              <w:rPr>
                <w:rFonts w:hint="eastAsia" w:ascii="仿宋" w:hAnsi="仿宋" w:eastAsia="仿宋" w:cs="仿宋"/>
                <w:color w:val="auto"/>
                <w:spacing w:val="3"/>
                <w:sz w:val="24"/>
                <w:szCs w:val="24"/>
                <w:highlight w:val="none"/>
                <w:lang w:eastAsia="zh-CN"/>
              </w:rPr>
              <w:t>；</w:t>
            </w:r>
            <w:r>
              <w:rPr>
                <w:rFonts w:hint="eastAsia" w:ascii="仿宋" w:hAnsi="仿宋" w:eastAsia="仿宋" w:cs="仿宋"/>
                <w:color w:val="auto"/>
                <w:spacing w:val="2"/>
                <w:sz w:val="24"/>
                <w:szCs w:val="24"/>
                <w:highlight w:val="none"/>
                <w:lang w:val="en-US" w:eastAsia="zh-CN"/>
              </w:rPr>
              <w:t>3.</w:t>
            </w:r>
            <w:r>
              <w:rPr>
                <w:rFonts w:hint="eastAsia" w:ascii="仿宋" w:hAnsi="仿宋" w:eastAsia="仿宋" w:cs="仿宋"/>
                <w:color w:val="auto"/>
                <w:spacing w:val="2"/>
                <w:sz w:val="24"/>
                <w:szCs w:val="24"/>
                <w:highlight w:val="none"/>
              </w:rPr>
              <w:t>维修</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pacing w:val="2"/>
                <w:sz w:val="24"/>
                <w:szCs w:val="24"/>
                <w:highlight w:val="none"/>
                <w:lang w:val="en-US" w:eastAsia="zh-CN"/>
              </w:rPr>
              <w:t>4.</w:t>
            </w:r>
            <w:r>
              <w:rPr>
                <w:rFonts w:hint="eastAsia" w:ascii="仿宋" w:hAnsi="仿宋" w:eastAsia="仿宋" w:cs="仿宋"/>
                <w:color w:val="auto"/>
                <w:spacing w:val="-4"/>
                <w:sz w:val="24"/>
                <w:szCs w:val="24"/>
                <w:highlight w:val="none"/>
              </w:rPr>
              <w:t>校准。</w:t>
            </w:r>
          </w:p>
          <w:p w14:paraId="646617EA">
            <w:pPr>
              <w:keepNext w:val="0"/>
              <w:keepLines w:val="0"/>
              <w:pageBreakBefore w:val="0"/>
              <w:widowControl/>
              <w:suppressLineNumbers w:val="0"/>
              <w:shd w:val="clear"/>
              <w:kinsoku/>
              <w:wordWrap w:val="0"/>
              <w:overflowPunct/>
              <w:topLinePunct w:val="0"/>
              <w:autoSpaceDE w:val="0"/>
              <w:autoSpaceDN w:val="0"/>
              <w:bidi w:val="0"/>
              <w:adjustRightInd w:val="0"/>
              <w:snapToGrid w:val="0"/>
              <w:spacing w:line="240" w:lineRule="auto"/>
              <w:ind w:left="0" w:right="0"/>
              <w:jc w:val="left"/>
              <w:textAlignment w:val="baseline"/>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以上4项完整提供且满足采购需求的得6分；缺少上述任意1个完整模块的扣1.5分；模块已提供但存在下列缺陷的，每处扣0.5分，</w:t>
            </w:r>
            <w:r>
              <w:rPr>
                <w:rFonts w:hint="eastAsia" w:ascii="仿宋" w:hAnsi="仿宋" w:eastAsia="仿宋" w:cs="仿宋"/>
                <w:snapToGrid w:val="0"/>
                <w:color w:val="auto"/>
                <w:kern w:val="0"/>
                <w:sz w:val="24"/>
                <w:szCs w:val="24"/>
                <w:highlight w:val="none"/>
                <w:lang w:val="en-US" w:eastAsia="zh-CN" w:bidi="ar"/>
              </w:rPr>
              <w:t>扣完为止。未提供相关内容不得分。</w:t>
            </w:r>
          </w:p>
          <w:p w14:paraId="64EEBAC5">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textAlignment w:val="baseline"/>
              <w:rPr>
                <w:rFonts w:hint="eastAsia" w:ascii="仿宋" w:hAnsi="仿宋" w:eastAsia="仿宋" w:cs="仿宋"/>
                <w:color w:val="auto"/>
                <w:spacing w:val="-4"/>
                <w:sz w:val="24"/>
                <w:szCs w:val="24"/>
                <w:highlight w:val="none"/>
                <w:lang w:val="en-US" w:eastAsia="zh-CN"/>
              </w:rPr>
            </w:pPr>
            <w:r>
              <w:rPr>
                <w:rFonts w:hint="eastAsia" w:ascii="仿宋" w:hAnsi="仿宋" w:eastAsia="仿宋" w:cs="仿宋"/>
                <w:snapToGrid w:val="0"/>
                <w:color w:val="auto"/>
                <w:kern w:val="0"/>
                <w:sz w:val="24"/>
                <w:szCs w:val="24"/>
                <w:highlight w:val="none"/>
                <w:lang w:val="en-US" w:eastAsia="zh-CN" w:bidi="ar"/>
              </w:rPr>
              <w:t>（缺陷是指：①项目适配性偏差②模块内部关键内容缺失③文本逻辑矛盾④标准规范错误⑤照搬招标文件无针对性内容）</w:t>
            </w:r>
          </w:p>
        </w:tc>
      </w:tr>
      <w:tr w14:paraId="1BFF3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170" w:type="dxa"/>
            <w:vAlign w:val="center"/>
          </w:tcPr>
          <w:p w14:paraId="041031FE">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仿宋" w:hAnsi="仿宋" w:eastAsia="仿宋" w:cs="仿宋"/>
                <w:color w:val="auto"/>
                <w:spacing w:val="-2"/>
                <w:highlight w:val="none"/>
                <w:lang w:val="en-US" w:eastAsia="zh-CN"/>
              </w:rPr>
            </w:pPr>
            <w:r>
              <w:rPr>
                <w:rFonts w:hint="eastAsia" w:cs="仿宋"/>
                <w:color w:val="auto"/>
                <w:spacing w:val="-2"/>
                <w:highlight w:val="none"/>
                <w:lang w:val="en-US" w:eastAsia="zh-CN"/>
              </w:rPr>
              <w:t>12</w:t>
            </w:r>
          </w:p>
        </w:tc>
        <w:tc>
          <w:tcPr>
            <w:tcW w:w="1185" w:type="dxa"/>
            <w:vAlign w:val="center"/>
          </w:tcPr>
          <w:p w14:paraId="65DDE786">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2"/>
                <w:highlight w:val="none"/>
              </w:rPr>
            </w:pPr>
            <w:r>
              <w:rPr>
                <w:rFonts w:hint="eastAsia" w:ascii="仿宋" w:hAnsi="仿宋" w:eastAsia="仿宋" w:cs="仿宋"/>
                <w:color w:val="auto"/>
                <w:spacing w:val="-2"/>
                <w:highlight w:val="none"/>
              </w:rPr>
              <w:t>培训方案</w:t>
            </w:r>
          </w:p>
        </w:tc>
        <w:tc>
          <w:tcPr>
            <w:tcW w:w="983" w:type="dxa"/>
            <w:vAlign w:val="center"/>
          </w:tcPr>
          <w:p w14:paraId="7FB60A46">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仿宋" w:hAnsi="仿宋" w:eastAsia="仿宋" w:cs="仿宋"/>
                <w:color w:val="auto"/>
                <w:spacing w:val="-5"/>
                <w:highlight w:val="none"/>
                <w:lang w:val="en-US" w:eastAsia="zh-CN"/>
              </w:rPr>
            </w:pPr>
            <w:r>
              <w:rPr>
                <w:rFonts w:hint="eastAsia" w:cs="仿宋"/>
                <w:color w:val="auto"/>
                <w:spacing w:val="-5"/>
                <w:highlight w:val="none"/>
                <w:lang w:val="en-US" w:eastAsia="zh-CN"/>
              </w:rPr>
              <w:t>6</w:t>
            </w:r>
          </w:p>
        </w:tc>
        <w:tc>
          <w:tcPr>
            <w:tcW w:w="5040" w:type="dxa"/>
            <w:vAlign w:val="top"/>
          </w:tcPr>
          <w:p w14:paraId="3AF2FCAA">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根据投标人提供的培训方案进行评审，包括但不限于：</w:t>
            </w:r>
          </w:p>
          <w:p w14:paraId="4D8C128A">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r>
              <w:rPr>
                <w:rFonts w:hint="eastAsia" w:cs="仿宋"/>
                <w:color w:val="auto"/>
                <w:kern w:val="0"/>
                <w:sz w:val="24"/>
                <w:szCs w:val="24"/>
                <w:highlight w:val="none"/>
                <w:lang w:val="en-US" w:eastAsia="zh-CN" w:bidi="ar"/>
              </w:rPr>
              <w:t>.</w:t>
            </w:r>
            <w:r>
              <w:rPr>
                <w:rFonts w:hint="eastAsia" w:ascii="仿宋" w:hAnsi="仿宋" w:eastAsia="仿宋" w:cs="仿宋"/>
                <w:color w:val="auto"/>
                <w:kern w:val="0"/>
                <w:sz w:val="24"/>
                <w:szCs w:val="24"/>
                <w:highlight w:val="none"/>
                <w:lang w:val="en-US" w:eastAsia="zh-CN" w:bidi="ar"/>
              </w:rPr>
              <w:t>培训目的；2</w:t>
            </w:r>
            <w:r>
              <w:rPr>
                <w:rFonts w:hint="eastAsia" w:cs="仿宋"/>
                <w:color w:val="auto"/>
                <w:kern w:val="0"/>
                <w:sz w:val="24"/>
                <w:szCs w:val="24"/>
                <w:highlight w:val="none"/>
                <w:lang w:val="en-US" w:eastAsia="zh-CN" w:bidi="ar"/>
              </w:rPr>
              <w:t>.</w:t>
            </w:r>
            <w:r>
              <w:rPr>
                <w:rFonts w:hint="eastAsia" w:ascii="仿宋" w:hAnsi="仿宋" w:eastAsia="仿宋" w:cs="仿宋"/>
                <w:color w:val="auto"/>
                <w:kern w:val="0"/>
                <w:sz w:val="24"/>
                <w:szCs w:val="24"/>
                <w:highlight w:val="none"/>
                <w:lang w:val="en-US" w:eastAsia="zh-CN" w:bidi="ar"/>
              </w:rPr>
              <w:t>培训计划、培训内容；3</w:t>
            </w:r>
            <w:r>
              <w:rPr>
                <w:rFonts w:hint="eastAsia" w:cs="仿宋"/>
                <w:color w:val="auto"/>
                <w:kern w:val="0"/>
                <w:sz w:val="24"/>
                <w:szCs w:val="24"/>
                <w:highlight w:val="none"/>
                <w:lang w:val="en-US" w:eastAsia="zh-CN" w:bidi="ar"/>
              </w:rPr>
              <w:t>.</w:t>
            </w:r>
            <w:r>
              <w:rPr>
                <w:rFonts w:hint="eastAsia" w:ascii="仿宋" w:hAnsi="仿宋" w:eastAsia="仿宋" w:cs="仿宋"/>
                <w:color w:val="auto"/>
                <w:kern w:val="0"/>
                <w:sz w:val="24"/>
                <w:szCs w:val="24"/>
                <w:highlight w:val="none"/>
                <w:lang w:val="en-US" w:eastAsia="zh-CN" w:bidi="ar"/>
              </w:rPr>
              <w:t>培训时长、培训时间、培训时间次数。</w:t>
            </w:r>
          </w:p>
          <w:p w14:paraId="71B8B574">
            <w:pPr>
              <w:keepNext w:val="0"/>
              <w:keepLines w:val="0"/>
              <w:pageBreakBefore w:val="0"/>
              <w:widowControl/>
              <w:suppressLineNumbers w:val="0"/>
              <w:shd w:val="clear"/>
              <w:kinsoku/>
              <w:wordWrap w:val="0"/>
              <w:overflowPunct/>
              <w:topLinePunct w:val="0"/>
              <w:autoSpaceDE w:val="0"/>
              <w:autoSpaceDN w:val="0"/>
              <w:bidi w:val="0"/>
              <w:adjustRightInd w:val="0"/>
              <w:snapToGrid w:val="0"/>
              <w:spacing w:line="240" w:lineRule="auto"/>
              <w:ind w:left="0" w:right="0"/>
              <w:jc w:val="left"/>
              <w:textAlignment w:val="baseline"/>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以上3项完整提供且满足采购需求的得6分；缺少上述任意1个完整模块的扣2分；模块已提供但存在下列缺陷的，每处扣1分，</w:t>
            </w:r>
            <w:r>
              <w:rPr>
                <w:rFonts w:hint="eastAsia" w:ascii="仿宋" w:hAnsi="仿宋" w:eastAsia="仿宋" w:cs="仿宋"/>
                <w:snapToGrid w:val="0"/>
                <w:color w:val="auto"/>
                <w:kern w:val="0"/>
                <w:sz w:val="24"/>
                <w:szCs w:val="24"/>
                <w:highlight w:val="none"/>
                <w:lang w:val="en-US" w:eastAsia="zh-CN" w:bidi="ar"/>
              </w:rPr>
              <w:t>扣完为止。未提供相关内容不得分。</w:t>
            </w:r>
          </w:p>
          <w:p w14:paraId="31600339">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（缺陷是指：①项目适配性偏差②模块内部关键内容缺失③文本逻辑矛盾④标准规范错误⑤照搬招标文件无针对性内容）</w:t>
            </w:r>
          </w:p>
        </w:tc>
      </w:tr>
    </w:tbl>
    <w:p w14:paraId="7D2E4D03">
      <w:pPr>
        <w:shd w:val="clear"/>
        <w:rPr>
          <w:color w:val="auto"/>
          <w:highlight w:val="none"/>
        </w:rPr>
      </w:pPr>
      <w:r>
        <w:rPr>
          <w:color w:val="auto"/>
          <w:highlight w:val="none"/>
        </w:rPr>
        <w:br w:type="page"/>
      </w:r>
    </w:p>
    <w:p w14:paraId="766A22B1">
      <w:pPr>
        <w:pStyle w:val="2"/>
        <w:shd w:val="clear"/>
        <w:bidi w:val="0"/>
        <w:rPr>
          <w:color w:val="auto"/>
          <w:highlight w:val="none"/>
        </w:rPr>
      </w:pPr>
      <w:r>
        <w:rPr>
          <w:color w:val="auto"/>
          <w:highlight w:val="none"/>
        </w:rPr>
        <w:t>第五章</w:t>
      </w:r>
      <w:r>
        <w:rPr>
          <w:rFonts w:hint="eastAsia"/>
          <w:color w:val="auto"/>
          <w:highlight w:val="none"/>
          <w:lang w:val="en-US" w:eastAsia="zh-CN"/>
        </w:rPr>
        <w:t xml:space="preserve"> </w:t>
      </w:r>
      <w:r>
        <w:rPr>
          <w:color w:val="auto"/>
          <w:highlight w:val="none"/>
        </w:rPr>
        <w:t>签订合同及合同范本</w:t>
      </w:r>
      <w:bookmarkEnd w:id="21"/>
    </w:p>
    <w:p w14:paraId="6AE76813">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（本合同仅供参考，具体以实际签订为准）</w:t>
      </w:r>
    </w:p>
    <w:p w14:paraId="3F4BEC5A">
      <w:pPr>
        <w:shd w:val="clear"/>
        <w:spacing w:before="292" w:line="224" w:lineRule="auto"/>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合同编号：</w:t>
      </w:r>
    </w:p>
    <w:p w14:paraId="5EB5563C">
      <w:pPr>
        <w:shd w:val="clear"/>
        <w:spacing w:line="243" w:lineRule="auto"/>
        <w:rPr>
          <w:rFonts w:ascii="Arial"/>
          <w:color w:val="auto"/>
          <w:sz w:val="21"/>
          <w:highlight w:val="none"/>
        </w:rPr>
      </w:pPr>
    </w:p>
    <w:p w14:paraId="16B046FC">
      <w:pPr>
        <w:shd w:val="clear"/>
        <w:spacing w:line="243" w:lineRule="auto"/>
        <w:rPr>
          <w:rFonts w:ascii="Arial"/>
          <w:color w:val="auto"/>
          <w:sz w:val="21"/>
          <w:highlight w:val="none"/>
        </w:rPr>
      </w:pPr>
    </w:p>
    <w:p w14:paraId="7B87B4A3">
      <w:pPr>
        <w:shd w:val="clear"/>
        <w:spacing w:line="243" w:lineRule="auto"/>
        <w:rPr>
          <w:rFonts w:ascii="Arial"/>
          <w:color w:val="auto"/>
          <w:sz w:val="21"/>
          <w:highlight w:val="none"/>
        </w:rPr>
      </w:pPr>
    </w:p>
    <w:p w14:paraId="086AECFB">
      <w:pPr>
        <w:shd w:val="clear"/>
        <w:spacing w:line="244" w:lineRule="auto"/>
        <w:rPr>
          <w:rFonts w:ascii="Arial"/>
          <w:color w:val="auto"/>
          <w:sz w:val="21"/>
          <w:highlight w:val="none"/>
        </w:rPr>
      </w:pPr>
    </w:p>
    <w:p w14:paraId="1A0A709C">
      <w:pPr>
        <w:shd w:val="clear"/>
        <w:spacing w:line="244" w:lineRule="auto"/>
        <w:rPr>
          <w:rFonts w:ascii="Arial"/>
          <w:color w:val="auto"/>
          <w:sz w:val="21"/>
          <w:highlight w:val="none"/>
        </w:rPr>
      </w:pPr>
    </w:p>
    <w:p w14:paraId="573D1AF0">
      <w:pPr>
        <w:shd w:val="clear"/>
        <w:spacing w:line="244" w:lineRule="auto"/>
        <w:rPr>
          <w:rFonts w:ascii="Arial"/>
          <w:color w:val="auto"/>
          <w:sz w:val="21"/>
          <w:highlight w:val="none"/>
        </w:rPr>
      </w:pPr>
    </w:p>
    <w:p w14:paraId="51CD5458">
      <w:pPr>
        <w:shd w:val="clear"/>
        <w:spacing w:line="244" w:lineRule="auto"/>
        <w:rPr>
          <w:rFonts w:ascii="Arial"/>
          <w:color w:val="auto"/>
          <w:sz w:val="21"/>
          <w:highlight w:val="none"/>
        </w:rPr>
      </w:pPr>
    </w:p>
    <w:p w14:paraId="62AF28A5">
      <w:pPr>
        <w:shd w:val="clear"/>
        <w:spacing w:line="244" w:lineRule="auto"/>
        <w:rPr>
          <w:rFonts w:ascii="Arial"/>
          <w:color w:val="auto"/>
          <w:sz w:val="21"/>
          <w:highlight w:val="none"/>
        </w:rPr>
      </w:pPr>
    </w:p>
    <w:p w14:paraId="08EFCFA4">
      <w:pPr>
        <w:shd w:val="clear"/>
        <w:spacing w:line="244" w:lineRule="auto"/>
        <w:rPr>
          <w:rFonts w:ascii="Arial"/>
          <w:color w:val="auto"/>
          <w:sz w:val="21"/>
          <w:highlight w:val="none"/>
        </w:rPr>
      </w:pPr>
    </w:p>
    <w:p w14:paraId="706D0344">
      <w:pPr>
        <w:shd w:val="clear"/>
        <w:spacing w:line="244" w:lineRule="auto"/>
        <w:rPr>
          <w:rFonts w:ascii="Arial"/>
          <w:color w:val="auto"/>
          <w:sz w:val="21"/>
          <w:highlight w:val="none"/>
        </w:rPr>
      </w:pPr>
    </w:p>
    <w:p w14:paraId="15DC1C13">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ascii="仿宋" w:hAnsi="仿宋" w:eastAsia="仿宋" w:cs="仿宋"/>
          <w:color w:val="auto"/>
          <w:sz w:val="43"/>
          <w:szCs w:val="43"/>
          <w:highlight w:val="none"/>
        </w:rPr>
      </w:pPr>
      <w:r>
        <w:rPr>
          <w:rFonts w:ascii="仿宋" w:hAnsi="仿宋" w:eastAsia="仿宋" w:cs="仿宋"/>
          <w:b/>
          <w:bCs/>
          <w:color w:val="auto"/>
          <w:spacing w:val="3"/>
          <w:sz w:val="43"/>
          <w:szCs w:val="43"/>
          <w:highlight w:val="none"/>
        </w:rPr>
        <w:t>政府采购合同参考范本</w:t>
      </w:r>
    </w:p>
    <w:p w14:paraId="6B84F228">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ascii="仿宋" w:hAnsi="仿宋" w:eastAsia="仿宋" w:cs="仿宋"/>
          <w:color w:val="auto"/>
          <w:sz w:val="43"/>
          <w:szCs w:val="43"/>
          <w:highlight w:val="none"/>
        </w:rPr>
      </w:pPr>
      <w:r>
        <w:rPr>
          <w:rFonts w:ascii="仿宋" w:hAnsi="仿宋" w:eastAsia="仿宋" w:cs="仿宋"/>
          <w:b/>
          <w:bCs/>
          <w:color w:val="auto"/>
          <w:spacing w:val="-3"/>
          <w:sz w:val="43"/>
          <w:szCs w:val="43"/>
          <w:highlight w:val="none"/>
        </w:rPr>
        <w:t>（服务类）</w:t>
      </w:r>
    </w:p>
    <w:p w14:paraId="321045B2">
      <w:pPr>
        <w:shd w:val="clear"/>
        <w:spacing w:line="242" w:lineRule="auto"/>
        <w:rPr>
          <w:rFonts w:ascii="Arial"/>
          <w:color w:val="auto"/>
          <w:sz w:val="21"/>
          <w:highlight w:val="none"/>
        </w:rPr>
      </w:pPr>
    </w:p>
    <w:p w14:paraId="6A457356">
      <w:pPr>
        <w:shd w:val="clear"/>
        <w:spacing w:line="243" w:lineRule="auto"/>
        <w:rPr>
          <w:rFonts w:ascii="Arial"/>
          <w:color w:val="auto"/>
          <w:sz w:val="21"/>
          <w:highlight w:val="none"/>
        </w:rPr>
      </w:pPr>
    </w:p>
    <w:p w14:paraId="3E0F9A50">
      <w:pPr>
        <w:shd w:val="clear"/>
        <w:spacing w:line="243" w:lineRule="auto"/>
        <w:rPr>
          <w:rFonts w:ascii="Arial"/>
          <w:color w:val="auto"/>
          <w:sz w:val="21"/>
          <w:highlight w:val="none"/>
        </w:rPr>
      </w:pPr>
    </w:p>
    <w:p w14:paraId="3845150D">
      <w:pPr>
        <w:shd w:val="clear"/>
        <w:spacing w:line="243" w:lineRule="auto"/>
        <w:rPr>
          <w:rFonts w:ascii="Arial"/>
          <w:color w:val="auto"/>
          <w:sz w:val="21"/>
          <w:highlight w:val="none"/>
        </w:rPr>
      </w:pPr>
    </w:p>
    <w:p w14:paraId="339FEB8E">
      <w:pPr>
        <w:shd w:val="clear"/>
        <w:spacing w:line="243" w:lineRule="auto"/>
        <w:rPr>
          <w:rFonts w:ascii="Arial"/>
          <w:color w:val="auto"/>
          <w:sz w:val="21"/>
          <w:highlight w:val="none"/>
        </w:rPr>
      </w:pPr>
    </w:p>
    <w:p w14:paraId="0FEE3CAD">
      <w:pPr>
        <w:shd w:val="clear"/>
        <w:spacing w:line="243" w:lineRule="auto"/>
        <w:rPr>
          <w:rFonts w:ascii="Arial"/>
          <w:color w:val="auto"/>
          <w:sz w:val="21"/>
          <w:highlight w:val="none"/>
        </w:rPr>
      </w:pPr>
    </w:p>
    <w:p w14:paraId="112C4898">
      <w:pPr>
        <w:shd w:val="clear"/>
        <w:spacing w:line="243" w:lineRule="auto"/>
        <w:rPr>
          <w:rFonts w:ascii="Arial"/>
          <w:color w:val="auto"/>
          <w:sz w:val="21"/>
          <w:highlight w:val="none"/>
        </w:rPr>
      </w:pPr>
    </w:p>
    <w:p w14:paraId="328739F4">
      <w:pPr>
        <w:shd w:val="clear"/>
        <w:spacing w:line="243" w:lineRule="auto"/>
        <w:rPr>
          <w:rFonts w:ascii="Arial"/>
          <w:color w:val="auto"/>
          <w:sz w:val="21"/>
          <w:highlight w:val="none"/>
        </w:rPr>
      </w:pPr>
    </w:p>
    <w:p w14:paraId="1DB50689">
      <w:pPr>
        <w:shd w:val="clear"/>
        <w:spacing w:line="243" w:lineRule="auto"/>
        <w:rPr>
          <w:rFonts w:ascii="Arial"/>
          <w:color w:val="auto"/>
          <w:sz w:val="21"/>
          <w:highlight w:val="none"/>
        </w:rPr>
      </w:pPr>
    </w:p>
    <w:p w14:paraId="222839F4">
      <w:pPr>
        <w:shd w:val="clear"/>
        <w:spacing w:line="243" w:lineRule="auto"/>
        <w:rPr>
          <w:rFonts w:ascii="Arial"/>
          <w:color w:val="auto"/>
          <w:sz w:val="21"/>
          <w:highlight w:val="none"/>
        </w:rPr>
      </w:pPr>
    </w:p>
    <w:p w14:paraId="54ED5B44">
      <w:pPr>
        <w:shd w:val="clear"/>
        <w:spacing w:line="243" w:lineRule="auto"/>
        <w:rPr>
          <w:rFonts w:ascii="Arial"/>
          <w:color w:val="auto"/>
          <w:sz w:val="21"/>
          <w:highlight w:val="none"/>
        </w:rPr>
      </w:pPr>
    </w:p>
    <w:p w14:paraId="47F27A10">
      <w:pPr>
        <w:shd w:val="clear"/>
        <w:spacing w:line="243" w:lineRule="auto"/>
        <w:rPr>
          <w:rFonts w:ascii="Arial"/>
          <w:color w:val="auto"/>
          <w:sz w:val="21"/>
          <w:highlight w:val="none"/>
        </w:rPr>
      </w:pPr>
    </w:p>
    <w:p w14:paraId="28A32E7B">
      <w:pPr>
        <w:shd w:val="clear"/>
        <w:spacing w:line="243" w:lineRule="auto"/>
        <w:rPr>
          <w:rFonts w:ascii="Arial"/>
          <w:color w:val="auto"/>
          <w:sz w:val="21"/>
          <w:highlight w:val="none"/>
        </w:rPr>
      </w:pPr>
    </w:p>
    <w:p w14:paraId="3E36066F">
      <w:pPr>
        <w:shd w:val="clear"/>
        <w:spacing w:line="360" w:lineRule="auto"/>
        <w:rPr>
          <w:rFonts w:ascii="Arial"/>
          <w:color w:val="auto"/>
          <w:sz w:val="28"/>
          <w:szCs w:val="28"/>
          <w:highlight w:val="none"/>
        </w:rPr>
      </w:pPr>
    </w:p>
    <w:p w14:paraId="2F5D59C1">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1350" w:firstLineChars="500"/>
        <w:textAlignment w:val="baseline"/>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项目名称：</w:t>
      </w:r>
      <w:r>
        <w:rPr>
          <w:rFonts w:ascii="仿宋" w:hAnsi="仿宋" w:eastAsia="仿宋" w:cs="仿宋"/>
          <w:color w:val="auto"/>
          <w:sz w:val="28"/>
          <w:szCs w:val="28"/>
          <w:highlight w:val="none"/>
          <w:u w:val="single" w:color="auto"/>
        </w:rPr>
        <w:t xml:space="preserve">                                      </w:t>
      </w:r>
    </w:p>
    <w:p w14:paraId="49F8B0EC">
      <w:pPr>
        <w:keepNext w:val="0"/>
        <w:keepLines w:val="0"/>
        <w:pageBreakBefore w:val="0"/>
        <w:widowControl/>
        <w:shd w:val="clear"/>
        <w:tabs>
          <w:tab w:val="left" w:pos="7532"/>
        </w:tabs>
        <w:kinsoku/>
        <w:wordWrap w:val="0"/>
        <w:overflowPunct/>
        <w:topLinePunct w:val="0"/>
        <w:autoSpaceDE w:val="0"/>
        <w:autoSpaceDN w:val="0"/>
        <w:bidi w:val="0"/>
        <w:adjustRightInd w:val="0"/>
        <w:snapToGrid w:val="0"/>
        <w:spacing w:line="360" w:lineRule="auto"/>
        <w:ind w:left="0" w:right="0" w:firstLine="1370" w:firstLineChars="500"/>
        <w:jc w:val="both"/>
        <w:textAlignment w:val="baseline"/>
        <w:rPr>
          <w:rFonts w:ascii="仿宋" w:hAnsi="仿宋" w:eastAsia="仿宋" w:cs="仿宋"/>
          <w:color w:val="auto"/>
          <w:sz w:val="28"/>
          <w:szCs w:val="28"/>
          <w:highlight w:val="none"/>
          <w:u w:val="single" w:color="auto"/>
        </w:rPr>
      </w:pPr>
      <w:r>
        <w:rPr>
          <w:rFonts w:ascii="仿宋" w:hAnsi="仿宋" w:eastAsia="仿宋" w:cs="仿宋"/>
          <w:color w:val="auto"/>
          <w:spacing w:val="-3"/>
          <w:sz w:val="28"/>
          <w:szCs w:val="28"/>
          <w:highlight w:val="none"/>
        </w:rPr>
        <w:t>项目编号/包号：</w:t>
      </w:r>
      <w:r>
        <w:rPr>
          <w:rFonts w:ascii="仿宋" w:hAnsi="仿宋" w:eastAsia="仿宋" w:cs="仿宋"/>
          <w:color w:val="auto"/>
          <w:sz w:val="28"/>
          <w:szCs w:val="28"/>
          <w:highlight w:val="none"/>
          <w:u w:val="single" w:color="auto"/>
        </w:rPr>
        <w:t xml:space="preserve">                          </w:t>
      </w:r>
      <w:r>
        <w:rPr>
          <w:rFonts w:hint="eastAsia" w:ascii="仿宋" w:hAnsi="仿宋" w:eastAsia="仿宋" w:cs="仿宋"/>
          <w:color w:val="auto"/>
          <w:sz w:val="28"/>
          <w:szCs w:val="28"/>
          <w:highlight w:val="none"/>
          <w:u w:val="single" w:color="auto"/>
          <w:lang w:val="en-US" w:eastAsia="zh-CN"/>
        </w:rPr>
        <w:t xml:space="preserve">   </w:t>
      </w:r>
      <w:r>
        <w:rPr>
          <w:rFonts w:ascii="仿宋" w:hAnsi="仿宋" w:eastAsia="仿宋" w:cs="仿宋"/>
          <w:color w:val="auto"/>
          <w:sz w:val="28"/>
          <w:szCs w:val="28"/>
          <w:highlight w:val="none"/>
          <w:u w:val="single" w:color="auto"/>
        </w:rPr>
        <w:t xml:space="preserve">   </w:t>
      </w:r>
    </w:p>
    <w:p w14:paraId="4DBA546F">
      <w:pPr>
        <w:keepNext w:val="0"/>
        <w:keepLines w:val="0"/>
        <w:pageBreakBefore w:val="0"/>
        <w:widowControl/>
        <w:shd w:val="clear"/>
        <w:tabs>
          <w:tab w:val="left" w:pos="7532"/>
        </w:tabs>
        <w:kinsoku/>
        <w:wordWrap w:val="0"/>
        <w:overflowPunct/>
        <w:topLinePunct w:val="0"/>
        <w:autoSpaceDE w:val="0"/>
        <w:autoSpaceDN w:val="0"/>
        <w:bidi w:val="0"/>
        <w:adjustRightInd w:val="0"/>
        <w:snapToGrid w:val="0"/>
        <w:spacing w:line="360" w:lineRule="auto"/>
        <w:ind w:left="0" w:right="0" w:firstLine="1350" w:firstLineChars="500"/>
        <w:jc w:val="both"/>
        <w:textAlignment w:val="baseline"/>
        <w:rPr>
          <w:rFonts w:hint="default" w:ascii="仿宋" w:hAnsi="仿宋" w:eastAsia="仿宋" w:cs="仿宋"/>
          <w:color w:val="auto"/>
          <w:sz w:val="28"/>
          <w:szCs w:val="28"/>
          <w:highlight w:val="none"/>
          <w:u w:val="single" w:color="auto"/>
          <w:lang w:val="en-US" w:eastAsia="zh-CN"/>
        </w:rPr>
      </w:pPr>
      <w:r>
        <w:rPr>
          <w:rFonts w:ascii="仿宋" w:hAnsi="仿宋" w:eastAsia="仿宋" w:cs="仿宋"/>
          <w:color w:val="auto"/>
          <w:spacing w:val="-5"/>
          <w:sz w:val="28"/>
          <w:szCs w:val="28"/>
          <w:highlight w:val="none"/>
        </w:rPr>
        <w:t>甲方（采购人</w:t>
      </w:r>
      <w:r>
        <w:rPr>
          <w:rFonts w:ascii="仿宋" w:hAnsi="仿宋" w:eastAsia="仿宋" w:cs="仿宋"/>
          <w:color w:val="auto"/>
          <w:spacing w:val="1"/>
          <w:sz w:val="28"/>
          <w:szCs w:val="28"/>
          <w:highlight w:val="none"/>
        </w:rPr>
        <w:t>）：</w:t>
      </w:r>
      <w:r>
        <w:rPr>
          <w:rFonts w:ascii="仿宋" w:hAnsi="仿宋" w:eastAsia="仿宋" w:cs="仿宋"/>
          <w:color w:val="auto"/>
          <w:sz w:val="28"/>
          <w:szCs w:val="28"/>
          <w:highlight w:val="none"/>
          <w:u w:val="single" w:color="auto"/>
        </w:rPr>
        <w:t xml:space="preserve">           </w:t>
      </w:r>
      <w:r>
        <w:rPr>
          <w:rFonts w:hint="eastAsia" w:ascii="仿宋" w:hAnsi="仿宋" w:eastAsia="仿宋" w:cs="仿宋"/>
          <w:color w:val="auto"/>
          <w:sz w:val="28"/>
          <w:szCs w:val="28"/>
          <w:highlight w:val="none"/>
          <w:u w:val="single" w:color="auto"/>
          <w:lang w:val="en-US" w:eastAsia="zh-CN"/>
        </w:rPr>
        <w:t xml:space="preserve">       </w:t>
      </w:r>
      <w:r>
        <w:rPr>
          <w:rFonts w:ascii="仿宋" w:hAnsi="仿宋" w:eastAsia="仿宋" w:cs="仿宋"/>
          <w:color w:val="auto"/>
          <w:sz w:val="28"/>
          <w:szCs w:val="28"/>
          <w:highlight w:val="none"/>
          <w:u w:val="single" w:color="auto"/>
        </w:rPr>
        <w:t xml:space="preserve">       </w:t>
      </w:r>
      <w:r>
        <w:rPr>
          <w:rFonts w:hint="eastAsia" w:ascii="仿宋" w:hAnsi="仿宋" w:eastAsia="仿宋" w:cs="仿宋"/>
          <w:color w:val="auto"/>
          <w:sz w:val="28"/>
          <w:szCs w:val="28"/>
          <w:highlight w:val="none"/>
          <w:u w:val="single" w:color="auto"/>
          <w:lang w:val="en-US" w:eastAsia="zh-CN"/>
        </w:rPr>
        <w:t xml:space="preserve">      </w:t>
      </w:r>
    </w:p>
    <w:p w14:paraId="7ADD741C">
      <w:pPr>
        <w:keepNext w:val="0"/>
        <w:keepLines w:val="0"/>
        <w:pageBreakBefore w:val="0"/>
        <w:widowControl/>
        <w:shd w:val="clear"/>
        <w:tabs>
          <w:tab w:val="left" w:pos="7532"/>
        </w:tabs>
        <w:kinsoku/>
        <w:wordWrap w:val="0"/>
        <w:overflowPunct/>
        <w:topLinePunct w:val="0"/>
        <w:autoSpaceDE w:val="0"/>
        <w:autoSpaceDN w:val="0"/>
        <w:bidi w:val="0"/>
        <w:adjustRightInd w:val="0"/>
        <w:snapToGrid w:val="0"/>
        <w:spacing w:line="360" w:lineRule="auto"/>
        <w:ind w:left="0" w:right="0" w:firstLine="1350" w:firstLineChars="500"/>
        <w:jc w:val="both"/>
        <w:textAlignment w:val="baseline"/>
        <w:rPr>
          <w:rFonts w:ascii="仿宋" w:hAnsi="仿宋" w:eastAsia="仿宋" w:cs="仿宋"/>
          <w:color w:val="auto"/>
          <w:sz w:val="28"/>
          <w:szCs w:val="28"/>
          <w:highlight w:val="none"/>
          <w:u w:val="single" w:color="auto"/>
        </w:rPr>
      </w:pPr>
      <w:r>
        <w:rPr>
          <w:rFonts w:ascii="仿宋" w:hAnsi="仿宋" w:eastAsia="仿宋" w:cs="仿宋"/>
          <w:color w:val="auto"/>
          <w:spacing w:val="-5"/>
          <w:sz w:val="28"/>
          <w:szCs w:val="28"/>
          <w:highlight w:val="none"/>
        </w:rPr>
        <w:t>乙方（成交人</w:t>
      </w:r>
      <w:r>
        <w:rPr>
          <w:rFonts w:ascii="仿宋" w:hAnsi="仿宋" w:eastAsia="仿宋" w:cs="仿宋"/>
          <w:color w:val="auto"/>
          <w:spacing w:val="1"/>
          <w:sz w:val="28"/>
          <w:szCs w:val="28"/>
          <w:highlight w:val="none"/>
        </w:rPr>
        <w:t>）：</w:t>
      </w:r>
      <w:r>
        <w:rPr>
          <w:rFonts w:ascii="仿宋" w:hAnsi="仿宋" w:eastAsia="仿宋" w:cs="仿宋"/>
          <w:color w:val="auto"/>
          <w:sz w:val="28"/>
          <w:szCs w:val="28"/>
          <w:highlight w:val="none"/>
          <w:u w:val="single" w:color="auto"/>
        </w:rPr>
        <w:t xml:space="preserve">           </w:t>
      </w:r>
      <w:r>
        <w:rPr>
          <w:rFonts w:hint="eastAsia" w:ascii="仿宋" w:hAnsi="仿宋" w:eastAsia="仿宋" w:cs="仿宋"/>
          <w:color w:val="auto"/>
          <w:sz w:val="28"/>
          <w:szCs w:val="28"/>
          <w:highlight w:val="none"/>
          <w:u w:val="single" w:color="auto"/>
          <w:lang w:val="en-US" w:eastAsia="zh-CN"/>
        </w:rPr>
        <w:t xml:space="preserve">       </w:t>
      </w:r>
      <w:r>
        <w:rPr>
          <w:rFonts w:ascii="仿宋" w:hAnsi="仿宋" w:eastAsia="仿宋" w:cs="仿宋"/>
          <w:color w:val="auto"/>
          <w:sz w:val="28"/>
          <w:szCs w:val="28"/>
          <w:highlight w:val="none"/>
          <w:u w:val="single" w:color="auto"/>
        </w:rPr>
        <w:t xml:space="preserve">       </w:t>
      </w:r>
      <w:r>
        <w:rPr>
          <w:rFonts w:hint="eastAsia" w:ascii="仿宋" w:hAnsi="仿宋" w:eastAsia="仿宋" w:cs="仿宋"/>
          <w:color w:val="auto"/>
          <w:sz w:val="28"/>
          <w:szCs w:val="28"/>
          <w:highlight w:val="none"/>
          <w:u w:val="single" w:color="auto"/>
          <w:lang w:val="en-US" w:eastAsia="zh-CN"/>
        </w:rPr>
        <w:t xml:space="preserve">      </w:t>
      </w:r>
    </w:p>
    <w:p w14:paraId="5CF5F8CA">
      <w:pPr>
        <w:keepNext w:val="0"/>
        <w:keepLines w:val="0"/>
        <w:pageBreakBefore w:val="0"/>
        <w:widowControl/>
        <w:shd w:val="clear"/>
        <w:tabs>
          <w:tab w:val="left" w:pos="7532"/>
        </w:tabs>
        <w:kinsoku/>
        <w:wordWrap w:val="0"/>
        <w:overflowPunct/>
        <w:topLinePunct w:val="0"/>
        <w:autoSpaceDE w:val="0"/>
        <w:autoSpaceDN w:val="0"/>
        <w:bidi w:val="0"/>
        <w:adjustRightInd w:val="0"/>
        <w:snapToGrid w:val="0"/>
        <w:spacing w:line="360" w:lineRule="auto"/>
        <w:ind w:left="0" w:right="0" w:firstLine="1360" w:firstLineChars="500"/>
        <w:jc w:val="both"/>
        <w:textAlignment w:val="baseline"/>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签订地：</w:t>
      </w:r>
      <w:r>
        <w:rPr>
          <w:rFonts w:ascii="仿宋" w:hAnsi="仿宋" w:eastAsia="仿宋" w:cs="仿宋"/>
          <w:color w:val="auto"/>
          <w:sz w:val="28"/>
          <w:szCs w:val="28"/>
          <w:highlight w:val="none"/>
          <w:u w:val="single" w:color="auto"/>
        </w:rPr>
        <w:t xml:space="preserve">                           </w:t>
      </w:r>
      <w:r>
        <w:rPr>
          <w:rFonts w:hint="eastAsia" w:ascii="仿宋" w:hAnsi="仿宋" w:eastAsia="仿宋" w:cs="仿宋"/>
          <w:color w:val="auto"/>
          <w:sz w:val="28"/>
          <w:szCs w:val="28"/>
          <w:highlight w:val="none"/>
          <w:u w:val="single" w:color="auto"/>
          <w:lang w:val="en-US" w:eastAsia="zh-CN"/>
        </w:rPr>
        <w:t xml:space="preserve">          </w:t>
      </w:r>
      <w:r>
        <w:rPr>
          <w:rFonts w:ascii="仿宋" w:hAnsi="仿宋" w:eastAsia="仿宋" w:cs="仿宋"/>
          <w:color w:val="auto"/>
          <w:sz w:val="28"/>
          <w:szCs w:val="28"/>
          <w:highlight w:val="none"/>
          <w:u w:val="single" w:color="auto"/>
        </w:rPr>
        <w:t xml:space="preserve">  </w:t>
      </w:r>
    </w:p>
    <w:p w14:paraId="3BC5D6E8">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1290" w:firstLineChars="500"/>
        <w:textAlignment w:val="baseline"/>
        <w:rPr>
          <w:rFonts w:ascii="仿宋" w:hAnsi="仿宋" w:eastAsia="仿宋" w:cs="仿宋"/>
          <w:color w:val="auto"/>
          <w:sz w:val="28"/>
          <w:szCs w:val="28"/>
          <w:highlight w:val="none"/>
        </w:rPr>
      </w:pPr>
      <w:r>
        <w:rPr>
          <w:rFonts w:ascii="仿宋" w:hAnsi="仿宋" w:eastAsia="仿宋" w:cs="仿宋"/>
          <w:color w:val="auto"/>
          <w:spacing w:val="-11"/>
          <w:sz w:val="28"/>
          <w:szCs w:val="28"/>
          <w:highlight w:val="none"/>
        </w:rPr>
        <w:t>签订日期：</w:t>
      </w:r>
      <w:r>
        <w:rPr>
          <w:rFonts w:ascii="仿宋" w:hAnsi="仿宋" w:eastAsia="仿宋" w:cs="仿宋"/>
          <w:color w:val="auto"/>
          <w:spacing w:val="10"/>
          <w:sz w:val="28"/>
          <w:szCs w:val="28"/>
          <w:highlight w:val="none"/>
          <w:u w:val="single" w:color="auto"/>
        </w:rPr>
        <w:t xml:space="preserve">    </w:t>
      </w:r>
      <w:r>
        <w:rPr>
          <w:rFonts w:ascii="仿宋" w:hAnsi="仿宋" w:eastAsia="仿宋" w:cs="仿宋"/>
          <w:color w:val="auto"/>
          <w:spacing w:val="-11"/>
          <w:sz w:val="28"/>
          <w:szCs w:val="28"/>
          <w:highlight w:val="none"/>
        </w:rPr>
        <w:t>年</w:t>
      </w:r>
      <w:r>
        <w:rPr>
          <w:rFonts w:ascii="仿宋" w:hAnsi="仿宋" w:eastAsia="仿宋" w:cs="仿宋"/>
          <w:color w:val="auto"/>
          <w:spacing w:val="23"/>
          <w:sz w:val="28"/>
          <w:szCs w:val="28"/>
          <w:highlight w:val="none"/>
          <w:u w:val="single" w:color="auto"/>
        </w:rPr>
        <w:t xml:space="preserve">   </w:t>
      </w:r>
      <w:r>
        <w:rPr>
          <w:rFonts w:ascii="仿宋" w:hAnsi="仿宋" w:eastAsia="仿宋" w:cs="仿宋"/>
          <w:color w:val="auto"/>
          <w:spacing w:val="-11"/>
          <w:sz w:val="28"/>
          <w:szCs w:val="28"/>
          <w:highlight w:val="none"/>
        </w:rPr>
        <w:t>月</w:t>
      </w:r>
      <w:r>
        <w:rPr>
          <w:rFonts w:ascii="仿宋" w:hAnsi="仿宋" w:eastAsia="仿宋" w:cs="仿宋"/>
          <w:color w:val="auto"/>
          <w:sz w:val="28"/>
          <w:szCs w:val="28"/>
          <w:highlight w:val="none"/>
          <w:u w:val="single" w:color="auto"/>
        </w:rPr>
        <w:t xml:space="preserve">   </w:t>
      </w:r>
      <w:r>
        <w:rPr>
          <w:rFonts w:ascii="仿宋" w:hAnsi="仿宋" w:eastAsia="仿宋" w:cs="仿宋"/>
          <w:color w:val="auto"/>
          <w:spacing w:val="-11"/>
          <w:sz w:val="28"/>
          <w:szCs w:val="28"/>
          <w:highlight w:val="none"/>
        </w:rPr>
        <w:t>日</w:t>
      </w:r>
    </w:p>
    <w:p w14:paraId="607822CF">
      <w:pPr>
        <w:shd w:val="clear"/>
        <w:spacing w:line="222" w:lineRule="auto"/>
        <w:rPr>
          <w:rFonts w:ascii="仿宋" w:hAnsi="仿宋" w:eastAsia="仿宋" w:cs="仿宋"/>
          <w:color w:val="auto"/>
          <w:sz w:val="28"/>
          <w:szCs w:val="28"/>
          <w:highlight w:val="none"/>
        </w:rPr>
      </w:pPr>
    </w:p>
    <w:p w14:paraId="417614E2">
      <w:pPr>
        <w:shd w:val="clear"/>
        <w:spacing w:line="222" w:lineRule="auto"/>
        <w:rPr>
          <w:rFonts w:ascii="仿宋" w:hAnsi="仿宋" w:eastAsia="仿宋" w:cs="仿宋"/>
          <w:color w:val="auto"/>
          <w:sz w:val="28"/>
          <w:szCs w:val="28"/>
          <w:highlight w:val="none"/>
        </w:rPr>
        <w:sectPr>
          <w:footerReference r:id="rId11" w:type="default"/>
          <w:pgSz w:w="11906" w:h="16839"/>
          <w:pgMar w:top="1440" w:right="1800" w:bottom="1440" w:left="1800" w:header="0" w:footer="927" w:gutter="0"/>
          <w:pgNumType w:fmt="decimal"/>
          <w:cols w:space="720" w:num="1"/>
        </w:sectPr>
      </w:pPr>
    </w:p>
    <w:p w14:paraId="7634C77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hint="eastAsia" w:ascii="仿宋" w:hAnsi="仿宋" w:eastAsia="仿宋" w:cs="仿宋"/>
          <w:color w:val="auto"/>
          <w:sz w:val="32"/>
          <w:szCs w:val="32"/>
          <w:highlight w:val="none"/>
        </w:rPr>
      </w:pPr>
      <w:r>
        <w:rPr>
          <w:rFonts w:hint="eastAsia" w:ascii="仿宋" w:hAnsi="仿宋" w:eastAsia="仿宋" w:cs="仿宋"/>
          <w:b/>
          <w:bCs/>
          <w:color w:val="auto"/>
          <w:spacing w:val="-4"/>
          <w:sz w:val="32"/>
          <w:szCs w:val="32"/>
          <w:highlight w:val="none"/>
        </w:rPr>
        <w:t>第一部分</w:t>
      </w:r>
      <w:r>
        <w:rPr>
          <w:rFonts w:hint="eastAsia" w:ascii="仿宋" w:hAnsi="仿宋" w:eastAsia="仿宋" w:cs="仿宋"/>
          <w:color w:val="auto"/>
          <w:spacing w:val="46"/>
          <w:sz w:val="32"/>
          <w:szCs w:val="32"/>
          <w:highlight w:val="none"/>
        </w:rPr>
        <w:t xml:space="preserve"> </w:t>
      </w:r>
      <w:r>
        <w:rPr>
          <w:rFonts w:hint="eastAsia" w:ascii="仿宋" w:hAnsi="仿宋" w:eastAsia="仿宋" w:cs="仿宋"/>
          <w:b/>
          <w:bCs/>
          <w:color w:val="auto"/>
          <w:spacing w:val="-4"/>
          <w:sz w:val="32"/>
          <w:szCs w:val="32"/>
          <w:highlight w:val="none"/>
        </w:rPr>
        <w:t>合同书</w:t>
      </w:r>
    </w:p>
    <w:p w14:paraId="29253BF8">
      <w:pPr>
        <w:keepNext w:val="0"/>
        <w:keepLines w:val="0"/>
        <w:pageBreakBefore w:val="0"/>
        <w:widowControl/>
        <w:shd w:val="clear"/>
        <w:tabs>
          <w:tab w:val="left" w:pos="1620"/>
        </w:tabs>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pacing w:val="-1"/>
          <w:sz w:val="24"/>
          <w:szCs w:val="24"/>
          <w:highlight w:val="none"/>
        </w:rPr>
        <w:t>（以下简称：甲方）通过</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组织的</w:t>
      </w:r>
      <w:r>
        <w:rPr>
          <w:rFonts w:hint="eastAsia" w:ascii="仿宋" w:hAnsi="仿宋" w:eastAsia="仿宋" w:cs="仿宋"/>
          <w:color w:val="auto"/>
          <w:spacing w:val="-1"/>
          <w:sz w:val="24"/>
          <w:szCs w:val="24"/>
          <w:highlight w:val="none"/>
          <w:u w:val="single" w:color="auto"/>
          <w:lang w:val="en-US" w:eastAsia="zh-CN"/>
        </w:rPr>
        <w:t>公开招标</w:t>
      </w:r>
      <w:r>
        <w:rPr>
          <w:rFonts w:hint="eastAsia" w:ascii="仿宋" w:hAnsi="仿宋" w:eastAsia="仿宋" w:cs="仿宋"/>
          <w:color w:val="auto"/>
          <w:spacing w:val="-1"/>
          <w:sz w:val="24"/>
          <w:szCs w:val="24"/>
          <w:highlight w:val="none"/>
        </w:rPr>
        <w:t>方式采购活动，</w:t>
      </w:r>
      <w:r>
        <w:rPr>
          <w:rFonts w:hint="eastAsia" w:ascii="仿宋" w:hAnsi="仿宋" w:eastAsia="仿宋" w:cs="仿宋"/>
          <w:color w:val="auto"/>
          <w:spacing w:val="3"/>
          <w:sz w:val="24"/>
          <w:szCs w:val="24"/>
          <w:highlight w:val="none"/>
        </w:rPr>
        <w:t>经</w:t>
      </w:r>
      <w:r>
        <w:rPr>
          <w:rFonts w:hint="eastAsia" w:ascii="仿宋" w:hAnsi="仿宋" w:eastAsia="仿宋" w:cs="仿宋"/>
          <w:color w:val="auto"/>
          <w:spacing w:val="3"/>
          <w:sz w:val="24"/>
          <w:szCs w:val="24"/>
          <w:highlight w:val="none"/>
          <w:u w:val="single" w:color="auto"/>
        </w:rPr>
        <w:t>评审小组</w:t>
      </w:r>
      <w:r>
        <w:rPr>
          <w:rFonts w:hint="eastAsia" w:ascii="仿宋" w:hAnsi="仿宋" w:eastAsia="仿宋" w:cs="仿宋"/>
          <w:color w:val="auto"/>
          <w:spacing w:val="3"/>
          <w:sz w:val="24"/>
          <w:szCs w:val="24"/>
          <w:highlight w:val="none"/>
        </w:rPr>
        <w:t>评定</w:t>
      </w:r>
      <w:r>
        <w:rPr>
          <w:rFonts w:hint="eastAsia" w:ascii="仿宋" w:hAnsi="仿宋" w:eastAsia="仿宋" w:cs="仿宋"/>
          <w:color w:val="auto"/>
          <w:spacing w:val="-33"/>
          <w:sz w:val="24"/>
          <w:szCs w:val="24"/>
          <w:highlight w:val="none"/>
        </w:rPr>
        <w:t>，</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33"/>
          <w:sz w:val="24"/>
          <w:szCs w:val="24"/>
          <w:highlight w:val="none"/>
        </w:rPr>
        <w:t>（</w:t>
      </w:r>
      <w:r>
        <w:rPr>
          <w:rFonts w:hint="eastAsia" w:ascii="仿宋" w:hAnsi="仿宋" w:eastAsia="仿宋" w:cs="仿宋"/>
          <w:color w:val="auto"/>
          <w:spacing w:val="3"/>
          <w:sz w:val="24"/>
          <w:szCs w:val="24"/>
          <w:highlight w:val="none"/>
        </w:rPr>
        <w:t>以下简称：乙方）为本项目</w:t>
      </w:r>
      <w:r>
        <w:rPr>
          <w:rFonts w:hint="eastAsia" w:ascii="仿宋" w:hAnsi="仿宋" w:eastAsia="仿宋" w:cs="仿宋"/>
          <w:color w:val="auto"/>
          <w:spacing w:val="2"/>
          <w:sz w:val="24"/>
          <w:szCs w:val="24"/>
          <w:highlight w:val="none"/>
          <w:lang w:val="en-US" w:eastAsia="zh-CN"/>
        </w:rPr>
        <w:t>中标人</w:t>
      </w:r>
      <w:r>
        <w:rPr>
          <w:rFonts w:hint="eastAsia" w:ascii="仿宋" w:hAnsi="仿宋" w:eastAsia="仿宋" w:cs="仿宋"/>
          <w:color w:val="auto"/>
          <w:spacing w:val="2"/>
          <w:sz w:val="24"/>
          <w:szCs w:val="24"/>
          <w:highlight w:val="none"/>
        </w:rPr>
        <w:t>，现按照采购文</w:t>
      </w:r>
      <w:r>
        <w:rPr>
          <w:rFonts w:hint="eastAsia" w:ascii="仿宋" w:hAnsi="仿宋" w:eastAsia="仿宋" w:cs="仿宋"/>
          <w:color w:val="auto"/>
          <w:spacing w:val="-2"/>
          <w:sz w:val="24"/>
          <w:szCs w:val="24"/>
          <w:highlight w:val="none"/>
        </w:rPr>
        <w:t>件确定的事项签订本合同。</w:t>
      </w:r>
    </w:p>
    <w:p w14:paraId="4D8D074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根据《中华人民共和国民法典</w:t>
      </w:r>
      <w:r>
        <w:rPr>
          <w:rFonts w:hint="eastAsia" w:ascii="仿宋" w:hAnsi="仿宋" w:eastAsia="仿宋" w:cs="仿宋"/>
          <w:color w:val="auto"/>
          <w:spacing w:val="-1"/>
          <w:sz w:val="24"/>
          <w:szCs w:val="24"/>
          <w:highlight w:val="none"/>
          <w:lang w:eastAsia="zh-CN"/>
        </w:rPr>
        <w:t>》《</w:t>
      </w:r>
      <w:r>
        <w:rPr>
          <w:rFonts w:hint="eastAsia" w:ascii="仿宋" w:hAnsi="仿宋" w:eastAsia="仿宋" w:cs="仿宋"/>
          <w:color w:val="auto"/>
          <w:spacing w:val="-1"/>
          <w:sz w:val="24"/>
          <w:szCs w:val="24"/>
          <w:highlight w:val="none"/>
        </w:rPr>
        <w:t>中华人民共和国政府采购法》等相关法律法规</w:t>
      </w:r>
      <w:r>
        <w:rPr>
          <w:rFonts w:hint="eastAsia" w:ascii="仿宋" w:hAnsi="仿宋" w:eastAsia="仿宋" w:cs="仿宋"/>
          <w:color w:val="auto"/>
          <w:spacing w:val="-3"/>
          <w:sz w:val="24"/>
          <w:szCs w:val="24"/>
          <w:highlight w:val="none"/>
        </w:rPr>
        <w:t>之规定，按照平等、自愿、公平和诚实信用的原则，经甲方和乙方协商一</w:t>
      </w:r>
      <w:r>
        <w:rPr>
          <w:rFonts w:hint="eastAsia" w:ascii="仿宋" w:hAnsi="仿宋" w:eastAsia="仿宋" w:cs="仿宋"/>
          <w:color w:val="auto"/>
          <w:spacing w:val="-4"/>
          <w:sz w:val="24"/>
          <w:szCs w:val="24"/>
          <w:highlight w:val="none"/>
        </w:rPr>
        <w:t>致，约定以下</w:t>
      </w:r>
      <w:r>
        <w:rPr>
          <w:rFonts w:hint="eastAsia" w:ascii="仿宋" w:hAnsi="仿宋" w:eastAsia="仿宋" w:cs="仿宋"/>
          <w:color w:val="auto"/>
          <w:spacing w:val="-2"/>
          <w:sz w:val="24"/>
          <w:szCs w:val="24"/>
          <w:highlight w:val="none"/>
        </w:rPr>
        <w:t>合同条款，以兹共同遵守、全面履行。</w:t>
      </w:r>
    </w:p>
    <w:p w14:paraId="37B4150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0"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1.1合同组成部分</w:t>
      </w:r>
    </w:p>
    <w:p w14:paraId="386BA29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下列文件为本合同的组成部分，并构成一个整体，需综合解释、相互补充。如果下</w:t>
      </w:r>
      <w:r>
        <w:rPr>
          <w:rFonts w:hint="eastAsia" w:ascii="仿宋" w:hAnsi="仿宋" w:eastAsia="仿宋" w:cs="仿宋"/>
          <w:color w:val="auto"/>
          <w:spacing w:val="-2"/>
          <w:sz w:val="24"/>
          <w:szCs w:val="24"/>
          <w:highlight w:val="none"/>
        </w:rPr>
        <w:t>列文件内容出现不一致的情形，那么在保证按照采购文件确定的事项前提下，组成本合同的多个文件的优先适用顺序如下：</w:t>
      </w:r>
    </w:p>
    <w:p w14:paraId="743C561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1.1.1本合同及其补充合同、变更协议；</w:t>
      </w:r>
    </w:p>
    <w:p w14:paraId="275D8B2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1.1.2</w:t>
      </w:r>
      <w:r>
        <w:rPr>
          <w:rFonts w:hint="eastAsia" w:ascii="仿宋" w:hAnsi="仿宋" w:eastAsia="仿宋" w:cs="仿宋"/>
          <w:color w:val="auto"/>
          <w:spacing w:val="-5"/>
          <w:sz w:val="24"/>
          <w:szCs w:val="24"/>
          <w:highlight w:val="none"/>
          <w:lang w:val="en-US" w:eastAsia="zh-CN"/>
        </w:rPr>
        <w:t>中标</w:t>
      </w:r>
      <w:r>
        <w:rPr>
          <w:rFonts w:hint="eastAsia" w:ascii="仿宋" w:hAnsi="仿宋" w:eastAsia="仿宋" w:cs="仿宋"/>
          <w:color w:val="auto"/>
          <w:spacing w:val="-5"/>
          <w:sz w:val="24"/>
          <w:szCs w:val="24"/>
          <w:highlight w:val="none"/>
        </w:rPr>
        <w:t>通知书；</w:t>
      </w:r>
    </w:p>
    <w:p w14:paraId="4864266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1.1.3</w:t>
      </w:r>
      <w:r>
        <w:rPr>
          <w:rFonts w:hint="eastAsia" w:ascii="仿宋" w:hAnsi="仿宋" w:eastAsia="仿宋" w:cs="仿宋"/>
          <w:color w:val="auto"/>
          <w:spacing w:val="-3"/>
          <w:sz w:val="24"/>
          <w:szCs w:val="24"/>
          <w:highlight w:val="none"/>
          <w:lang w:val="en-US" w:eastAsia="zh-CN"/>
        </w:rPr>
        <w:t>投标</w:t>
      </w:r>
      <w:r>
        <w:rPr>
          <w:rFonts w:hint="eastAsia" w:ascii="仿宋" w:hAnsi="仿宋" w:eastAsia="仿宋" w:cs="仿宋"/>
          <w:color w:val="auto"/>
          <w:spacing w:val="-3"/>
          <w:sz w:val="24"/>
          <w:szCs w:val="24"/>
          <w:highlight w:val="none"/>
        </w:rPr>
        <w:t>文件（含澄清或者说明文件</w:t>
      </w:r>
      <w:r>
        <w:rPr>
          <w:rFonts w:hint="eastAsia" w:ascii="仿宋" w:hAnsi="仿宋" w:eastAsia="仿宋" w:cs="仿宋"/>
          <w:color w:val="auto"/>
          <w:spacing w:val="3"/>
          <w:sz w:val="24"/>
          <w:szCs w:val="24"/>
          <w:highlight w:val="none"/>
        </w:rPr>
        <w:t>）；</w:t>
      </w:r>
    </w:p>
    <w:p w14:paraId="2E080DF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1.1.4</w:t>
      </w:r>
      <w:r>
        <w:rPr>
          <w:rFonts w:hint="eastAsia" w:ascii="仿宋" w:hAnsi="仿宋" w:eastAsia="仿宋" w:cs="仿宋"/>
          <w:color w:val="auto"/>
          <w:spacing w:val="-3"/>
          <w:sz w:val="24"/>
          <w:szCs w:val="24"/>
          <w:highlight w:val="none"/>
          <w:lang w:val="en-US" w:eastAsia="zh-CN"/>
        </w:rPr>
        <w:t>公开招标</w:t>
      </w:r>
      <w:r>
        <w:rPr>
          <w:rFonts w:hint="eastAsia" w:ascii="仿宋" w:hAnsi="仿宋" w:eastAsia="仿宋" w:cs="仿宋"/>
          <w:color w:val="auto"/>
          <w:spacing w:val="-3"/>
          <w:sz w:val="24"/>
          <w:szCs w:val="24"/>
          <w:highlight w:val="none"/>
        </w:rPr>
        <w:t>文件（含澄清或者修改文件</w:t>
      </w:r>
      <w:r>
        <w:rPr>
          <w:rFonts w:hint="eastAsia" w:ascii="仿宋" w:hAnsi="仿宋" w:eastAsia="仿宋" w:cs="仿宋"/>
          <w:color w:val="auto"/>
          <w:spacing w:val="8"/>
          <w:sz w:val="24"/>
          <w:szCs w:val="24"/>
          <w:highlight w:val="none"/>
        </w:rPr>
        <w:t>）；</w:t>
      </w:r>
    </w:p>
    <w:p w14:paraId="33034F2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1.1.5其他相关采购文件。</w:t>
      </w:r>
    </w:p>
    <w:p w14:paraId="60E8D89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0" w:firstLineChars="200"/>
        <w:textAlignment w:val="baseline"/>
        <w:outlineLvl w:val="2"/>
        <w:rPr>
          <w:rFonts w:hint="eastAsia" w:ascii="仿宋" w:hAnsi="仿宋" w:eastAsia="仿宋" w:cs="仿宋"/>
          <w:b/>
          <w:bCs/>
          <w:color w:val="auto"/>
          <w:spacing w:val="-8"/>
          <w:sz w:val="24"/>
          <w:szCs w:val="24"/>
          <w:highlight w:val="none"/>
          <w:lang w:val="en-US" w:eastAsia="zh-CN"/>
        </w:rPr>
      </w:pPr>
      <w:r>
        <w:rPr>
          <w:rFonts w:hint="eastAsia" w:ascii="仿宋" w:hAnsi="仿宋" w:eastAsia="仿宋" w:cs="仿宋"/>
          <w:b/>
          <w:bCs/>
          <w:color w:val="auto"/>
          <w:spacing w:val="-8"/>
          <w:sz w:val="24"/>
          <w:szCs w:val="24"/>
          <w:highlight w:val="none"/>
        </w:rPr>
        <w:t>1.2</w:t>
      </w:r>
      <w:r>
        <w:rPr>
          <w:rFonts w:hint="eastAsia" w:ascii="仿宋" w:hAnsi="仿宋" w:eastAsia="仿宋" w:cs="仿宋"/>
          <w:b/>
          <w:bCs/>
          <w:color w:val="auto"/>
          <w:spacing w:val="-8"/>
          <w:sz w:val="24"/>
          <w:szCs w:val="24"/>
          <w:highlight w:val="none"/>
          <w:lang w:val="en-US" w:eastAsia="zh-CN"/>
        </w:rPr>
        <w:t>服务</w:t>
      </w:r>
    </w:p>
    <w:p w14:paraId="55AA403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1.2.1服务名称</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rPr>
        <w:t>；</w:t>
      </w:r>
    </w:p>
    <w:p w14:paraId="65D709C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1.2.2服务内容</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rPr>
        <w:t>；</w:t>
      </w:r>
    </w:p>
    <w:p w14:paraId="2AF2D9B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1.2.3服务质量：</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3"/>
          <w:sz w:val="24"/>
          <w:szCs w:val="24"/>
          <w:highlight w:val="none"/>
        </w:rPr>
        <w:t>。</w:t>
      </w:r>
    </w:p>
    <w:p w14:paraId="7649914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38"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11"/>
          <w:sz w:val="24"/>
          <w:szCs w:val="24"/>
          <w:highlight w:val="none"/>
        </w:rPr>
        <w:t>1.3价款</w:t>
      </w:r>
    </w:p>
    <w:p w14:paraId="61F3BF9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本合同总价为：￥</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3"/>
          <w:sz w:val="24"/>
          <w:szCs w:val="24"/>
          <w:highlight w:val="none"/>
        </w:rPr>
        <w:t>元（大写：人民币</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pacing w:val="-4"/>
          <w:sz w:val="24"/>
          <w:szCs w:val="24"/>
          <w:highlight w:val="none"/>
        </w:rPr>
        <w:t>元）。</w:t>
      </w:r>
    </w:p>
    <w:p w14:paraId="1DEAA4C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highlight w:val="none"/>
        </w:rPr>
      </w:pPr>
      <w:r>
        <w:rPr>
          <w:rFonts w:hint="eastAsia" w:ascii="仿宋" w:hAnsi="仿宋" w:eastAsia="仿宋" w:cs="仿宋"/>
          <w:color w:val="auto"/>
          <w:spacing w:val="-4"/>
          <w:sz w:val="24"/>
          <w:szCs w:val="24"/>
          <w:highlight w:val="none"/>
        </w:rPr>
        <w:t>分项价格：</w:t>
      </w:r>
    </w:p>
    <w:tbl>
      <w:tblPr>
        <w:tblStyle w:val="2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52"/>
        <w:gridCol w:w="3329"/>
        <w:gridCol w:w="3328"/>
      </w:tblGrid>
      <w:tr w14:paraId="0AFFF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94" w:type="pct"/>
            <w:vAlign w:val="center"/>
          </w:tcPr>
          <w:p w14:paraId="1D9828B7">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48" w:firstLineChars="20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序号</w:t>
            </w:r>
          </w:p>
        </w:tc>
        <w:tc>
          <w:tcPr>
            <w:tcW w:w="2003" w:type="pct"/>
            <w:vAlign w:val="center"/>
          </w:tcPr>
          <w:p w14:paraId="65EA863E">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60" w:firstLineChars="20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分项名称</w:t>
            </w:r>
          </w:p>
        </w:tc>
        <w:tc>
          <w:tcPr>
            <w:tcW w:w="2002" w:type="pct"/>
            <w:vAlign w:val="center"/>
          </w:tcPr>
          <w:p w14:paraId="57D812C1">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60" w:firstLineChars="20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分项价格</w:t>
            </w:r>
          </w:p>
        </w:tc>
      </w:tr>
      <w:tr w14:paraId="40762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94" w:type="pct"/>
            <w:vAlign w:val="center"/>
          </w:tcPr>
          <w:p w14:paraId="425FFD03">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80" w:firstLineChars="20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1</w:t>
            </w:r>
          </w:p>
        </w:tc>
        <w:tc>
          <w:tcPr>
            <w:tcW w:w="2003" w:type="pct"/>
            <w:vAlign w:val="center"/>
          </w:tcPr>
          <w:p w14:paraId="25272EAD">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20" w:firstLineChars="200"/>
              <w:jc w:val="center"/>
              <w:textAlignment w:val="baseline"/>
              <w:rPr>
                <w:rFonts w:hint="eastAsia" w:ascii="仿宋" w:hAnsi="仿宋" w:eastAsia="仿宋" w:cs="仿宋"/>
                <w:color w:val="auto"/>
                <w:sz w:val="21"/>
                <w:highlight w:val="none"/>
              </w:rPr>
            </w:pPr>
          </w:p>
        </w:tc>
        <w:tc>
          <w:tcPr>
            <w:tcW w:w="2002" w:type="pct"/>
            <w:vAlign w:val="center"/>
          </w:tcPr>
          <w:p w14:paraId="0AA6CE7E">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20" w:firstLineChars="200"/>
              <w:jc w:val="center"/>
              <w:textAlignment w:val="baseline"/>
              <w:rPr>
                <w:rFonts w:hint="eastAsia" w:ascii="仿宋" w:hAnsi="仿宋" w:eastAsia="仿宋" w:cs="仿宋"/>
                <w:color w:val="auto"/>
                <w:sz w:val="21"/>
                <w:highlight w:val="none"/>
              </w:rPr>
            </w:pPr>
          </w:p>
        </w:tc>
      </w:tr>
      <w:tr w14:paraId="4DB6A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94" w:type="pct"/>
            <w:vAlign w:val="center"/>
          </w:tcPr>
          <w:p w14:paraId="49C86505">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80" w:firstLineChars="20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2</w:t>
            </w:r>
          </w:p>
        </w:tc>
        <w:tc>
          <w:tcPr>
            <w:tcW w:w="2003" w:type="pct"/>
            <w:vAlign w:val="center"/>
          </w:tcPr>
          <w:p w14:paraId="1228DABD">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20" w:firstLineChars="200"/>
              <w:jc w:val="center"/>
              <w:textAlignment w:val="baseline"/>
              <w:rPr>
                <w:rFonts w:hint="eastAsia" w:ascii="仿宋" w:hAnsi="仿宋" w:eastAsia="仿宋" w:cs="仿宋"/>
                <w:color w:val="auto"/>
                <w:sz w:val="21"/>
                <w:highlight w:val="none"/>
              </w:rPr>
            </w:pPr>
          </w:p>
        </w:tc>
        <w:tc>
          <w:tcPr>
            <w:tcW w:w="2002" w:type="pct"/>
            <w:vAlign w:val="center"/>
          </w:tcPr>
          <w:p w14:paraId="53AE1C5D">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20" w:firstLineChars="200"/>
              <w:jc w:val="center"/>
              <w:textAlignment w:val="baseline"/>
              <w:rPr>
                <w:rFonts w:hint="eastAsia" w:ascii="仿宋" w:hAnsi="仿宋" w:eastAsia="仿宋" w:cs="仿宋"/>
                <w:color w:val="auto"/>
                <w:sz w:val="21"/>
                <w:highlight w:val="none"/>
              </w:rPr>
            </w:pPr>
          </w:p>
        </w:tc>
      </w:tr>
      <w:tr w14:paraId="3F6C7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94" w:type="pct"/>
            <w:vAlign w:val="center"/>
          </w:tcPr>
          <w:p w14:paraId="0AFDF4B7">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80" w:firstLineChars="20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2003" w:type="pct"/>
            <w:vAlign w:val="center"/>
          </w:tcPr>
          <w:p w14:paraId="7D7B7128">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20" w:firstLineChars="200"/>
              <w:jc w:val="center"/>
              <w:textAlignment w:val="baseline"/>
              <w:rPr>
                <w:rFonts w:hint="eastAsia" w:ascii="仿宋" w:hAnsi="仿宋" w:eastAsia="仿宋" w:cs="仿宋"/>
                <w:color w:val="auto"/>
                <w:sz w:val="21"/>
                <w:highlight w:val="none"/>
              </w:rPr>
            </w:pPr>
          </w:p>
        </w:tc>
        <w:tc>
          <w:tcPr>
            <w:tcW w:w="2002" w:type="pct"/>
            <w:vAlign w:val="center"/>
          </w:tcPr>
          <w:p w14:paraId="4DA97BCA">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20" w:firstLineChars="200"/>
              <w:jc w:val="center"/>
              <w:textAlignment w:val="baseline"/>
              <w:rPr>
                <w:rFonts w:hint="eastAsia" w:ascii="仿宋" w:hAnsi="仿宋" w:eastAsia="仿宋" w:cs="仿宋"/>
                <w:color w:val="auto"/>
                <w:sz w:val="21"/>
                <w:highlight w:val="none"/>
              </w:rPr>
            </w:pPr>
          </w:p>
        </w:tc>
      </w:tr>
      <w:tr w14:paraId="21793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994" w:type="pct"/>
            <w:vAlign w:val="center"/>
          </w:tcPr>
          <w:p w14:paraId="19ABBA98">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28" w:firstLineChars="20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3"/>
                <w:position w:val="1"/>
                <w:sz w:val="24"/>
                <w:szCs w:val="24"/>
                <w:highlight w:val="none"/>
              </w:rPr>
              <w:t>……</w:t>
            </w:r>
          </w:p>
        </w:tc>
        <w:tc>
          <w:tcPr>
            <w:tcW w:w="2003" w:type="pct"/>
            <w:vAlign w:val="center"/>
          </w:tcPr>
          <w:p w14:paraId="5659149E">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20" w:firstLineChars="200"/>
              <w:jc w:val="center"/>
              <w:textAlignment w:val="baseline"/>
              <w:rPr>
                <w:rFonts w:hint="eastAsia" w:ascii="仿宋" w:hAnsi="仿宋" w:eastAsia="仿宋" w:cs="仿宋"/>
                <w:color w:val="auto"/>
                <w:sz w:val="21"/>
                <w:highlight w:val="none"/>
              </w:rPr>
            </w:pPr>
          </w:p>
        </w:tc>
        <w:tc>
          <w:tcPr>
            <w:tcW w:w="2002" w:type="pct"/>
            <w:vAlign w:val="center"/>
          </w:tcPr>
          <w:p w14:paraId="4B2DCF86">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20" w:firstLineChars="200"/>
              <w:jc w:val="center"/>
              <w:textAlignment w:val="baseline"/>
              <w:rPr>
                <w:rFonts w:hint="eastAsia" w:ascii="仿宋" w:hAnsi="仿宋" w:eastAsia="仿宋" w:cs="仿宋"/>
                <w:color w:val="auto"/>
                <w:sz w:val="21"/>
                <w:highlight w:val="none"/>
              </w:rPr>
            </w:pPr>
          </w:p>
        </w:tc>
      </w:tr>
      <w:tr w14:paraId="241BE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97" w:type="pct"/>
            <w:gridSpan w:val="2"/>
            <w:vAlign w:val="center"/>
          </w:tcPr>
          <w:p w14:paraId="621AA339">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24" w:firstLineChars="20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4"/>
                <w:sz w:val="24"/>
                <w:szCs w:val="24"/>
                <w:highlight w:val="none"/>
              </w:rPr>
              <w:t>总价</w:t>
            </w:r>
          </w:p>
        </w:tc>
        <w:tc>
          <w:tcPr>
            <w:tcW w:w="2002" w:type="pct"/>
            <w:vAlign w:val="center"/>
          </w:tcPr>
          <w:p w14:paraId="4CB5186D">
            <w:pPr>
              <w:keepNext w:val="0"/>
              <w:keepLines w:val="0"/>
              <w:pageBreakBefore w:val="0"/>
              <w:widowControl/>
              <w:shd w:val="clear"/>
              <w:kinsoku w:val="0"/>
              <w:wordWrap/>
              <w:overflowPunct/>
              <w:topLinePunct w:val="0"/>
              <w:autoSpaceDE w:val="0"/>
              <w:autoSpaceDN w:val="0"/>
              <w:bidi w:val="0"/>
              <w:adjustRightInd w:val="0"/>
              <w:snapToGrid w:val="0"/>
              <w:spacing w:line="240" w:lineRule="auto"/>
              <w:ind w:left="0" w:leftChars="0" w:right="0" w:rightChars="0" w:firstLine="420" w:firstLineChars="200"/>
              <w:jc w:val="center"/>
              <w:textAlignment w:val="baseline"/>
              <w:rPr>
                <w:rFonts w:hint="eastAsia" w:ascii="仿宋" w:hAnsi="仿宋" w:eastAsia="仿宋" w:cs="仿宋"/>
                <w:color w:val="auto"/>
                <w:sz w:val="21"/>
                <w:highlight w:val="none"/>
              </w:rPr>
            </w:pPr>
          </w:p>
        </w:tc>
      </w:tr>
    </w:tbl>
    <w:p w14:paraId="677C6E9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6"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1.4付款方式和发票开具方式</w:t>
      </w:r>
    </w:p>
    <w:p w14:paraId="4151381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1.4.1付款方式</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rPr>
        <w:t>；</w:t>
      </w:r>
    </w:p>
    <w:p w14:paraId="680BC52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1.4.2发票开具方式：</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4"/>
          <w:sz w:val="24"/>
          <w:szCs w:val="24"/>
          <w:highlight w:val="none"/>
        </w:rPr>
        <w:t>。</w:t>
      </w:r>
    </w:p>
    <w:p w14:paraId="64F97C6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6"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1.5服务期限、地点和方式</w:t>
      </w:r>
    </w:p>
    <w:p w14:paraId="083317E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1.5.1服务期限</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rPr>
        <w:t>；</w:t>
      </w:r>
    </w:p>
    <w:p w14:paraId="2971B31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1.5.2服务地点</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rPr>
        <w:t>；</w:t>
      </w:r>
    </w:p>
    <w:p w14:paraId="523898C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1.5.3服务方式：</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3"/>
          <w:sz w:val="24"/>
          <w:szCs w:val="24"/>
          <w:highlight w:val="none"/>
        </w:rPr>
        <w:t>。</w:t>
      </w:r>
    </w:p>
    <w:p w14:paraId="44A9689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6"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9"/>
          <w:sz w:val="24"/>
          <w:szCs w:val="24"/>
          <w:highlight w:val="none"/>
        </w:rPr>
        <w:t>1.6违约责任</w:t>
      </w:r>
    </w:p>
    <w:p w14:paraId="45C6844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1.6.1除不可抗力外，如果乙方没有按照本合同约定的期限、地点和方式履行，那</w:t>
      </w:r>
      <w:r>
        <w:rPr>
          <w:rFonts w:hint="eastAsia" w:ascii="仿宋" w:hAnsi="仿宋" w:eastAsia="仿宋" w:cs="仿宋"/>
          <w:color w:val="auto"/>
          <w:spacing w:val="3"/>
          <w:sz w:val="24"/>
          <w:szCs w:val="24"/>
          <w:highlight w:val="none"/>
        </w:rPr>
        <w:t>么甲方可要求乙方支付违约金，违约金按每迟延履</w:t>
      </w:r>
      <w:r>
        <w:rPr>
          <w:rFonts w:hint="eastAsia" w:ascii="仿宋" w:hAnsi="仿宋" w:eastAsia="仿宋" w:cs="仿宋"/>
          <w:color w:val="auto"/>
          <w:spacing w:val="2"/>
          <w:sz w:val="24"/>
          <w:szCs w:val="24"/>
          <w:highlight w:val="none"/>
        </w:rPr>
        <w:t>行一日的应提供而未提供服务价格</w:t>
      </w:r>
      <w:r>
        <w:rPr>
          <w:rFonts w:hint="eastAsia" w:ascii="仿宋" w:hAnsi="仿宋" w:eastAsia="仿宋" w:cs="仿宋"/>
          <w:color w:val="auto"/>
          <w:spacing w:val="1"/>
          <w:sz w:val="24"/>
          <w:szCs w:val="24"/>
          <w:highlight w:val="none"/>
        </w:rPr>
        <w:t>的</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15"/>
          <w:sz w:val="24"/>
          <w:szCs w:val="24"/>
          <w:highlight w:val="none"/>
        </w:rPr>
        <w:t xml:space="preserve"> </w:t>
      </w:r>
      <w:r>
        <w:rPr>
          <w:rFonts w:hint="eastAsia" w:ascii="仿宋" w:hAnsi="仿宋" w:eastAsia="仿宋" w:cs="仿宋"/>
          <w:color w:val="auto"/>
          <w:spacing w:val="1"/>
          <w:sz w:val="24"/>
          <w:szCs w:val="24"/>
          <w:highlight w:val="none"/>
        </w:rPr>
        <w:t>%计算，最高限额为本合同总价的</w:t>
      </w:r>
      <w:r>
        <w:rPr>
          <w:rFonts w:hint="eastAsia" w:ascii="仿宋" w:hAnsi="仿宋" w:eastAsia="仿宋" w:cs="仿宋"/>
          <w:color w:val="auto"/>
          <w:spacing w:val="-117"/>
          <w:sz w:val="24"/>
          <w:szCs w:val="24"/>
          <w:highlight w:val="none"/>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16"/>
          <w:sz w:val="24"/>
          <w:szCs w:val="24"/>
          <w:highlight w:val="none"/>
        </w:rPr>
        <w:t xml:space="preserve"> </w:t>
      </w:r>
      <w:r>
        <w:rPr>
          <w:rFonts w:hint="eastAsia" w:ascii="仿宋" w:hAnsi="仿宋" w:eastAsia="仿宋" w:cs="仿宋"/>
          <w:color w:val="auto"/>
          <w:spacing w:val="1"/>
          <w:sz w:val="24"/>
          <w:szCs w:val="24"/>
          <w:highlight w:val="none"/>
        </w:rPr>
        <w:t>%；迟延履行的违约</w:t>
      </w:r>
      <w:r>
        <w:rPr>
          <w:rFonts w:hint="eastAsia" w:ascii="仿宋" w:hAnsi="仿宋" w:eastAsia="仿宋" w:cs="仿宋"/>
          <w:color w:val="auto"/>
          <w:sz w:val="24"/>
          <w:szCs w:val="24"/>
          <w:highlight w:val="none"/>
        </w:rPr>
        <w:t>金计算数额达到前述</w:t>
      </w:r>
      <w:r>
        <w:rPr>
          <w:rFonts w:hint="eastAsia" w:ascii="仿宋" w:hAnsi="仿宋" w:eastAsia="仿宋" w:cs="仿宋"/>
          <w:color w:val="auto"/>
          <w:spacing w:val="-2"/>
          <w:sz w:val="24"/>
          <w:szCs w:val="24"/>
          <w:highlight w:val="none"/>
        </w:rPr>
        <w:t>最高限额之日起，甲方有权在要求乙方支付违约金的同时，书面通知乙方解除本合同；</w:t>
      </w:r>
    </w:p>
    <w:p w14:paraId="0670513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1.6.2除不可抗力外，如果甲方没有按照本合同约定的付款方式付款，那么乙方可</w:t>
      </w:r>
      <w:r>
        <w:rPr>
          <w:rFonts w:hint="eastAsia" w:ascii="仿宋" w:hAnsi="仿宋" w:eastAsia="仿宋" w:cs="仿宋"/>
          <w:color w:val="auto"/>
          <w:spacing w:val="1"/>
          <w:sz w:val="24"/>
          <w:szCs w:val="24"/>
          <w:highlight w:val="none"/>
        </w:rPr>
        <w:t>要求甲方支付违约金，违约金按每迟延付款一日的应付而未付款的</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%计算，最高限</w:t>
      </w:r>
      <w:r>
        <w:rPr>
          <w:rFonts w:hint="eastAsia" w:ascii="仿宋" w:hAnsi="仿宋" w:eastAsia="仿宋" w:cs="仿宋"/>
          <w:color w:val="auto"/>
          <w:spacing w:val="-1"/>
          <w:sz w:val="24"/>
          <w:szCs w:val="24"/>
          <w:highlight w:val="none"/>
        </w:rPr>
        <w:t>额为本合同总价的</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%；迟延付款</w:t>
      </w:r>
      <w:r>
        <w:rPr>
          <w:rFonts w:hint="eastAsia" w:ascii="仿宋" w:hAnsi="仿宋" w:eastAsia="仿宋" w:cs="仿宋"/>
          <w:color w:val="auto"/>
          <w:spacing w:val="-2"/>
          <w:sz w:val="24"/>
          <w:szCs w:val="24"/>
          <w:highlight w:val="none"/>
        </w:rPr>
        <w:t>的违约金计算数额达到前述最高限额之日起，乙方</w:t>
      </w:r>
      <w:r>
        <w:rPr>
          <w:rFonts w:hint="eastAsia" w:ascii="仿宋" w:hAnsi="仿宋" w:eastAsia="仿宋" w:cs="仿宋"/>
          <w:color w:val="auto"/>
          <w:spacing w:val="-1"/>
          <w:sz w:val="24"/>
          <w:szCs w:val="24"/>
          <w:highlight w:val="none"/>
        </w:rPr>
        <w:t>有权在要求甲方支付违约金的同时，书面通知甲方解除本合同；</w:t>
      </w:r>
    </w:p>
    <w:p w14:paraId="36D0E0B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1.6.3除不可抗力外，任何一方未能履行本合同约定的其他主要义务，经催告后在</w:t>
      </w:r>
      <w:r>
        <w:rPr>
          <w:rFonts w:hint="eastAsia" w:ascii="仿宋" w:hAnsi="仿宋" w:eastAsia="仿宋" w:cs="仿宋"/>
          <w:color w:val="auto"/>
          <w:spacing w:val="-2"/>
          <w:sz w:val="24"/>
          <w:szCs w:val="24"/>
          <w:highlight w:val="none"/>
        </w:rPr>
        <w:t>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w:t>
      </w:r>
      <w:r>
        <w:rPr>
          <w:rFonts w:hint="eastAsia" w:ascii="仿宋" w:hAnsi="仿宋" w:eastAsia="仿宋" w:cs="仿宋"/>
          <w:color w:val="auto"/>
          <w:spacing w:val="-1"/>
          <w:sz w:val="24"/>
          <w:szCs w:val="24"/>
          <w:highlight w:val="none"/>
        </w:rPr>
        <w:t>方当事人可以书面通知违约方解除本合同；</w:t>
      </w:r>
    </w:p>
    <w:p w14:paraId="4DC8F35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1.6.4任何一方按照前述约定要求违约方支付违约金的同时，仍有权要求违约方继</w:t>
      </w:r>
      <w:r>
        <w:rPr>
          <w:rFonts w:hint="eastAsia" w:ascii="仿宋" w:hAnsi="仿宋" w:eastAsia="仿宋" w:cs="仿宋"/>
          <w:color w:val="auto"/>
          <w:spacing w:val="-2"/>
          <w:sz w:val="24"/>
          <w:szCs w:val="24"/>
          <w:highlight w:val="none"/>
        </w:rPr>
        <w:t>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w:t>
      </w:r>
      <w:r>
        <w:rPr>
          <w:rFonts w:hint="eastAsia" w:ascii="仿宋" w:hAnsi="仿宋" w:eastAsia="仿宋" w:cs="仿宋"/>
          <w:color w:val="auto"/>
          <w:spacing w:val="-1"/>
          <w:sz w:val="24"/>
          <w:szCs w:val="24"/>
          <w:highlight w:val="none"/>
        </w:rPr>
        <w:t>其他法定或者约定的权利救济方式；</w:t>
      </w:r>
    </w:p>
    <w:p w14:paraId="3AFD39B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1.6.5除前述约定外，除不可抗力外，任何一方未能履行本合同约定的义务，</w:t>
      </w:r>
      <w:r>
        <w:rPr>
          <w:rFonts w:hint="eastAsia" w:ascii="仿宋" w:hAnsi="仿宋" w:eastAsia="仿宋" w:cs="仿宋"/>
          <w:color w:val="auto"/>
          <w:spacing w:val="-1"/>
          <w:sz w:val="24"/>
          <w:szCs w:val="24"/>
          <w:highlight w:val="none"/>
        </w:rPr>
        <w:t>对方</w:t>
      </w:r>
      <w:r>
        <w:rPr>
          <w:rFonts w:hint="eastAsia" w:ascii="仿宋" w:hAnsi="仿宋" w:eastAsia="仿宋" w:cs="仿宋"/>
          <w:color w:val="auto"/>
          <w:spacing w:val="-2"/>
          <w:sz w:val="24"/>
          <w:szCs w:val="24"/>
          <w:highlight w:val="none"/>
        </w:rPr>
        <w:t>当事人均有权要求继续履行、采取补救措施或者赔偿损失等，且对方当事人行使的任何</w:t>
      </w:r>
      <w:r>
        <w:rPr>
          <w:rFonts w:hint="eastAsia" w:ascii="仿宋" w:hAnsi="仿宋" w:eastAsia="仿宋" w:cs="仿宋"/>
          <w:color w:val="auto"/>
          <w:spacing w:val="-1"/>
          <w:sz w:val="24"/>
          <w:szCs w:val="24"/>
          <w:highlight w:val="none"/>
        </w:rPr>
        <w:t>权利救济方式均不视为其放弃了其他法定或者约定的权利救济方式；</w:t>
      </w:r>
    </w:p>
    <w:p w14:paraId="119FBC7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1.6.6如果出现政府采购监督管理部门在处理投诉事项期间，书面通知甲方暂停采</w:t>
      </w:r>
      <w:r>
        <w:rPr>
          <w:rFonts w:hint="eastAsia" w:ascii="仿宋" w:hAnsi="仿宋" w:eastAsia="仿宋" w:cs="仿宋"/>
          <w:color w:val="auto"/>
          <w:spacing w:val="-2"/>
          <w:sz w:val="24"/>
          <w:szCs w:val="24"/>
          <w:highlight w:val="none"/>
        </w:rPr>
        <w:t>购活动的情形，或者询问或质疑事项可能影响中标结果的，导致甲方中止履行合同的情形，均不视为甲方违约。</w:t>
      </w:r>
    </w:p>
    <w:p w14:paraId="22DD0DB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1.6.7因甲方未按合同约定支付价款、未按合同约定受领标的物、擅自解除合同、</w:t>
      </w:r>
      <w:r>
        <w:rPr>
          <w:rFonts w:hint="eastAsia" w:ascii="仿宋" w:hAnsi="仿宋" w:eastAsia="仿宋" w:cs="仿宋"/>
          <w:color w:val="auto"/>
          <w:spacing w:val="-2"/>
          <w:sz w:val="24"/>
          <w:szCs w:val="24"/>
          <w:highlight w:val="none"/>
        </w:rPr>
        <w:t>逾期退还履约保证金导致乙方遭受的直接损失，乙方可向甲方申请赔偿，赔偿金额由双方协商一致；针对因政策变化等原因不能签订合同或解除合同时，造成乙方合法利益受</w:t>
      </w:r>
      <w:r>
        <w:rPr>
          <w:rFonts w:hint="eastAsia" w:ascii="仿宋" w:hAnsi="仿宋" w:eastAsia="仿宋" w:cs="仿宋"/>
          <w:color w:val="auto"/>
          <w:spacing w:val="-1"/>
          <w:sz w:val="24"/>
          <w:szCs w:val="24"/>
          <w:highlight w:val="none"/>
        </w:rPr>
        <w:t>损的情形，可以给予乙方合理补偿，补偿金额不得超过乙方的直接损失。</w:t>
      </w:r>
    </w:p>
    <w:p w14:paraId="7275268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4"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7"/>
          <w:sz w:val="24"/>
          <w:szCs w:val="24"/>
          <w:highlight w:val="none"/>
        </w:rPr>
        <w:t>1.7合同争议的解决</w:t>
      </w:r>
    </w:p>
    <w:p w14:paraId="1F3C808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本合同履行过程中发生的任何争议，双方当事人均可通过和解或者调解解决；不愿和解、调解或者和解、调解不成的，可以选择下列第</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种方式解</w:t>
      </w:r>
      <w:r>
        <w:rPr>
          <w:rFonts w:hint="eastAsia" w:ascii="仿宋" w:hAnsi="仿宋" w:eastAsia="仿宋" w:cs="仿宋"/>
          <w:color w:val="auto"/>
          <w:spacing w:val="-2"/>
          <w:sz w:val="24"/>
          <w:szCs w:val="24"/>
          <w:highlight w:val="none"/>
        </w:rPr>
        <w:t>决：</w:t>
      </w:r>
    </w:p>
    <w:p w14:paraId="111333E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1.7.1将争议提交</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仲裁委员会依申请仲裁时其现行有效的仲裁规则</w:t>
      </w:r>
      <w:r>
        <w:rPr>
          <w:rFonts w:hint="eastAsia" w:ascii="仿宋" w:hAnsi="仿宋" w:eastAsia="仿宋" w:cs="仿宋"/>
          <w:color w:val="auto"/>
          <w:spacing w:val="-7"/>
          <w:sz w:val="24"/>
          <w:szCs w:val="24"/>
          <w:highlight w:val="none"/>
        </w:rPr>
        <w:t>裁决；</w:t>
      </w:r>
    </w:p>
    <w:p w14:paraId="581DA9B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1.7.2向</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8"/>
          <w:sz w:val="24"/>
          <w:szCs w:val="24"/>
          <w:highlight w:val="none"/>
        </w:rPr>
        <w:t>人民法院起诉。</w:t>
      </w:r>
    </w:p>
    <w:p w14:paraId="26BC394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6"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9"/>
          <w:sz w:val="24"/>
          <w:szCs w:val="24"/>
          <w:highlight w:val="none"/>
        </w:rPr>
        <w:t>1.8合同生效</w:t>
      </w:r>
    </w:p>
    <w:p w14:paraId="60978DD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本合同自双方当事人盖章时生效。</w:t>
      </w:r>
    </w:p>
    <w:p w14:paraId="0A6AC218">
      <w:pPr>
        <w:keepNext w:val="0"/>
        <w:keepLines w:val="0"/>
        <w:pageBreakBefore w:val="0"/>
        <w:widowControl/>
        <w:shd w:val="clear"/>
        <w:kinsoku w:val="0"/>
        <w:wordWrap/>
        <w:overflowPunct/>
        <w:topLinePunct w:val="0"/>
        <w:autoSpaceDE w:val="0"/>
        <w:autoSpaceDN w:val="0"/>
        <w:bidi w:val="0"/>
        <w:adjustRightInd w:val="0"/>
        <w:snapToGrid w:val="0"/>
        <w:spacing w:line="480" w:lineRule="auto"/>
        <w:ind w:left="0" w:right="0" w:firstLine="0" w:firstLineChars="0"/>
        <w:textAlignment w:val="baseline"/>
        <w:rPr>
          <w:rFonts w:hint="eastAsia" w:ascii="仿宋" w:hAnsi="仿宋" w:eastAsia="仿宋" w:cs="仿宋"/>
          <w:color w:val="auto"/>
          <w:spacing w:val="-1"/>
          <w:sz w:val="24"/>
          <w:szCs w:val="24"/>
          <w:highlight w:val="none"/>
          <w:u w:val="single" w:color="auto"/>
        </w:rPr>
      </w:pPr>
      <w:r>
        <w:rPr>
          <w:rFonts w:hint="eastAsia" w:ascii="仿宋" w:hAnsi="仿宋" w:eastAsia="仿宋" w:cs="仿宋"/>
          <w:color w:val="auto"/>
          <w:spacing w:val="-1"/>
          <w:sz w:val="24"/>
          <w:szCs w:val="24"/>
          <w:highlight w:val="none"/>
        </w:rPr>
        <w:t>甲方</w:t>
      </w:r>
      <w:r>
        <w:rPr>
          <w:rFonts w:hint="eastAsia" w:ascii="仿宋" w:hAnsi="仿宋" w:eastAsia="仿宋" w:cs="仿宋"/>
          <w:color w:val="auto"/>
          <w:spacing w:val="-30"/>
          <w:sz w:val="24"/>
          <w:szCs w:val="24"/>
          <w:highlight w:val="none"/>
        </w:rPr>
        <w:t>：</w:t>
      </w:r>
      <w:r>
        <w:rPr>
          <w:rFonts w:hint="eastAsia" w:ascii="仿宋" w:hAnsi="仿宋" w:eastAsia="仿宋" w:cs="仿宋"/>
          <w:color w:val="auto"/>
          <w:spacing w:val="-30"/>
          <w:sz w:val="24"/>
          <w:szCs w:val="24"/>
          <w:highlight w:val="none"/>
          <w:u w:val="none" w:color="auto"/>
        </w:rPr>
        <w:t>（</w:t>
      </w:r>
      <w:r>
        <w:rPr>
          <w:rFonts w:hint="eastAsia" w:ascii="仿宋" w:hAnsi="仿宋" w:eastAsia="仿宋" w:cs="仿宋"/>
          <w:color w:val="auto"/>
          <w:spacing w:val="-1"/>
          <w:sz w:val="24"/>
          <w:szCs w:val="24"/>
          <w:highlight w:val="none"/>
          <w:u w:val="none" w:color="auto"/>
        </w:rPr>
        <w:t>单位盖章）</w:t>
      </w:r>
      <w:r>
        <w:rPr>
          <w:rFonts w:hint="eastAsia" w:ascii="仿宋" w:hAnsi="仿宋" w:eastAsia="仿宋" w:cs="仿宋"/>
          <w:color w:val="auto"/>
          <w:spacing w:val="-1"/>
          <w:sz w:val="24"/>
          <w:szCs w:val="24"/>
          <w:highlight w:val="none"/>
          <w:u w:val="none" w:color="auto"/>
          <w:lang w:val="en-US" w:eastAsia="zh-CN"/>
        </w:rPr>
        <w:t xml:space="preserve">                  </w:t>
      </w:r>
      <w:r>
        <w:rPr>
          <w:rFonts w:hint="eastAsia" w:ascii="仿宋" w:hAnsi="仿宋" w:eastAsia="仿宋" w:cs="仿宋"/>
          <w:color w:val="auto"/>
          <w:sz w:val="24"/>
          <w:szCs w:val="24"/>
          <w:highlight w:val="none"/>
        </w:rPr>
        <w:t>乙方</w:t>
      </w:r>
      <w:r>
        <w:rPr>
          <w:rFonts w:hint="eastAsia" w:ascii="仿宋" w:hAnsi="仿宋" w:eastAsia="仿宋" w:cs="仿宋"/>
          <w:color w:val="auto"/>
          <w:spacing w:val="-17"/>
          <w:sz w:val="24"/>
          <w:szCs w:val="24"/>
          <w:highlight w:val="none"/>
        </w:rPr>
        <w:t>：</w:t>
      </w:r>
      <w:r>
        <w:rPr>
          <w:rFonts w:hint="eastAsia" w:ascii="仿宋" w:hAnsi="仿宋" w:eastAsia="仿宋" w:cs="仿宋"/>
          <w:color w:val="auto"/>
          <w:spacing w:val="-30"/>
          <w:sz w:val="24"/>
          <w:szCs w:val="24"/>
          <w:highlight w:val="none"/>
          <w:u w:val="none" w:color="auto"/>
        </w:rPr>
        <w:t>（</w:t>
      </w:r>
      <w:r>
        <w:rPr>
          <w:rFonts w:hint="eastAsia" w:ascii="仿宋" w:hAnsi="仿宋" w:eastAsia="仿宋" w:cs="仿宋"/>
          <w:color w:val="auto"/>
          <w:spacing w:val="-1"/>
          <w:sz w:val="24"/>
          <w:szCs w:val="24"/>
          <w:highlight w:val="none"/>
          <w:u w:val="none" w:color="auto"/>
        </w:rPr>
        <w:t>单位盖章）</w:t>
      </w:r>
    </w:p>
    <w:p w14:paraId="03DDCAF5">
      <w:pPr>
        <w:keepNext w:val="0"/>
        <w:keepLines w:val="0"/>
        <w:pageBreakBefore w:val="0"/>
        <w:widowControl/>
        <w:shd w:val="clear"/>
        <w:kinsoku w:val="0"/>
        <w:wordWrap/>
        <w:overflowPunct/>
        <w:topLinePunct w:val="0"/>
        <w:autoSpaceDE w:val="0"/>
        <w:autoSpaceDN w:val="0"/>
        <w:bidi w:val="0"/>
        <w:adjustRightInd w:val="0"/>
        <w:snapToGrid w:val="0"/>
        <w:spacing w:line="480" w:lineRule="auto"/>
        <w:ind w:left="0" w:right="0" w:firstLine="0" w:firstLineChars="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5"/>
          <w:sz w:val="24"/>
          <w:szCs w:val="24"/>
          <w:highlight w:val="none"/>
        </w:rPr>
        <w:t>法定代表人</w:t>
      </w:r>
      <w:r>
        <w:rPr>
          <w:rFonts w:hint="eastAsia" w:ascii="仿宋" w:hAnsi="仿宋" w:eastAsia="仿宋" w:cs="仿宋"/>
          <w:color w:val="auto"/>
          <w:spacing w:val="-3"/>
          <w:sz w:val="24"/>
          <w:szCs w:val="24"/>
          <w:highlight w:val="none"/>
        </w:rPr>
        <w:t>或授权代表（签字</w:t>
      </w:r>
      <w:r>
        <w:rPr>
          <w:rFonts w:hint="eastAsia" w:ascii="仿宋" w:hAnsi="仿宋" w:eastAsia="仿宋" w:cs="仿宋"/>
          <w:color w:val="auto"/>
          <w:spacing w:val="1"/>
          <w:sz w:val="24"/>
          <w:szCs w:val="24"/>
          <w:highlight w:val="none"/>
        </w:rPr>
        <w:t>）：</w:t>
      </w:r>
      <w:r>
        <w:rPr>
          <w:rFonts w:hint="eastAsia" w:ascii="仿宋" w:hAnsi="仿宋" w:eastAsia="仿宋" w:cs="仿宋"/>
          <w:color w:val="auto"/>
          <w:spacing w:val="1"/>
          <w:sz w:val="24"/>
          <w:szCs w:val="24"/>
          <w:highlight w:val="none"/>
          <w:lang w:val="en-US" w:eastAsia="zh-CN"/>
        </w:rPr>
        <w:t xml:space="preserve">     </w:t>
      </w:r>
      <w:r>
        <w:rPr>
          <w:rFonts w:hint="eastAsia" w:ascii="仿宋" w:hAnsi="仿宋" w:eastAsia="仿宋" w:cs="仿宋"/>
          <w:color w:val="auto"/>
          <w:spacing w:val="-5"/>
          <w:sz w:val="24"/>
          <w:szCs w:val="24"/>
          <w:highlight w:val="none"/>
        </w:rPr>
        <w:t>法定代表人</w:t>
      </w:r>
      <w:r>
        <w:rPr>
          <w:rFonts w:hint="eastAsia" w:ascii="仿宋" w:hAnsi="仿宋" w:eastAsia="仿宋" w:cs="仿宋"/>
          <w:color w:val="auto"/>
          <w:spacing w:val="-3"/>
          <w:sz w:val="24"/>
          <w:szCs w:val="24"/>
          <w:highlight w:val="none"/>
        </w:rPr>
        <w:t>或授权代表（签字</w:t>
      </w:r>
      <w:r>
        <w:rPr>
          <w:rFonts w:hint="eastAsia" w:ascii="仿宋" w:hAnsi="仿宋" w:eastAsia="仿宋" w:cs="仿宋"/>
          <w:color w:val="auto"/>
          <w:spacing w:val="1"/>
          <w:sz w:val="24"/>
          <w:szCs w:val="24"/>
          <w:highlight w:val="none"/>
        </w:rPr>
        <w:t>）：</w:t>
      </w:r>
    </w:p>
    <w:p w14:paraId="263F9D48">
      <w:pPr>
        <w:keepNext w:val="0"/>
        <w:keepLines w:val="0"/>
        <w:pageBreakBefore w:val="0"/>
        <w:widowControl/>
        <w:shd w:val="clear"/>
        <w:kinsoku w:val="0"/>
        <w:wordWrap/>
        <w:overflowPunct/>
        <w:topLinePunct w:val="0"/>
        <w:autoSpaceDE w:val="0"/>
        <w:autoSpaceDN w:val="0"/>
        <w:bidi w:val="0"/>
        <w:adjustRightInd w:val="0"/>
        <w:snapToGrid w:val="0"/>
        <w:spacing w:line="480" w:lineRule="auto"/>
        <w:ind w:left="0" w:right="0" w:firstLine="0" w:firstLineChars="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4"/>
          <w:sz w:val="24"/>
          <w:szCs w:val="24"/>
          <w:highlight w:val="none"/>
        </w:rPr>
        <w:t>时间：</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4"/>
          <w:sz w:val="24"/>
          <w:szCs w:val="24"/>
          <w:highlight w:val="none"/>
        </w:rPr>
        <w:t>年</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92"/>
          <w:sz w:val="24"/>
          <w:szCs w:val="24"/>
          <w:highlight w:val="none"/>
        </w:rPr>
        <w:t xml:space="preserve"> </w:t>
      </w:r>
      <w:r>
        <w:rPr>
          <w:rFonts w:hint="eastAsia" w:ascii="仿宋" w:hAnsi="仿宋" w:eastAsia="仿宋" w:cs="仿宋"/>
          <w:color w:val="auto"/>
          <w:spacing w:val="-14"/>
          <w:sz w:val="24"/>
          <w:szCs w:val="24"/>
          <w:highlight w:val="none"/>
        </w:rPr>
        <w:t>月</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4"/>
          <w:sz w:val="24"/>
          <w:szCs w:val="24"/>
          <w:highlight w:val="none"/>
        </w:rPr>
        <w:t xml:space="preserve"> </w:t>
      </w:r>
      <w:r>
        <w:rPr>
          <w:rFonts w:hint="eastAsia" w:ascii="仿宋" w:hAnsi="仿宋" w:eastAsia="仿宋" w:cs="仿宋"/>
          <w:color w:val="auto"/>
          <w:spacing w:val="-14"/>
          <w:sz w:val="24"/>
          <w:szCs w:val="24"/>
          <w:highlight w:val="none"/>
        </w:rPr>
        <w:t>日</w:t>
      </w:r>
      <w:r>
        <w:rPr>
          <w:rFonts w:hint="eastAsia" w:ascii="仿宋" w:hAnsi="仿宋" w:eastAsia="仿宋" w:cs="仿宋"/>
          <w:color w:val="auto"/>
          <w:spacing w:val="-14"/>
          <w:sz w:val="24"/>
          <w:szCs w:val="24"/>
          <w:highlight w:val="none"/>
          <w:lang w:val="en-US" w:eastAsia="zh-CN"/>
        </w:rPr>
        <w:t xml:space="preserve">          </w:t>
      </w:r>
      <w:r>
        <w:rPr>
          <w:rFonts w:hint="eastAsia" w:ascii="仿宋" w:hAnsi="仿宋" w:eastAsia="仿宋" w:cs="仿宋"/>
          <w:color w:val="auto"/>
          <w:spacing w:val="-14"/>
          <w:sz w:val="24"/>
          <w:szCs w:val="24"/>
          <w:highlight w:val="none"/>
        </w:rPr>
        <w:t>时间：</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4"/>
          <w:sz w:val="24"/>
          <w:szCs w:val="24"/>
          <w:highlight w:val="none"/>
        </w:rPr>
        <w:t>年</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4"/>
          <w:sz w:val="24"/>
          <w:szCs w:val="24"/>
          <w:highlight w:val="none"/>
        </w:rPr>
        <w:t>月</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4"/>
          <w:sz w:val="24"/>
          <w:szCs w:val="24"/>
          <w:highlight w:val="none"/>
        </w:rPr>
        <w:t xml:space="preserve"> </w:t>
      </w:r>
      <w:r>
        <w:rPr>
          <w:rFonts w:hint="eastAsia" w:ascii="仿宋" w:hAnsi="仿宋" w:eastAsia="仿宋" w:cs="仿宋"/>
          <w:color w:val="auto"/>
          <w:spacing w:val="-14"/>
          <w:sz w:val="24"/>
          <w:szCs w:val="24"/>
          <w:highlight w:val="none"/>
        </w:rPr>
        <w:t>日</w:t>
      </w:r>
    </w:p>
    <w:p w14:paraId="0971691A">
      <w:pPr>
        <w:keepNext w:val="0"/>
        <w:keepLines w:val="0"/>
        <w:pageBreakBefore w:val="0"/>
        <w:widowControl/>
        <w:shd w:val="clear"/>
        <w:kinsoku w:val="0"/>
        <w:wordWrap/>
        <w:overflowPunct/>
        <w:topLinePunct w:val="0"/>
        <w:autoSpaceDE w:val="0"/>
        <w:autoSpaceDN w:val="0"/>
        <w:bidi w:val="0"/>
        <w:adjustRightInd w:val="0"/>
        <w:snapToGrid w:val="0"/>
        <w:spacing w:line="480" w:lineRule="auto"/>
        <w:ind w:left="0" w:right="0" w:firstLine="4104" w:firstLineChars="18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6"/>
          <w:sz w:val="24"/>
          <w:szCs w:val="24"/>
          <w:highlight w:val="none"/>
        </w:rPr>
        <w:t>乙方账户信息</w:t>
      </w:r>
      <w:r>
        <w:rPr>
          <w:rFonts w:hint="eastAsia" w:ascii="仿宋" w:hAnsi="仿宋" w:eastAsia="仿宋" w:cs="仿宋"/>
          <w:color w:val="auto"/>
          <w:spacing w:val="-6"/>
          <w:sz w:val="24"/>
          <w:szCs w:val="24"/>
          <w:highlight w:val="none"/>
          <w:lang w:eastAsia="zh-CN"/>
        </w:rPr>
        <w:t>：</w:t>
      </w:r>
    </w:p>
    <w:p w14:paraId="68C718A6">
      <w:pPr>
        <w:keepNext w:val="0"/>
        <w:keepLines w:val="0"/>
        <w:pageBreakBefore w:val="0"/>
        <w:widowControl/>
        <w:shd w:val="clear"/>
        <w:kinsoku w:val="0"/>
        <w:wordWrap/>
        <w:overflowPunct/>
        <w:topLinePunct w:val="0"/>
        <w:autoSpaceDE w:val="0"/>
        <w:autoSpaceDN w:val="0"/>
        <w:bidi w:val="0"/>
        <w:adjustRightInd w:val="0"/>
        <w:snapToGrid w:val="0"/>
        <w:spacing w:line="480" w:lineRule="auto"/>
        <w:ind w:left="0" w:right="0" w:firstLine="4104" w:firstLineChars="18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户名：</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14:paraId="0FB8900D">
      <w:pPr>
        <w:keepNext w:val="0"/>
        <w:keepLines w:val="0"/>
        <w:pageBreakBefore w:val="0"/>
        <w:widowControl/>
        <w:shd w:val="clear"/>
        <w:kinsoku w:val="0"/>
        <w:wordWrap/>
        <w:overflowPunct/>
        <w:topLinePunct w:val="0"/>
        <w:autoSpaceDE w:val="0"/>
        <w:autoSpaceDN w:val="0"/>
        <w:bidi w:val="0"/>
        <w:adjustRightInd w:val="0"/>
        <w:snapToGrid w:val="0"/>
        <w:spacing w:line="480" w:lineRule="auto"/>
        <w:ind w:left="0" w:right="0" w:firstLine="4140" w:firstLineChars="18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账号：</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14:paraId="5FF5FEC6">
      <w:pPr>
        <w:keepNext w:val="0"/>
        <w:keepLines w:val="0"/>
        <w:pageBreakBefore w:val="0"/>
        <w:widowControl/>
        <w:shd w:val="clear"/>
        <w:kinsoku w:val="0"/>
        <w:wordWrap/>
        <w:overflowPunct/>
        <w:topLinePunct w:val="0"/>
        <w:autoSpaceDE w:val="0"/>
        <w:autoSpaceDN w:val="0"/>
        <w:bidi w:val="0"/>
        <w:adjustRightInd w:val="0"/>
        <w:snapToGrid w:val="0"/>
        <w:spacing w:line="480" w:lineRule="auto"/>
        <w:ind w:right="0" w:firstLine="4140" w:firstLineChars="1800"/>
        <w:textAlignment w:val="baseline"/>
        <w:rPr>
          <w:rFonts w:hint="eastAsia" w:ascii="仿宋" w:hAnsi="仿宋" w:eastAsia="仿宋" w:cs="仿宋"/>
          <w:color w:val="auto"/>
          <w:spacing w:val="-5"/>
          <w:sz w:val="24"/>
          <w:szCs w:val="24"/>
          <w:highlight w:val="none"/>
        </w:rPr>
      </w:pPr>
      <w:r>
        <w:rPr>
          <w:rFonts w:hint="eastAsia" w:ascii="仿宋" w:hAnsi="仿宋" w:eastAsia="仿宋" w:cs="仿宋"/>
          <w:color w:val="auto"/>
          <w:spacing w:val="-5"/>
          <w:sz w:val="24"/>
          <w:szCs w:val="24"/>
          <w:highlight w:val="none"/>
        </w:rPr>
        <w:t>开户银行：</w:t>
      </w:r>
      <w:r>
        <w:rPr>
          <w:rFonts w:hint="eastAsia" w:ascii="仿宋" w:hAnsi="仿宋" w:eastAsia="仿宋" w:cs="仿宋"/>
          <w:color w:val="auto"/>
          <w:spacing w:val="-5"/>
          <w:sz w:val="24"/>
          <w:szCs w:val="24"/>
          <w:highlight w:val="none"/>
          <w:u w:val="single"/>
        </w:rPr>
        <w:t xml:space="preserve">    </w:t>
      </w:r>
      <w:r>
        <w:rPr>
          <w:rFonts w:hint="eastAsia" w:ascii="仿宋" w:hAnsi="仿宋" w:eastAsia="仿宋" w:cs="仿宋"/>
          <w:color w:val="auto"/>
          <w:spacing w:val="-5"/>
          <w:sz w:val="24"/>
          <w:szCs w:val="24"/>
          <w:highlight w:val="none"/>
          <w:u w:val="single"/>
          <w:lang w:val="en-US" w:eastAsia="zh-CN"/>
        </w:rPr>
        <w:t xml:space="preserve">           </w:t>
      </w:r>
      <w:r>
        <w:rPr>
          <w:rFonts w:hint="eastAsia" w:ascii="仿宋" w:hAnsi="仿宋" w:eastAsia="仿宋" w:cs="仿宋"/>
          <w:color w:val="auto"/>
          <w:spacing w:val="-5"/>
          <w:sz w:val="24"/>
          <w:szCs w:val="24"/>
          <w:highlight w:val="none"/>
          <w:u w:val="single"/>
        </w:rPr>
        <w:t xml:space="preserve">    </w:t>
      </w:r>
    </w:p>
    <w:p w14:paraId="5CFDE29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仿宋" w:hAnsi="仿宋" w:eastAsia="仿宋" w:cs="仿宋"/>
          <w:color w:val="auto"/>
          <w:sz w:val="2"/>
          <w:szCs w:val="2"/>
          <w:highlight w:val="none"/>
        </w:rPr>
      </w:pPr>
    </w:p>
    <w:p w14:paraId="03FA649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hint="eastAsia" w:ascii="仿宋" w:hAnsi="仿宋" w:eastAsia="仿宋" w:cs="仿宋"/>
          <w:color w:val="auto"/>
          <w:sz w:val="32"/>
          <w:szCs w:val="32"/>
          <w:highlight w:val="none"/>
        </w:rPr>
      </w:pPr>
      <w:r>
        <w:rPr>
          <w:rFonts w:hint="eastAsia" w:ascii="仿宋" w:hAnsi="仿宋" w:eastAsia="仿宋" w:cs="仿宋"/>
          <w:color w:val="auto"/>
          <w:sz w:val="2"/>
          <w:szCs w:val="2"/>
          <w:highlight w:val="none"/>
        </w:rPr>
        <w:br w:type="column"/>
      </w:r>
      <w:r>
        <w:rPr>
          <w:rFonts w:hint="eastAsia" w:ascii="仿宋" w:hAnsi="仿宋" w:eastAsia="仿宋" w:cs="仿宋"/>
          <w:b/>
          <w:bCs/>
          <w:color w:val="auto"/>
          <w:sz w:val="32"/>
          <w:szCs w:val="32"/>
          <w:highlight w:val="none"/>
        </w:rPr>
        <w:t>第二部分</w:t>
      </w:r>
      <w:r>
        <w:rPr>
          <w:rFonts w:hint="eastAsia" w:ascii="仿宋" w:hAnsi="仿宋" w:eastAsia="仿宋" w:cs="仿宋"/>
          <w:color w:val="auto"/>
          <w:spacing w:val="39"/>
          <w:sz w:val="32"/>
          <w:szCs w:val="32"/>
          <w:highlight w:val="none"/>
        </w:rPr>
        <w:t xml:space="preserve"> </w:t>
      </w:r>
      <w:r>
        <w:rPr>
          <w:rFonts w:hint="eastAsia" w:ascii="仿宋" w:hAnsi="仿宋" w:eastAsia="仿宋" w:cs="仿宋"/>
          <w:b/>
          <w:bCs/>
          <w:color w:val="auto"/>
          <w:sz w:val="32"/>
          <w:szCs w:val="32"/>
          <w:highlight w:val="none"/>
        </w:rPr>
        <w:t>合同一般条款</w:t>
      </w:r>
    </w:p>
    <w:p w14:paraId="2B74D7F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6"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9"/>
          <w:sz w:val="24"/>
          <w:szCs w:val="24"/>
          <w:highlight w:val="none"/>
        </w:rPr>
        <w:t>2.1定义</w:t>
      </w:r>
    </w:p>
    <w:p w14:paraId="1D8A02A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本合同中的下列词语应按以下内容进行解释：</w:t>
      </w:r>
    </w:p>
    <w:p w14:paraId="5E89F93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2.1.1“合同”系指采购人和中标人签订的载明双方当事人所达成的协议，并包括</w:t>
      </w:r>
      <w:r>
        <w:rPr>
          <w:rFonts w:hint="eastAsia" w:ascii="仿宋" w:hAnsi="仿宋" w:eastAsia="仿宋" w:cs="仿宋"/>
          <w:color w:val="auto"/>
          <w:spacing w:val="-1"/>
          <w:sz w:val="24"/>
          <w:szCs w:val="24"/>
          <w:highlight w:val="none"/>
        </w:rPr>
        <w:t>所有的附件、附录和构成合同的其他文件。</w:t>
      </w:r>
    </w:p>
    <w:p w14:paraId="177EB8F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2.1.2“合同价”系指根据合同约定，中标人在完全履行合同</w:t>
      </w:r>
      <w:r>
        <w:rPr>
          <w:rFonts w:hint="eastAsia" w:ascii="仿宋" w:hAnsi="仿宋" w:eastAsia="仿宋" w:cs="仿宋"/>
          <w:color w:val="auto"/>
          <w:spacing w:val="-1"/>
          <w:sz w:val="24"/>
          <w:szCs w:val="24"/>
          <w:highlight w:val="none"/>
        </w:rPr>
        <w:t>义务后，采购人应支</w:t>
      </w:r>
      <w:r>
        <w:rPr>
          <w:rFonts w:hint="eastAsia" w:ascii="仿宋" w:hAnsi="仿宋" w:eastAsia="仿宋" w:cs="仿宋"/>
          <w:color w:val="auto"/>
          <w:spacing w:val="-2"/>
          <w:sz w:val="24"/>
          <w:szCs w:val="24"/>
          <w:highlight w:val="none"/>
        </w:rPr>
        <w:t>付给中标人的价格。</w:t>
      </w:r>
    </w:p>
    <w:p w14:paraId="51F8569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2.1.3“服务”系指中标人根据合同约定应向采购人履行的除货</w:t>
      </w:r>
      <w:r>
        <w:rPr>
          <w:rFonts w:hint="eastAsia" w:ascii="仿宋" w:hAnsi="仿宋" w:eastAsia="仿宋" w:cs="仿宋"/>
          <w:color w:val="auto"/>
          <w:spacing w:val="1"/>
          <w:sz w:val="24"/>
          <w:szCs w:val="24"/>
          <w:highlight w:val="none"/>
        </w:rPr>
        <w:t>物和工程以外的其</w:t>
      </w:r>
      <w:r>
        <w:rPr>
          <w:rFonts w:hint="eastAsia" w:ascii="仿宋" w:hAnsi="仿宋" w:eastAsia="仿宋" w:cs="仿宋"/>
          <w:color w:val="auto"/>
          <w:spacing w:val="-1"/>
          <w:sz w:val="24"/>
          <w:szCs w:val="24"/>
          <w:highlight w:val="none"/>
        </w:rPr>
        <w:t>他政府采购对象，包括采购人自身需要的服务和向社会公众提供的公共服务。</w:t>
      </w:r>
    </w:p>
    <w:p w14:paraId="64C2648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2.1.4“甲方”系指与中标人签署合同的采购人；采购人委托采购代理机构代表其</w:t>
      </w:r>
      <w:r>
        <w:rPr>
          <w:rFonts w:hint="eastAsia" w:ascii="仿宋" w:hAnsi="仿宋" w:eastAsia="仿宋" w:cs="仿宋"/>
          <w:color w:val="auto"/>
          <w:spacing w:val="-1"/>
          <w:sz w:val="24"/>
          <w:szCs w:val="24"/>
          <w:highlight w:val="none"/>
        </w:rPr>
        <w:t>与乙方签订合同的，采购人的授权委托书作为合同附</w:t>
      </w:r>
      <w:r>
        <w:rPr>
          <w:rFonts w:hint="eastAsia" w:ascii="仿宋" w:hAnsi="仿宋" w:eastAsia="仿宋" w:cs="仿宋"/>
          <w:color w:val="auto"/>
          <w:spacing w:val="-2"/>
          <w:sz w:val="24"/>
          <w:szCs w:val="24"/>
          <w:highlight w:val="none"/>
        </w:rPr>
        <w:t>件。</w:t>
      </w:r>
    </w:p>
    <w:p w14:paraId="4107708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2.1.5“乙方”系指根据合同约定提供服务的中标人；两个以上</w:t>
      </w:r>
      <w:r>
        <w:rPr>
          <w:rFonts w:hint="eastAsia" w:ascii="仿宋" w:hAnsi="仿宋" w:eastAsia="仿宋" w:cs="仿宋"/>
          <w:color w:val="auto"/>
          <w:sz w:val="24"/>
          <w:szCs w:val="24"/>
          <w:highlight w:val="none"/>
        </w:rPr>
        <w:t>的自然人、法人或</w:t>
      </w:r>
      <w:r>
        <w:rPr>
          <w:rFonts w:hint="eastAsia" w:ascii="仿宋" w:hAnsi="仿宋" w:eastAsia="仿宋" w:cs="仿宋"/>
          <w:color w:val="auto"/>
          <w:spacing w:val="-2"/>
          <w:sz w:val="24"/>
          <w:szCs w:val="24"/>
          <w:highlight w:val="none"/>
        </w:rPr>
        <w:t>者其他组织组成一个联合体，以一个供应商的身份共同参加政府采购的，联合体各方均</w:t>
      </w:r>
      <w:r>
        <w:rPr>
          <w:rFonts w:hint="eastAsia" w:ascii="仿宋" w:hAnsi="仿宋" w:eastAsia="仿宋" w:cs="仿宋"/>
          <w:color w:val="auto"/>
          <w:spacing w:val="5"/>
          <w:sz w:val="24"/>
          <w:szCs w:val="24"/>
          <w:highlight w:val="none"/>
        </w:rPr>
        <w:t>应为乙方或者与乙方相同地位的合同当事人，并就合同约定</w:t>
      </w:r>
      <w:r>
        <w:rPr>
          <w:rFonts w:hint="eastAsia" w:ascii="仿宋" w:hAnsi="仿宋" w:eastAsia="仿宋" w:cs="仿宋"/>
          <w:color w:val="auto"/>
          <w:spacing w:val="4"/>
          <w:sz w:val="24"/>
          <w:szCs w:val="24"/>
          <w:highlight w:val="none"/>
        </w:rPr>
        <w:t>的事项对甲方承担连带责</w:t>
      </w:r>
      <w:r>
        <w:rPr>
          <w:rFonts w:hint="eastAsia" w:ascii="仿宋" w:hAnsi="仿宋" w:eastAsia="仿宋" w:cs="仿宋"/>
          <w:color w:val="auto"/>
          <w:spacing w:val="-8"/>
          <w:sz w:val="24"/>
          <w:szCs w:val="24"/>
          <w:highlight w:val="none"/>
        </w:rPr>
        <w:t>任。</w:t>
      </w:r>
    </w:p>
    <w:p w14:paraId="5B298C3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2.1.6“现场”系指合同约定提供服务的地点。</w:t>
      </w:r>
    </w:p>
    <w:p w14:paraId="54A6101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8"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2.2技术规范</w:t>
      </w:r>
    </w:p>
    <w:p w14:paraId="3F3915D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货物所应遵守的技术规范应与采购文件规定的技</w:t>
      </w:r>
      <w:r>
        <w:rPr>
          <w:rFonts w:hint="eastAsia" w:ascii="仿宋" w:hAnsi="仿宋" w:eastAsia="仿宋" w:cs="仿宋"/>
          <w:color w:val="auto"/>
          <w:spacing w:val="2"/>
          <w:sz w:val="24"/>
          <w:szCs w:val="24"/>
          <w:highlight w:val="none"/>
        </w:rPr>
        <w:t>术规范和技术规范附件</w:t>
      </w:r>
      <w:r>
        <w:rPr>
          <w:rFonts w:hint="eastAsia" w:ascii="仿宋" w:hAnsi="仿宋" w:eastAsia="仿宋" w:cs="仿宋"/>
          <w:color w:val="auto"/>
          <w:spacing w:val="2"/>
          <w:sz w:val="24"/>
          <w:szCs w:val="24"/>
          <w:highlight w:val="none"/>
          <w:lang w:eastAsia="zh-CN"/>
        </w:rPr>
        <w:t>（</w:t>
      </w:r>
      <w:r>
        <w:rPr>
          <w:rFonts w:hint="eastAsia" w:ascii="仿宋" w:hAnsi="仿宋" w:eastAsia="仿宋" w:cs="仿宋"/>
          <w:color w:val="auto"/>
          <w:spacing w:val="2"/>
          <w:sz w:val="24"/>
          <w:szCs w:val="24"/>
          <w:highlight w:val="none"/>
        </w:rPr>
        <w:t>如果有的</w:t>
      </w:r>
      <w:r>
        <w:rPr>
          <w:rFonts w:hint="eastAsia" w:ascii="仿宋" w:hAnsi="仿宋" w:eastAsia="仿宋" w:cs="仿宋"/>
          <w:color w:val="auto"/>
          <w:spacing w:val="1"/>
          <w:sz w:val="24"/>
          <w:szCs w:val="24"/>
          <w:highlight w:val="none"/>
        </w:rPr>
        <w:t>话</w:t>
      </w:r>
      <w:r>
        <w:rPr>
          <w:rFonts w:hint="eastAsia" w:ascii="仿宋" w:hAnsi="仿宋" w:eastAsia="仿宋" w:cs="仿宋"/>
          <w:color w:val="auto"/>
          <w:spacing w:val="1"/>
          <w:sz w:val="24"/>
          <w:szCs w:val="24"/>
          <w:highlight w:val="none"/>
          <w:lang w:eastAsia="zh-CN"/>
        </w:rPr>
        <w:t>）</w:t>
      </w:r>
      <w:r>
        <w:rPr>
          <w:rFonts w:hint="eastAsia" w:ascii="仿宋" w:hAnsi="仿宋" w:eastAsia="仿宋" w:cs="仿宋"/>
          <w:color w:val="auto"/>
          <w:spacing w:val="1"/>
          <w:sz w:val="24"/>
          <w:szCs w:val="24"/>
          <w:highlight w:val="none"/>
        </w:rPr>
        <w:t>及其技术规范偏差表</w:t>
      </w:r>
      <w:r>
        <w:rPr>
          <w:rFonts w:hint="eastAsia" w:ascii="仿宋" w:hAnsi="仿宋" w:eastAsia="仿宋" w:cs="仿宋"/>
          <w:color w:val="auto"/>
          <w:spacing w:val="1"/>
          <w:sz w:val="24"/>
          <w:szCs w:val="24"/>
          <w:highlight w:val="none"/>
          <w:lang w:eastAsia="zh-CN"/>
        </w:rPr>
        <w:t>（</w:t>
      </w:r>
      <w:r>
        <w:rPr>
          <w:rFonts w:hint="eastAsia" w:ascii="仿宋" w:hAnsi="仿宋" w:eastAsia="仿宋" w:cs="仿宋"/>
          <w:color w:val="auto"/>
          <w:spacing w:val="1"/>
          <w:sz w:val="24"/>
          <w:szCs w:val="24"/>
          <w:highlight w:val="none"/>
        </w:rPr>
        <w:t>如果被甲方接受的话</w:t>
      </w:r>
      <w:r>
        <w:rPr>
          <w:rFonts w:hint="eastAsia" w:ascii="仿宋" w:hAnsi="仿宋" w:eastAsia="仿宋" w:cs="仿宋"/>
          <w:color w:val="auto"/>
          <w:spacing w:val="1"/>
          <w:sz w:val="24"/>
          <w:szCs w:val="24"/>
          <w:highlight w:val="none"/>
          <w:lang w:eastAsia="zh-CN"/>
        </w:rPr>
        <w:t>）</w:t>
      </w:r>
      <w:r>
        <w:rPr>
          <w:rFonts w:hint="eastAsia" w:ascii="仿宋" w:hAnsi="仿宋" w:eastAsia="仿宋" w:cs="仿宋"/>
          <w:color w:val="auto"/>
          <w:spacing w:val="1"/>
          <w:sz w:val="24"/>
          <w:szCs w:val="24"/>
          <w:highlight w:val="none"/>
        </w:rPr>
        <w:t>相一致；如果采购文件中没有技术规范</w:t>
      </w:r>
      <w:r>
        <w:rPr>
          <w:rFonts w:hint="eastAsia" w:ascii="仿宋" w:hAnsi="仿宋" w:eastAsia="仿宋" w:cs="仿宋"/>
          <w:color w:val="auto"/>
          <w:spacing w:val="-1"/>
          <w:sz w:val="24"/>
          <w:szCs w:val="24"/>
          <w:highlight w:val="none"/>
        </w:rPr>
        <w:t>的相应说明，那么应以国家有关部门最新颁布的相应标准和规范为准。</w:t>
      </w:r>
    </w:p>
    <w:p w14:paraId="02217AD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8"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2.3知识产权</w:t>
      </w:r>
    </w:p>
    <w:p w14:paraId="6163034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2.3.1乙方应保证其提供的服务不受任何第三方提出的侵犯其著作权、商标权、专</w:t>
      </w:r>
      <w:r>
        <w:rPr>
          <w:rFonts w:hint="eastAsia" w:ascii="仿宋" w:hAnsi="仿宋" w:eastAsia="仿宋" w:cs="仿宋"/>
          <w:color w:val="auto"/>
          <w:spacing w:val="-2"/>
          <w:sz w:val="24"/>
          <w:szCs w:val="24"/>
          <w:highlight w:val="none"/>
        </w:rPr>
        <w:t>利权等知识产权方面的起诉；如果任何第三方提出侵权指控，那么乙方须与该第三方交</w:t>
      </w:r>
      <w:r>
        <w:rPr>
          <w:rFonts w:hint="eastAsia" w:ascii="仿宋" w:hAnsi="仿宋" w:eastAsia="仿宋" w:cs="仿宋"/>
          <w:color w:val="auto"/>
          <w:spacing w:val="-1"/>
          <w:sz w:val="24"/>
          <w:szCs w:val="24"/>
          <w:highlight w:val="none"/>
        </w:rPr>
        <w:t>涉并承担由此发生的一切责任、费用和赔偿；</w:t>
      </w:r>
    </w:p>
    <w:p w14:paraId="5F61038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2.3.2具有知识产权的计算机软件等货物的知识产权归属，详见</w:t>
      </w:r>
      <w:r>
        <w:rPr>
          <w:rFonts w:hint="eastAsia" w:ascii="仿宋" w:hAnsi="仿宋" w:eastAsia="仿宋" w:cs="仿宋"/>
          <w:b/>
          <w:bCs/>
          <w:color w:val="auto"/>
          <w:spacing w:val="-1"/>
          <w:sz w:val="24"/>
          <w:szCs w:val="24"/>
          <w:highlight w:val="none"/>
          <w:u w:val="single" w:color="auto"/>
        </w:rPr>
        <w:t>合同</w:t>
      </w:r>
      <w:r>
        <w:rPr>
          <w:rFonts w:hint="eastAsia" w:ascii="仿宋" w:hAnsi="仿宋" w:eastAsia="仿宋" w:cs="仿宋"/>
          <w:b/>
          <w:bCs/>
          <w:color w:val="auto"/>
          <w:spacing w:val="-2"/>
          <w:sz w:val="24"/>
          <w:szCs w:val="24"/>
          <w:highlight w:val="none"/>
          <w:u w:val="single" w:color="auto"/>
        </w:rPr>
        <w:t>专用条款</w:t>
      </w:r>
      <w:r>
        <w:rPr>
          <w:rFonts w:hint="eastAsia" w:ascii="仿宋" w:hAnsi="仿宋" w:eastAsia="仿宋" w:cs="仿宋"/>
          <w:color w:val="auto"/>
          <w:spacing w:val="-2"/>
          <w:sz w:val="24"/>
          <w:szCs w:val="24"/>
          <w:highlight w:val="none"/>
        </w:rPr>
        <w:t>。</w:t>
      </w:r>
    </w:p>
    <w:p w14:paraId="60ADA5F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2"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2.4履约检查和问题反馈</w:t>
      </w:r>
    </w:p>
    <w:p w14:paraId="34C395E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2.4.1甲方有权在其认为必要时，对乙方</w:t>
      </w:r>
      <w:r>
        <w:rPr>
          <w:rFonts w:hint="eastAsia" w:ascii="仿宋" w:hAnsi="仿宋" w:eastAsia="仿宋" w:cs="仿宋"/>
          <w:color w:val="auto"/>
          <w:spacing w:val="-1"/>
          <w:sz w:val="24"/>
          <w:szCs w:val="24"/>
          <w:highlight w:val="none"/>
        </w:rPr>
        <w:t>是否能够按照合同约定提供服务进行履约</w:t>
      </w:r>
      <w:r>
        <w:rPr>
          <w:rFonts w:hint="eastAsia" w:ascii="仿宋" w:hAnsi="仿宋" w:eastAsia="仿宋" w:cs="仿宋"/>
          <w:color w:val="auto"/>
          <w:spacing w:val="-2"/>
          <w:sz w:val="24"/>
          <w:szCs w:val="24"/>
          <w:highlight w:val="none"/>
        </w:rPr>
        <w:t>检查，以确保乙方所提供的服务能够依约满足甲方项目需求，但不得因履约检查妨碍乙方的正常工作，乙方应予积极配合；</w:t>
      </w:r>
    </w:p>
    <w:p w14:paraId="45FECF3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2.4.2合同履行期间，甲方有权将履行过程中出现的问题反馈给乙方，双方当事人应以书面形式约定需要完善和改进的内容。</w:t>
      </w:r>
    </w:p>
    <w:p w14:paraId="6935BD1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2"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2.5结算方式和付款条件</w:t>
      </w:r>
    </w:p>
    <w:p w14:paraId="2D07EA8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详见</w:t>
      </w:r>
      <w:r>
        <w:rPr>
          <w:rFonts w:hint="eastAsia" w:ascii="仿宋" w:hAnsi="仿宋" w:eastAsia="仿宋" w:cs="仿宋"/>
          <w:b/>
          <w:bCs/>
          <w:color w:val="auto"/>
          <w:spacing w:val="-4"/>
          <w:sz w:val="24"/>
          <w:szCs w:val="24"/>
          <w:highlight w:val="none"/>
          <w:u w:val="single" w:color="auto"/>
        </w:rPr>
        <w:t>合同专用条款</w:t>
      </w:r>
      <w:r>
        <w:rPr>
          <w:rFonts w:hint="eastAsia" w:ascii="仿宋" w:hAnsi="仿宋" w:eastAsia="仿宋" w:cs="仿宋"/>
          <w:color w:val="auto"/>
          <w:spacing w:val="-4"/>
          <w:sz w:val="24"/>
          <w:szCs w:val="24"/>
          <w:highlight w:val="none"/>
        </w:rPr>
        <w:t>。</w:t>
      </w:r>
    </w:p>
    <w:p w14:paraId="4BCE925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0"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rPr>
        <w:t>2.6技术资料和保密义务</w:t>
      </w:r>
    </w:p>
    <w:p w14:paraId="0BE2C0C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2.6.1乙方有权依据合同约定和项目需要，向甲方了解有关情况</w:t>
      </w:r>
      <w:r>
        <w:rPr>
          <w:rFonts w:hint="eastAsia" w:ascii="仿宋" w:hAnsi="仿宋" w:eastAsia="仿宋" w:cs="仿宋"/>
          <w:color w:val="auto"/>
          <w:spacing w:val="-5"/>
          <w:sz w:val="24"/>
          <w:szCs w:val="24"/>
          <w:highlight w:val="none"/>
        </w:rPr>
        <w:t>，调阅有关资料等，</w:t>
      </w:r>
      <w:r>
        <w:rPr>
          <w:rFonts w:hint="eastAsia" w:ascii="仿宋" w:hAnsi="仿宋" w:eastAsia="仿宋" w:cs="仿宋"/>
          <w:color w:val="auto"/>
          <w:spacing w:val="-6"/>
          <w:sz w:val="24"/>
          <w:szCs w:val="24"/>
          <w:highlight w:val="none"/>
        </w:rPr>
        <w:t>甲方应予积极配合；</w:t>
      </w:r>
    </w:p>
    <w:p w14:paraId="6EBDBF0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2.6.2乙方有义务妥善保管和保护由甲方提供的前款信息和资料等；</w:t>
      </w:r>
    </w:p>
    <w:p w14:paraId="70AA986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2.6.3除非依照法律规定或者对方当事人的书面同意，任何一方均应保证不向任何</w:t>
      </w:r>
      <w:r>
        <w:rPr>
          <w:rFonts w:hint="eastAsia" w:ascii="仿宋" w:hAnsi="仿宋" w:eastAsia="仿宋" w:cs="仿宋"/>
          <w:color w:val="auto"/>
          <w:spacing w:val="5"/>
          <w:sz w:val="24"/>
          <w:szCs w:val="24"/>
          <w:highlight w:val="none"/>
        </w:rPr>
        <w:t>第三方提供或披露有关合同的或者履行合同过程中知悉的</w:t>
      </w:r>
      <w:r>
        <w:rPr>
          <w:rFonts w:hint="eastAsia" w:ascii="仿宋" w:hAnsi="仿宋" w:eastAsia="仿宋" w:cs="仿宋"/>
          <w:color w:val="auto"/>
          <w:spacing w:val="4"/>
          <w:sz w:val="24"/>
          <w:szCs w:val="24"/>
          <w:highlight w:val="none"/>
        </w:rPr>
        <w:t>对方当事人任何未公开的信</w:t>
      </w:r>
      <w:r>
        <w:rPr>
          <w:rFonts w:hint="eastAsia" w:ascii="仿宋" w:hAnsi="仿宋" w:eastAsia="仿宋" w:cs="仿宋"/>
          <w:color w:val="auto"/>
          <w:spacing w:val="-2"/>
          <w:sz w:val="24"/>
          <w:szCs w:val="24"/>
          <w:highlight w:val="none"/>
        </w:rPr>
        <w:t>息和资料，包括但不限于技术情报、技术资料、商业秘密和商业信息等，并采取一切合</w:t>
      </w:r>
      <w:r>
        <w:rPr>
          <w:rFonts w:hint="eastAsia" w:ascii="仿宋" w:hAnsi="仿宋" w:eastAsia="仿宋" w:cs="仿宋"/>
          <w:color w:val="auto"/>
          <w:spacing w:val="-1"/>
          <w:sz w:val="24"/>
          <w:szCs w:val="24"/>
          <w:highlight w:val="none"/>
        </w:rPr>
        <w:t>理和必要措施和方式防止任何第三方接触到对方当事人的上述保密信息和资料。</w:t>
      </w:r>
    </w:p>
    <w:p w14:paraId="28563AE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4"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7"/>
          <w:sz w:val="24"/>
          <w:szCs w:val="24"/>
          <w:highlight w:val="none"/>
        </w:rPr>
        <w:t>2.7质量保证</w:t>
      </w:r>
    </w:p>
    <w:p w14:paraId="461EA94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2.7.1乙方应建立和完善履行合同的内部质量保证体系，并提供相关内部规章制度</w:t>
      </w:r>
      <w:r>
        <w:rPr>
          <w:rFonts w:hint="eastAsia" w:ascii="仿宋" w:hAnsi="仿宋" w:eastAsia="仿宋" w:cs="仿宋"/>
          <w:color w:val="auto"/>
          <w:spacing w:val="-2"/>
          <w:sz w:val="24"/>
          <w:szCs w:val="24"/>
          <w:highlight w:val="none"/>
        </w:rPr>
        <w:t>给甲方，以便甲方进行监督检查；</w:t>
      </w:r>
    </w:p>
    <w:p w14:paraId="254974C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2.7.2乙方应保证履行合同的人员数量和素质、软件和硬件设备的配置、场地、环</w:t>
      </w:r>
      <w:r>
        <w:rPr>
          <w:rFonts w:hint="eastAsia" w:ascii="仿宋" w:hAnsi="仿宋" w:eastAsia="仿宋" w:cs="仿宋"/>
          <w:color w:val="auto"/>
          <w:spacing w:val="-1"/>
          <w:sz w:val="24"/>
          <w:szCs w:val="24"/>
          <w:highlight w:val="none"/>
        </w:rPr>
        <w:t>境和设施等满足全面履行合同的要求，并应接受甲方的监督检查。</w:t>
      </w:r>
    </w:p>
    <w:p w14:paraId="02962B1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8"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2.8延迟履行</w:t>
      </w:r>
    </w:p>
    <w:p w14:paraId="1E5300D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在合同履行过程中，如果乙方遇到不能按时提供服务的情况，应及时以书面形式将</w:t>
      </w:r>
      <w:r>
        <w:rPr>
          <w:rFonts w:hint="eastAsia" w:ascii="仿宋" w:hAnsi="仿宋" w:eastAsia="仿宋" w:cs="仿宋"/>
          <w:color w:val="auto"/>
          <w:spacing w:val="-2"/>
          <w:sz w:val="24"/>
          <w:szCs w:val="24"/>
          <w:highlight w:val="none"/>
        </w:rPr>
        <w:t>不能按时提供服务的理由、预期延误时间通知甲方；甲方收到乙方通知后，认为其理由</w:t>
      </w:r>
      <w:r>
        <w:rPr>
          <w:rFonts w:hint="eastAsia" w:ascii="仿宋" w:hAnsi="仿宋" w:eastAsia="仿宋" w:cs="仿宋"/>
          <w:color w:val="auto"/>
          <w:spacing w:val="-1"/>
          <w:sz w:val="24"/>
          <w:szCs w:val="24"/>
          <w:highlight w:val="none"/>
        </w:rPr>
        <w:t>正当的，可以书面形式酌情同意乙方可以延长履行的具体时间。</w:t>
      </w:r>
    </w:p>
    <w:p w14:paraId="2BEF65D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4"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7"/>
          <w:sz w:val="24"/>
          <w:szCs w:val="24"/>
          <w:highlight w:val="none"/>
        </w:rPr>
        <w:t>2.9合同变更</w:t>
      </w:r>
    </w:p>
    <w:p w14:paraId="5D0809D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2.9.1双方当事人协商一致，可以签订书面补充合同的形</w:t>
      </w:r>
      <w:r>
        <w:rPr>
          <w:rFonts w:hint="eastAsia" w:ascii="仿宋" w:hAnsi="仿宋" w:eastAsia="仿宋" w:cs="仿宋"/>
          <w:color w:val="auto"/>
          <w:sz w:val="24"/>
          <w:szCs w:val="24"/>
          <w:highlight w:val="none"/>
        </w:rPr>
        <w:t>式变更合同，但不得违背</w:t>
      </w:r>
      <w:r>
        <w:rPr>
          <w:rFonts w:hint="eastAsia" w:ascii="仿宋" w:hAnsi="仿宋" w:eastAsia="仿宋" w:cs="仿宋"/>
          <w:color w:val="auto"/>
          <w:spacing w:val="-2"/>
          <w:sz w:val="24"/>
          <w:szCs w:val="24"/>
          <w:highlight w:val="none"/>
        </w:rPr>
        <w:t>采购文件确定的事项；</w:t>
      </w:r>
    </w:p>
    <w:p w14:paraId="6036B9C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2.9.2合同继续履行将损害国家利益和社</w:t>
      </w:r>
      <w:r>
        <w:rPr>
          <w:rFonts w:hint="eastAsia" w:ascii="仿宋" w:hAnsi="仿宋" w:eastAsia="仿宋" w:cs="仿宋"/>
          <w:color w:val="auto"/>
          <w:sz w:val="24"/>
          <w:szCs w:val="24"/>
          <w:highlight w:val="none"/>
        </w:rPr>
        <w:t>会公共利益的，双方当事人应当以书面形</w:t>
      </w:r>
      <w:r>
        <w:rPr>
          <w:rFonts w:hint="eastAsia" w:ascii="仿宋" w:hAnsi="仿宋" w:eastAsia="仿宋" w:cs="仿宋"/>
          <w:color w:val="auto"/>
          <w:spacing w:val="-2"/>
          <w:sz w:val="24"/>
          <w:szCs w:val="24"/>
          <w:highlight w:val="none"/>
        </w:rPr>
        <w:t>式变更合同。有过错的一方应当承担赔偿责任，双方当事人都有过错的，各自承担相应</w:t>
      </w:r>
      <w:r>
        <w:rPr>
          <w:rFonts w:hint="eastAsia" w:ascii="仿宋" w:hAnsi="仿宋" w:eastAsia="仿宋" w:cs="仿宋"/>
          <w:color w:val="auto"/>
          <w:spacing w:val="-6"/>
          <w:sz w:val="24"/>
          <w:szCs w:val="24"/>
          <w:highlight w:val="none"/>
        </w:rPr>
        <w:t>的责任。</w:t>
      </w:r>
    </w:p>
    <w:p w14:paraId="385D150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2"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2.10合同转让和分包</w:t>
      </w:r>
    </w:p>
    <w:p w14:paraId="377B324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合同的权利义务依法不得转让，但经甲方同意，乙方可以依法采取分包方式履行合</w:t>
      </w:r>
      <w:r>
        <w:rPr>
          <w:rFonts w:hint="eastAsia" w:ascii="仿宋" w:hAnsi="仿宋" w:eastAsia="仿宋" w:cs="仿宋"/>
          <w:color w:val="auto"/>
          <w:spacing w:val="-2"/>
          <w:sz w:val="24"/>
          <w:szCs w:val="24"/>
          <w:highlight w:val="none"/>
        </w:rPr>
        <w:t>同，即：依法可以将合同项下的部分非主体、</w:t>
      </w:r>
      <w:r>
        <w:rPr>
          <w:rFonts w:hint="eastAsia" w:ascii="仿宋" w:hAnsi="仿宋" w:eastAsia="仿宋" w:cs="仿宋"/>
          <w:color w:val="auto"/>
          <w:spacing w:val="-3"/>
          <w:sz w:val="24"/>
          <w:szCs w:val="24"/>
          <w:highlight w:val="none"/>
        </w:rPr>
        <w:t>非关键性工作分包给他人完成，接受分包</w:t>
      </w:r>
      <w:r>
        <w:rPr>
          <w:rFonts w:hint="eastAsia" w:ascii="仿宋" w:hAnsi="仿宋" w:eastAsia="仿宋" w:cs="仿宋"/>
          <w:color w:val="auto"/>
          <w:spacing w:val="-2"/>
          <w:sz w:val="24"/>
          <w:szCs w:val="24"/>
          <w:highlight w:val="none"/>
        </w:rPr>
        <w:t>的人应当具备相应的资格条件，并不得再次分包，且乙方应就分包项目向甲方负</w:t>
      </w:r>
      <w:r>
        <w:rPr>
          <w:rFonts w:hint="eastAsia" w:ascii="仿宋" w:hAnsi="仿宋" w:eastAsia="仿宋" w:cs="仿宋"/>
          <w:color w:val="auto"/>
          <w:spacing w:val="-3"/>
          <w:sz w:val="24"/>
          <w:szCs w:val="24"/>
          <w:highlight w:val="none"/>
        </w:rPr>
        <w:t>责，并</w:t>
      </w:r>
      <w:r>
        <w:rPr>
          <w:rFonts w:hint="eastAsia" w:ascii="仿宋" w:hAnsi="仿宋" w:eastAsia="仿宋" w:cs="仿宋"/>
          <w:color w:val="auto"/>
          <w:spacing w:val="-2"/>
          <w:sz w:val="24"/>
          <w:szCs w:val="24"/>
          <w:highlight w:val="none"/>
        </w:rPr>
        <w:t>与分包供应商就分包项目向甲方承担连带责任。</w:t>
      </w:r>
    </w:p>
    <w:p w14:paraId="10824C9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8"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2.11不可抗力</w:t>
      </w:r>
    </w:p>
    <w:p w14:paraId="0A9C7C3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2.11.1如果任何一方遭遇法律规定的不可抗</w:t>
      </w:r>
      <w:r>
        <w:rPr>
          <w:rFonts w:hint="eastAsia" w:ascii="仿宋" w:hAnsi="仿宋" w:eastAsia="仿宋" w:cs="仿宋"/>
          <w:color w:val="auto"/>
          <w:spacing w:val="-3"/>
          <w:sz w:val="24"/>
          <w:szCs w:val="24"/>
          <w:highlight w:val="none"/>
        </w:rPr>
        <w:t>力，致使合同履行受阻时，履行合同的</w:t>
      </w:r>
      <w:r>
        <w:rPr>
          <w:rFonts w:hint="eastAsia" w:ascii="仿宋" w:hAnsi="仿宋" w:eastAsia="仿宋" w:cs="仿宋"/>
          <w:color w:val="auto"/>
          <w:spacing w:val="-1"/>
          <w:sz w:val="24"/>
          <w:szCs w:val="24"/>
          <w:highlight w:val="none"/>
        </w:rPr>
        <w:t>期限应予延长，延长的期限应相当于不可抗力所影响的时间；</w:t>
      </w:r>
    </w:p>
    <w:p w14:paraId="3445049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2.11.2因不可抗力致使不能实现合同目的的，当事人可以</w:t>
      </w:r>
      <w:r>
        <w:rPr>
          <w:rFonts w:hint="eastAsia" w:ascii="仿宋" w:hAnsi="仿宋" w:eastAsia="仿宋" w:cs="仿宋"/>
          <w:color w:val="auto"/>
          <w:spacing w:val="-3"/>
          <w:sz w:val="24"/>
          <w:szCs w:val="24"/>
          <w:highlight w:val="none"/>
        </w:rPr>
        <w:t>解除合同；</w:t>
      </w:r>
    </w:p>
    <w:p w14:paraId="3F8B562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2.11.3因不可抗力致使合同有变更必要的，双方当事人应在</w:t>
      </w:r>
      <w:r>
        <w:rPr>
          <w:rFonts w:hint="eastAsia" w:ascii="仿宋" w:hAnsi="仿宋" w:eastAsia="仿宋" w:cs="仿宋"/>
          <w:b/>
          <w:bCs/>
          <w:color w:val="auto"/>
          <w:spacing w:val="-4"/>
          <w:sz w:val="24"/>
          <w:szCs w:val="24"/>
          <w:highlight w:val="none"/>
          <w:u w:val="single" w:color="auto"/>
        </w:rPr>
        <w:t>合同专用条款</w:t>
      </w:r>
      <w:r>
        <w:rPr>
          <w:rFonts w:hint="eastAsia" w:ascii="仿宋" w:hAnsi="仿宋" w:eastAsia="仿宋" w:cs="仿宋"/>
          <w:color w:val="auto"/>
          <w:spacing w:val="-4"/>
          <w:sz w:val="24"/>
          <w:szCs w:val="24"/>
          <w:highlight w:val="none"/>
        </w:rPr>
        <w:t>约定时间</w:t>
      </w:r>
      <w:r>
        <w:rPr>
          <w:rFonts w:hint="eastAsia" w:ascii="仿宋" w:hAnsi="仿宋" w:eastAsia="仿宋" w:cs="仿宋"/>
          <w:color w:val="auto"/>
          <w:spacing w:val="-5"/>
          <w:sz w:val="24"/>
          <w:szCs w:val="24"/>
          <w:highlight w:val="none"/>
        </w:rPr>
        <w:t>内以书面形式变更合同；</w:t>
      </w:r>
    </w:p>
    <w:p w14:paraId="571CF6C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2.11.4受不可抗力影响的一方在不可抗力发生后，应在</w:t>
      </w:r>
      <w:r>
        <w:rPr>
          <w:rFonts w:hint="eastAsia" w:ascii="仿宋" w:hAnsi="仿宋" w:eastAsia="仿宋" w:cs="仿宋"/>
          <w:b/>
          <w:bCs/>
          <w:color w:val="auto"/>
          <w:spacing w:val="-3"/>
          <w:sz w:val="24"/>
          <w:szCs w:val="24"/>
          <w:highlight w:val="none"/>
          <w:u w:val="single" w:color="auto"/>
        </w:rPr>
        <w:t>合同专用条款</w:t>
      </w:r>
      <w:r>
        <w:rPr>
          <w:rFonts w:hint="eastAsia" w:ascii="仿宋" w:hAnsi="仿宋" w:eastAsia="仿宋" w:cs="仿宋"/>
          <w:color w:val="auto"/>
          <w:spacing w:val="-3"/>
          <w:sz w:val="24"/>
          <w:szCs w:val="24"/>
          <w:highlight w:val="none"/>
        </w:rPr>
        <w:t>约定时</w:t>
      </w:r>
      <w:r>
        <w:rPr>
          <w:rFonts w:hint="eastAsia" w:ascii="仿宋" w:hAnsi="仿宋" w:eastAsia="仿宋" w:cs="仿宋"/>
          <w:color w:val="auto"/>
          <w:spacing w:val="-4"/>
          <w:sz w:val="24"/>
          <w:szCs w:val="24"/>
          <w:highlight w:val="none"/>
        </w:rPr>
        <w:t>间内以</w:t>
      </w:r>
      <w:r>
        <w:rPr>
          <w:rFonts w:hint="eastAsia" w:ascii="仿宋" w:hAnsi="仿宋" w:eastAsia="仿宋" w:cs="仿宋"/>
          <w:color w:val="auto"/>
          <w:spacing w:val="-2"/>
          <w:sz w:val="24"/>
          <w:szCs w:val="24"/>
          <w:highlight w:val="none"/>
        </w:rPr>
        <w:t>书面形式通知对方当事人，并在</w:t>
      </w:r>
      <w:r>
        <w:rPr>
          <w:rFonts w:hint="eastAsia" w:ascii="仿宋" w:hAnsi="仿宋" w:eastAsia="仿宋" w:cs="仿宋"/>
          <w:b/>
          <w:bCs/>
          <w:color w:val="auto"/>
          <w:spacing w:val="-2"/>
          <w:sz w:val="24"/>
          <w:szCs w:val="24"/>
          <w:highlight w:val="none"/>
          <w:u w:val="single" w:color="auto"/>
        </w:rPr>
        <w:t>合同专用条款</w:t>
      </w:r>
      <w:r>
        <w:rPr>
          <w:rFonts w:hint="eastAsia" w:ascii="仿宋" w:hAnsi="仿宋" w:eastAsia="仿宋" w:cs="仿宋"/>
          <w:color w:val="auto"/>
          <w:spacing w:val="-2"/>
          <w:sz w:val="24"/>
          <w:szCs w:val="24"/>
          <w:highlight w:val="none"/>
        </w:rPr>
        <w:t>约定时间内，将</w:t>
      </w:r>
      <w:r>
        <w:rPr>
          <w:rFonts w:hint="eastAsia" w:ascii="仿宋" w:hAnsi="仿宋" w:eastAsia="仿宋" w:cs="仿宋"/>
          <w:color w:val="auto"/>
          <w:spacing w:val="-3"/>
          <w:sz w:val="24"/>
          <w:szCs w:val="24"/>
          <w:highlight w:val="none"/>
        </w:rPr>
        <w:t>有关部门出具的证明文件送达对方当事人。</w:t>
      </w:r>
    </w:p>
    <w:p w14:paraId="4AE6A09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4"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7"/>
          <w:sz w:val="24"/>
          <w:szCs w:val="24"/>
          <w:highlight w:val="none"/>
        </w:rPr>
        <w:t>2.12税费</w:t>
      </w:r>
    </w:p>
    <w:p w14:paraId="4CA3C01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与合同有关的一切税费，均按照中华人民共和国法律的相关规定缴纳。</w:t>
      </w:r>
    </w:p>
    <w:p w14:paraId="6648D6A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0"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2.13乙方破产</w:t>
      </w:r>
    </w:p>
    <w:p w14:paraId="4D3B3F8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如果乙方破产导致合同无法履行时，甲方可以书面形式通知乙方终止合同且不给予</w:t>
      </w:r>
      <w:r>
        <w:rPr>
          <w:rFonts w:hint="eastAsia" w:ascii="仿宋" w:hAnsi="仿宋" w:eastAsia="仿宋" w:cs="仿宋"/>
          <w:color w:val="auto"/>
          <w:spacing w:val="-2"/>
          <w:sz w:val="24"/>
          <w:szCs w:val="24"/>
          <w:highlight w:val="none"/>
        </w:rPr>
        <w:t>乙方任何补偿和赔偿，但合同的终止不损害或不影响甲方已经采取或将要采取的任何要</w:t>
      </w:r>
      <w:r>
        <w:rPr>
          <w:rFonts w:hint="eastAsia" w:ascii="仿宋" w:hAnsi="仿宋" w:eastAsia="仿宋" w:cs="仿宋"/>
          <w:color w:val="auto"/>
          <w:spacing w:val="-1"/>
          <w:sz w:val="24"/>
          <w:szCs w:val="24"/>
          <w:highlight w:val="none"/>
        </w:rPr>
        <w:t>求乙方支付违约金、赔偿损失等的行动或补救措施的权利。</w:t>
      </w:r>
    </w:p>
    <w:p w14:paraId="4BC9409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2"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2.14合同中止、终止</w:t>
      </w:r>
    </w:p>
    <w:p w14:paraId="61E8F18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2.14.1双方当事人不得擅自中止或者终</w:t>
      </w:r>
      <w:r>
        <w:rPr>
          <w:rFonts w:hint="eastAsia" w:ascii="仿宋" w:hAnsi="仿宋" w:eastAsia="仿宋" w:cs="仿宋"/>
          <w:color w:val="auto"/>
          <w:spacing w:val="-2"/>
          <w:sz w:val="24"/>
          <w:szCs w:val="24"/>
          <w:highlight w:val="none"/>
        </w:rPr>
        <w:t>止合同；</w:t>
      </w:r>
    </w:p>
    <w:p w14:paraId="5062124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2.14.2合同继续履行将损害国家利益和社会公共利益的，双方当事人应当中止或者</w:t>
      </w:r>
      <w:r>
        <w:rPr>
          <w:rFonts w:hint="eastAsia" w:ascii="仿宋" w:hAnsi="仿宋" w:eastAsia="仿宋" w:cs="仿宋"/>
          <w:color w:val="auto"/>
          <w:spacing w:val="-2"/>
          <w:sz w:val="24"/>
          <w:szCs w:val="24"/>
          <w:highlight w:val="none"/>
        </w:rPr>
        <w:t>终止合同。有过错的一方应当承担赔偿责任，双方当事人都有过错的，各自承担相应的</w:t>
      </w:r>
      <w:r>
        <w:rPr>
          <w:rFonts w:hint="eastAsia" w:ascii="仿宋" w:hAnsi="仿宋" w:eastAsia="仿宋" w:cs="仿宋"/>
          <w:color w:val="auto"/>
          <w:spacing w:val="-6"/>
          <w:sz w:val="24"/>
          <w:szCs w:val="24"/>
          <w:highlight w:val="none"/>
        </w:rPr>
        <w:t>责任。</w:t>
      </w:r>
    </w:p>
    <w:p w14:paraId="6A865E5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2"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2.15检验和验收</w:t>
      </w:r>
    </w:p>
    <w:p w14:paraId="4150BB9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2.15.1乙方按照</w:t>
      </w:r>
      <w:r>
        <w:rPr>
          <w:rFonts w:hint="eastAsia" w:ascii="仿宋" w:hAnsi="仿宋" w:eastAsia="仿宋" w:cs="仿宋"/>
          <w:b/>
          <w:bCs/>
          <w:color w:val="auto"/>
          <w:spacing w:val="-4"/>
          <w:sz w:val="24"/>
          <w:szCs w:val="24"/>
          <w:highlight w:val="none"/>
          <w:u w:val="single" w:color="auto"/>
        </w:rPr>
        <w:t>合同专用条款</w:t>
      </w:r>
      <w:r>
        <w:rPr>
          <w:rFonts w:hint="eastAsia" w:ascii="仿宋" w:hAnsi="仿宋" w:eastAsia="仿宋" w:cs="仿宋"/>
          <w:color w:val="auto"/>
          <w:spacing w:val="-4"/>
          <w:sz w:val="24"/>
          <w:szCs w:val="24"/>
          <w:highlight w:val="none"/>
        </w:rPr>
        <w:t>的约定，定期提交服务报告，甲方按照</w:t>
      </w:r>
      <w:r>
        <w:rPr>
          <w:rFonts w:hint="eastAsia" w:ascii="仿宋" w:hAnsi="仿宋" w:eastAsia="仿宋" w:cs="仿宋"/>
          <w:b/>
          <w:bCs/>
          <w:color w:val="auto"/>
          <w:spacing w:val="-4"/>
          <w:sz w:val="24"/>
          <w:szCs w:val="24"/>
          <w:highlight w:val="none"/>
          <w:u w:val="single" w:color="auto"/>
        </w:rPr>
        <w:t>合同专用条款</w:t>
      </w:r>
      <w:r>
        <w:rPr>
          <w:rFonts w:hint="eastAsia" w:ascii="仿宋" w:hAnsi="仿宋" w:eastAsia="仿宋" w:cs="仿宋"/>
          <w:color w:val="auto"/>
          <w:spacing w:val="-3"/>
          <w:sz w:val="24"/>
          <w:szCs w:val="24"/>
          <w:highlight w:val="none"/>
        </w:rPr>
        <w:t>的约定进行定期验收；</w:t>
      </w:r>
    </w:p>
    <w:p w14:paraId="7677A81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2.15.2合同期满或者履行完毕后，甲方有权组织（包括依法邀请国家认可的质量检</w:t>
      </w:r>
      <w:r>
        <w:rPr>
          <w:rFonts w:hint="eastAsia" w:ascii="仿宋" w:hAnsi="仿宋" w:eastAsia="仿宋" w:cs="仿宋"/>
          <w:color w:val="auto"/>
          <w:spacing w:val="-2"/>
          <w:sz w:val="24"/>
          <w:szCs w:val="24"/>
          <w:highlight w:val="none"/>
        </w:rPr>
        <w:t>测机构参加）对乙方履约的验收，即：按照合同约定的标准，组织对乙方履约情况的验收，并出具验收书；向社会公众提供的公共服务项目，验收时应当邀请服务对象参与并</w:t>
      </w:r>
      <w:r>
        <w:rPr>
          <w:rFonts w:hint="eastAsia" w:ascii="仿宋" w:hAnsi="仿宋" w:eastAsia="仿宋" w:cs="仿宋"/>
          <w:color w:val="auto"/>
          <w:spacing w:val="-1"/>
          <w:sz w:val="24"/>
          <w:szCs w:val="24"/>
          <w:highlight w:val="none"/>
        </w:rPr>
        <w:t>出具意见，验收结果应当向社会公告；</w:t>
      </w:r>
    </w:p>
    <w:p w14:paraId="1825AE8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92"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2.15.3检验和验收标准、程序等具体内容以及前述验收书的效力详见</w:t>
      </w:r>
      <w:r>
        <w:rPr>
          <w:rFonts w:hint="eastAsia" w:ascii="仿宋" w:hAnsi="仿宋" w:eastAsia="仿宋" w:cs="仿宋"/>
          <w:b/>
          <w:bCs/>
          <w:color w:val="auto"/>
          <w:spacing w:val="3"/>
          <w:sz w:val="24"/>
          <w:szCs w:val="24"/>
          <w:highlight w:val="none"/>
          <w:u w:val="single" w:color="auto"/>
        </w:rPr>
        <w:t>合同专用条</w:t>
      </w:r>
      <w:r>
        <w:rPr>
          <w:rFonts w:hint="eastAsia" w:ascii="仿宋" w:hAnsi="仿宋" w:eastAsia="仿宋" w:cs="仿宋"/>
          <w:b/>
          <w:bCs/>
          <w:color w:val="auto"/>
          <w:spacing w:val="-9"/>
          <w:sz w:val="24"/>
          <w:szCs w:val="24"/>
          <w:highlight w:val="none"/>
          <w:u w:val="single" w:color="auto"/>
        </w:rPr>
        <w:t>款</w:t>
      </w:r>
      <w:r>
        <w:rPr>
          <w:rFonts w:hint="eastAsia" w:ascii="仿宋" w:hAnsi="仿宋" w:eastAsia="仿宋" w:cs="仿宋"/>
          <w:color w:val="auto"/>
          <w:spacing w:val="-9"/>
          <w:sz w:val="24"/>
          <w:szCs w:val="24"/>
          <w:highlight w:val="none"/>
        </w:rPr>
        <w:t>。</w:t>
      </w:r>
    </w:p>
    <w:p w14:paraId="3B2C89E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0"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rPr>
        <w:t>2.16合同使用的文字和适用的法律</w:t>
      </w:r>
    </w:p>
    <w:p w14:paraId="66477ED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2.16.</w:t>
      </w:r>
      <w:r>
        <w:rPr>
          <w:rFonts w:hint="eastAsia" w:ascii="仿宋" w:hAnsi="仿宋" w:eastAsia="仿宋" w:cs="仿宋"/>
          <w:color w:val="auto"/>
          <w:spacing w:val="-2"/>
          <w:sz w:val="24"/>
          <w:szCs w:val="24"/>
          <w:highlight w:val="none"/>
          <w:lang w:eastAsia="zh-CN"/>
        </w:rPr>
        <w:t>1合同使用汉语书写</w:t>
      </w:r>
      <w:r>
        <w:rPr>
          <w:rFonts w:hint="eastAsia" w:ascii="仿宋" w:hAnsi="仿宋" w:eastAsia="仿宋" w:cs="仿宋"/>
          <w:color w:val="auto"/>
          <w:spacing w:val="-2"/>
          <w:sz w:val="24"/>
          <w:szCs w:val="24"/>
          <w:highlight w:val="none"/>
        </w:rPr>
        <w:t>、变更和解释；</w:t>
      </w:r>
    </w:p>
    <w:p w14:paraId="19BC4EB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2.16.2合同适用中华人民共和国法律。</w:t>
      </w:r>
    </w:p>
    <w:p w14:paraId="32D9C44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8"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2.17履约保证金</w:t>
      </w:r>
    </w:p>
    <w:p w14:paraId="429302C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2.17.1采购文件要求乙方提交履约保证金</w:t>
      </w:r>
      <w:r>
        <w:rPr>
          <w:rFonts w:hint="eastAsia" w:ascii="仿宋" w:hAnsi="仿宋" w:eastAsia="仿宋" w:cs="仿宋"/>
          <w:color w:val="auto"/>
          <w:spacing w:val="-3"/>
          <w:sz w:val="24"/>
          <w:szCs w:val="24"/>
          <w:highlight w:val="none"/>
        </w:rPr>
        <w:t>的，乙方应按</w:t>
      </w:r>
      <w:r>
        <w:rPr>
          <w:rFonts w:hint="eastAsia" w:ascii="仿宋" w:hAnsi="仿宋" w:eastAsia="仿宋" w:cs="仿宋"/>
          <w:b/>
          <w:bCs/>
          <w:color w:val="auto"/>
          <w:spacing w:val="-3"/>
          <w:sz w:val="24"/>
          <w:szCs w:val="24"/>
          <w:highlight w:val="none"/>
          <w:u w:val="single" w:color="auto"/>
        </w:rPr>
        <w:t>合同专用条款</w:t>
      </w:r>
      <w:r>
        <w:rPr>
          <w:rFonts w:hint="eastAsia" w:ascii="仿宋" w:hAnsi="仿宋" w:eastAsia="仿宋" w:cs="仿宋"/>
          <w:color w:val="auto"/>
          <w:spacing w:val="-3"/>
          <w:sz w:val="24"/>
          <w:szCs w:val="24"/>
          <w:highlight w:val="none"/>
        </w:rPr>
        <w:t>约定的方式，</w:t>
      </w:r>
      <w:r>
        <w:rPr>
          <w:rFonts w:hint="eastAsia" w:ascii="仿宋" w:hAnsi="仿宋" w:eastAsia="仿宋" w:cs="仿宋"/>
          <w:color w:val="auto"/>
          <w:spacing w:val="-1"/>
          <w:sz w:val="24"/>
          <w:szCs w:val="24"/>
          <w:highlight w:val="none"/>
        </w:rPr>
        <w:t>以支票、汇票、本票或者金融机构、担保机构出具的保函等</w:t>
      </w:r>
      <w:r>
        <w:rPr>
          <w:rFonts w:hint="eastAsia" w:ascii="仿宋" w:hAnsi="仿宋" w:eastAsia="仿宋" w:cs="仿宋"/>
          <w:color w:val="auto"/>
          <w:spacing w:val="-2"/>
          <w:sz w:val="24"/>
          <w:szCs w:val="24"/>
          <w:highlight w:val="none"/>
        </w:rPr>
        <w:t>非现金形式提交；</w:t>
      </w:r>
    </w:p>
    <w:p w14:paraId="4A2B71E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2.17.2履约保证金在</w:t>
      </w:r>
      <w:r>
        <w:rPr>
          <w:rFonts w:hint="eastAsia" w:ascii="仿宋" w:hAnsi="仿宋" w:eastAsia="仿宋" w:cs="仿宋"/>
          <w:b/>
          <w:bCs/>
          <w:color w:val="auto"/>
          <w:spacing w:val="-3"/>
          <w:sz w:val="24"/>
          <w:szCs w:val="24"/>
          <w:highlight w:val="none"/>
          <w:u w:val="single" w:color="auto"/>
        </w:rPr>
        <w:t>合同专用条款</w:t>
      </w:r>
      <w:r>
        <w:rPr>
          <w:rFonts w:hint="eastAsia" w:ascii="仿宋" w:hAnsi="仿宋" w:eastAsia="仿宋" w:cs="仿宋"/>
          <w:color w:val="auto"/>
          <w:spacing w:val="-3"/>
          <w:sz w:val="24"/>
          <w:szCs w:val="24"/>
          <w:highlight w:val="none"/>
        </w:rPr>
        <w:t>约定期间内不予退还或者应完全有效，前述约定</w:t>
      </w:r>
      <w:r>
        <w:rPr>
          <w:rFonts w:hint="eastAsia" w:ascii="仿宋" w:hAnsi="仿宋" w:eastAsia="仿宋" w:cs="仿宋"/>
          <w:color w:val="auto"/>
          <w:spacing w:val="-2"/>
          <w:sz w:val="24"/>
          <w:szCs w:val="24"/>
          <w:highlight w:val="none"/>
        </w:rPr>
        <w:t>期间届满之日起</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2"/>
          <w:sz w:val="24"/>
          <w:szCs w:val="24"/>
          <w:highlight w:val="none"/>
        </w:rPr>
        <w:t>个工作日内，甲方应将履约保证金退还乙方，甲方逾期退还履约保证金应承担违约责任。</w:t>
      </w:r>
    </w:p>
    <w:p w14:paraId="5F200C7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2.17.3如果乙方不履行合同，履约保证金不</w:t>
      </w:r>
      <w:r>
        <w:rPr>
          <w:rFonts w:hint="eastAsia" w:ascii="仿宋" w:hAnsi="仿宋" w:eastAsia="仿宋" w:cs="仿宋"/>
          <w:color w:val="auto"/>
          <w:spacing w:val="-3"/>
          <w:sz w:val="24"/>
          <w:szCs w:val="24"/>
          <w:highlight w:val="none"/>
        </w:rPr>
        <w:t>予退还；如果乙方未能按合同约定全面</w:t>
      </w:r>
      <w:r>
        <w:rPr>
          <w:rFonts w:hint="eastAsia" w:ascii="仿宋" w:hAnsi="仿宋" w:eastAsia="仿宋" w:cs="仿宋"/>
          <w:color w:val="auto"/>
          <w:spacing w:val="-2"/>
          <w:sz w:val="24"/>
          <w:szCs w:val="24"/>
          <w:highlight w:val="none"/>
        </w:rPr>
        <w:t>履行义务，那么甲方有权从履约保证金中取得补偿或赔偿，同时不影响甲方要求乙方承</w:t>
      </w:r>
      <w:r>
        <w:rPr>
          <w:rFonts w:hint="eastAsia" w:ascii="仿宋" w:hAnsi="仿宋" w:eastAsia="仿宋" w:cs="仿宋"/>
          <w:color w:val="auto"/>
          <w:spacing w:val="-1"/>
          <w:sz w:val="24"/>
          <w:szCs w:val="24"/>
          <w:highlight w:val="none"/>
        </w:rPr>
        <w:t>担合同约定的超过履约保证金的违约责任的权利。</w:t>
      </w:r>
    </w:p>
    <w:p w14:paraId="1F4A5DE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8"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2.18合同份数</w:t>
      </w:r>
    </w:p>
    <w:p w14:paraId="523EE3F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合同份数按</w:t>
      </w:r>
      <w:r>
        <w:rPr>
          <w:rFonts w:hint="eastAsia" w:ascii="仿宋" w:hAnsi="仿宋" w:eastAsia="仿宋" w:cs="仿宋"/>
          <w:b/>
          <w:bCs/>
          <w:color w:val="auto"/>
          <w:spacing w:val="-2"/>
          <w:sz w:val="24"/>
          <w:szCs w:val="24"/>
          <w:highlight w:val="none"/>
          <w:u w:val="single" w:color="auto"/>
        </w:rPr>
        <w:t>合同专用条款</w:t>
      </w:r>
      <w:r>
        <w:rPr>
          <w:rFonts w:hint="eastAsia" w:ascii="仿宋" w:hAnsi="仿宋" w:eastAsia="仿宋" w:cs="仿宋"/>
          <w:color w:val="auto"/>
          <w:spacing w:val="-2"/>
          <w:sz w:val="24"/>
          <w:szCs w:val="24"/>
          <w:highlight w:val="none"/>
        </w:rPr>
        <w:t>规定，每份均具有同等法律效力。</w:t>
      </w:r>
    </w:p>
    <w:p w14:paraId="6AB385A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4D98D4F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sectPr>
          <w:footerReference r:id="rId12" w:type="default"/>
          <w:pgSz w:w="11906" w:h="16839"/>
          <w:pgMar w:top="1440" w:right="1800" w:bottom="1440" w:left="1800" w:header="0" w:footer="927" w:gutter="0"/>
          <w:pgNumType w:fmt="decimal"/>
          <w:cols w:space="720" w:num="1"/>
        </w:sectPr>
      </w:pPr>
    </w:p>
    <w:p w14:paraId="5057B15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第三部分</w:t>
      </w:r>
      <w:r>
        <w:rPr>
          <w:rFonts w:hint="eastAsia" w:ascii="仿宋" w:hAnsi="仿宋" w:eastAsia="仿宋" w:cs="仿宋"/>
          <w:color w:val="auto"/>
          <w:spacing w:val="39"/>
          <w:sz w:val="32"/>
          <w:szCs w:val="32"/>
          <w:highlight w:val="none"/>
        </w:rPr>
        <w:t xml:space="preserve"> </w:t>
      </w:r>
      <w:r>
        <w:rPr>
          <w:rFonts w:hint="eastAsia" w:ascii="仿宋" w:hAnsi="仿宋" w:eastAsia="仿宋" w:cs="仿宋"/>
          <w:b/>
          <w:bCs/>
          <w:color w:val="auto"/>
          <w:sz w:val="32"/>
          <w:szCs w:val="32"/>
          <w:highlight w:val="none"/>
        </w:rPr>
        <w:t>合同专用条款</w:t>
      </w:r>
    </w:p>
    <w:p w14:paraId="79A87B1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本部分是对前两部分的补充和修改，如果前两部分和本部分的约定不一致，应以本</w:t>
      </w:r>
      <w:r>
        <w:rPr>
          <w:rFonts w:hint="eastAsia" w:ascii="仿宋" w:hAnsi="仿宋" w:eastAsia="仿宋" w:cs="仿宋"/>
          <w:color w:val="auto"/>
          <w:spacing w:val="-2"/>
          <w:sz w:val="24"/>
          <w:szCs w:val="24"/>
          <w:highlight w:val="none"/>
        </w:rPr>
        <w:t>部分的约定为准。本部分的条款号应与前两部分的条款号保持对应；与前两部分无对应关系的内容可另行编制条款号。</w:t>
      </w:r>
    </w:p>
    <w:tbl>
      <w:tblPr>
        <w:tblStyle w:val="24"/>
        <w:tblW w:w="8366" w:type="dxa"/>
        <w:tblInd w:w="3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8"/>
        <w:gridCol w:w="7568"/>
      </w:tblGrid>
      <w:tr w14:paraId="54925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798" w:type="dxa"/>
            <w:tcBorders>
              <w:left w:val="single" w:color="000000" w:sz="2" w:space="0"/>
            </w:tcBorders>
            <w:vAlign w:val="center"/>
          </w:tcPr>
          <w:p w14:paraId="139C225D">
            <w:pPr>
              <w:shd w:val="clear"/>
              <w:spacing w:before="81" w:line="223" w:lineRule="auto"/>
              <w:ind w:left="0" w:leftChars="0" w:right="0" w:rightChars="0" w:firstLine="0" w:firstLineChars="0"/>
              <w:jc w:val="center"/>
              <w:rPr>
                <w:rFonts w:ascii="仿宋" w:hAnsi="仿宋" w:eastAsia="仿宋" w:cs="仿宋"/>
                <w:color w:val="auto"/>
                <w:sz w:val="24"/>
                <w:szCs w:val="24"/>
                <w:highlight w:val="none"/>
              </w:rPr>
            </w:pPr>
            <w:r>
              <w:rPr>
                <w:rFonts w:ascii="仿宋" w:hAnsi="仿宋" w:eastAsia="仿宋" w:cs="仿宋"/>
                <w:b/>
                <w:bCs/>
                <w:color w:val="auto"/>
                <w:spacing w:val="-8"/>
                <w:sz w:val="24"/>
                <w:szCs w:val="24"/>
                <w:highlight w:val="none"/>
              </w:rPr>
              <w:t>条款号</w:t>
            </w:r>
          </w:p>
        </w:tc>
        <w:tc>
          <w:tcPr>
            <w:tcW w:w="7568" w:type="dxa"/>
            <w:vAlign w:val="center"/>
          </w:tcPr>
          <w:p w14:paraId="7579B0DA">
            <w:pPr>
              <w:shd w:val="clear"/>
              <w:spacing w:before="81" w:line="222" w:lineRule="auto"/>
              <w:ind w:left="0" w:leftChars="0" w:right="0" w:rightChars="0" w:firstLine="0" w:firstLineChars="0"/>
              <w:jc w:val="center"/>
              <w:rPr>
                <w:rFonts w:ascii="仿宋" w:hAnsi="仿宋" w:eastAsia="仿宋" w:cs="仿宋"/>
                <w:color w:val="auto"/>
                <w:sz w:val="24"/>
                <w:szCs w:val="24"/>
                <w:highlight w:val="none"/>
              </w:rPr>
            </w:pPr>
            <w:r>
              <w:rPr>
                <w:rFonts w:ascii="仿宋" w:hAnsi="仿宋" w:eastAsia="仿宋" w:cs="仿宋"/>
                <w:b/>
                <w:bCs/>
                <w:color w:val="auto"/>
                <w:spacing w:val="-7"/>
                <w:sz w:val="24"/>
                <w:szCs w:val="24"/>
                <w:highlight w:val="none"/>
              </w:rPr>
              <w:t>约定内容</w:t>
            </w:r>
          </w:p>
        </w:tc>
      </w:tr>
      <w:tr w14:paraId="6F902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798" w:type="dxa"/>
            <w:tcBorders>
              <w:left w:val="single" w:color="000000" w:sz="2" w:space="0"/>
            </w:tcBorders>
            <w:vAlign w:val="center"/>
          </w:tcPr>
          <w:p w14:paraId="71F8BA9E">
            <w:pPr>
              <w:shd w:val="clear"/>
              <w:ind w:left="0" w:leftChars="0" w:right="0" w:rightChars="0" w:firstLine="0" w:firstLineChars="0"/>
              <w:jc w:val="center"/>
              <w:rPr>
                <w:rFonts w:ascii="Arial"/>
                <w:color w:val="auto"/>
                <w:sz w:val="21"/>
                <w:highlight w:val="none"/>
              </w:rPr>
            </w:pPr>
          </w:p>
        </w:tc>
        <w:tc>
          <w:tcPr>
            <w:tcW w:w="7568" w:type="dxa"/>
            <w:vAlign w:val="center"/>
          </w:tcPr>
          <w:p w14:paraId="43ACEFDD">
            <w:pPr>
              <w:shd w:val="clear"/>
              <w:ind w:left="0" w:leftChars="0" w:right="0" w:rightChars="0" w:firstLine="0" w:firstLineChars="0"/>
              <w:jc w:val="center"/>
              <w:rPr>
                <w:rFonts w:ascii="Arial"/>
                <w:color w:val="auto"/>
                <w:sz w:val="21"/>
                <w:highlight w:val="none"/>
              </w:rPr>
            </w:pPr>
          </w:p>
        </w:tc>
      </w:tr>
      <w:tr w14:paraId="1D129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798" w:type="dxa"/>
            <w:tcBorders>
              <w:left w:val="single" w:color="000000" w:sz="2" w:space="0"/>
            </w:tcBorders>
            <w:vAlign w:val="center"/>
          </w:tcPr>
          <w:p w14:paraId="2DE7958C">
            <w:pPr>
              <w:shd w:val="clear"/>
              <w:ind w:left="0" w:leftChars="0" w:right="0" w:rightChars="0" w:firstLine="0" w:firstLineChars="0"/>
              <w:jc w:val="center"/>
              <w:rPr>
                <w:rFonts w:ascii="Arial"/>
                <w:color w:val="auto"/>
                <w:sz w:val="21"/>
                <w:highlight w:val="none"/>
              </w:rPr>
            </w:pPr>
          </w:p>
        </w:tc>
        <w:tc>
          <w:tcPr>
            <w:tcW w:w="7568" w:type="dxa"/>
            <w:vAlign w:val="center"/>
          </w:tcPr>
          <w:p w14:paraId="00F125E8">
            <w:pPr>
              <w:shd w:val="clear"/>
              <w:ind w:left="0" w:leftChars="0" w:right="0" w:rightChars="0" w:firstLine="0" w:firstLineChars="0"/>
              <w:jc w:val="center"/>
              <w:rPr>
                <w:rFonts w:ascii="Arial"/>
                <w:color w:val="auto"/>
                <w:sz w:val="21"/>
                <w:highlight w:val="none"/>
              </w:rPr>
            </w:pPr>
          </w:p>
        </w:tc>
      </w:tr>
      <w:tr w14:paraId="56E5E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798" w:type="dxa"/>
            <w:tcBorders>
              <w:left w:val="single" w:color="000000" w:sz="2" w:space="0"/>
            </w:tcBorders>
            <w:vAlign w:val="center"/>
          </w:tcPr>
          <w:p w14:paraId="4EB3FE08">
            <w:pPr>
              <w:shd w:val="clear"/>
              <w:ind w:left="0" w:leftChars="0" w:right="0" w:rightChars="0" w:firstLine="0" w:firstLineChars="0"/>
              <w:jc w:val="center"/>
              <w:rPr>
                <w:rFonts w:ascii="Arial"/>
                <w:color w:val="auto"/>
                <w:sz w:val="21"/>
                <w:highlight w:val="none"/>
              </w:rPr>
            </w:pPr>
          </w:p>
        </w:tc>
        <w:tc>
          <w:tcPr>
            <w:tcW w:w="7568" w:type="dxa"/>
            <w:vAlign w:val="center"/>
          </w:tcPr>
          <w:p w14:paraId="21957EB5">
            <w:pPr>
              <w:shd w:val="clear"/>
              <w:ind w:left="0" w:leftChars="0" w:right="0" w:rightChars="0" w:firstLine="0" w:firstLineChars="0"/>
              <w:jc w:val="center"/>
              <w:rPr>
                <w:rFonts w:ascii="Arial"/>
                <w:color w:val="auto"/>
                <w:sz w:val="21"/>
                <w:highlight w:val="none"/>
              </w:rPr>
            </w:pPr>
          </w:p>
        </w:tc>
      </w:tr>
      <w:tr w14:paraId="669C5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798" w:type="dxa"/>
            <w:tcBorders>
              <w:left w:val="single" w:color="000000" w:sz="2" w:space="0"/>
            </w:tcBorders>
            <w:vAlign w:val="center"/>
          </w:tcPr>
          <w:p w14:paraId="1E28404C">
            <w:pPr>
              <w:shd w:val="clear"/>
              <w:ind w:left="0" w:leftChars="0" w:right="0" w:rightChars="0" w:firstLine="0" w:firstLineChars="0"/>
              <w:jc w:val="center"/>
              <w:rPr>
                <w:rFonts w:ascii="Arial"/>
                <w:color w:val="auto"/>
                <w:sz w:val="21"/>
                <w:highlight w:val="none"/>
              </w:rPr>
            </w:pPr>
          </w:p>
        </w:tc>
        <w:tc>
          <w:tcPr>
            <w:tcW w:w="7568" w:type="dxa"/>
            <w:vAlign w:val="center"/>
          </w:tcPr>
          <w:p w14:paraId="288893DC">
            <w:pPr>
              <w:shd w:val="clear"/>
              <w:ind w:left="0" w:leftChars="0" w:right="0" w:rightChars="0" w:firstLine="0" w:firstLineChars="0"/>
              <w:jc w:val="center"/>
              <w:rPr>
                <w:rFonts w:ascii="Arial"/>
                <w:color w:val="auto"/>
                <w:sz w:val="21"/>
                <w:highlight w:val="none"/>
              </w:rPr>
            </w:pPr>
          </w:p>
        </w:tc>
      </w:tr>
      <w:tr w14:paraId="738D8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798" w:type="dxa"/>
            <w:tcBorders>
              <w:left w:val="single" w:color="000000" w:sz="2" w:space="0"/>
            </w:tcBorders>
            <w:vAlign w:val="center"/>
          </w:tcPr>
          <w:p w14:paraId="1DA8BBEB">
            <w:pPr>
              <w:shd w:val="clear"/>
              <w:ind w:left="0" w:leftChars="0" w:right="0" w:rightChars="0" w:firstLine="0" w:firstLineChars="0"/>
              <w:jc w:val="center"/>
              <w:rPr>
                <w:rFonts w:ascii="Arial"/>
                <w:color w:val="auto"/>
                <w:sz w:val="21"/>
                <w:highlight w:val="none"/>
              </w:rPr>
            </w:pPr>
          </w:p>
        </w:tc>
        <w:tc>
          <w:tcPr>
            <w:tcW w:w="7568" w:type="dxa"/>
            <w:vAlign w:val="center"/>
          </w:tcPr>
          <w:p w14:paraId="78158C1B">
            <w:pPr>
              <w:shd w:val="clear"/>
              <w:ind w:left="0" w:leftChars="0" w:right="0" w:rightChars="0" w:firstLine="0" w:firstLineChars="0"/>
              <w:jc w:val="center"/>
              <w:rPr>
                <w:rFonts w:ascii="Arial"/>
                <w:color w:val="auto"/>
                <w:sz w:val="21"/>
                <w:highlight w:val="none"/>
              </w:rPr>
            </w:pPr>
          </w:p>
        </w:tc>
      </w:tr>
      <w:tr w14:paraId="5BA80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798" w:type="dxa"/>
            <w:tcBorders>
              <w:left w:val="single" w:color="000000" w:sz="2" w:space="0"/>
            </w:tcBorders>
            <w:vAlign w:val="center"/>
          </w:tcPr>
          <w:p w14:paraId="16C448C9">
            <w:pPr>
              <w:shd w:val="clear"/>
              <w:ind w:left="0" w:leftChars="0" w:right="0" w:rightChars="0" w:firstLine="0" w:firstLineChars="0"/>
              <w:jc w:val="center"/>
              <w:rPr>
                <w:rFonts w:ascii="Arial"/>
                <w:color w:val="auto"/>
                <w:sz w:val="21"/>
                <w:highlight w:val="none"/>
              </w:rPr>
            </w:pPr>
          </w:p>
        </w:tc>
        <w:tc>
          <w:tcPr>
            <w:tcW w:w="7568" w:type="dxa"/>
            <w:vAlign w:val="center"/>
          </w:tcPr>
          <w:p w14:paraId="4BD08247">
            <w:pPr>
              <w:shd w:val="clear"/>
              <w:ind w:left="0" w:leftChars="0" w:right="0" w:rightChars="0" w:firstLine="0" w:firstLineChars="0"/>
              <w:jc w:val="center"/>
              <w:rPr>
                <w:rFonts w:ascii="Arial"/>
                <w:color w:val="auto"/>
                <w:sz w:val="21"/>
                <w:highlight w:val="none"/>
              </w:rPr>
            </w:pPr>
          </w:p>
        </w:tc>
      </w:tr>
      <w:tr w14:paraId="7FC5A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798" w:type="dxa"/>
            <w:tcBorders>
              <w:left w:val="single" w:color="000000" w:sz="2" w:space="0"/>
            </w:tcBorders>
            <w:vAlign w:val="center"/>
          </w:tcPr>
          <w:p w14:paraId="6B27081A">
            <w:pPr>
              <w:shd w:val="clear"/>
              <w:ind w:left="0" w:leftChars="0" w:right="0" w:rightChars="0" w:firstLine="0" w:firstLineChars="0"/>
              <w:jc w:val="center"/>
              <w:rPr>
                <w:rFonts w:ascii="Arial"/>
                <w:color w:val="auto"/>
                <w:sz w:val="21"/>
                <w:highlight w:val="none"/>
              </w:rPr>
            </w:pPr>
          </w:p>
        </w:tc>
        <w:tc>
          <w:tcPr>
            <w:tcW w:w="7568" w:type="dxa"/>
            <w:vAlign w:val="center"/>
          </w:tcPr>
          <w:p w14:paraId="0251B77B">
            <w:pPr>
              <w:shd w:val="clear"/>
              <w:ind w:left="0" w:leftChars="0" w:right="0" w:rightChars="0" w:firstLine="0" w:firstLineChars="0"/>
              <w:jc w:val="center"/>
              <w:rPr>
                <w:rFonts w:ascii="Arial"/>
                <w:color w:val="auto"/>
                <w:sz w:val="21"/>
                <w:highlight w:val="none"/>
              </w:rPr>
            </w:pPr>
          </w:p>
        </w:tc>
      </w:tr>
      <w:tr w14:paraId="146BF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798" w:type="dxa"/>
            <w:tcBorders>
              <w:left w:val="single" w:color="000000" w:sz="2" w:space="0"/>
            </w:tcBorders>
            <w:vAlign w:val="center"/>
          </w:tcPr>
          <w:p w14:paraId="0F54A264">
            <w:pPr>
              <w:shd w:val="clear"/>
              <w:ind w:left="0" w:leftChars="0" w:right="0" w:rightChars="0" w:firstLine="0" w:firstLineChars="0"/>
              <w:jc w:val="center"/>
              <w:rPr>
                <w:rFonts w:ascii="Arial"/>
                <w:color w:val="auto"/>
                <w:sz w:val="21"/>
                <w:highlight w:val="none"/>
              </w:rPr>
            </w:pPr>
          </w:p>
        </w:tc>
        <w:tc>
          <w:tcPr>
            <w:tcW w:w="7568" w:type="dxa"/>
            <w:vAlign w:val="center"/>
          </w:tcPr>
          <w:p w14:paraId="65E02E60">
            <w:pPr>
              <w:shd w:val="clear"/>
              <w:ind w:left="0" w:leftChars="0" w:right="0" w:rightChars="0" w:firstLine="0" w:firstLineChars="0"/>
              <w:jc w:val="center"/>
              <w:rPr>
                <w:rFonts w:ascii="Arial"/>
                <w:color w:val="auto"/>
                <w:sz w:val="21"/>
                <w:highlight w:val="none"/>
              </w:rPr>
            </w:pPr>
          </w:p>
        </w:tc>
      </w:tr>
      <w:tr w14:paraId="097BA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798" w:type="dxa"/>
            <w:tcBorders>
              <w:left w:val="single" w:color="000000" w:sz="2" w:space="0"/>
            </w:tcBorders>
            <w:vAlign w:val="center"/>
          </w:tcPr>
          <w:p w14:paraId="5AD9E00B">
            <w:pPr>
              <w:shd w:val="clear"/>
              <w:ind w:left="0" w:leftChars="0" w:right="0" w:rightChars="0" w:firstLine="0" w:firstLineChars="0"/>
              <w:jc w:val="center"/>
              <w:rPr>
                <w:rFonts w:ascii="Arial"/>
                <w:color w:val="auto"/>
                <w:sz w:val="21"/>
                <w:highlight w:val="none"/>
              </w:rPr>
            </w:pPr>
          </w:p>
        </w:tc>
        <w:tc>
          <w:tcPr>
            <w:tcW w:w="7568" w:type="dxa"/>
            <w:vAlign w:val="center"/>
          </w:tcPr>
          <w:p w14:paraId="1DD6D3E1">
            <w:pPr>
              <w:shd w:val="clear"/>
              <w:ind w:left="0" w:leftChars="0" w:right="0" w:rightChars="0" w:firstLine="0" w:firstLineChars="0"/>
              <w:jc w:val="center"/>
              <w:rPr>
                <w:rFonts w:ascii="Arial"/>
                <w:color w:val="auto"/>
                <w:sz w:val="21"/>
                <w:highlight w:val="none"/>
              </w:rPr>
            </w:pPr>
          </w:p>
        </w:tc>
      </w:tr>
      <w:tr w14:paraId="39183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798" w:type="dxa"/>
            <w:tcBorders>
              <w:left w:val="single" w:color="000000" w:sz="2" w:space="0"/>
            </w:tcBorders>
            <w:vAlign w:val="center"/>
          </w:tcPr>
          <w:p w14:paraId="163FD777">
            <w:pPr>
              <w:shd w:val="clear"/>
              <w:ind w:left="0" w:leftChars="0" w:right="0" w:rightChars="0" w:firstLine="0" w:firstLineChars="0"/>
              <w:jc w:val="center"/>
              <w:rPr>
                <w:rFonts w:ascii="Arial"/>
                <w:color w:val="auto"/>
                <w:sz w:val="21"/>
                <w:highlight w:val="none"/>
              </w:rPr>
            </w:pPr>
          </w:p>
        </w:tc>
        <w:tc>
          <w:tcPr>
            <w:tcW w:w="7568" w:type="dxa"/>
            <w:vAlign w:val="center"/>
          </w:tcPr>
          <w:p w14:paraId="4121862C">
            <w:pPr>
              <w:shd w:val="clear"/>
              <w:ind w:left="0" w:leftChars="0" w:right="0" w:rightChars="0" w:firstLine="0" w:firstLineChars="0"/>
              <w:jc w:val="center"/>
              <w:rPr>
                <w:rFonts w:ascii="Arial"/>
                <w:color w:val="auto"/>
                <w:sz w:val="21"/>
                <w:highlight w:val="none"/>
              </w:rPr>
            </w:pPr>
          </w:p>
        </w:tc>
      </w:tr>
      <w:tr w14:paraId="3A5FD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798" w:type="dxa"/>
            <w:tcBorders>
              <w:left w:val="single" w:color="000000" w:sz="2" w:space="0"/>
            </w:tcBorders>
            <w:vAlign w:val="center"/>
          </w:tcPr>
          <w:p w14:paraId="6DA4B086">
            <w:pPr>
              <w:shd w:val="clear"/>
              <w:ind w:left="0" w:leftChars="0" w:right="0" w:rightChars="0" w:firstLine="0" w:firstLineChars="0"/>
              <w:jc w:val="center"/>
              <w:rPr>
                <w:rFonts w:ascii="Arial"/>
                <w:color w:val="auto"/>
                <w:sz w:val="21"/>
                <w:highlight w:val="none"/>
              </w:rPr>
            </w:pPr>
          </w:p>
        </w:tc>
        <w:tc>
          <w:tcPr>
            <w:tcW w:w="7568" w:type="dxa"/>
            <w:vAlign w:val="center"/>
          </w:tcPr>
          <w:p w14:paraId="33EE415A">
            <w:pPr>
              <w:shd w:val="clear"/>
              <w:ind w:left="0" w:leftChars="0" w:right="0" w:rightChars="0" w:firstLine="0" w:firstLineChars="0"/>
              <w:jc w:val="center"/>
              <w:rPr>
                <w:rFonts w:ascii="Arial"/>
                <w:color w:val="auto"/>
                <w:sz w:val="21"/>
                <w:highlight w:val="none"/>
              </w:rPr>
            </w:pPr>
          </w:p>
        </w:tc>
      </w:tr>
      <w:tr w14:paraId="1E09C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98" w:type="dxa"/>
            <w:tcBorders>
              <w:left w:val="single" w:color="000000" w:sz="2" w:space="0"/>
            </w:tcBorders>
            <w:vAlign w:val="center"/>
          </w:tcPr>
          <w:p w14:paraId="556A76B9">
            <w:pPr>
              <w:shd w:val="clear"/>
              <w:ind w:left="0" w:leftChars="0" w:right="0" w:rightChars="0" w:firstLine="0" w:firstLineChars="0"/>
              <w:jc w:val="center"/>
              <w:rPr>
                <w:rFonts w:ascii="Arial"/>
                <w:color w:val="auto"/>
                <w:sz w:val="21"/>
                <w:highlight w:val="none"/>
              </w:rPr>
            </w:pPr>
          </w:p>
        </w:tc>
        <w:tc>
          <w:tcPr>
            <w:tcW w:w="7568" w:type="dxa"/>
            <w:vAlign w:val="center"/>
          </w:tcPr>
          <w:p w14:paraId="15FE846A">
            <w:pPr>
              <w:shd w:val="clear"/>
              <w:ind w:left="0" w:leftChars="0" w:right="0" w:rightChars="0" w:firstLine="0" w:firstLineChars="0"/>
              <w:jc w:val="center"/>
              <w:rPr>
                <w:rFonts w:ascii="Arial"/>
                <w:color w:val="auto"/>
                <w:sz w:val="21"/>
                <w:highlight w:val="none"/>
              </w:rPr>
            </w:pPr>
          </w:p>
        </w:tc>
      </w:tr>
    </w:tbl>
    <w:p w14:paraId="27E81BD4">
      <w:pPr>
        <w:pStyle w:val="4"/>
        <w:shd w:val="clear"/>
        <w:rPr>
          <w:color w:val="auto"/>
          <w:highlight w:val="none"/>
        </w:rPr>
      </w:pPr>
    </w:p>
    <w:p w14:paraId="15C74A4E">
      <w:pPr>
        <w:shd w:val="clear"/>
        <w:rPr>
          <w:rFonts w:ascii="宋体" w:hAnsi="宋体" w:eastAsia="宋体" w:cs="宋体"/>
          <w:b/>
          <w:bCs/>
          <w:color w:val="auto"/>
          <w:spacing w:val="5"/>
          <w:sz w:val="35"/>
          <w:szCs w:val="35"/>
          <w:highlight w:val="none"/>
        </w:rPr>
      </w:pPr>
      <w:bookmarkStart w:id="22" w:name="bookmark6"/>
      <w:bookmarkEnd w:id="22"/>
      <w:r>
        <w:rPr>
          <w:rFonts w:ascii="宋体" w:hAnsi="宋体" w:eastAsia="宋体" w:cs="宋体"/>
          <w:b/>
          <w:bCs/>
          <w:color w:val="auto"/>
          <w:spacing w:val="5"/>
          <w:sz w:val="35"/>
          <w:szCs w:val="35"/>
          <w:highlight w:val="none"/>
        </w:rPr>
        <w:br w:type="page"/>
      </w:r>
    </w:p>
    <w:p w14:paraId="0070E09B">
      <w:pPr>
        <w:pStyle w:val="2"/>
        <w:shd w:val="clear"/>
        <w:bidi w:val="0"/>
        <w:rPr>
          <w:color w:val="auto"/>
          <w:highlight w:val="none"/>
        </w:rPr>
      </w:pPr>
      <w:bookmarkStart w:id="23" w:name="_Toc1748"/>
      <w:r>
        <w:rPr>
          <w:color w:val="auto"/>
          <w:highlight w:val="none"/>
        </w:rPr>
        <w:t>第六章 投标文件格式</w:t>
      </w:r>
      <w:bookmarkEnd w:id="23"/>
    </w:p>
    <w:p w14:paraId="5A7469E5">
      <w:pPr>
        <w:keepNext w:val="0"/>
        <w:keepLines w:val="0"/>
        <w:pageBreakBefore w:val="0"/>
        <w:widowControl/>
        <w:shd w:val="clear"/>
        <w:kinsoku w:val="0"/>
        <w:wordWrap w:val="0"/>
        <w:overflowPunct/>
        <w:topLinePunct w:val="0"/>
        <w:autoSpaceDE w:val="0"/>
        <w:autoSpaceDN w:val="0"/>
        <w:bidi w:val="0"/>
        <w:adjustRightInd w:val="0"/>
        <w:snapToGrid w:val="0"/>
        <w:spacing w:line="334" w:lineRule="auto"/>
        <w:textAlignment w:val="baseline"/>
        <w:rPr>
          <w:rFonts w:ascii="Arial"/>
          <w:color w:val="auto"/>
          <w:sz w:val="21"/>
          <w:highlight w:val="none"/>
        </w:rPr>
      </w:pPr>
    </w:p>
    <w:p w14:paraId="2BBBBA52">
      <w:pPr>
        <w:keepNext w:val="0"/>
        <w:keepLines w:val="0"/>
        <w:pageBreakBefore w:val="0"/>
        <w:widowControl/>
        <w:shd w:val="clear"/>
        <w:kinsoku w:val="0"/>
        <w:wordWrap w:val="0"/>
        <w:overflowPunct/>
        <w:topLinePunct w:val="0"/>
        <w:autoSpaceDE w:val="0"/>
        <w:autoSpaceDN w:val="0"/>
        <w:bidi w:val="0"/>
        <w:adjustRightInd w:val="0"/>
        <w:snapToGrid w:val="0"/>
        <w:spacing w:line="334" w:lineRule="auto"/>
        <w:textAlignment w:val="baseline"/>
        <w:rPr>
          <w:rFonts w:ascii="Arial"/>
          <w:color w:val="auto"/>
          <w:sz w:val="21"/>
          <w:highlight w:val="none"/>
        </w:rPr>
      </w:pPr>
    </w:p>
    <w:p w14:paraId="375F48FA">
      <w:pPr>
        <w:pStyle w:val="11"/>
        <w:keepNext w:val="0"/>
        <w:keepLines w:val="0"/>
        <w:pageBreakBefore w:val="0"/>
        <w:widowControl/>
        <w:shd w:val="clear"/>
        <w:tabs>
          <w:tab w:val="left" w:pos="5610"/>
        </w:tabs>
        <w:kinsoku w:val="0"/>
        <w:wordWrap w:val="0"/>
        <w:overflowPunct/>
        <w:topLinePunct w:val="0"/>
        <w:autoSpaceDE w:val="0"/>
        <w:autoSpaceDN w:val="0"/>
        <w:bidi w:val="0"/>
        <w:adjustRightInd w:val="0"/>
        <w:snapToGrid w:val="0"/>
        <w:spacing w:before="91" w:line="480" w:lineRule="auto"/>
        <w:ind w:left="2250"/>
        <w:textAlignment w:val="baseline"/>
        <w:rPr>
          <w:rFonts w:ascii="Arial"/>
          <w:color w:val="auto"/>
          <w:sz w:val="21"/>
          <w:highlight w:val="none"/>
        </w:rPr>
      </w:pPr>
      <w:r>
        <w:rPr>
          <w:color w:val="auto"/>
          <w:sz w:val="28"/>
          <w:szCs w:val="28"/>
          <w:highlight w:val="none"/>
          <w:u w:val="single" w:color="auto"/>
        </w:rPr>
        <w:tab/>
      </w:r>
      <w:r>
        <w:rPr>
          <w:color w:val="auto"/>
          <w:sz w:val="28"/>
          <w:szCs w:val="28"/>
          <w:highlight w:val="none"/>
        </w:rPr>
        <w:t>（项目名称）</w:t>
      </w:r>
    </w:p>
    <w:p w14:paraId="077E6B79">
      <w:pPr>
        <w:pStyle w:val="11"/>
        <w:keepNext w:val="0"/>
        <w:keepLines w:val="0"/>
        <w:pageBreakBefore w:val="0"/>
        <w:widowControl/>
        <w:shd w:val="clear"/>
        <w:tabs>
          <w:tab w:val="left" w:pos="5610"/>
        </w:tabs>
        <w:kinsoku w:val="0"/>
        <w:wordWrap w:val="0"/>
        <w:overflowPunct/>
        <w:topLinePunct w:val="0"/>
        <w:autoSpaceDE w:val="0"/>
        <w:autoSpaceDN w:val="0"/>
        <w:bidi w:val="0"/>
        <w:adjustRightInd w:val="0"/>
        <w:snapToGrid w:val="0"/>
        <w:spacing w:before="91" w:line="480" w:lineRule="auto"/>
        <w:ind w:firstLine="2240" w:firstLineChars="800"/>
        <w:textAlignment w:val="baseline"/>
        <w:rPr>
          <w:rFonts w:ascii="Arial"/>
          <w:color w:val="auto"/>
          <w:sz w:val="21"/>
          <w:highlight w:val="none"/>
        </w:rPr>
      </w:pPr>
      <w:r>
        <w:rPr>
          <w:color w:val="auto"/>
          <w:sz w:val="28"/>
          <w:szCs w:val="28"/>
          <w:highlight w:val="none"/>
          <w:u w:val="single" w:color="auto"/>
        </w:rPr>
        <w:tab/>
      </w:r>
      <w:r>
        <w:rPr>
          <w:color w:val="auto"/>
          <w:sz w:val="28"/>
          <w:szCs w:val="28"/>
          <w:highlight w:val="none"/>
        </w:rPr>
        <w:t>（项目编号）</w:t>
      </w:r>
    </w:p>
    <w:p w14:paraId="1EA2B814">
      <w:pPr>
        <w:pStyle w:val="26"/>
        <w:shd w:val="clear"/>
        <w:ind w:left="0" w:leftChars="0" w:firstLine="0" w:firstLineChars="0"/>
        <w:rPr>
          <w:rFonts w:ascii="Arial"/>
          <w:color w:val="auto"/>
          <w:sz w:val="21"/>
          <w:highlight w:val="none"/>
        </w:rPr>
      </w:pPr>
    </w:p>
    <w:p w14:paraId="73F42632">
      <w:pPr>
        <w:pStyle w:val="26"/>
        <w:shd w:val="clear"/>
        <w:ind w:left="0" w:leftChars="0" w:firstLine="0" w:firstLineChars="0"/>
        <w:rPr>
          <w:rFonts w:ascii="Arial"/>
          <w:color w:val="auto"/>
          <w:sz w:val="21"/>
          <w:highlight w:val="none"/>
        </w:rPr>
      </w:pPr>
    </w:p>
    <w:p w14:paraId="0E7DC933">
      <w:pPr>
        <w:pStyle w:val="26"/>
        <w:shd w:val="clear"/>
        <w:ind w:left="0" w:leftChars="0" w:firstLine="0" w:firstLineChars="0"/>
        <w:rPr>
          <w:rFonts w:ascii="Arial"/>
          <w:color w:val="auto"/>
          <w:sz w:val="21"/>
          <w:highlight w:val="none"/>
        </w:rPr>
      </w:pPr>
    </w:p>
    <w:p w14:paraId="2478305F">
      <w:pPr>
        <w:pStyle w:val="26"/>
        <w:shd w:val="clear"/>
        <w:ind w:left="0" w:leftChars="0" w:firstLine="0" w:firstLineChars="0"/>
        <w:rPr>
          <w:rFonts w:ascii="Arial"/>
          <w:color w:val="auto"/>
          <w:sz w:val="21"/>
          <w:highlight w:val="none"/>
        </w:rPr>
      </w:pPr>
    </w:p>
    <w:p w14:paraId="4114C2B2">
      <w:pPr>
        <w:pStyle w:val="26"/>
        <w:shd w:val="clear"/>
        <w:ind w:left="0" w:leftChars="0" w:firstLine="0" w:firstLineChars="0"/>
        <w:rPr>
          <w:rFonts w:ascii="Arial"/>
          <w:color w:val="auto"/>
          <w:sz w:val="21"/>
          <w:highlight w:val="none"/>
        </w:rPr>
      </w:pPr>
    </w:p>
    <w:p w14:paraId="328BDBE1">
      <w:pPr>
        <w:keepNext w:val="0"/>
        <w:keepLines w:val="0"/>
        <w:pageBreakBefore w:val="0"/>
        <w:widowControl/>
        <w:shd w:val="clear"/>
        <w:kinsoku w:val="0"/>
        <w:wordWrap w:val="0"/>
        <w:overflowPunct/>
        <w:topLinePunct w:val="0"/>
        <w:autoSpaceDE w:val="0"/>
        <w:autoSpaceDN w:val="0"/>
        <w:bidi w:val="0"/>
        <w:adjustRightInd w:val="0"/>
        <w:snapToGrid w:val="0"/>
        <w:spacing w:before="231" w:line="224" w:lineRule="auto"/>
        <w:ind w:left="2743"/>
        <w:textAlignment w:val="baseline"/>
        <w:rPr>
          <w:rFonts w:ascii="黑体" w:hAnsi="黑体" w:eastAsia="黑体" w:cs="黑体"/>
          <w:color w:val="auto"/>
          <w:sz w:val="71"/>
          <w:szCs w:val="71"/>
          <w:highlight w:val="none"/>
        </w:rPr>
      </w:pPr>
      <w:r>
        <w:rPr>
          <w:rFonts w:ascii="黑体" w:hAnsi="黑体" w:eastAsia="黑体" w:cs="黑体"/>
          <w:b/>
          <w:bCs/>
          <w:color w:val="auto"/>
          <w:spacing w:val="-1"/>
          <w:sz w:val="71"/>
          <w:szCs w:val="71"/>
          <w:highlight w:val="none"/>
        </w:rPr>
        <w:t>投标文件</w:t>
      </w:r>
    </w:p>
    <w:p w14:paraId="1C08C632">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1FCE272A">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48C9C37C">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6904F7C9">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32B28AEB">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09A74D92">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2E636CFE">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10B77312">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5BB750E1">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52B3FBBB">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1BCCA0D2">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4B0C0969">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064FA317">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480" w:lineRule="auto"/>
        <w:ind w:left="26"/>
        <w:textAlignment w:val="baseline"/>
        <w:outlineLvl w:val="9"/>
        <w:rPr>
          <w:color w:val="auto"/>
          <w:sz w:val="28"/>
          <w:szCs w:val="28"/>
          <w:highlight w:val="none"/>
        </w:rPr>
      </w:pPr>
      <w:r>
        <w:rPr>
          <w:color w:val="auto"/>
          <w:spacing w:val="8"/>
          <w:sz w:val="28"/>
          <w:szCs w:val="28"/>
          <w:highlight w:val="none"/>
        </w:rPr>
        <w:t>投标人名称</w:t>
      </w:r>
      <w:r>
        <w:rPr>
          <w:color w:val="auto"/>
          <w:spacing w:val="-40"/>
          <w:sz w:val="28"/>
          <w:szCs w:val="28"/>
          <w:highlight w:val="none"/>
        </w:rPr>
        <w:t>：</w:t>
      </w:r>
      <w:r>
        <w:rPr>
          <w:color w:val="auto"/>
          <w:spacing w:val="7"/>
          <w:sz w:val="28"/>
          <w:szCs w:val="28"/>
          <w:highlight w:val="none"/>
          <w:u w:val="single" w:color="auto"/>
        </w:rPr>
        <w:t xml:space="preserve">               </w:t>
      </w:r>
      <w:r>
        <w:rPr>
          <w:rFonts w:hint="eastAsia"/>
          <w:color w:val="auto"/>
          <w:spacing w:val="7"/>
          <w:sz w:val="28"/>
          <w:szCs w:val="28"/>
          <w:highlight w:val="none"/>
          <w:u w:val="single" w:color="auto"/>
          <w:lang w:val="en-US" w:eastAsia="zh-CN"/>
        </w:rPr>
        <w:t xml:space="preserve">           </w:t>
      </w:r>
      <w:r>
        <w:rPr>
          <w:color w:val="auto"/>
          <w:spacing w:val="7"/>
          <w:sz w:val="28"/>
          <w:szCs w:val="28"/>
          <w:highlight w:val="none"/>
          <w:u w:val="single" w:color="auto"/>
        </w:rPr>
        <w:t xml:space="preserve"> </w:t>
      </w:r>
      <w:r>
        <w:rPr>
          <w:rFonts w:hint="eastAsia"/>
          <w:color w:val="auto"/>
          <w:spacing w:val="7"/>
          <w:sz w:val="28"/>
          <w:szCs w:val="28"/>
          <w:highlight w:val="none"/>
          <w:u w:val="single" w:color="auto"/>
          <w:lang w:val="en-US" w:eastAsia="zh-CN"/>
        </w:rPr>
        <w:t xml:space="preserve">  </w:t>
      </w:r>
      <w:r>
        <w:rPr>
          <w:color w:val="auto"/>
          <w:spacing w:val="7"/>
          <w:sz w:val="28"/>
          <w:szCs w:val="28"/>
          <w:highlight w:val="none"/>
          <w:u w:val="single" w:color="auto"/>
        </w:rPr>
        <w:t xml:space="preserve">    </w:t>
      </w:r>
      <w:r>
        <w:rPr>
          <w:color w:val="auto"/>
          <w:spacing w:val="-40"/>
          <w:sz w:val="28"/>
          <w:szCs w:val="28"/>
          <w:highlight w:val="none"/>
        </w:rPr>
        <w:t>（</w:t>
      </w:r>
      <w:r>
        <w:rPr>
          <w:color w:val="auto"/>
          <w:spacing w:val="8"/>
          <w:sz w:val="28"/>
          <w:szCs w:val="28"/>
          <w:highlight w:val="none"/>
        </w:rPr>
        <w:t>盖章）</w:t>
      </w:r>
    </w:p>
    <w:p w14:paraId="33235A48">
      <w:pPr>
        <w:pStyle w:val="11"/>
        <w:keepNext w:val="0"/>
        <w:keepLines w:val="0"/>
        <w:pageBreakBefore w:val="0"/>
        <w:widowControl/>
        <w:shd w:val="clear"/>
        <w:kinsoku w:val="0"/>
        <w:wordWrap w:val="0"/>
        <w:overflowPunct/>
        <w:topLinePunct w:val="0"/>
        <w:autoSpaceDE w:val="0"/>
        <w:autoSpaceDN w:val="0"/>
        <w:bidi w:val="0"/>
        <w:adjustRightInd w:val="0"/>
        <w:snapToGrid w:val="0"/>
        <w:spacing w:before="310" w:line="480" w:lineRule="auto"/>
        <w:ind w:left="22" w:right="342" w:firstLine="9"/>
        <w:textAlignment w:val="baseline"/>
        <w:outlineLvl w:val="9"/>
        <w:rPr>
          <w:color w:val="auto"/>
          <w:sz w:val="28"/>
          <w:szCs w:val="28"/>
          <w:highlight w:val="none"/>
        </w:rPr>
      </w:pPr>
      <w:r>
        <w:rPr>
          <w:color w:val="auto"/>
          <w:spacing w:val="3"/>
          <w:sz w:val="28"/>
          <w:szCs w:val="28"/>
          <w:highlight w:val="none"/>
        </w:rPr>
        <w:t>法定代表人或其授权委托人</w:t>
      </w:r>
      <w:r>
        <w:rPr>
          <w:color w:val="auto"/>
          <w:spacing w:val="-39"/>
          <w:sz w:val="28"/>
          <w:szCs w:val="28"/>
          <w:highlight w:val="none"/>
        </w:rPr>
        <w:t>：</w:t>
      </w:r>
      <w:r>
        <w:rPr>
          <w:color w:val="auto"/>
          <w:sz w:val="28"/>
          <w:szCs w:val="28"/>
          <w:highlight w:val="none"/>
          <w:u w:val="single" w:color="auto"/>
        </w:rPr>
        <w:t xml:space="preserve">               </w:t>
      </w:r>
      <w:r>
        <w:rPr>
          <w:color w:val="auto"/>
          <w:spacing w:val="-39"/>
          <w:sz w:val="28"/>
          <w:szCs w:val="28"/>
          <w:highlight w:val="none"/>
        </w:rPr>
        <w:t>（</w:t>
      </w:r>
      <w:r>
        <w:rPr>
          <w:color w:val="auto"/>
          <w:spacing w:val="3"/>
          <w:sz w:val="28"/>
          <w:szCs w:val="28"/>
          <w:highlight w:val="none"/>
        </w:rPr>
        <w:t>签字或盖章）</w:t>
      </w:r>
      <w:r>
        <w:rPr>
          <w:color w:val="auto"/>
          <w:spacing w:val="-4"/>
          <w:sz w:val="28"/>
          <w:szCs w:val="28"/>
          <w:highlight w:val="none"/>
        </w:rPr>
        <w:t>联系人：</w:t>
      </w:r>
      <w:r>
        <w:rPr>
          <w:color w:val="auto"/>
          <w:sz w:val="28"/>
          <w:szCs w:val="28"/>
          <w:highlight w:val="none"/>
          <w:u w:val="single" w:color="auto"/>
        </w:rPr>
        <w:t xml:space="preserve">                       </w:t>
      </w:r>
    </w:p>
    <w:p w14:paraId="2E6C42F6">
      <w:pPr>
        <w:pStyle w:val="11"/>
        <w:keepNext w:val="0"/>
        <w:keepLines w:val="0"/>
        <w:pageBreakBefore w:val="0"/>
        <w:widowControl/>
        <w:shd w:val="clear"/>
        <w:kinsoku w:val="0"/>
        <w:wordWrap w:val="0"/>
        <w:overflowPunct/>
        <w:topLinePunct w:val="0"/>
        <w:autoSpaceDE w:val="0"/>
        <w:autoSpaceDN w:val="0"/>
        <w:bidi w:val="0"/>
        <w:adjustRightInd w:val="0"/>
        <w:snapToGrid w:val="0"/>
        <w:spacing w:before="1" w:line="480" w:lineRule="auto"/>
        <w:ind w:left="22"/>
        <w:textAlignment w:val="baseline"/>
        <w:outlineLvl w:val="9"/>
        <w:rPr>
          <w:color w:val="auto"/>
          <w:sz w:val="28"/>
          <w:szCs w:val="28"/>
          <w:highlight w:val="none"/>
        </w:rPr>
      </w:pPr>
      <w:r>
        <w:rPr>
          <w:color w:val="auto"/>
          <w:spacing w:val="-3"/>
          <w:sz w:val="28"/>
          <w:szCs w:val="28"/>
          <w:highlight w:val="none"/>
        </w:rPr>
        <w:t>联系电话：</w:t>
      </w:r>
      <w:r>
        <w:rPr>
          <w:color w:val="auto"/>
          <w:sz w:val="28"/>
          <w:szCs w:val="28"/>
          <w:highlight w:val="none"/>
          <w:u w:val="single" w:color="auto"/>
        </w:rPr>
        <w:t xml:space="preserve">                     </w:t>
      </w:r>
    </w:p>
    <w:p w14:paraId="37F21A92">
      <w:pPr>
        <w:pStyle w:val="11"/>
        <w:keepNext w:val="0"/>
        <w:keepLines w:val="0"/>
        <w:pageBreakBefore w:val="0"/>
        <w:widowControl/>
        <w:shd w:val="clear"/>
        <w:kinsoku w:val="0"/>
        <w:wordWrap w:val="0"/>
        <w:overflowPunct/>
        <w:topLinePunct w:val="0"/>
        <w:autoSpaceDE w:val="0"/>
        <w:autoSpaceDN w:val="0"/>
        <w:bidi w:val="0"/>
        <w:adjustRightInd w:val="0"/>
        <w:snapToGrid w:val="0"/>
        <w:spacing w:before="92" w:line="480" w:lineRule="auto"/>
        <w:ind w:left="0" w:leftChars="0" w:right="0" w:rightChars="0" w:firstLine="0" w:firstLineChars="0"/>
        <w:jc w:val="center"/>
        <w:textAlignment w:val="baseline"/>
        <w:outlineLvl w:val="9"/>
        <w:rPr>
          <w:color w:val="auto"/>
          <w:sz w:val="28"/>
          <w:szCs w:val="28"/>
          <w:highlight w:val="none"/>
        </w:rPr>
      </w:pPr>
      <w:r>
        <w:rPr>
          <w:color w:val="auto"/>
          <w:spacing w:val="-13"/>
          <w:sz w:val="28"/>
          <w:szCs w:val="28"/>
          <w:highlight w:val="none"/>
        </w:rPr>
        <w:t>年</w:t>
      </w:r>
      <w:r>
        <w:rPr>
          <w:color w:val="auto"/>
          <w:spacing w:val="2"/>
          <w:sz w:val="28"/>
          <w:szCs w:val="28"/>
          <w:highlight w:val="none"/>
        </w:rPr>
        <w:t xml:space="preserve">  </w:t>
      </w:r>
      <w:r>
        <w:rPr>
          <w:color w:val="auto"/>
          <w:spacing w:val="-13"/>
          <w:sz w:val="28"/>
          <w:szCs w:val="28"/>
          <w:highlight w:val="none"/>
        </w:rPr>
        <w:t>月</w:t>
      </w:r>
      <w:r>
        <w:rPr>
          <w:color w:val="auto"/>
          <w:spacing w:val="8"/>
          <w:sz w:val="28"/>
          <w:szCs w:val="28"/>
          <w:highlight w:val="none"/>
        </w:rPr>
        <w:t xml:space="preserve">  </w:t>
      </w:r>
      <w:r>
        <w:rPr>
          <w:color w:val="auto"/>
          <w:spacing w:val="-13"/>
          <w:sz w:val="28"/>
          <w:szCs w:val="28"/>
          <w:highlight w:val="none"/>
        </w:rPr>
        <w:t>日</w:t>
      </w:r>
    </w:p>
    <w:p w14:paraId="664BA53D">
      <w:pPr>
        <w:pageBreakBefore w:val="0"/>
        <w:shd w:val="clear"/>
        <w:wordWrap/>
        <w:overflowPunct/>
        <w:topLinePunct w:val="0"/>
        <w:bidi w:val="0"/>
        <w:spacing w:line="25" w:lineRule="atLeast"/>
        <w:rPr>
          <w:color w:val="auto"/>
          <w:sz w:val="28"/>
          <w:szCs w:val="28"/>
          <w:highlight w:val="none"/>
        </w:rPr>
      </w:pPr>
    </w:p>
    <w:p w14:paraId="68FB333E">
      <w:pPr>
        <w:pageBreakBefore w:val="0"/>
        <w:shd w:val="clear"/>
        <w:wordWrap/>
        <w:overflowPunct/>
        <w:topLinePunct w:val="0"/>
        <w:bidi w:val="0"/>
        <w:spacing w:line="25" w:lineRule="atLeast"/>
        <w:rPr>
          <w:color w:val="auto"/>
          <w:sz w:val="28"/>
          <w:szCs w:val="28"/>
          <w:highlight w:val="none"/>
        </w:rPr>
        <w:sectPr>
          <w:headerReference r:id="rId13" w:type="default"/>
          <w:footerReference r:id="rId14" w:type="default"/>
          <w:pgSz w:w="11906" w:h="16839"/>
          <w:pgMar w:top="1440" w:right="1800" w:bottom="1440" w:left="1800" w:header="1090" w:footer="1253" w:gutter="0"/>
          <w:pgNumType w:fmt="decimal"/>
          <w:cols w:space="720" w:num="1"/>
        </w:sectPr>
      </w:pPr>
    </w:p>
    <w:p w14:paraId="5EF14AD3">
      <w:pPr>
        <w:pageBreakBefore w:val="0"/>
        <w:shd w:val="clear"/>
        <w:wordWrap/>
        <w:overflowPunct/>
        <w:topLinePunct w:val="0"/>
        <w:bidi w:val="0"/>
        <w:spacing w:before="114" w:line="25" w:lineRule="atLeast"/>
        <w:ind w:left="3139"/>
        <w:rPr>
          <w:rFonts w:ascii="宋体" w:hAnsi="宋体" w:eastAsia="宋体" w:cs="宋体"/>
          <w:color w:val="auto"/>
          <w:sz w:val="35"/>
          <w:szCs w:val="35"/>
          <w:highlight w:val="none"/>
        </w:rPr>
      </w:pPr>
      <w:r>
        <w:rPr>
          <w:rFonts w:ascii="宋体" w:hAnsi="宋体" w:eastAsia="宋体" w:cs="宋体"/>
          <w:b/>
          <w:bCs/>
          <w:color w:val="auto"/>
          <w:spacing w:val="6"/>
          <w:sz w:val="35"/>
          <w:szCs w:val="35"/>
          <w:highlight w:val="none"/>
        </w:rPr>
        <w:t>投标文件目录及索引</w:t>
      </w:r>
    </w:p>
    <w:tbl>
      <w:tblPr>
        <w:tblStyle w:val="24"/>
        <w:tblW w:w="87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fixed"/>
        <w:tblCellMar>
          <w:top w:w="0" w:type="dxa"/>
          <w:left w:w="0" w:type="dxa"/>
          <w:bottom w:w="0" w:type="dxa"/>
          <w:right w:w="0" w:type="dxa"/>
        </w:tblCellMar>
      </w:tblPr>
      <w:tblGrid>
        <w:gridCol w:w="698"/>
        <w:gridCol w:w="698"/>
        <w:gridCol w:w="4825"/>
        <w:gridCol w:w="600"/>
        <w:gridCol w:w="800"/>
        <w:gridCol w:w="1089"/>
      </w:tblGrid>
      <w:tr w14:paraId="7AFE6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66" w:hRule="atLeast"/>
        </w:trPr>
        <w:tc>
          <w:tcPr>
            <w:tcW w:w="698" w:type="dxa"/>
            <w:tcBorders>
              <w:top w:val="single" w:color="auto" w:sz="4" w:space="0"/>
              <w:left w:val="single" w:color="auto" w:sz="4" w:space="0"/>
            </w:tcBorders>
            <w:shd w:val="clear" w:color="auto" w:fill="auto"/>
            <w:vAlign w:val="center"/>
          </w:tcPr>
          <w:p w14:paraId="7791824B">
            <w:pPr>
              <w:pStyle w:val="25"/>
              <w:pageBreakBefore w:val="0"/>
              <w:shd w:val="clear"/>
              <w:wordWrap/>
              <w:overflowPunct/>
              <w:topLinePunct w:val="0"/>
              <w:bidi w:val="0"/>
              <w:spacing w:before="67"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5"/>
                <w:sz w:val="20"/>
                <w:szCs w:val="20"/>
                <w:highlight w:val="none"/>
              </w:rPr>
              <w:t>序号</w:t>
            </w:r>
          </w:p>
        </w:tc>
        <w:tc>
          <w:tcPr>
            <w:tcW w:w="698" w:type="dxa"/>
            <w:tcBorders>
              <w:top w:val="single" w:color="auto" w:sz="4" w:space="0"/>
            </w:tcBorders>
            <w:shd w:val="clear" w:color="auto" w:fill="auto"/>
            <w:vAlign w:val="center"/>
          </w:tcPr>
          <w:p w14:paraId="1E2AEEF2">
            <w:pPr>
              <w:pStyle w:val="25"/>
              <w:pageBreakBefore w:val="0"/>
              <w:shd w:val="clear"/>
              <w:wordWrap/>
              <w:overflowPunct/>
              <w:topLinePunct w:val="0"/>
              <w:bidi w:val="0"/>
              <w:spacing w:before="67"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3"/>
                <w:sz w:val="20"/>
                <w:szCs w:val="20"/>
                <w:highlight w:val="none"/>
              </w:rPr>
              <w:t>分类</w:t>
            </w:r>
          </w:p>
        </w:tc>
        <w:tc>
          <w:tcPr>
            <w:tcW w:w="4825" w:type="dxa"/>
            <w:tcBorders>
              <w:top w:val="single" w:color="auto" w:sz="4" w:space="0"/>
            </w:tcBorders>
            <w:shd w:val="clear" w:color="auto" w:fill="auto"/>
            <w:vAlign w:val="center"/>
          </w:tcPr>
          <w:p w14:paraId="4A86BA3F">
            <w:pPr>
              <w:pStyle w:val="25"/>
              <w:pageBreakBefore w:val="0"/>
              <w:shd w:val="clear"/>
              <w:wordWrap/>
              <w:overflowPunct/>
              <w:topLinePunct w:val="0"/>
              <w:bidi w:val="0"/>
              <w:spacing w:before="67"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5"/>
                <w:sz w:val="20"/>
                <w:szCs w:val="20"/>
                <w:highlight w:val="none"/>
              </w:rPr>
              <w:t>文件名称</w:t>
            </w:r>
          </w:p>
        </w:tc>
        <w:tc>
          <w:tcPr>
            <w:tcW w:w="600" w:type="dxa"/>
            <w:tcBorders>
              <w:top w:val="single" w:color="auto" w:sz="4" w:space="0"/>
            </w:tcBorders>
            <w:shd w:val="clear" w:color="auto" w:fill="auto"/>
            <w:vAlign w:val="center"/>
          </w:tcPr>
          <w:p w14:paraId="6D2F863F">
            <w:pPr>
              <w:pStyle w:val="25"/>
              <w:pageBreakBefore w:val="0"/>
              <w:shd w:val="clear"/>
              <w:wordWrap/>
              <w:overflowPunct/>
              <w:topLinePunct w:val="0"/>
              <w:bidi w:val="0"/>
              <w:spacing w:before="67"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5"/>
                <w:sz w:val="20"/>
                <w:szCs w:val="20"/>
                <w:highlight w:val="none"/>
              </w:rPr>
              <w:t>页码</w:t>
            </w:r>
          </w:p>
        </w:tc>
        <w:tc>
          <w:tcPr>
            <w:tcW w:w="800" w:type="dxa"/>
            <w:tcBorders>
              <w:top w:val="single" w:color="auto" w:sz="4" w:space="0"/>
            </w:tcBorders>
            <w:shd w:val="clear" w:color="auto" w:fill="auto"/>
            <w:vAlign w:val="center"/>
          </w:tcPr>
          <w:p w14:paraId="1AE24337">
            <w:pPr>
              <w:pStyle w:val="25"/>
              <w:pageBreakBefore w:val="0"/>
              <w:shd w:val="clear"/>
              <w:wordWrap/>
              <w:overflowPunct/>
              <w:topLinePunct w:val="0"/>
              <w:bidi w:val="0"/>
              <w:spacing w:before="67" w:line="25" w:lineRule="atLeast"/>
              <w:ind w:right="141"/>
              <w:jc w:val="center"/>
              <w:rPr>
                <w:rFonts w:hint="eastAsia" w:ascii="仿宋" w:hAnsi="仿宋" w:eastAsia="仿宋" w:cs="仿宋"/>
                <w:color w:val="auto"/>
                <w:sz w:val="20"/>
                <w:szCs w:val="20"/>
                <w:highlight w:val="none"/>
              </w:rPr>
            </w:pPr>
            <w:r>
              <w:rPr>
                <w:rFonts w:hint="eastAsia" w:ascii="仿宋" w:hAnsi="仿宋" w:eastAsia="仿宋" w:cs="仿宋"/>
                <w:color w:val="auto"/>
                <w:spacing w:val="7"/>
                <w:sz w:val="20"/>
                <w:szCs w:val="20"/>
                <w:highlight w:val="none"/>
              </w:rPr>
              <w:t>该文件总</w:t>
            </w:r>
            <w:r>
              <w:rPr>
                <w:rFonts w:hint="eastAsia" w:ascii="仿宋" w:hAnsi="仿宋" w:eastAsia="仿宋" w:cs="仿宋"/>
                <w:color w:val="auto"/>
                <w:spacing w:val="-5"/>
                <w:sz w:val="20"/>
                <w:szCs w:val="20"/>
                <w:highlight w:val="none"/>
              </w:rPr>
              <w:t>页数</w:t>
            </w:r>
          </w:p>
        </w:tc>
        <w:tc>
          <w:tcPr>
            <w:tcW w:w="1089" w:type="dxa"/>
            <w:tcBorders>
              <w:top w:val="single" w:color="auto" w:sz="4" w:space="0"/>
              <w:right w:val="single" w:color="auto" w:sz="4" w:space="0"/>
            </w:tcBorders>
            <w:shd w:val="clear" w:color="auto" w:fill="auto"/>
            <w:vAlign w:val="center"/>
          </w:tcPr>
          <w:p w14:paraId="34978667">
            <w:pPr>
              <w:pStyle w:val="25"/>
              <w:pageBreakBefore w:val="0"/>
              <w:shd w:val="clear"/>
              <w:wordWrap/>
              <w:overflowPunct/>
              <w:topLinePunct w:val="0"/>
              <w:bidi w:val="0"/>
              <w:spacing w:before="66"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3"/>
                <w:sz w:val="20"/>
                <w:szCs w:val="20"/>
                <w:highlight w:val="none"/>
              </w:rPr>
              <w:t>备注</w:t>
            </w:r>
          </w:p>
        </w:tc>
      </w:tr>
      <w:tr w14:paraId="5EB0D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3234" w:hRule="atLeast"/>
        </w:trPr>
        <w:tc>
          <w:tcPr>
            <w:tcW w:w="698" w:type="dxa"/>
            <w:tcBorders>
              <w:left w:val="single" w:color="auto" w:sz="4" w:space="0"/>
            </w:tcBorders>
            <w:shd w:val="clear" w:color="auto" w:fill="auto"/>
            <w:vAlign w:val="center"/>
          </w:tcPr>
          <w:p w14:paraId="31372A3D">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position w:val="1"/>
                <w:sz w:val="20"/>
                <w:szCs w:val="20"/>
                <w:highlight w:val="none"/>
              </w:rPr>
              <w:t>1</w:t>
            </w:r>
          </w:p>
        </w:tc>
        <w:tc>
          <w:tcPr>
            <w:tcW w:w="698" w:type="dxa"/>
            <w:vMerge w:val="restart"/>
            <w:tcBorders>
              <w:bottom w:val="nil"/>
            </w:tcBorders>
            <w:shd w:val="clear" w:color="auto" w:fill="auto"/>
            <w:vAlign w:val="center"/>
          </w:tcPr>
          <w:p w14:paraId="1FBEC132">
            <w:pPr>
              <w:pStyle w:val="25"/>
              <w:pageBreakBefore w:val="0"/>
              <w:shd w:val="clear"/>
              <w:wordWrap/>
              <w:overflowPunct/>
              <w:topLinePunct w:val="0"/>
              <w:bidi w:val="0"/>
              <w:spacing w:before="65" w:line="25" w:lineRule="atLeast"/>
              <w:ind w:right="107"/>
              <w:jc w:val="center"/>
              <w:rPr>
                <w:rFonts w:hint="eastAsia" w:ascii="仿宋" w:hAnsi="仿宋" w:eastAsia="仿宋" w:cs="仿宋"/>
                <w:color w:val="auto"/>
                <w:sz w:val="20"/>
                <w:szCs w:val="20"/>
                <w:highlight w:val="none"/>
              </w:rPr>
            </w:pPr>
            <w:r>
              <w:rPr>
                <w:rFonts w:hint="eastAsia" w:ascii="仿宋" w:hAnsi="仿宋" w:eastAsia="仿宋" w:cs="仿宋"/>
                <w:color w:val="auto"/>
                <w:spacing w:val="2"/>
                <w:sz w:val="20"/>
                <w:szCs w:val="20"/>
                <w:highlight w:val="none"/>
              </w:rPr>
              <w:t>一</w:t>
            </w:r>
            <w:r>
              <w:rPr>
                <w:rFonts w:hint="eastAsia" w:ascii="仿宋" w:hAnsi="仿宋" w:eastAsia="仿宋" w:cs="仿宋"/>
                <w:color w:val="auto"/>
                <w:spacing w:val="2"/>
                <w:sz w:val="20"/>
                <w:szCs w:val="20"/>
                <w:highlight w:val="none"/>
                <w:lang w:eastAsia="zh-CN"/>
              </w:rPr>
              <w:t>、</w:t>
            </w:r>
            <w:r>
              <w:rPr>
                <w:rFonts w:hint="eastAsia" w:ascii="仿宋" w:hAnsi="仿宋" w:eastAsia="仿宋" w:cs="仿宋"/>
                <w:color w:val="auto"/>
                <w:spacing w:val="2"/>
                <w:sz w:val="20"/>
                <w:szCs w:val="20"/>
                <w:highlight w:val="none"/>
              </w:rPr>
              <w:t>资格</w:t>
            </w:r>
            <w:r>
              <w:rPr>
                <w:rFonts w:hint="eastAsia" w:ascii="仿宋" w:hAnsi="仿宋" w:eastAsia="仿宋" w:cs="仿宋"/>
                <w:color w:val="auto"/>
                <w:spacing w:val="15"/>
                <w:sz w:val="20"/>
                <w:szCs w:val="20"/>
                <w:highlight w:val="none"/>
              </w:rPr>
              <w:t>性审查部</w:t>
            </w:r>
            <w:r>
              <w:rPr>
                <w:rFonts w:hint="eastAsia" w:ascii="仿宋" w:hAnsi="仿宋" w:eastAsia="仿宋" w:cs="仿宋"/>
                <w:color w:val="auto"/>
                <w:sz w:val="20"/>
                <w:szCs w:val="20"/>
                <w:highlight w:val="none"/>
              </w:rPr>
              <w:t>分</w:t>
            </w:r>
          </w:p>
        </w:tc>
        <w:tc>
          <w:tcPr>
            <w:tcW w:w="4825" w:type="dxa"/>
            <w:shd w:val="clear" w:color="auto" w:fill="auto"/>
            <w:vAlign w:val="center"/>
          </w:tcPr>
          <w:p w14:paraId="76A4594C">
            <w:pPr>
              <w:pStyle w:val="25"/>
              <w:keepNext w:val="0"/>
              <w:keepLines w:val="0"/>
              <w:pageBreakBefore w:val="0"/>
              <w:widowControl/>
              <w:shd w:val="clear"/>
              <w:kinsoku/>
              <w:wordWrap w:val="0"/>
              <w:overflowPunct/>
              <w:topLinePunct w:val="0"/>
              <w:autoSpaceDE w:val="0"/>
              <w:autoSpaceDN w:val="0"/>
              <w:bidi w:val="0"/>
              <w:adjustRightInd w:val="0"/>
              <w:snapToGrid w:val="0"/>
              <w:spacing w:line="25" w:lineRule="atLeast"/>
              <w:ind w:left="0" w:right="0" w:firstLine="0"/>
              <w:jc w:val="both"/>
              <w:textAlignment w:val="baseline"/>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具有独立承担民事责任的能力的法人参与招标需提供营业执照及有效期内的法定代表人身份证明（有授权委托人的需提交授权委托书，且授权委托人身份证明应为有效期内证件）文件复印件加盖公章;自然人参与招标需提供自然人有效期内的身份证明。</w:t>
            </w:r>
          </w:p>
          <w:p w14:paraId="43B74A19">
            <w:pPr>
              <w:pStyle w:val="25"/>
              <w:keepNext w:val="0"/>
              <w:keepLines w:val="0"/>
              <w:pageBreakBefore w:val="0"/>
              <w:widowControl/>
              <w:shd w:val="clear"/>
              <w:kinsoku/>
              <w:wordWrap w:val="0"/>
              <w:overflowPunct/>
              <w:topLinePunct w:val="0"/>
              <w:autoSpaceDE w:val="0"/>
              <w:autoSpaceDN w:val="0"/>
              <w:bidi w:val="0"/>
              <w:adjustRightInd w:val="0"/>
              <w:snapToGrid w:val="0"/>
              <w:spacing w:line="25" w:lineRule="atLeast"/>
              <w:ind w:left="0" w:right="0" w:firstLine="0"/>
              <w:jc w:val="both"/>
              <w:textAlignment w:val="baseline"/>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2.投标人需提供《投标人资格声明函》。单位法人为同一人或者存在直接控股、管理关系的不同投标人，不得参加同一合同项下的政府采购活动。除单一来源采购项目外，为采购项目提供整体设计、规范编制或者项目管理、监理、检测等服务的投标人，不得再参加该采购项目的其他采购活动；处于被责令停业、财产被接管、冻结和破产状态，以及投标资格被取消或者被暂停且在暂停期内的投标人将被拒绝参加本次采购活动。</w:t>
            </w:r>
          </w:p>
        </w:tc>
        <w:tc>
          <w:tcPr>
            <w:tcW w:w="600" w:type="dxa"/>
            <w:shd w:val="clear" w:color="auto" w:fill="auto"/>
            <w:vAlign w:val="center"/>
          </w:tcPr>
          <w:p w14:paraId="6AAF3C0D">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position w:val="-8"/>
                <w:sz w:val="20"/>
                <w:szCs w:val="20"/>
                <w:highlight w:val="none"/>
              </w:rPr>
              <w:t>……</w:t>
            </w:r>
          </w:p>
        </w:tc>
        <w:tc>
          <w:tcPr>
            <w:tcW w:w="800" w:type="dxa"/>
            <w:shd w:val="clear" w:color="auto" w:fill="auto"/>
            <w:vAlign w:val="center"/>
          </w:tcPr>
          <w:p w14:paraId="508BCF42">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position w:val="-8"/>
                <w:sz w:val="20"/>
                <w:szCs w:val="20"/>
                <w:highlight w:val="none"/>
              </w:rPr>
              <w:t>……</w:t>
            </w:r>
          </w:p>
        </w:tc>
        <w:tc>
          <w:tcPr>
            <w:tcW w:w="1089" w:type="dxa"/>
            <w:tcBorders>
              <w:right w:val="single" w:color="auto" w:sz="4" w:space="0"/>
            </w:tcBorders>
            <w:shd w:val="clear" w:color="auto" w:fill="auto"/>
            <w:vAlign w:val="center"/>
          </w:tcPr>
          <w:p w14:paraId="3426081B">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sz w:val="20"/>
                <w:szCs w:val="20"/>
                <w:highlight w:val="none"/>
              </w:rPr>
              <w:t>必须提供</w:t>
            </w:r>
          </w:p>
        </w:tc>
      </w:tr>
      <w:tr w14:paraId="3F2A6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1795" w:hRule="atLeast"/>
        </w:trPr>
        <w:tc>
          <w:tcPr>
            <w:tcW w:w="698" w:type="dxa"/>
            <w:tcBorders>
              <w:left w:val="single" w:color="auto" w:sz="4" w:space="0"/>
            </w:tcBorders>
            <w:shd w:val="clear" w:color="auto" w:fill="auto"/>
            <w:vAlign w:val="center"/>
          </w:tcPr>
          <w:p w14:paraId="4513B0DA">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position w:val="1"/>
                <w:sz w:val="20"/>
                <w:szCs w:val="20"/>
                <w:highlight w:val="none"/>
              </w:rPr>
              <w:t>2</w:t>
            </w:r>
          </w:p>
        </w:tc>
        <w:tc>
          <w:tcPr>
            <w:tcW w:w="698" w:type="dxa"/>
            <w:vMerge w:val="continue"/>
            <w:tcBorders>
              <w:top w:val="nil"/>
              <w:bottom w:val="nil"/>
            </w:tcBorders>
            <w:shd w:val="clear" w:color="auto" w:fill="auto"/>
            <w:vAlign w:val="center"/>
          </w:tcPr>
          <w:p w14:paraId="3B55A680">
            <w:pPr>
              <w:pageBreakBefore w:val="0"/>
              <w:shd w:val="clear"/>
              <w:wordWrap/>
              <w:overflowPunct/>
              <w:topLinePunct w:val="0"/>
              <w:bidi w:val="0"/>
              <w:spacing w:line="25" w:lineRule="atLeast"/>
              <w:jc w:val="center"/>
              <w:rPr>
                <w:rFonts w:hint="eastAsia" w:ascii="仿宋" w:hAnsi="仿宋" w:eastAsia="仿宋" w:cs="仿宋"/>
                <w:color w:val="auto"/>
                <w:sz w:val="20"/>
                <w:szCs w:val="20"/>
                <w:highlight w:val="none"/>
              </w:rPr>
            </w:pPr>
          </w:p>
        </w:tc>
        <w:tc>
          <w:tcPr>
            <w:tcW w:w="4825" w:type="dxa"/>
            <w:shd w:val="clear" w:color="auto" w:fill="auto"/>
            <w:vAlign w:val="center"/>
          </w:tcPr>
          <w:p w14:paraId="39A29D50">
            <w:pPr>
              <w:pStyle w:val="25"/>
              <w:keepNext w:val="0"/>
              <w:keepLines w:val="0"/>
              <w:pageBreakBefore w:val="0"/>
              <w:widowControl/>
              <w:shd w:val="clear"/>
              <w:kinsoku/>
              <w:wordWrap w:val="0"/>
              <w:overflowPunct/>
              <w:topLinePunct w:val="0"/>
              <w:autoSpaceDE w:val="0"/>
              <w:autoSpaceDN w:val="0"/>
              <w:bidi w:val="0"/>
              <w:adjustRightInd w:val="0"/>
              <w:snapToGrid w:val="0"/>
              <w:spacing w:line="25" w:lineRule="atLeast"/>
              <w:ind w:left="0" w:right="0" w:firstLine="0"/>
              <w:jc w:val="both"/>
              <w:textAlignment w:val="baseline"/>
              <w:rPr>
                <w:rFonts w:hint="eastAsia" w:ascii="仿宋" w:hAnsi="仿宋" w:eastAsia="仿宋" w:cs="仿宋"/>
                <w:color w:val="auto"/>
                <w:spacing w:val="8"/>
                <w:sz w:val="20"/>
                <w:szCs w:val="20"/>
                <w:highlight w:val="none"/>
              </w:rPr>
            </w:pPr>
            <w:r>
              <w:rPr>
                <w:rFonts w:hint="eastAsia" w:ascii="仿宋" w:hAnsi="仿宋" w:eastAsia="仿宋" w:cs="仿宋"/>
                <w:color w:val="auto"/>
                <w:spacing w:val="8"/>
                <w:sz w:val="20"/>
                <w:szCs w:val="20"/>
                <w:highlight w:val="none"/>
              </w:rPr>
              <w:t>投标人需提供近1年内或上一年度财务报告（财务报表或审计报告或银行出具的资信证明）等材料复印件（需加盖公章）；新成立不满1年的企业及其他组织提供具有良好的商业信誉的书面声明。注：财务报表应至少包括资产负债表、损益表、现金流量表。</w:t>
            </w:r>
          </w:p>
        </w:tc>
        <w:tc>
          <w:tcPr>
            <w:tcW w:w="600" w:type="dxa"/>
            <w:shd w:val="clear" w:color="auto" w:fill="auto"/>
            <w:vAlign w:val="center"/>
          </w:tcPr>
          <w:p w14:paraId="34196806">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position w:val="-8"/>
                <w:sz w:val="20"/>
                <w:szCs w:val="20"/>
                <w:highlight w:val="none"/>
              </w:rPr>
              <w:t>……</w:t>
            </w:r>
          </w:p>
        </w:tc>
        <w:tc>
          <w:tcPr>
            <w:tcW w:w="800" w:type="dxa"/>
            <w:shd w:val="clear" w:color="auto" w:fill="auto"/>
            <w:vAlign w:val="center"/>
          </w:tcPr>
          <w:p w14:paraId="77644945">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position w:val="-8"/>
                <w:sz w:val="20"/>
                <w:szCs w:val="20"/>
                <w:highlight w:val="none"/>
              </w:rPr>
              <w:t>……</w:t>
            </w:r>
          </w:p>
        </w:tc>
        <w:tc>
          <w:tcPr>
            <w:tcW w:w="1089" w:type="dxa"/>
            <w:tcBorders>
              <w:right w:val="single" w:color="auto" w:sz="4" w:space="0"/>
            </w:tcBorders>
            <w:shd w:val="clear" w:color="auto" w:fill="auto"/>
            <w:vAlign w:val="center"/>
          </w:tcPr>
          <w:p w14:paraId="6F116F34">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sz w:val="20"/>
                <w:szCs w:val="20"/>
                <w:highlight w:val="none"/>
              </w:rPr>
              <w:t>必须提供</w:t>
            </w:r>
          </w:p>
        </w:tc>
      </w:tr>
      <w:tr w14:paraId="1F919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698" w:type="dxa"/>
            <w:tcBorders>
              <w:left w:val="single" w:color="auto" w:sz="4" w:space="0"/>
            </w:tcBorders>
            <w:shd w:val="clear" w:color="auto" w:fill="auto"/>
            <w:vAlign w:val="center"/>
          </w:tcPr>
          <w:p w14:paraId="5A86DA01">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3</w:t>
            </w:r>
          </w:p>
        </w:tc>
        <w:tc>
          <w:tcPr>
            <w:tcW w:w="698" w:type="dxa"/>
            <w:vMerge w:val="continue"/>
            <w:tcBorders>
              <w:top w:val="nil"/>
              <w:bottom w:val="nil"/>
            </w:tcBorders>
            <w:shd w:val="clear" w:color="auto" w:fill="auto"/>
            <w:vAlign w:val="center"/>
          </w:tcPr>
          <w:p w14:paraId="39D8362D">
            <w:pPr>
              <w:pageBreakBefore w:val="0"/>
              <w:shd w:val="clear"/>
              <w:wordWrap/>
              <w:overflowPunct/>
              <w:topLinePunct w:val="0"/>
              <w:bidi w:val="0"/>
              <w:spacing w:line="25" w:lineRule="atLeast"/>
              <w:jc w:val="center"/>
              <w:rPr>
                <w:rFonts w:hint="eastAsia" w:ascii="仿宋" w:hAnsi="仿宋" w:eastAsia="仿宋" w:cs="仿宋"/>
                <w:color w:val="auto"/>
                <w:sz w:val="20"/>
                <w:szCs w:val="20"/>
                <w:highlight w:val="none"/>
              </w:rPr>
            </w:pPr>
          </w:p>
        </w:tc>
        <w:tc>
          <w:tcPr>
            <w:tcW w:w="4825" w:type="dxa"/>
            <w:shd w:val="clear" w:color="auto" w:fill="auto"/>
            <w:vAlign w:val="center"/>
          </w:tcPr>
          <w:p w14:paraId="7A5F50CC">
            <w:pPr>
              <w:pStyle w:val="25"/>
              <w:keepNext w:val="0"/>
              <w:keepLines w:val="0"/>
              <w:pageBreakBefore w:val="0"/>
              <w:widowControl/>
              <w:shd w:val="clear"/>
              <w:kinsoku/>
              <w:wordWrap w:val="0"/>
              <w:overflowPunct/>
              <w:topLinePunct w:val="0"/>
              <w:autoSpaceDE w:val="0"/>
              <w:autoSpaceDN w:val="0"/>
              <w:bidi w:val="0"/>
              <w:adjustRightInd w:val="0"/>
              <w:snapToGrid w:val="0"/>
              <w:spacing w:line="25" w:lineRule="atLeast"/>
              <w:ind w:left="0" w:right="0" w:firstLine="0"/>
              <w:jc w:val="both"/>
              <w:textAlignment w:val="baseline"/>
              <w:rPr>
                <w:rFonts w:hint="eastAsia" w:ascii="仿宋" w:hAnsi="仿宋" w:eastAsia="仿宋" w:cs="仿宋"/>
                <w:color w:val="auto"/>
                <w:spacing w:val="8"/>
                <w:sz w:val="20"/>
                <w:szCs w:val="20"/>
                <w:highlight w:val="none"/>
              </w:rPr>
            </w:pPr>
            <w:r>
              <w:rPr>
                <w:rFonts w:hint="eastAsia" w:ascii="仿宋" w:hAnsi="仿宋" w:eastAsia="仿宋" w:cs="仿宋"/>
                <w:color w:val="auto"/>
                <w:spacing w:val="8"/>
                <w:sz w:val="20"/>
                <w:szCs w:val="20"/>
                <w:highlight w:val="none"/>
              </w:rPr>
              <w:t>需提供具有履行合同所必需的设备和专业技术能力的声明函。</w:t>
            </w:r>
          </w:p>
        </w:tc>
        <w:tc>
          <w:tcPr>
            <w:tcW w:w="600" w:type="dxa"/>
            <w:shd w:val="clear" w:color="auto" w:fill="auto"/>
            <w:vAlign w:val="center"/>
          </w:tcPr>
          <w:p w14:paraId="4D20ACBE">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position w:val="-8"/>
                <w:sz w:val="20"/>
                <w:szCs w:val="20"/>
                <w:highlight w:val="none"/>
              </w:rPr>
              <w:t>……</w:t>
            </w:r>
          </w:p>
        </w:tc>
        <w:tc>
          <w:tcPr>
            <w:tcW w:w="800" w:type="dxa"/>
            <w:shd w:val="clear" w:color="auto" w:fill="auto"/>
            <w:vAlign w:val="center"/>
          </w:tcPr>
          <w:p w14:paraId="66322B47">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position w:val="-8"/>
                <w:sz w:val="20"/>
                <w:szCs w:val="20"/>
                <w:highlight w:val="none"/>
              </w:rPr>
              <w:t>……</w:t>
            </w:r>
          </w:p>
        </w:tc>
        <w:tc>
          <w:tcPr>
            <w:tcW w:w="1089" w:type="dxa"/>
            <w:tcBorders>
              <w:right w:val="single" w:color="auto" w:sz="4" w:space="0"/>
            </w:tcBorders>
            <w:shd w:val="clear" w:color="auto" w:fill="auto"/>
            <w:vAlign w:val="center"/>
          </w:tcPr>
          <w:p w14:paraId="203E471D">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sz w:val="20"/>
                <w:szCs w:val="20"/>
                <w:highlight w:val="none"/>
              </w:rPr>
              <w:t>必须提供</w:t>
            </w:r>
          </w:p>
        </w:tc>
      </w:tr>
      <w:tr w14:paraId="45380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2508" w:hRule="atLeast"/>
        </w:trPr>
        <w:tc>
          <w:tcPr>
            <w:tcW w:w="698" w:type="dxa"/>
            <w:tcBorders>
              <w:left w:val="single" w:color="auto" w:sz="4" w:space="0"/>
            </w:tcBorders>
            <w:shd w:val="clear" w:color="auto" w:fill="auto"/>
            <w:vAlign w:val="center"/>
          </w:tcPr>
          <w:p w14:paraId="3D550A9B">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position w:val="1"/>
                <w:sz w:val="20"/>
                <w:szCs w:val="20"/>
                <w:highlight w:val="none"/>
              </w:rPr>
              <w:t>4</w:t>
            </w:r>
          </w:p>
        </w:tc>
        <w:tc>
          <w:tcPr>
            <w:tcW w:w="698" w:type="dxa"/>
            <w:vMerge w:val="continue"/>
            <w:tcBorders>
              <w:top w:val="nil"/>
              <w:bottom w:val="nil"/>
            </w:tcBorders>
            <w:shd w:val="clear" w:color="auto" w:fill="auto"/>
            <w:vAlign w:val="center"/>
          </w:tcPr>
          <w:p w14:paraId="3505729E">
            <w:pPr>
              <w:pageBreakBefore w:val="0"/>
              <w:shd w:val="clear"/>
              <w:wordWrap/>
              <w:overflowPunct/>
              <w:topLinePunct w:val="0"/>
              <w:bidi w:val="0"/>
              <w:spacing w:line="25" w:lineRule="atLeast"/>
              <w:jc w:val="center"/>
              <w:rPr>
                <w:rFonts w:hint="eastAsia" w:ascii="仿宋" w:hAnsi="仿宋" w:eastAsia="仿宋" w:cs="仿宋"/>
                <w:color w:val="auto"/>
                <w:sz w:val="20"/>
                <w:szCs w:val="20"/>
                <w:highlight w:val="none"/>
              </w:rPr>
            </w:pPr>
          </w:p>
        </w:tc>
        <w:tc>
          <w:tcPr>
            <w:tcW w:w="4825" w:type="dxa"/>
            <w:shd w:val="clear" w:color="auto" w:fill="auto"/>
            <w:vAlign w:val="center"/>
          </w:tcPr>
          <w:p w14:paraId="2C532090">
            <w:pPr>
              <w:pStyle w:val="25"/>
              <w:keepNext w:val="0"/>
              <w:keepLines w:val="0"/>
              <w:pageBreakBefore w:val="0"/>
              <w:widowControl/>
              <w:shd w:val="clear"/>
              <w:kinsoku/>
              <w:wordWrap w:val="0"/>
              <w:overflowPunct/>
              <w:topLinePunct w:val="0"/>
              <w:autoSpaceDE w:val="0"/>
              <w:autoSpaceDN w:val="0"/>
              <w:bidi w:val="0"/>
              <w:adjustRightInd w:val="0"/>
              <w:snapToGrid w:val="0"/>
              <w:spacing w:line="25" w:lineRule="atLeast"/>
              <w:ind w:left="0" w:right="0" w:firstLine="0"/>
              <w:jc w:val="both"/>
              <w:textAlignment w:val="baseline"/>
              <w:rPr>
                <w:rFonts w:hint="eastAsia" w:ascii="仿宋" w:hAnsi="仿宋" w:eastAsia="仿宋" w:cs="仿宋"/>
                <w:color w:val="auto"/>
                <w:spacing w:val="8"/>
                <w:sz w:val="20"/>
                <w:szCs w:val="20"/>
                <w:highlight w:val="none"/>
                <w:lang w:eastAsia="zh-CN"/>
              </w:rPr>
            </w:pPr>
            <w:r>
              <w:rPr>
                <w:rFonts w:hint="eastAsia" w:ascii="仿宋" w:hAnsi="仿宋" w:eastAsia="仿宋" w:cs="仿宋"/>
                <w:color w:val="auto"/>
                <w:spacing w:val="8"/>
                <w:sz w:val="20"/>
                <w:szCs w:val="20"/>
                <w:highlight w:val="none"/>
                <w:lang w:eastAsia="zh-CN"/>
              </w:rPr>
              <w:t>1.需提供参加政府采购活动前三年内在经营活动中没有重大违法记录的声明函（截至提交投标文件截止日成立不足3年的供应商可提供自成立以来无重大违法记录的书面声明）。2.未被列入失信被执行人、重大税收违法案件当事人、政府采购严重违法失信行为记录名单（现场查询“信用中国”网</w:t>
            </w:r>
            <w:r>
              <w:rPr>
                <w:rFonts w:hint="eastAsia" w:ascii="仿宋" w:hAnsi="仿宋" w:eastAsia="仿宋" w:cs="仿宋"/>
                <w:color w:val="auto"/>
                <w:spacing w:val="8"/>
                <w:sz w:val="20"/>
                <w:szCs w:val="20"/>
                <w:highlight w:val="none"/>
                <w:lang w:eastAsia="zh-CN"/>
              </w:rPr>
              <w:fldChar w:fldCharType="begin"/>
            </w:r>
            <w:r>
              <w:rPr>
                <w:rFonts w:hint="eastAsia" w:ascii="仿宋" w:hAnsi="仿宋" w:eastAsia="仿宋" w:cs="仿宋"/>
                <w:color w:val="auto"/>
                <w:spacing w:val="8"/>
                <w:sz w:val="20"/>
                <w:szCs w:val="20"/>
                <w:highlight w:val="none"/>
                <w:lang w:eastAsia="zh-CN"/>
              </w:rPr>
              <w:instrText xml:space="preserve"> HYPERLINK "https://www.creditchina.gov.cn" </w:instrText>
            </w:r>
            <w:r>
              <w:rPr>
                <w:rFonts w:hint="eastAsia" w:ascii="仿宋" w:hAnsi="仿宋" w:eastAsia="仿宋" w:cs="仿宋"/>
                <w:color w:val="auto"/>
                <w:spacing w:val="8"/>
                <w:sz w:val="20"/>
                <w:szCs w:val="20"/>
                <w:highlight w:val="none"/>
                <w:lang w:eastAsia="zh-CN"/>
              </w:rPr>
              <w:fldChar w:fldCharType="separate"/>
            </w:r>
            <w:r>
              <w:rPr>
                <w:rFonts w:hint="eastAsia" w:ascii="仿宋" w:hAnsi="仿宋" w:eastAsia="仿宋" w:cs="仿宋"/>
                <w:color w:val="auto"/>
                <w:spacing w:val="8"/>
                <w:sz w:val="20"/>
                <w:szCs w:val="20"/>
                <w:highlight w:val="none"/>
                <w:lang w:eastAsia="zh-CN"/>
              </w:rPr>
              <w:t>www.creditchina.gov.cn</w:t>
            </w:r>
            <w:r>
              <w:rPr>
                <w:rFonts w:hint="eastAsia" w:ascii="仿宋" w:hAnsi="仿宋" w:eastAsia="仿宋" w:cs="仿宋"/>
                <w:color w:val="auto"/>
                <w:spacing w:val="8"/>
                <w:sz w:val="20"/>
                <w:szCs w:val="20"/>
                <w:highlight w:val="none"/>
                <w:lang w:eastAsia="zh-CN"/>
              </w:rPr>
              <w:fldChar w:fldCharType="end"/>
            </w:r>
            <w:r>
              <w:rPr>
                <w:rFonts w:hint="eastAsia" w:ascii="仿宋" w:hAnsi="仿宋" w:eastAsia="仿宋" w:cs="仿宋"/>
                <w:color w:val="auto"/>
                <w:spacing w:val="8"/>
                <w:sz w:val="20"/>
                <w:szCs w:val="20"/>
                <w:highlight w:val="none"/>
                <w:lang w:eastAsia="zh-CN"/>
              </w:rPr>
              <w:t>、中国政府采购网</w:t>
            </w:r>
            <w:r>
              <w:rPr>
                <w:rFonts w:hint="eastAsia" w:ascii="仿宋" w:hAnsi="仿宋" w:eastAsia="仿宋" w:cs="仿宋"/>
                <w:color w:val="auto"/>
                <w:spacing w:val="8"/>
                <w:sz w:val="20"/>
                <w:szCs w:val="20"/>
                <w:highlight w:val="none"/>
                <w:lang w:eastAsia="zh-CN"/>
              </w:rPr>
              <w:fldChar w:fldCharType="begin"/>
            </w:r>
            <w:r>
              <w:rPr>
                <w:rFonts w:hint="eastAsia" w:ascii="仿宋" w:hAnsi="仿宋" w:eastAsia="仿宋" w:cs="仿宋"/>
                <w:color w:val="auto"/>
                <w:spacing w:val="8"/>
                <w:sz w:val="20"/>
                <w:szCs w:val="20"/>
                <w:highlight w:val="none"/>
                <w:lang w:eastAsia="zh-CN"/>
              </w:rPr>
              <w:instrText xml:space="preserve"> HYPERLINK "https://www.ccgp.gov.cn" </w:instrText>
            </w:r>
            <w:r>
              <w:rPr>
                <w:rFonts w:hint="eastAsia" w:ascii="仿宋" w:hAnsi="仿宋" w:eastAsia="仿宋" w:cs="仿宋"/>
                <w:color w:val="auto"/>
                <w:spacing w:val="8"/>
                <w:sz w:val="20"/>
                <w:szCs w:val="20"/>
                <w:highlight w:val="none"/>
                <w:lang w:eastAsia="zh-CN"/>
              </w:rPr>
              <w:fldChar w:fldCharType="separate"/>
            </w:r>
            <w:r>
              <w:rPr>
                <w:rFonts w:hint="eastAsia" w:ascii="仿宋" w:hAnsi="仿宋" w:eastAsia="仿宋" w:cs="仿宋"/>
                <w:color w:val="auto"/>
                <w:spacing w:val="8"/>
                <w:sz w:val="20"/>
                <w:szCs w:val="20"/>
                <w:highlight w:val="none"/>
                <w:lang w:eastAsia="zh-CN"/>
              </w:rPr>
              <w:t>www.ccgp.gov.cn</w:t>
            </w:r>
            <w:r>
              <w:rPr>
                <w:rFonts w:hint="eastAsia" w:ascii="仿宋" w:hAnsi="仿宋" w:eastAsia="仿宋" w:cs="仿宋"/>
                <w:color w:val="auto"/>
                <w:spacing w:val="8"/>
                <w:sz w:val="20"/>
                <w:szCs w:val="20"/>
                <w:highlight w:val="none"/>
                <w:lang w:eastAsia="zh-CN"/>
              </w:rPr>
              <w:fldChar w:fldCharType="end"/>
            </w:r>
            <w:r>
              <w:rPr>
                <w:rFonts w:hint="eastAsia" w:ascii="仿宋" w:hAnsi="仿宋" w:eastAsia="仿宋" w:cs="仿宋"/>
                <w:color w:val="auto"/>
                <w:spacing w:val="8"/>
                <w:sz w:val="20"/>
                <w:szCs w:val="20"/>
                <w:highlight w:val="none"/>
                <w:lang w:eastAsia="zh-CN"/>
              </w:rPr>
              <w:t>）。注：1.其他组织或自然人不查询“信用中国”网站。2.此项内容由相关人员现场查询。</w:t>
            </w:r>
          </w:p>
        </w:tc>
        <w:tc>
          <w:tcPr>
            <w:tcW w:w="600" w:type="dxa"/>
            <w:shd w:val="clear" w:color="auto" w:fill="auto"/>
            <w:vAlign w:val="center"/>
          </w:tcPr>
          <w:p w14:paraId="49532692">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position w:val="-8"/>
                <w:sz w:val="20"/>
                <w:szCs w:val="20"/>
                <w:highlight w:val="none"/>
              </w:rPr>
              <w:t>……</w:t>
            </w:r>
          </w:p>
        </w:tc>
        <w:tc>
          <w:tcPr>
            <w:tcW w:w="800" w:type="dxa"/>
            <w:shd w:val="clear" w:color="auto" w:fill="auto"/>
            <w:vAlign w:val="center"/>
          </w:tcPr>
          <w:p w14:paraId="29523EAA">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position w:val="-8"/>
                <w:sz w:val="20"/>
                <w:szCs w:val="20"/>
                <w:highlight w:val="none"/>
              </w:rPr>
              <w:t>……</w:t>
            </w:r>
          </w:p>
        </w:tc>
        <w:tc>
          <w:tcPr>
            <w:tcW w:w="1089" w:type="dxa"/>
            <w:tcBorders>
              <w:right w:val="single" w:color="auto" w:sz="4" w:space="0"/>
            </w:tcBorders>
            <w:shd w:val="clear" w:color="auto" w:fill="auto"/>
            <w:vAlign w:val="center"/>
          </w:tcPr>
          <w:p w14:paraId="09DC88AD">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sz w:val="20"/>
                <w:szCs w:val="20"/>
                <w:highlight w:val="none"/>
              </w:rPr>
              <w:t>必须提供</w:t>
            </w:r>
          </w:p>
        </w:tc>
      </w:tr>
      <w:tr w14:paraId="51A6A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58" w:hRule="atLeast"/>
        </w:trPr>
        <w:tc>
          <w:tcPr>
            <w:tcW w:w="698" w:type="dxa"/>
            <w:tcBorders>
              <w:left w:val="single" w:color="auto" w:sz="4" w:space="0"/>
              <w:bottom w:val="single" w:color="auto" w:sz="4" w:space="0"/>
            </w:tcBorders>
            <w:shd w:val="clear" w:color="auto" w:fill="auto"/>
            <w:vAlign w:val="center"/>
          </w:tcPr>
          <w:p w14:paraId="411AB982">
            <w:pPr>
              <w:pageBreakBefore w:val="0"/>
              <w:shd w:val="clear"/>
              <w:wordWrap/>
              <w:overflowPunct/>
              <w:topLinePunct w:val="0"/>
              <w:bidi w:val="0"/>
              <w:spacing w:line="25" w:lineRule="atLeast"/>
              <w:jc w:val="center"/>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5</w:t>
            </w:r>
          </w:p>
        </w:tc>
        <w:tc>
          <w:tcPr>
            <w:tcW w:w="698" w:type="dxa"/>
            <w:vMerge w:val="continue"/>
            <w:tcBorders>
              <w:top w:val="nil"/>
              <w:bottom w:val="single" w:color="auto" w:sz="4" w:space="0"/>
            </w:tcBorders>
            <w:shd w:val="clear" w:color="auto" w:fill="auto"/>
            <w:vAlign w:val="center"/>
          </w:tcPr>
          <w:p w14:paraId="258EA693">
            <w:pPr>
              <w:pageBreakBefore w:val="0"/>
              <w:shd w:val="clear"/>
              <w:wordWrap/>
              <w:overflowPunct/>
              <w:topLinePunct w:val="0"/>
              <w:bidi w:val="0"/>
              <w:spacing w:line="25" w:lineRule="atLeast"/>
              <w:jc w:val="center"/>
              <w:rPr>
                <w:rFonts w:hint="eastAsia" w:ascii="仿宋" w:hAnsi="仿宋" w:eastAsia="仿宋" w:cs="仿宋"/>
                <w:color w:val="auto"/>
                <w:sz w:val="20"/>
                <w:szCs w:val="20"/>
                <w:highlight w:val="none"/>
              </w:rPr>
            </w:pPr>
          </w:p>
        </w:tc>
        <w:tc>
          <w:tcPr>
            <w:tcW w:w="4825" w:type="dxa"/>
            <w:tcBorders>
              <w:bottom w:val="single" w:color="auto" w:sz="4" w:space="0"/>
            </w:tcBorders>
            <w:shd w:val="clear" w:color="auto" w:fill="auto"/>
            <w:vAlign w:val="center"/>
          </w:tcPr>
          <w:p w14:paraId="7E5FE6FF">
            <w:pPr>
              <w:pStyle w:val="25"/>
              <w:keepNext w:val="0"/>
              <w:keepLines w:val="0"/>
              <w:pageBreakBefore w:val="0"/>
              <w:widowControl/>
              <w:shd w:val="clear"/>
              <w:kinsoku/>
              <w:wordWrap w:val="0"/>
              <w:overflowPunct/>
              <w:topLinePunct w:val="0"/>
              <w:autoSpaceDE w:val="0"/>
              <w:autoSpaceDN w:val="0"/>
              <w:bidi w:val="0"/>
              <w:adjustRightInd w:val="0"/>
              <w:snapToGrid w:val="0"/>
              <w:spacing w:line="25" w:lineRule="atLeast"/>
              <w:ind w:left="0" w:right="0" w:firstLine="0"/>
              <w:jc w:val="both"/>
              <w:textAlignment w:val="baseline"/>
              <w:rPr>
                <w:rFonts w:hint="eastAsia" w:ascii="仿宋" w:hAnsi="仿宋" w:eastAsia="仿宋" w:cs="仿宋"/>
                <w:color w:val="auto"/>
                <w:spacing w:val="8"/>
                <w:sz w:val="20"/>
                <w:szCs w:val="20"/>
                <w:highlight w:val="none"/>
                <w:lang w:eastAsia="zh-CN"/>
              </w:rPr>
            </w:pPr>
            <w:r>
              <w:rPr>
                <w:rFonts w:hint="eastAsia" w:cs="仿宋"/>
                <w:color w:val="auto"/>
                <w:spacing w:val="8"/>
                <w:sz w:val="20"/>
                <w:szCs w:val="20"/>
                <w:highlight w:val="none"/>
                <w:lang w:eastAsia="zh-CN"/>
              </w:rPr>
              <w:t>有依法缴纳税收和社会保障资金的良好记录：提供投标截止日前6个月内任意1个月的社保证明材料（社保缴费明细表及缴费凭证），如依法不需要缴纳社会保障资金的，应提供相应文件证明（新成立不满3个月的企业，按实际发生的提供）；提供投标截止日前6个月内任意1个月的缴纳税收的完税证明或税务部门出具的纳税证明；如依法免税的，应提供相应文件证明（新成立不满3个月的企业，按实际发生的提供）；</w:t>
            </w:r>
          </w:p>
        </w:tc>
        <w:tc>
          <w:tcPr>
            <w:tcW w:w="600" w:type="dxa"/>
            <w:tcBorders>
              <w:bottom w:val="single" w:color="auto" w:sz="4" w:space="0"/>
            </w:tcBorders>
            <w:shd w:val="clear" w:color="auto" w:fill="auto"/>
            <w:vAlign w:val="center"/>
          </w:tcPr>
          <w:p w14:paraId="2E24DF26">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position w:val="-8"/>
                <w:sz w:val="20"/>
                <w:szCs w:val="20"/>
                <w:highlight w:val="none"/>
              </w:rPr>
              <w:t>……</w:t>
            </w:r>
          </w:p>
        </w:tc>
        <w:tc>
          <w:tcPr>
            <w:tcW w:w="800" w:type="dxa"/>
            <w:tcBorders>
              <w:bottom w:val="single" w:color="auto" w:sz="4" w:space="0"/>
            </w:tcBorders>
            <w:shd w:val="clear" w:color="auto" w:fill="auto"/>
            <w:vAlign w:val="center"/>
          </w:tcPr>
          <w:p w14:paraId="1C37E4E1">
            <w:pPr>
              <w:pStyle w:val="25"/>
              <w:pageBreakBefore w:val="0"/>
              <w:shd w:val="clear"/>
              <w:wordWrap/>
              <w:overflowPunct/>
              <w:topLinePunct w:val="0"/>
              <w:bidi w:val="0"/>
              <w:spacing w:before="65"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position w:val="-8"/>
                <w:sz w:val="20"/>
                <w:szCs w:val="20"/>
                <w:highlight w:val="none"/>
              </w:rPr>
              <w:t>……</w:t>
            </w:r>
          </w:p>
        </w:tc>
        <w:tc>
          <w:tcPr>
            <w:tcW w:w="1089" w:type="dxa"/>
            <w:tcBorders>
              <w:bottom w:val="single" w:color="auto" w:sz="4" w:space="0"/>
              <w:right w:val="single" w:color="auto" w:sz="4" w:space="0"/>
            </w:tcBorders>
            <w:shd w:val="clear" w:color="auto" w:fill="auto"/>
            <w:vAlign w:val="center"/>
          </w:tcPr>
          <w:p w14:paraId="58507432">
            <w:pPr>
              <w:pageBreakBefore w:val="0"/>
              <w:shd w:val="clear"/>
              <w:wordWrap/>
              <w:overflowPunct/>
              <w:topLinePunct w:val="0"/>
              <w:bidi w:val="0"/>
              <w:spacing w:line="25" w:lineRule="atLeast"/>
              <w:jc w:val="center"/>
              <w:rPr>
                <w:rFonts w:hint="eastAsia" w:ascii="仿宋" w:hAnsi="仿宋" w:eastAsia="仿宋" w:cs="仿宋"/>
                <w:color w:val="auto"/>
                <w:sz w:val="20"/>
                <w:szCs w:val="20"/>
                <w:highlight w:val="none"/>
              </w:rPr>
            </w:pPr>
            <w:r>
              <w:rPr>
                <w:rFonts w:hint="eastAsia" w:ascii="仿宋" w:hAnsi="仿宋" w:eastAsia="仿宋" w:cs="仿宋"/>
                <w:color w:val="auto"/>
                <w:spacing w:val="4"/>
                <w:sz w:val="20"/>
                <w:szCs w:val="20"/>
                <w:highlight w:val="none"/>
              </w:rPr>
              <w:t>必须提供</w:t>
            </w:r>
          </w:p>
        </w:tc>
      </w:tr>
      <w:tr w14:paraId="33078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3E96956D">
            <w:pPr>
              <w:pageBreakBefore w:val="0"/>
              <w:shd w:val="clear"/>
              <w:wordWrap/>
              <w:overflowPunct/>
              <w:topLinePunct w:val="0"/>
              <w:bidi w:val="0"/>
              <w:spacing w:line="25" w:lineRule="atLeast"/>
              <w:jc w:val="center"/>
              <w:rPr>
                <w:rFonts w:hint="eastAsia" w:ascii="仿宋" w:hAnsi="仿宋" w:eastAsia="仿宋" w:cs="仿宋"/>
                <w:snapToGrid w:val="0"/>
                <w:color w:val="auto"/>
                <w:spacing w:val="1"/>
                <w:kern w:val="0"/>
                <w:sz w:val="20"/>
                <w:szCs w:val="20"/>
                <w:highlight w:val="none"/>
                <w:lang w:val="en-US" w:eastAsia="zh-CN" w:bidi="ar-SA"/>
              </w:rPr>
            </w:pPr>
            <w:r>
              <w:rPr>
                <w:rFonts w:hint="eastAsia" w:ascii="仿宋" w:hAnsi="仿宋" w:eastAsia="仿宋" w:cs="仿宋"/>
                <w:snapToGrid w:val="0"/>
                <w:color w:val="auto"/>
                <w:spacing w:val="1"/>
                <w:kern w:val="0"/>
                <w:sz w:val="20"/>
                <w:szCs w:val="20"/>
                <w:highlight w:val="none"/>
                <w:lang w:val="en-US" w:eastAsia="zh-CN" w:bidi="ar-SA"/>
              </w:rPr>
              <w:t>6</w:t>
            </w:r>
          </w:p>
        </w:tc>
        <w:tc>
          <w:tcPr>
            <w:tcW w:w="698" w:type="dxa"/>
            <w:vMerge w:val="restart"/>
            <w:tcBorders>
              <w:top w:val="single" w:color="auto" w:sz="4" w:space="0"/>
              <w:left w:val="single" w:color="auto" w:sz="4" w:space="0"/>
              <w:right w:val="single" w:color="auto" w:sz="4" w:space="0"/>
            </w:tcBorders>
            <w:shd w:val="clear" w:color="auto" w:fill="auto"/>
            <w:vAlign w:val="center"/>
          </w:tcPr>
          <w:p w14:paraId="54A2D958">
            <w:pPr>
              <w:pageBreakBefore w:val="0"/>
              <w:shd w:val="clear"/>
              <w:wordWrap/>
              <w:overflowPunct/>
              <w:topLinePunct w:val="0"/>
              <w:bidi w:val="0"/>
              <w:spacing w:line="25" w:lineRule="atLeast"/>
              <w:jc w:val="center"/>
              <w:rPr>
                <w:rFonts w:hint="eastAsia" w:ascii="仿宋" w:hAnsi="仿宋" w:eastAsia="仿宋" w:cs="仿宋"/>
                <w:snapToGrid w:val="0"/>
                <w:color w:val="auto"/>
                <w:spacing w:val="1"/>
                <w:kern w:val="0"/>
                <w:sz w:val="20"/>
                <w:szCs w:val="20"/>
                <w:highlight w:val="none"/>
                <w:lang w:val="en-US" w:eastAsia="en-US" w:bidi="ar-SA"/>
              </w:rPr>
            </w:pPr>
            <w:r>
              <w:rPr>
                <w:rFonts w:hint="eastAsia" w:ascii="仿宋" w:hAnsi="仿宋" w:eastAsia="仿宋" w:cs="仿宋"/>
                <w:snapToGrid w:val="0"/>
                <w:color w:val="auto"/>
                <w:spacing w:val="1"/>
                <w:kern w:val="0"/>
                <w:sz w:val="20"/>
                <w:szCs w:val="20"/>
                <w:highlight w:val="none"/>
                <w:lang w:val="en-US" w:eastAsia="en-US" w:bidi="ar-SA"/>
              </w:rPr>
              <w:t>二、符合性审查部分</w:t>
            </w:r>
          </w:p>
        </w:tc>
        <w:tc>
          <w:tcPr>
            <w:tcW w:w="4825" w:type="dxa"/>
            <w:tcBorders>
              <w:top w:val="single" w:color="auto" w:sz="4" w:space="0"/>
              <w:left w:val="single" w:color="auto" w:sz="4" w:space="0"/>
              <w:bottom w:val="single" w:color="auto" w:sz="4" w:space="0"/>
              <w:right w:val="single" w:color="auto" w:sz="4" w:space="0"/>
            </w:tcBorders>
            <w:shd w:val="clear" w:color="auto" w:fill="auto"/>
            <w:vAlign w:val="center"/>
          </w:tcPr>
          <w:p w14:paraId="2C44A216">
            <w:pPr>
              <w:pStyle w:val="25"/>
              <w:keepNext w:val="0"/>
              <w:keepLines w:val="0"/>
              <w:pageBreakBefore w:val="0"/>
              <w:widowControl/>
              <w:shd w:val="clear"/>
              <w:kinsoku/>
              <w:wordWrap w:val="0"/>
              <w:overflowPunct/>
              <w:topLinePunct w:val="0"/>
              <w:autoSpaceDE w:val="0"/>
              <w:autoSpaceDN w:val="0"/>
              <w:bidi w:val="0"/>
              <w:adjustRightInd w:val="0"/>
              <w:snapToGrid w:val="0"/>
              <w:spacing w:line="25" w:lineRule="atLeast"/>
              <w:ind w:left="0" w:right="0" w:firstLine="0"/>
              <w:jc w:val="both"/>
              <w:textAlignment w:val="baseline"/>
              <w:rPr>
                <w:rFonts w:hint="eastAsia" w:ascii="仿宋" w:hAnsi="仿宋" w:eastAsia="仿宋" w:cs="仿宋"/>
                <w:color w:val="auto"/>
                <w:spacing w:val="8"/>
                <w:sz w:val="20"/>
                <w:szCs w:val="20"/>
                <w:highlight w:val="none"/>
                <w:lang w:val="en-US" w:eastAsia="en-US"/>
              </w:rPr>
            </w:pPr>
            <w:r>
              <w:rPr>
                <w:rFonts w:hint="eastAsia" w:ascii="仿宋" w:hAnsi="仿宋" w:eastAsia="仿宋" w:cs="仿宋"/>
                <w:color w:val="auto"/>
                <w:spacing w:val="8"/>
                <w:sz w:val="20"/>
                <w:szCs w:val="20"/>
                <w:highlight w:val="none"/>
                <w:lang w:val="en-US" w:eastAsia="en-US"/>
              </w:rPr>
              <w:t>对招标文件做出实质性响应的投标人需满足3家。</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469A0E9B">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14:paraId="0EDA1BB3">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337B698">
            <w:pPr>
              <w:pStyle w:val="25"/>
              <w:pageBreakBefore w:val="0"/>
              <w:shd w:val="clear"/>
              <w:wordWrap/>
              <w:overflowPunct/>
              <w:topLinePunct w:val="0"/>
              <w:bidi w:val="0"/>
              <w:spacing w:before="63"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sz w:val="20"/>
                <w:szCs w:val="20"/>
                <w:highlight w:val="none"/>
              </w:rPr>
              <w:t>必须提供</w:t>
            </w:r>
          </w:p>
        </w:tc>
      </w:tr>
      <w:tr w14:paraId="72310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191C5203">
            <w:pPr>
              <w:pageBreakBefore w:val="0"/>
              <w:shd w:val="clear"/>
              <w:wordWrap/>
              <w:overflowPunct/>
              <w:topLinePunct w:val="0"/>
              <w:bidi w:val="0"/>
              <w:spacing w:line="25" w:lineRule="atLeast"/>
              <w:jc w:val="center"/>
              <w:rPr>
                <w:rFonts w:hint="eastAsia" w:ascii="仿宋" w:hAnsi="仿宋" w:eastAsia="仿宋" w:cs="仿宋"/>
                <w:snapToGrid w:val="0"/>
                <w:color w:val="auto"/>
                <w:spacing w:val="1"/>
                <w:kern w:val="0"/>
                <w:sz w:val="20"/>
                <w:szCs w:val="20"/>
                <w:highlight w:val="none"/>
                <w:lang w:val="en-US" w:eastAsia="zh-CN" w:bidi="ar-SA"/>
              </w:rPr>
            </w:pPr>
            <w:r>
              <w:rPr>
                <w:rFonts w:hint="eastAsia" w:ascii="仿宋" w:hAnsi="仿宋" w:eastAsia="仿宋" w:cs="仿宋"/>
                <w:snapToGrid w:val="0"/>
                <w:color w:val="auto"/>
                <w:spacing w:val="1"/>
                <w:kern w:val="0"/>
                <w:sz w:val="20"/>
                <w:szCs w:val="20"/>
                <w:highlight w:val="none"/>
                <w:lang w:val="en-US" w:eastAsia="zh-CN" w:bidi="ar-SA"/>
              </w:rPr>
              <w:t>7</w:t>
            </w:r>
          </w:p>
        </w:tc>
        <w:tc>
          <w:tcPr>
            <w:tcW w:w="698" w:type="dxa"/>
            <w:vMerge w:val="continue"/>
            <w:tcBorders>
              <w:left w:val="single" w:color="auto" w:sz="4" w:space="0"/>
              <w:right w:val="single" w:color="auto" w:sz="4" w:space="0"/>
            </w:tcBorders>
            <w:shd w:val="clear" w:color="auto" w:fill="auto"/>
            <w:vAlign w:val="center"/>
          </w:tcPr>
          <w:p w14:paraId="5A8601CA">
            <w:pPr>
              <w:pageBreakBefore w:val="0"/>
              <w:shd w:val="clear"/>
              <w:wordWrap/>
              <w:overflowPunct/>
              <w:topLinePunct w:val="0"/>
              <w:bidi w:val="0"/>
              <w:spacing w:line="25" w:lineRule="atLeast"/>
              <w:jc w:val="center"/>
              <w:rPr>
                <w:rFonts w:hint="eastAsia" w:ascii="仿宋" w:hAnsi="仿宋" w:eastAsia="仿宋" w:cs="仿宋"/>
                <w:snapToGrid w:val="0"/>
                <w:color w:val="auto"/>
                <w:spacing w:val="1"/>
                <w:kern w:val="0"/>
                <w:sz w:val="20"/>
                <w:szCs w:val="20"/>
                <w:highlight w:val="none"/>
                <w:lang w:val="en-US" w:eastAsia="en-US" w:bidi="ar-SA"/>
              </w:rPr>
            </w:pPr>
          </w:p>
        </w:tc>
        <w:tc>
          <w:tcPr>
            <w:tcW w:w="4825" w:type="dxa"/>
            <w:tcBorders>
              <w:top w:val="single" w:color="auto" w:sz="4" w:space="0"/>
              <w:left w:val="single" w:color="auto" w:sz="4" w:space="0"/>
              <w:bottom w:val="single" w:color="auto" w:sz="4" w:space="0"/>
              <w:right w:val="single" w:color="auto" w:sz="4" w:space="0"/>
            </w:tcBorders>
            <w:shd w:val="clear" w:color="auto" w:fill="auto"/>
            <w:vAlign w:val="center"/>
          </w:tcPr>
          <w:p w14:paraId="1BB9874F">
            <w:pPr>
              <w:pStyle w:val="25"/>
              <w:keepNext w:val="0"/>
              <w:keepLines w:val="0"/>
              <w:pageBreakBefore w:val="0"/>
              <w:widowControl/>
              <w:shd w:val="clear"/>
              <w:kinsoku/>
              <w:wordWrap w:val="0"/>
              <w:overflowPunct/>
              <w:topLinePunct w:val="0"/>
              <w:autoSpaceDE w:val="0"/>
              <w:autoSpaceDN w:val="0"/>
              <w:bidi w:val="0"/>
              <w:adjustRightInd w:val="0"/>
              <w:snapToGrid w:val="0"/>
              <w:spacing w:line="25" w:lineRule="atLeast"/>
              <w:ind w:left="0" w:right="0" w:firstLine="0"/>
              <w:jc w:val="both"/>
              <w:textAlignment w:val="baseline"/>
              <w:rPr>
                <w:rFonts w:hint="eastAsia" w:ascii="仿宋" w:hAnsi="仿宋" w:eastAsia="仿宋" w:cs="仿宋"/>
                <w:color w:val="auto"/>
                <w:spacing w:val="8"/>
                <w:sz w:val="20"/>
                <w:szCs w:val="20"/>
                <w:highlight w:val="none"/>
                <w:lang w:val="en-US" w:eastAsia="en-US"/>
              </w:rPr>
            </w:pPr>
            <w:r>
              <w:rPr>
                <w:rFonts w:hint="eastAsia" w:ascii="仿宋" w:hAnsi="仿宋" w:eastAsia="仿宋" w:cs="仿宋"/>
                <w:color w:val="auto"/>
                <w:spacing w:val="8"/>
                <w:sz w:val="20"/>
                <w:szCs w:val="20"/>
                <w:highlight w:val="none"/>
                <w:lang w:val="en-US" w:eastAsia="en-US"/>
              </w:rPr>
              <w:t>投标文件签署符合采购文件要求在规定区域签字、盖章。</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B9589EB">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14:paraId="378CC56C">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6638F51">
            <w:pPr>
              <w:pageBreakBefore w:val="0"/>
              <w:shd w:val="clear"/>
              <w:wordWrap/>
              <w:overflowPunct/>
              <w:topLinePunct w:val="0"/>
              <w:bidi w:val="0"/>
              <w:spacing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sz w:val="20"/>
                <w:szCs w:val="20"/>
                <w:highlight w:val="none"/>
              </w:rPr>
              <w:t>必须提供</w:t>
            </w:r>
          </w:p>
        </w:tc>
      </w:tr>
      <w:tr w14:paraId="01989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37" w:hRule="atLeast"/>
        </w:trPr>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3D707C3D">
            <w:pPr>
              <w:pageBreakBefore w:val="0"/>
              <w:shd w:val="clear"/>
              <w:wordWrap/>
              <w:overflowPunct/>
              <w:topLinePunct w:val="0"/>
              <w:bidi w:val="0"/>
              <w:spacing w:line="25" w:lineRule="atLeast"/>
              <w:ind w:left="0" w:leftChars="0" w:right="0" w:rightChars="0" w:firstLine="0" w:firstLineChars="0"/>
              <w:jc w:val="center"/>
              <w:rPr>
                <w:rFonts w:hint="eastAsia" w:ascii="仿宋" w:hAnsi="仿宋" w:eastAsia="仿宋" w:cs="仿宋"/>
                <w:snapToGrid w:val="0"/>
                <w:color w:val="auto"/>
                <w:kern w:val="0"/>
                <w:sz w:val="20"/>
                <w:szCs w:val="20"/>
                <w:highlight w:val="none"/>
                <w:lang w:val="en-US" w:eastAsia="zh-CN" w:bidi="ar-SA"/>
              </w:rPr>
            </w:pPr>
            <w:r>
              <w:rPr>
                <w:rFonts w:hint="eastAsia" w:ascii="仿宋" w:hAnsi="仿宋" w:eastAsia="仿宋" w:cs="仿宋"/>
                <w:color w:val="auto"/>
                <w:sz w:val="20"/>
                <w:szCs w:val="20"/>
                <w:highlight w:val="none"/>
                <w:lang w:val="en-US" w:eastAsia="zh-CN"/>
              </w:rPr>
              <w:t>8</w:t>
            </w:r>
          </w:p>
        </w:tc>
        <w:tc>
          <w:tcPr>
            <w:tcW w:w="698" w:type="dxa"/>
            <w:vMerge w:val="continue"/>
            <w:tcBorders>
              <w:left w:val="single" w:color="auto" w:sz="4" w:space="0"/>
              <w:right w:val="single" w:color="auto" w:sz="4" w:space="0"/>
            </w:tcBorders>
            <w:shd w:val="clear" w:color="auto" w:fill="auto"/>
            <w:vAlign w:val="center"/>
          </w:tcPr>
          <w:p w14:paraId="40638E9A">
            <w:pPr>
              <w:pageBreakBefore w:val="0"/>
              <w:shd w:val="clear"/>
              <w:wordWrap/>
              <w:overflowPunct/>
              <w:topLinePunct w:val="0"/>
              <w:bidi w:val="0"/>
              <w:spacing w:line="25" w:lineRule="atLeast"/>
              <w:ind w:left="0" w:leftChars="0" w:right="0" w:rightChars="0" w:firstLine="0" w:firstLineChars="0"/>
              <w:jc w:val="center"/>
              <w:rPr>
                <w:rFonts w:hint="eastAsia" w:ascii="仿宋" w:hAnsi="仿宋" w:eastAsia="仿宋" w:cs="仿宋"/>
                <w:snapToGrid w:val="0"/>
                <w:color w:val="auto"/>
                <w:spacing w:val="1"/>
                <w:kern w:val="0"/>
                <w:sz w:val="20"/>
                <w:szCs w:val="20"/>
                <w:highlight w:val="none"/>
                <w:lang w:val="en-US" w:eastAsia="en-US" w:bidi="ar-SA"/>
              </w:rPr>
            </w:pPr>
          </w:p>
        </w:tc>
        <w:tc>
          <w:tcPr>
            <w:tcW w:w="4825" w:type="dxa"/>
            <w:tcBorders>
              <w:top w:val="single" w:color="auto" w:sz="4" w:space="0"/>
              <w:left w:val="single" w:color="auto" w:sz="4" w:space="0"/>
              <w:bottom w:val="single" w:color="auto" w:sz="4" w:space="0"/>
              <w:right w:val="single" w:color="auto" w:sz="4" w:space="0"/>
            </w:tcBorders>
            <w:shd w:val="clear" w:color="auto" w:fill="auto"/>
            <w:vAlign w:val="center"/>
          </w:tcPr>
          <w:p w14:paraId="58E77B9A">
            <w:pPr>
              <w:pStyle w:val="25"/>
              <w:pageBreakBefore w:val="0"/>
              <w:shd w:val="clear"/>
              <w:wordWrap/>
              <w:overflowPunct/>
              <w:topLinePunct w:val="0"/>
              <w:bidi w:val="0"/>
              <w:spacing w:before="59" w:line="25" w:lineRule="atLeast"/>
              <w:ind w:left="117" w:right="106" w:firstLine="8"/>
              <w:jc w:val="both"/>
              <w:rPr>
                <w:rFonts w:hint="eastAsia" w:ascii="仿宋" w:hAnsi="仿宋" w:eastAsia="仿宋" w:cs="仿宋"/>
                <w:color w:val="auto"/>
                <w:spacing w:val="8"/>
                <w:sz w:val="20"/>
                <w:szCs w:val="20"/>
                <w:highlight w:val="none"/>
                <w:lang w:val="en-US" w:eastAsia="en-US"/>
              </w:rPr>
            </w:pPr>
            <w:r>
              <w:rPr>
                <w:rFonts w:hint="eastAsia" w:ascii="仿宋" w:hAnsi="仿宋" w:eastAsia="仿宋" w:cs="仿宋"/>
                <w:color w:val="auto"/>
                <w:spacing w:val="8"/>
                <w:sz w:val="20"/>
                <w:szCs w:val="20"/>
                <w:highlight w:val="none"/>
                <w:lang w:val="en-US" w:eastAsia="en-US"/>
              </w:rPr>
              <w:t>投标报价为有效报价，未超过政府采购预算金额（设置最高限价的，不得超过最高限价）。</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45E4F6A1">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14:paraId="0BF6883D">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029A8BB0">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sz w:val="20"/>
                <w:szCs w:val="20"/>
                <w:highlight w:val="none"/>
              </w:rPr>
              <w:t>必须提供</w:t>
            </w:r>
          </w:p>
        </w:tc>
      </w:tr>
      <w:tr w14:paraId="5A0B1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409C0845">
            <w:pPr>
              <w:pageBreakBefore w:val="0"/>
              <w:shd w:val="clear"/>
              <w:wordWrap/>
              <w:overflowPunct/>
              <w:topLinePunct w:val="0"/>
              <w:bidi w:val="0"/>
              <w:spacing w:line="25" w:lineRule="atLeast"/>
              <w:ind w:left="0" w:leftChars="0" w:right="0" w:rightChars="0" w:firstLine="0" w:firstLineChars="0"/>
              <w:jc w:val="center"/>
              <w:rPr>
                <w:rFonts w:hint="eastAsia" w:ascii="仿宋" w:hAnsi="仿宋" w:eastAsia="仿宋" w:cs="仿宋"/>
                <w:snapToGrid w:val="0"/>
                <w:color w:val="auto"/>
                <w:kern w:val="0"/>
                <w:sz w:val="20"/>
                <w:szCs w:val="20"/>
                <w:highlight w:val="none"/>
                <w:lang w:val="en-US" w:eastAsia="zh-CN" w:bidi="ar-SA"/>
              </w:rPr>
            </w:pPr>
            <w:r>
              <w:rPr>
                <w:rFonts w:hint="eastAsia" w:ascii="仿宋" w:hAnsi="仿宋" w:eastAsia="仿宋" w:cs="仿宋"/>
                <w:color w:val="auto"/>
                <w:sz w:val="20"/>
                <w:szCs w:val="20"/>
                <w:highlight w:val="none"/>
                <w:lang w:val="en-US" w:eastAsia="zh-CN"/>
              </w:rPr>
              <w:t>9</w:t>
            </w:r>
          </w:p>
        </w:tc>
        <w:tc>
          <w:tcPr>
            <w:tcW w:w="698" w:type="dxa"/>
            <w:vMerge w:val="continue"/>
            <w:tcBorders>
              <w:left w:val="single" w:color="auto" w:sz="4" w:space="0"/>
              <w:right w:val="single" w:color="auto" w:sz="4" w:space="0"/>
            </w:tcBorders>
            <w:shd w:val="clear" w:color="auto" w:fill="auto"/>
            <w:vAlign w:val="center"/>
          </w:tcPr>
          <w:p w14:paraId="603FDA27">
            <w:pPr>
              <w:pageBreakBefore w:val="0"/>
              <w:shd w:val="clear"/>
              <w:wordWrap/>
              <w:overflowPunct/>
              <w:topLinePunct w:val="0"/>
              <w:bidi w:val="0"/>
              <w:spacing w:line="25" w:lineRule="atLeast"/>
              <w:ind w:left="0" w:leftChars="0" w:right="0" w:rightChars="0" w:firstLine="0" w:firstLineChars="0"/>
              <w:jc w:val="center"/>
              <w:rPr>
                <w:rFonts w:hint="eastAsia" w:ascii="仿宋" w:hAnsi="仿宋" w:eastAsia="仿宋" w:cs="仿宋"/>
                <w:color w:val="auto"/>
                <w:sz w:val="20"/>
                <w:szCs w:val="20"/>
                <w:highlight w:val="none"/>
              </w:rPr>
            </w:pPr>
          </w:p>
        </w:tc>
        <w:tc>
          <w:tcPr>
            <w:tcW w:w="4825" w:type="dxa"/>
            <w:tcBorders>
              <w:top w:val="single" w:color="auto" w:sz="4" w:space="0"/>
              <w:left w:val="single" w:color="auto" w:sz="4" w:space="0"/>
              <w:bottom w:val="single" w:color="auto" w:sz="4" w:space="0"/>
              <w:right w:val="single" w:color="auto" w:sz="4" w:space="0"/>
            </w:tcBorders>
            <w:shd w:val="clear" w:color="auto" w:fill="auto"/>
            <w:vAlign w:val="center"/>
          </w:tcPr>
          <w:p w14:paraId="5C444D8E">
            <w:pPr>
              <w:pStyle w:val="25"/>
              <w:pageBreakBefore w:val="0"/>
              <w:shd w:val="clear"/>
              <w:wordWrap/>
              <w:overflowPunct/>
              <w:topLinePunct w:val="0"/>
              <w:bidi w:val="0"/>
              <w:spacing w:before="59" w:line="25" w:lineRule="atLeast"/>
              <w:ind w:left="117" w:right="106" w:firstLine="8"/>
              <w:jc w:val="both"/>
              <w:rPr>
                <w:rFonts w:hint="eastAsia" w:ascii="仿宋" w:hAnsi="仿宋" w:eastAsia="仿宋" w:cs="仿宋"/>
                <w:color w:val="auto"/>
                <w:spacing w:val="8"/>
                <w:sz w:val="20"/>
                <w:szCs w:val="20"/>
                <w:highlight w:val="none"/>
                <w:lang w:val="en-US" w:eastAsia="en-US"/>
              </w:rPr>
            </w:pPr>
            <w:r>
              <w:rPr>
                <w:rFonts w:hint="eastAsia" w:ascii="仿宋" w:hAnsi="仿宋" w:eastAsia="仿宋" w:cs="仿宋"/>
                <w:color w:val="auto"/>
                <w:spacing w:val="8"/>
                <w:sz w:val="20"/>
                <w:szCs w:val="20"/>
                <w:highlight w:val="none"/>
                <w:lang w:val="en-US" w:eastAsia="en-US"/>
              </w:rPr>
              <w:t>投标文件中不得含有不能接受的附加条件。</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047777C6">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14:paraId="7F0A6BF8">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022BE1E5">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sz w:val="20"/>
                <w:szCs w:val="20"/>
                <w:highlight w:val="none"/>
              </w:rPr>
              <w:t>必须提供</w:t>
            </w:r>
          </w:p>
        </w:tc>
      </w:tr>
      <w:tr w14:paraId="7D33C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6E76AAA8">
            <w:pPr>
              <w:pageBreakBefore w:val="0"/>
              <w:shd w:val="clear"/>
              <w:wordWrap/>
              <w:overflowPunct/>
              <w:topLinePunct w:val="0"/>
              <w:bidi w:val="0"/>
              <w:spacing w:line="25" w:lineRule="atLeast"/>
              <w:ind w:left="0" w:leftChars="0" w:right="0" w:rightChars="0" w:firstLine="0" w:firstLineChars="0"/>
              <w:jc w:val="center"/>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10</w:t>
            </w:r>
          </w:p>
        </w:tc>
        <w:tc>
          <w:tcPr>
            <w:tcW w:w="698" w:type="dxa"/>
            <w:vMerge w:val="continue"/>
            <w:tcBorders>
              <w:left w:val="single" w:color="auto" w:sz="4" w:space="0"/>
              <w:bottom w:val="single" w:color="auto" w:sz="4" w:space="0"/>
              <w:right w:val="single" w:color="auto" w:sz="4" w:space="0"/>
            </w:tcBorders>
            <w:shd w:val="clear" w:color="auto" w:fill="auto"/>
            <w:vAlign w:val="center"/>
          </w:tcPr>
          <w:p w14:paraId="0A22D730">
            <w:pPr>
              <w:pageBreakBefore w:val="0"/>
              <w:shd w:val="clear"/>
              <w:wordWrap/>
              <w:overflowPunct/>
              <w:topLinePunct w:val="0"/>
              <w:bidi w:val="0"/>
              <w:spacing w:line="25" w:lineRule="atLeast"/>
              <w:ind w:left="0" w:leftChars="0" w:right="0" w:rightChars="0" w:firstLine="0" w:firstLineChars="0"/>
              <w:jc w:val="center"/>
              <w:rPr>
                <w:rFonts w:hint="eastAsia" w:ascii="仿宋" w:hAnsi="仿宋" w:eastAsia="仿宋" w:cs="仿宋"/>
                <w:color w:val="auto"/>
                <w:sz w:val="20"/>
                <w:szCs w:val="20"/>
                <w:highlight w:val="none"/>
              </w:rPr>
            </w:pPr>
          </w:p>
        </w:tc>
        <w:tc>
          <w:tcPr>
            <w:tcW w:w="4825" w:type="dxa"/>
            <w:tcBorders>
              <w:top w:val="single" w:color="auto" w:sz="4" w:space="0"/>
              <w:left w:val="single" w:color="auto" w:sz="4" w:space="0"/>
              <w:bottom w:val="single" w:color="auto" w:sz="4" w:space="0"/>
              <w:right w:val="single" w:color="auto" w:sz="4" w:space="0"/>
            </w:tcBorders>
            <w:shd w:val="clear" w:color="auto" w:fill="auto"/>
            <w:vAlign w:val="center"/>
          </w:tcPr>
          <w:p w14:paraId="183D95C8">
            <w:pPr>
              <w:pStyle w:val="25"/>
              <w:pageBreakBefore w:val="0"/>
              <w:shd w:val="clear"/>
              <w:wordWrap/>
              <w:overflowPunct/>
              <w:topLinePunct w:val="0"/>
              <w:bidi w:val="0"/>
              <w:spacing w:before="59" w:line="25" w:lineRule="atLeast"/>
              <w:ind w:right="106"/>
              <w:jc w:val="both"/>
              <w:rPr>
                <w:rFonts w:hint="eastAsia" w:ascii="仿宋" w:hAnsi="仿宋" w:eastAsia="仿宋" w:cs="仿宋"/>
                <w:color w:val="auto"/>
                <w:spacing w:val="8"/>
                <w:sz w:val="20"/>
                <w:szCs w:val="20"/>
                <w:highlight w:val="none"/>
                <w:lang w:val="en-US" w:eastAsia="en-US"/>
              </w:rPr>
            </w:pPr>
            <w:r>
              <w:rPr>
                <w:rFonts w:hint="eastAsia" w:ascii="仿宋" w:hAnsi="仿宋" w:eastAsia="仿宋" w:cs="仿宋"/>
                <w:color w:val="auto"/>
                <w:spacing w:val="8"/>
                <w:sz w:val="20"/>
                <w:szCs w:val="20"/>
                <w:highlight w:val="none"/>
                <w:lang w:val="en-US" w:eastAsia="en-US"/>
              </w:rPr>
              <w:t>投标文件符合招标文件中规定的实质性要求（含政府采购政策需落实的内容）,且需提供《所供货物（服务）完全符合本项目采购需求的承诺函》及满足采购需求货物（服务）内容的相关资料。格式以招标文件要求为准。</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A8C8398">
            <w:pPr>
              <w:pStyle w:val="25"/>
              <w:pageBreakBefore w:val="0"/>
              <w:shd w:val="clear"/>
              <w:wordWrap/>
              <w:overflowPunct/>
              <w:topLinePunct w:val="0"/>
              <w:bidi w:val="0"/>
              <w:spacing w:before="65" w:line="25" w:lineRule="atLeast"/>
              <w:jc w:val="center"/>
              <w:rPr>
                <w:rFonts w:hint="eastAsia" w:ascii="仿宋" w:hAnsi="仿宋" w:eastAsia="仿宋" w:cs="仿宋"/>
                <w:color w:val="auto"/>
                <w:spacing w:val="4"/>
                <w:position w:val="-8"/>
                <w:sz w:val="20"/>
                <w:szCs w:val="20"/>
                <w:highlight w:val="none"/>
              </w:rPr>
            </w:pPr>
            <w:r>
              <w:rPr>
                <w:rFonts w:hint="eastAsia" w:ascii="仿宋" w:hAnsi="仿宋" w:eastAsia="仿宋" w:cs="仿宋"/>
                <w:color w:val="auto"/>
                <w:spacing w:val="4"/>
                <w:position w:val="-8"/>
                <w:sz w:val="20"/>
                <w:szCs w:val="20"/>
                <w:highlight w:val="none"/>
              </w:rPr>
              <w:t>……</w:t>
            </w:r>
          </w:p>
        </w:tc>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14:paraId="130EEB25">
            <w:pPr>
              <w:pStyle w:val="25"/>
              <w:pageBreakBefore w:val="0"/>
              <w:shd w:val="clear"/>
              <w:wordWrap/>
              <w:overflowPunct/>
              <w:topLinePunct w:val="0"/>
              <w:bidi w:val="0"/>
              <w:spacing w:before="65" w:line="25" w:lineRule="atLeast"/>
              <w:jc w:val="center"/>
              <w:rPr>
                <w:rFonts w:hint="eastAsia" w:ascii="仿宋" w:hAnsi="仿宋" w:eastAsia="仿宋" w:cs="仿宋"/>
                <w:color w:val="auto"/>
                <w:spacing w:val="4"/>
                <w:position w:val="-8"/>
                <w:sz w:val="20"/>
                <w:szCs w:val="20"/>
                <w:highlight w:val="none"/>
              </w:rPr>
            </w:pPr>
            <w:r>
              <w:rPr>
                <w:rFonts w:hint="eastAsia" w:ascii="仿宋" w:hAnsi="仿宋" w:eastAsia="仿宋" w:cs="仿宋"/>
                <w:color w:val="auto"/>
                <w:spacing w:val="4"/>
                <w:position w:val="-8"/>
                <w:sz w:val="20"/>
                <w:szCs w:val="20"/>
                <w:highlight w:val="none"/>
              </w:rPr>
              <w:t>……</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5662C98C">
            <w:pPr>
              <w:pStyle w:val="25"/>
              <w:pageBreakBefore w:val="0"/>
              <w:shd w:val="clear"/>
              <w:wordWrap/>
              <w:overflowPunct/>
              <w:topLinePunct w:val="0"/>
              <w:bidi w:val="0"/>
              <w:spacing w:before="65" w:line="25" w:lineRule="atLeast"/>
              <w:jc w:val="center"/>
              <w:rPr>
                <w:rFonts w:hint="eastAsia" w:ascii="仿宋" w:hAnsi="仿宋" w:eastAsia="仿宋" w:cs="仿宋"/>
                <w:color w:val="auto"/>
                <w:spacing w:val="4"/>
                <w:sz w:val="20"/>
                <w:szCs w:val="20"/>
                <w:highlight w:val="none"/>
              </w:rPr>
            </w:pPr>
            <w:r>
              <w:rPr>
                <w:rFonts w:hint="eastAsia" w:ascii="仿宋" w:hAnsi="仿宋" w:eastAsia="仿宋" w:cs="仿宋"/>
                <w:color w:val="auto"/>
                <w:spacing w:val="4"/>
                <w:sz w:val="20"/>
                <w:szCs w:val="20"/>
                <w:highlight w:val="none"/>
              </w:rPr>
              <w:t>必须提供</w:t>
            </w:r>
          </w:p>
        </w:tc>
      </w:tr>
      <w:tr w14:paraId="14B74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7433A12C">
            <w:pPr>
              <w:pageBreakBefore w:val="0"/>
              <w:shd w:val="clear"/>
              <w:wordWrap/>
              <w:overflowPunct/>
              <w:topLinePunct w:val="0"/>
              <w:bidi w:val="0"/>
              <w:spacing w:line="25" w:lineRule="atLeast"/>
              <w:ind w:left="0" w:leftChars="0" w:right="0" w:rightChars="0" w:firstLine="0" w:firstLineChars="0"/>
              <w:jc w:val="center"/>
              <w:rPr>
                <w:rFonts w:hint="default" w:ascii="仿宋" w:hAnsi="仿宋" w:eastAsia="仿宋" w:cs="仿宋"/>
                <w:snapToGrid w:val="0"/>
                <w:color w:val="auto"/>
                <w:kern w:val="0"/>
                <w:sz w:val="20"/>
                <w:szCs w:val="20"/>
                <w:highlight w:val="none"/>
                <w:lang w:val="en-US" w:eastAsia="zh-CN" w:bidi="ar-SA"/>
              </w:rPr>
            </w:pPr>
            <w:r>
              <w:rPr>
                <w:rFonts w:hint="eastAsia" w:ascii="仿宋" w:hAnsi="仿宋" w:eastAsia="仿宋" w:cs="仿宋"/>
                <w:color w:val="auto"/>
                <w:sz w:val="20"/>
                <w:szCs w:val="20"/>
                <w:highlight w:val="none"/>
                <w:lang w:val="en-US" w:eastAsia="zh-CN"/>
              </w:rPr>
              <w:t>11</w:t>
            </w:r>
          </w:p>
        </w:tc>
        <w:tc>
          <w:tcPr>
            <w:tcW w:w="698" w:type="dxa"/>
            <w:vMerge w:val="continue"/>
            <w:tcBorders>
              <w:left w:val="single" w:color="auto" w:sz="4" w:space="0"/>
              <w:bottom w:val="single" w:color="auto" w:sz="4" w:space="0"/>
              <w:right w:val="single" w:color="auto" w:sz="4" w:space="0"/>
            </w:tcBorders>
            <w:shd w:val="clear" w:color="auto" w:fill="auto"/>
            <w:vAlign w:val="center"/>
          </w:tcPr>
          <w:p w14:paraId="2BA0C132">
            <w:pPr>
              <w:pageBreakBefore w:val="0"/>
              <w:shd w:val="clear"/>
              <w:wordWrap/>
              <w:overflowPunct/>
              <w:topLinePunct w:val="0"/>
              <w:bidi w:val="0"/>
              <w:spacing w:line="25" w:lineRule="atLeast"/>
              <w:ind w:left="0" w:leftChars="0" w:right="0" w:rightChars="0" w:firstLine="0" w:firstLineChars="0"/>
              <w:jc w:val="center"/>
              <w:rPr>
                <w:rFonts w:hint="eastAsia" w:ascii="仿宋" w:hAnsi="仿宋" w:eastAsia="仿宋" w:cs="仿宋"/>
                <w:color w:val="auto"/>
                <w:sz w:val="20"/>
                <w:szCs w:val="20"/>
                <w:highlight w:val="none"/>
              </w:rPr>
            </w:pPr>
          </w:p>
        </w:tc>
        <w:tc>
          <w:tcPr>
            <w:tcW w:w="4825" w:type="dxa"/>
            <w:tcBorders>
              <w:top w:val="single" w:color="auto" w:sz="4" w:space="0"/>
              <w:left w:val="single" w:color="auto" w:sz="4" w:space="0"/>
              <w:bottom w:val="single" w:color="auto" w:sz="4" w:space="0"/>
              <w:right w:val="single" w:color="auto" w:sz="4" w:space="0"/>
            </w:tcBorders>
            <w:shd w:val="clear" w:color="auto" w:fill="auto"/>
            <w:vAlign w:val="center"/>
          </w:tcPr>
          <w:p w14:paraId="7A47438B">
            <w:pPr>
              <w:pStyle w:val="25"/>
              <w:pageBreakBefore w:val="0"/>
              <w:shd w:val="clear"/>
              <w:wordWrap/>
              <w:overflowPunct/>
              <w:topLinePunct w:val="0"/>
              <w:bidi w:val="0"/>
              <w:spacing w:before="59" w:line="25" w:lineRule="atLeast"/>
              <w:ind w:right="106"/>
              <w:jc w:val="both"/>
              <w:rPr>
                <w:rFonts w:hint="eastAsia" w:ascii="仿宋" w:hAnsi="仿宋" w:eastAsia="仿宋" w:cs="仿宋"/>
                <w:color w:val="auto"/>
                <w:spacing w:val="8"/>
                <w:sz w:val="20"/>
                <w:szCs w:val="20"/>
                <w:highlight w:val="none"/>
                <w:lang w:val="en-US" w:eastAsia="en-US"/>
              </w:rPr>
            </w:pPr>
            <w:r>
              <w:rPr>
                <w:rFonts w:hint="eastAsia" w:ascii="仿宋" w:hAnsi="仿宋" w:eastAsia="仿宋" w:cs="仿宋"/>
                <w:color w:val="auto"/>
                <w:spacing w:val="8"/>
                <w:sz w:val="20"/>
                <w:szCs w:val="20"/>
                <w:highlight w:val="none"/>
                <w:lang w:val="en-US" w:eastAsia="en-US"/>
              </w:rPr>
              <w:t>投标文件对招标文件实质性要求和条件皆做出投标响应（包含响应承诺函、商务条款响应及偏离说明表和技术参数响应及偏离说明表等内容）。</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40450F22">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14:paraId="7A100E16">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FA99A0F">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sz w:val="20"/>
                <w:szCs w:val="20"/>
                <w:highlight w:val="none"/>
              </w:rPr>
              <w:t>必须提供</w:t>
            </w:r>
          </w:p>
        </w:tc>
      </w:tr>
      <w:tr w14:paraId="614B6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04" w:hRule="atLeast"/>
        </w:trPr>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13872C82">
            <w:pPr>
              <w:pageBreakBefore w:val="0"/>
              <w:shd w:val="clear"/>
              <w:wordWrap/>
              <w:overflowPunct/>
              <w:topLinePunct w:val="0"/>
              <w:bidi w:val="0"/>
              <w:spacing w:line="25" w:lineRule="atLeast"/>
              <w:ind w:left="0" w:leftChars="0" w:right="0" w:rightChars="0" w:firstLine="0" w:firstLineChars="0"/>
              <w:jc w:val="center"/>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12</w:t>
            </w:r>
          </w:p>
        </w:tc>
        <w:tc>
          <w:tcPr>
            <w:tcW w:w="698" w:type="dxa"/>
            <w:tcBorders>
              <w:left w:val="single" w:color="auto" w:sz="4" w:space="0"/>
              <w:bottom w:val="single" w:color="auto" w:sz="4" w:space="0"/>
              <w:right w:val="single" w:color="auto" w:sz="4" w:space="0"/>
            </w:tcBorders>
            <w:shd w:val="clear" w:color="auto" w:fill="auto"/>
            <w:vAlign w:val="center"/>
          </w:tcPr>
          <w:p w14:paraId="03003870">
            <w:pPr>
              <w:pageBreakBefore w:val="0"/>
              <w:shd w:val="clear"/>
              <w:wordWrap/>
              <w:overflowPunct/>
              <w:topLinePunct w:val="0"/>
              <w:bidi w:val="0"/>
              <w:spacing w:line="25" w:lineRule="atLeast"/>
              <w:ind w:left="0" w:leftChars="0" w:right="0" w:rightChars="0" w:firstLine="0" w:firstLineChars="0"/>
              <w:jc w:val="center"/>
              <w:rPr>
                <w:rFonts w:hint="eastAsia" w:ascii="仿宋" w:hAnsi="仿宋" w:eastAsia="仿宋" w:cs="仿宋"/>
                <w:color w:val="auto"/>
                <w:sz w:val="20"/>
                <w:szCs w:val="20"/>
                <w:highlight w:val="none"/>
              </w:rPr>
            </w:pPr>
          </w:p>
        </w:tc>
        <w:tc>
          <w:tcPr>
            <w:tcW w:w="4825" w:type="dxa"/>
            <w:tcBorders>
              <w:top w:val="single" w:color="auto" w:sz="4" w:space="0"/>
              <w:left w:val="single" w:color="auto" w:sz="4" w:space="0"/>
              <w:bottom w:val="single" w:color="auto" w:sz="4" w:space="0"/>
              <w:right w:val="single" w:color="auto" w:sz="4" w:space="0"/>
            </w:tcBorders>
            <w:shd w:val="clear" w:color="auto" w:fill="auto"/>
            <w:vAlign w:val="center"/>
          </w:tcPr>
          <w:p w14:paraId="0783A16D">
            <w:pPr>
              <w:pStyle w:val="25"/>
              <w:pageBreakBefore w:val="0"/>
              <w:shd w:val="clear"/>
              <w:wordWrap/>
              <w:overflowPunct/>
              <w:topLinePunct w:val="0"/>
              <w:bidi w:val="0"/>
              <w:spacing w:before="59" w:line="25" w:lineRule="atLeast"/>
              <w:ind w:right="106"/>
              <w:jc w:val="both"/>
              <w:rPr>
                <w:rFonts w:hint="eastAsia" w:ascii="仿宋" w:hAnsi="仿宋" w:eastAsia="仿宋" w:cs="仿宋"/>
                <w:color w:val="auto"/>
                <w:spacing w:val="8"/>
                <w:sz w:val="20"/>
                <w:szCs w:val="20"/>
                <w:highlight w:val="none"/>
                <w:lang w:val="en-US" w:eastAsia="en-US"/>
              </w:rPr>
            </w:pPr>
            <w:r>
              <w:rPr>
                <w:rFonts w:hint="eastAsia" w:ascii="仿宋" w:hAnsi="仿宋" w:eastAsia="仿宋" w:cs="仿宋"/>
                <w:color w:val="auto"/>
                <w:spacing w:val="8"/>
                <w:sz w:val="20"/>
                <w:szCs w:val="20"/>
                <w:highlight w:val="none"/>
                <w:lang w:val="en-US" w:eastAsia="en-US"/>
              </w:rPr>
              <w:t>1.投标人需提供《不参与围标串标承诺书》，格式以招标文件要求为准。2.评标委员会发现是否存在影响采购公正的违法、违规行为。</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4FAC70B0">
            <w:pPr>
              <w:pStyle w:val="25"/>
              <w:pageBreakBefore w:val="0"/>
              <w:shd w:val="clear"/>
              <w:wordWrap/>
              <w:overflowPunct/>
              <w:topLinePunct w:val="0"/>
              <w:bidi w:val="0"/>
              <w:spacing w:before="65" w:line="25" w:lineRule="atLeast"/>
              <w:jc w:val="center"/>
              <w:rPr>
                <w:rFonts w:hint="eastAsia" w:ascii="仿宋" w:hAnsi="仿宋" w:eastAsia="仿宋" w:cs="仿宋"/>
                <w:color w:val="auto"/>
                <w:spacing w:val="4"/>
                <w:position w:val="-8"/>
                <w:sz w:val="20"/>
                <w:szCs w:val="20"/>
                <w:highlight w:val="none"/>
              </w:rPr>
            </w:pPr>
            <w:r>
              <w:rPr>
                <w:rFonts w:hint="eastAsia" w:ascii="仿宋" w:hAnsi="仿宋" w:eastAsia="仿宋" w:cs="仿宋"/>
                <w:color w:val="auto"/>
                <w:spacing w:val="4"/>
                <w:position w:val="-8"/>
                <w:sz w:val="20"/>
                <w:szCs w:val="20"/>
                <w:highlight w:val="none"/>
              </w:rPr>
              <w:t>……</w:t>
            </w:r>
          </w:p>
        </w:tc>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14:paraId="76771CA7">
            <w:pPr>
              <w:pStyle w:val="25"/>
              <w:pageBreakBefore w:val="0"/>
              <w:shd w:val="clear"/>
              <w:wordWrap/>
              <w:overflowPunct/>
              <w:topLinePunct w:val="0"/>
              <w:bidi w:val="0"/>
              <w:spacing w:before="65" w:line="25" w:lineRule="atLeast"/>
              <w:jc w:val="center"/>
              <w:rPr>
                <w:rFonts w:hint="eastAsia" w:ascii="仿宋" w:hAnsi="仿宋" w:eastAsia="仿宋" w:cs="仿宋"/>
                <w:color w:val="auto"/>
                <w:spacing w:val="4"/>
                <w:position w:val="-8"/>
                <w:sz w:val="20"/>
                <w:szCs w:val="20"/>
                <w:highlight w:val="none"/>
              </w:rPr>
            </w:pPr>
            <w:r>
              <w:rPr>
                <w:rFonts w:hint="eastAsia" w:ascii="仿宋" w:hAnsi="仿宋" w:eastAsia="仿宋" w:cs="仿宋"/>
                <w:color w:val="auto"/>
                <w:spacing w:val="4"/>
                <w:position w:val="-8"/>
                <w:sz w:val="20"/>
                <w:szCs w:val="20"/>
                <w:highlight w:val="none"/>
              </w:rPr>
              <w:t>……</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38490A1B">
            <w:pPr>
              <w:pStyle w:val="25"/>
              <w:pageBreakBefore w:val="0"/>
              <w:shd w:val="clear"/>
              <w:wordWrap/>
              <w:overflowPunct/>
              <w:topLinePunct w:val="0"/>
              <w:bidi w:val="0"/>
              <w:spacing w:before="65" w:line="25" w:lineRule="atLeast"/>
              <w:jc w:val="center"/>
              <w:rPr>
                <w:rFonts w:hint="eastAsia" w:ascii="仿宋" w:hAnsi="仿宋" w:eastAsia="仿宋" w:cs="仿宋"/>
                <w:color w:val="auto"/>
                <w:spacing w:val="4"/>
                <w:sz w:val="20"/>
                <w:szCs w:val="20"/>
                <w:highlight w:val="none"/>
              </w:rPr>
            </w:pPr>
            <w:r>
              <w:rPr>
                <w:rFonts w:hint="eastAsia" w:ascii="仿宋" w:hAnsi="仿宋" w:eastAsia="仿宋" w:cs="仿宋"/>
                <w:color w:val="auto"/>
                <w:spacing w:val="4"/>
                <w:sz w:val="20"/>
                <w:szCs w:val="20"/>
                <w:highlight w:val="none"/>
              </w:rPr>
              <w:t>必须提供</w:t>
            </w:r>
          </w:p>
        </w:tc>
      </w:tr>
      <w:tr w14:paraId="4FE22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24" w:hRule="atLeast"/>
        </w:trPr>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73731F8E">
            <w:pPr>
              <w:pageBreakBefore w:val="0"/>
              <w:shd w:val="clear"/>
              <w:wordWrap/>
              <w:overflowPunct/>
              <w:topLinePunct w:val="0"/>
              <w:bidi w:val="0"/>
              <w:spacing w:line="25" w:lineRule="atLeast"/>
              <w:ind w:left="0" w:leftChars="0" w:right="0" w:rightChars="0" w:firstLine="0" w:firstLineChars="0"/>
              <w:jc w:val="center"/>
              <w:rPr>
                <w:rFonts w:hint="default" w:ascii="仿宋" w:hAnsi="仿宋" w:eastAsia="仿宋" w:cs="仿宋"/>
                <w:snapToGrid w:val="0"/>
                <w:color w:val="auto"/>
                <w:kern w:val="0"/>
                <w:sz w:val="20"/>
                <w:szCs w:val="20"/>
                <w:highlight w:val="none"/>
                <w:lang w:val="en-US" w:eastAsia="zh-CN" w:bidi="ar-SA"/>
              </w:rPr>
            </w:pPr>
            <w:r>
              <w:rPr>
                <w:rFonts w:hint="eastAsia" w:ascii="仿宋" w:hAnsi="仿宋" w:eastAsia="仿宋" w:cs="仿宋"/>
                <w:color w:val="auto"/>
                <w:sz w:val="20"/>
                <w:szCs w:val="20"/>
                <w:highlight w:val="none"/>
                <w:lang w:val="en-US" w:eastAsia="zh-CN"/>
              </w:rPr>
              <w:t>13</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1F1D8E38">
            <w:pPr>
              <w:pStyle w:val="25"/>
              <w:pageBreakBefore w:val="0"/>
              <w:shd w:val="clear"/>
              <w:wordWrap/>
              <w:overflowPunct/>
              <w:topLinePunct w:val="0"/>
              <w:bidi w:val="0"/>
              <w:spacing w:before="65" w:line="25" w:lineRule="atLeast"/>
              <w:ind w:left="0" w:leftChars="0" w:right="0" w:rightChars="0" w:firstLine="0" w:firstLineChars="0"/>
              <w:jc w:val="center"/>
              <w:rPr>
                <w:rFonts w:hint="eastAsia" w:ascii="仿宋" w:hAnsi="仿宋" w:eastAsia="仿宋" w:cs="仿宋"/>
                <w:snapToGrid w:val="0"/>
                <w:color w:val="auto"/>
                <w:spacing w:val="1"/>
                <w:kern w:val="0"/>
                <w:sz w:val="20"/>
                <w:szCs w:val="20"/>
                <w:highlight w:val="none"/>
                <w:lang w:val="en-US" w:eastAsia="en-US" w:bidi="ar-SA"/>
              </w:rPr>
            </w:pPr>
            <w:r>
              <w:rPr>
                <w:rFonts w:hint="eastAsia" w:ascii="仿宋" w:hAnsi="仿宋" w:eastAsia="仿宋" w:cs="仿宋"/>
                <w:snapToGrid w:val="0"/>
                <w:color w:val="auto"/>
                <w:spacing w:val="1"/>
                <w:kern w:val="0"/>
                <w:sz w:val="20"/>
                <w:szCs w:val="20"/>
                <w:highlight w:val="none"/>
                <w:lang w:val="en-US" w:eastAsia="en-US" w:bidi="ar-SA"/>
              </w:rPr>
              <w:t>三、商务部分</w:t>
            </w:r>
          </w:p>
        </w:tc>
        <w:tc>
          <w:tcPr>
            <w:tcW w:w="4825" w:type="dxa"/>
            <w:tcBorders>
              <w:top w:val="single" w:color="auto" w:sz="4" w:space="0"/>
              <w:left w:val="single" w:color="auto" w:sz="4" w:space="0"/>
              <w:bottom w:val="single" w:color="auto" w:sz="4" w:space="0"/>
              <w:right w:val="single" w:color="auto" w:sz="4" w:space="0"/>
            </w:tcBorders>
            <w:shd w:val="clear" w:color="auto" w:fill="auto"/>
            <w:vAlign w:val="center"/>
          </w:tcPr>
          <w:p w14:paraId="71BD5065">
            <w:pPr>
              <w:pStyle w:val="25"/>
              <w:pageBreakBefore w:val="0"/>
              <w:shd w:val="clear"/>
              <w:wordWrap/>
              <w:overflowPunct/>
              <w:topLinePunct w:val="0"/>
              <w:bidi w:val="0"/>
              <w:spacing w:before="59" w:line="25" w:lineRule="atLeast"/>
              <w:ind w:left="117" w:right="106" w:firstLine="8"/>
              <w:jc w:val="both"/>
              <w:rPr>
                <w:rFonts w:hint="eastAsia" w:ascii="仿宋" w:hAnsi="仿宋" w:eastAsia="仿宋" w:cs="仿宋"/>
                <w:color w:val="auto"/>
                <w:spacing w:val="8"/>
                <w:sz w:val="20"/>
                <w:szCs w:val="20"/>
                <w:highlight w:val="none"/>
                <w:lang w:val="en-US" w:eastAsia="en-US"/>
              </w:rPr>
            </w:pPr>
            <w:r>
              <w:rPr>
                <w:rFonts w:hint="eastAsia" w:ascii="仿宋" w:hAnsi="仿宋" w:eastAsia="仿宋" w:cs="仿宋"/>
                <w:color w:val="auto"/>
                <w:spacing w:val="8"/>
                <w:sz w:val="20"/>
                <w:szCs w:val="20"/>
                <w:highlight w:val="none"/>
              </w:rPr>
              <w:t>投标人根据第四章“评标方法”商务评分要求提供相关资料及认为需要提供的其他商务材料</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58E4C143">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14:paraId="2D843DA8">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6FFCDDB8">
            <w:pPr>
              <w:pStyle w:val="25"/>
              <w:pageBreakBefore w:val="0"/>
              <w:shd w:val="clear"/>
              <w:wordWrap/>
              <w:overflowPunct/>
              <w:topLinePunct w:val="0"/>
              <w:bidi w:val="0"/>
              <w:spacing w:before="65" w:line="25" w:lineRule="atLeast"/>
              <w:ind w:left="246" w:leftChars="0"/>
              <w:jc w:val="center"/>
              <w:rPr>
                <w:rFonts w:hint="eastAsia" w:ascii="仿宋" w:hAnsi="仿宋" w:eastAsia="仿宋" w:cs="仿宋"/>
                <w:color w:val="auto"/>
                <w:spacing w:val="4"/>
                <w:sz w:val="20"/>
                <w:szCs w:val="20"/>
                <w:highlight w:val="none"/>
              </w:rPr>
            </w:pPr>
          </w:p>
        </w:tc>
      </w:tr>
      <w:tr w14:paraId="145A7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102E06F9">
            <w:pPr>
              <w:pageBreakBefore w:val="0"/>
              <w:shd w:val="clear"/>
              <w:wordWrap/>
              <w:overflowPunct/>
              <w:topLinePunct w:val="0"/>
              <w:bidi w:val="0"/>
              <w:spacing w:line="25" w:lineRule="atLeast"/>
              <w:ind w:left="0" w:leftChars="0" w:right="0" w:rightChars="0" w:firstLine="0" w:firstLineChars="0"/>
              <w:jc w:val="center"/>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14</w:t>
            </w:r>
          </w:p>
        </w:tc>
        <w:tc>
          <w:tcPr>
            <w:tcW w:w="698" w:type="dxa"/>
            <w:tcBorders>
              <w:top w:val="single" w:color="auto" w:sz="4" w:space="0"/>
              <w:left w:val="single" w:color="auto" w:sz="4" w:space="0"/>
              <w:bottom w:val="single" w:color="auto" w:sz="4" w:space="0"/>
              <w:right w:val="single" w:color="auto" w:sz="4" w:space="0"/>
            </w:tcBorders>
            <w:shd w:val="clear" w:color="auto" w:fill="auto"/>
            <w:vAlign w:val="center"/>
          </w:tcPr>
          <w:p w14:paraId="44A9AC93">
            <w:pPr>
              <w:pStyle w:val="25"/>
              <w:pageBreakBefore w:val="0"/>
              <w:shd w:val="clear"/>
              <w:wordWrap/>
              <w:overflowPunct/>
              <w:topLinePunct w:val="0"/>
              <w:bidi w:val="0"/>
              <w:spacing w:before="65" w:line="25" w:lineRule="atLeast"/>
              <w:ind w:left="0" w:leftChars="0" w:right="0" w:rightChars="0" w:firstLine="0" w:firstLineChars="0"/>
              <w:jc w:val="center"/>
              <w:rPr>
                <w:rFonts w:hint="eastAsia" w:ascii="仿宋" w:hAnsi="仿宋" w:eastAsia="仿宋" w:cs="仿宋"/>
                <w:snapToGrid w:val="0"/>
                <w:color w:val="auto"/>
                <w:spacing w:val="1"/>
                <w:kern w:val="0"/>
                <w:sz w:val="20"/>
                <w:szCs w:val="20"/>
                <w:highlight w:val="none"/>
                <w:lang w:val="en-US" w:eastAsia="en-US" w:bidi="ar-SA"/>
              </w:rPr>
            </w:pPr>
            <w:r>
              <w:rPr>
                <w:rFonts w:hint="eastAsia" w:ascii="仿宋" w:hAnsi="仿宋" w:eastAsia="仿宋" w:cs="仿宋"/>
                <w:snapToGrid w:val="0"/>
                <w:color w:val="auto"/>
                <w:spacing w:val="1"/>
                <w:kern w:val="0"/>
                <w:sz w:val="20"/>
                <w:szCs w:val="20"/>
                <w:highlight w:val="none"/>
                <w:lang w:val="en-US" w:eastAsia="en-US" w:bidi="ar-SA"/>
              </w:rPr>
              <w:t>四、技术部分</w:t>
            </w:r>
          </w:p>
        </w:tc>
        <w:tc>
          <w:tcPr>
            <w:tcW w:w="4825" w:type="dxa"/>
            <w:tcBorders>
              <w:top w:val="single" w:color="auto" w:sz="4" w:space="0"/>
              <w:left w:val="single" w:color="auto" w:sz="4" w:space="0"/>
              <w:bottom w:val="single" w:color="auto" w:sz="4" w:space="0"/>
              <w:right w:val="single" w:color="auto" w:sz="4" w:space="0"/>
            </w:tcBorders>
            <w:shd w:val="clear" w:color="auto" w:fill="auto"/>
            <w:vAlign w:val="center"/>
          </w:tcPr>
          <w:p w14:paraId="54E707EA">
            <w:pPr>
              <w:pStyle w:val="25"/>
              <w:pageBreakBefore w:val="0"/>
              <w:shd w:val="clear"/>
              <w:wordWrap/>
              <w:overflowPunct/>
              <w:topLinePunct w:val="0"/>
              <w:bidi w:val="0"/>
              <w:spacing w:before="59" w:line="25" w:lineRule="atLeast"/>
              <w:ind w:left="117" w:right="106" w:firstLine="8"/>
              <w:jc w:val="both"/>
              <w:rPr>
                <w:rFonts w:hint="eastAsia" w:ascii="仿宋" w:hAnsi="仿宋" w:eastAsia="仿宋" w:cs="仿宋"/>
                <w:color w:val="auto"/>
                <w:spacing w:val="8"/>
                <w:sz w:val="20"/>
                <w:szCs w:val="20"/>
                <w:highlight w:val="none"/>
                <w:lang w:val="en-US" w:eastAsia="en-US"/>
              </w:rPr>
            </w:pPr>
            <w:r>
              <w:rPr>
                <w:rFonts w:hint="eastAsia" w:ascii="仿宋" w:hAnsi="仿宋" w:eastAsia="仿宋" w:cs="仿宋"/>
                <w:color w:val="auto"/>
                <w:spacing w:val="8"/>
                <w:sz w:val="20"/>
                <w:szCs w:val="20"/>
                <w:highlight w:val="none"/>
              </w:rPr>
              <w:t>投标人根据第四章“评标方法”技术评分要求提供相关资料及认为需要提供的其他技术材料</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BAD1779">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800" w:type="dxa"/>
            <w:tcBorders>
              <w:top w:val="single" w:color="auto" w:sz="4" w:space="0"/>
              <w:left w:val="single" w:color="auto" w:sz="4" w:space="0"/>
              <w:bottom w:val="single" w:color="auto" w:sz="4" w:space="0"/>
              <w:right w:val="single" w:color="auto" w:sz="4" w:space="0"/>
            </w:tcBorders>
            <w:shd w:val="clear" w:color="auto" w:fill="auto"/>
            <w:vAlign w:val="center"/>
          </w:tcPr>
          <w:p w14:paraId="7F9E9363">
            <w:pPr>
              <w:pStyle w:val="25"/>
              <w:pageBreakBefore w:val="0"/>
              <w:shd w:val="clear"/>
              <w:wordWrap/>
              <w:overflowPunct/>
              <w:topLinePunct w:val="0"/>
              <w:bidi w:val="0"/>
              <w:spacing w:before="65" w:line="25" w:lineRule="atLeast"/>
              <w:jc w:val="center"/>
              <w:rPr>
                <w:rFonts w:hint="eastAsia" w:ascii="仿宋" w:hAnsi="仿宋" w:eastAsia="仿宋" w:cs="仿宋"/>
                <w:snapToGrid w:val="0"/>
                <w:color w:val="auto"/>
                <w:kern w:val="0"/>
                <w:sz w:val="20"/>
                <w:szCs w:val="20"/>
                <w:highlight w:val="none"/>
                <w:lang w:val="en-US" w:eastAsia="en-US" w:bidi="ar-SA"/>
              </w:rPr>
            </w:pPr>
            <w:r>
              <w:rPr>
                <w:rFonts w:hint="eastAsia" w:ascii="仿宋" w:hAnsi="仿宋" w:eastAsia="仿宋" w:cs="仿宋"/>
                <w:color w:val="auto"/>
                <w:spacing w:val="4"/>
                <w:position w:val="-8"/>
                <w:sz w:val="20"/>
                <w:szCs w:val="20"/>
                <w:highlight w:val="none"/>
              </w:rPr>
              <w:t>……</w:t>
            </w:r>
          </w:p>
        </w:tc>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7E578152">
            <w:pPr>
              <w:pStyle w:val="25"/>
              <w:pageBreakBefore w:val="0"/>
              <w:shd w:val="clear"/>
              <w:wordWrap/>
              <w:overflowPunct/>
              <w:topLinePunct w:val="0"/>
              <w:bidi w:val="0"/>
              <w:spacing w:before="65" w:line="25" w:lineRule="atLeast"/>
              <w:ind w:left="246" w:leftChars="0"/>
              <w:jc w:val="center"/>
              <w:rPr>
                <w:rFonts w:hint="eastAsia" w:ascii="仿宋" w:hAnsi="仿宋" w:eastAsia="仿宋" w:cs="仿宋"/>
                <w:color w:val="auto"/>
                <w:spacing w:val="4"/>
                <w:sz w:val="20"/>
                <w:szCs w:val="20"/>
                <w:highlight w:val="none"/>
              </w:rPr>
            </w:pPr>
          </w:p>
        </w:tc>
      </w:tr>
    </w:tbl>
    <w:p w14:paraId="24EC03B9">
      <w:pPr>
        <w:pageBreakBefore w:val="0"/>
        <w:shd w:val="clear"/>
        <w:wordWrap/>
        <w:overflowPunct/>
        <w:topLinePunct w:val="0"/>
        <w:bidi w:val="0"/>
        <w:spacing w:line="25" w:lineRule="atLeast"/>
        <w:rPr>
          <w:rFonts w:ascii="Arial"/>
          <w:color w:val="auto"/>
          <w:sz w:val="5"/>
          <w:highlight w:val="none"/>
        </w:rPr>
      </w:pPr>
    </w:p>
    <w:p w14:paraId="553A6958">
      <w:pPr>
        <w:pStyle w:val="11"/>
        <w:pageBreakBefore w:val="0"/>
        <w:shd w:val="clear"/>
        <w:wordWrap/>
        <w:overflowPunct/>
        <w:topLinePunct w:val="0"/>
        <w:bidi w:val="0"/>
        <w:spacing w:before="54" w:line="25" w:lineRule="atLeast"/>
        <w:jc w:val="both"/>
        <w:rPr>
          <w:color w:val="auto"/>
          <w:sz w:val="20"/>
          <w:szCs w:val="20"/>
          <w:highlight w:val="none"/>
        </w:rPr>
      </w:pPr>
      <w:r>
        <w:rPr>
          <w:b/>
          <w:bCs/>
          <w:color w:val="auto"/>
          <w:spacing w:val="9"/>
          <w:sz w:val="20"/>
          <w:szCs w:val="20"/>
          <w:highlight w:val="none"/>
        </w:rPr>
        <w:t>注：1.</w:t>
      </w:r>
      <w:r>
        <w:rPr>
          <w:color w:val="auto"/>
          <w:spacing w:val="9"/>
          <w:sz w:val="20"/>
          <w:szCs w:val="20"/>
          <w:highlight w:val="none"/>
        </w:rPr>
        <w:t>该目录为方便评标委员会查找相关证明文件及评审条</w:t>
      </w:r>
      <w:r>
        <w:rPr>
          <w:color w:val="auto"/>
          <w:spacing w:val="8"/>
          <w:sz w:val="20"/>
          <w:szCs w:val="20"/>
          <w:highlight w:val="none"/>
        </w:rPr>
        <w:t>件，应尽可能的详细、清晰，投标人</w:t>
      </w:r>
      <w:r>
        <w:rPr>
          <w:color w:val="auto"/>
          <w:spacing w:val="-2"/>
          <w:sz w:val="20"/>
          <w:szCs w:val="20"/>
          <w:highlight w:val="none"/>
        </w:rPr>
        <w:t>可根据自身情况补充完善；投标文件的编制顺序应按此表顺序，并连续</w:t>
      </w:r>
      <w:r>
        <w:rPr>
          <w:color w:val="auto"/>
          <w:spacing w:val="-3"/>
          <w:sz w:val="20"/>
          <w:szCs w:val="20"/>
          <w:highlight w:val="none"/>
        </w:rPr>
        <w:t>编排页码(扫描可以采用页码机</w:t>
      </w:r>
      <w:r>
        <w:rPr>
          <w:color w:val="auto"/>
          <w:spacing w:val="-4"/>
          <w:sz w:val="20"/>
          <w:szCs w:val="20"/>
          <w:highlight w:val="none"/>
        </w:rPr>
        <w:t>加盖页码)。</w:t>
      </w:r>
    </w:p>
    <w:p w14:paraId="3C9E2301">
      <w:pPr>
        <w:pageBreakBefore w:val="0"/>
        <w:shd w:val="clear"/>
        <w:wordWrap/>
        <w:overflowPunct/>
        <w:topLinePunct w:val="0"/>
        <w:bidi w:val="0"/>
        <w:spacing w:line="25" w:lineRule="atLeast"/>
        <w:rPr>
          <w:rFonts w:ascii="Arial" w:hAnsi="Arial" w:eastAsia="Arial" w:cs="Arial"/>
          <w:color w:val="auto"/>
          <w:sz w:val="5"/>
          <w:szCs w:val="5"/>
          <w:highlight w:val="none"/>
        </w:rPr>
      </w:pPr>
    </w:p>
    <w:p w14:paraId="168F6D97">
      <w:pPr>
        <w:pageBreakBefore w:val="0"/>
        <w:shd w:val="clear"/>
        <w:wordWrap/>
        <w:overflowPunct/>
        <w:topLinePunct w:val="0"/>
        <w:bidi w:val="0"/>
        <w:spacing w:line="25" w:lineRule="atLeast"/>
        <w:rPr>
          <w:rFonts w:ascii="Arial" w:hAnsi="Arial" w:eastAsia="Arial" w:cs="Arial"/>
          <w:color w:val="auto"/>
          <w:sz w:val="5"/>
          <w:szCs w:val="5"/>
          <w:highlight w:val="none"/>
        </w:rPr>
        <w:sectPr>
          <w:headerReference r:id="rId15" w:type="default"/>
          <w:footerReference r:id="rId16" w:type="default"/>
          <w:pgSz w:w="11906" w:h="16839"/>
          <w:pgMar w:top="1440" w:right="1800" w:bottom="1440" w:left="1800" w:header="1090" w:footer="1253" w:gutter="0"/>
          <w:pgNumType w:fmt="decimal"/>
          <w:cols w:space="720" w:num="1"/>
        </w:sectPr>
      </w:pPr>
    </w:p>
    <w:p w14:paraId="5E759C90">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139FC667">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6A44047F">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48B24234">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4083329C">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24746A5E">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2A3F8B86">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25E9DEB6">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738611CB">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47E9CF46">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016D45C9">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2E499C32">
      <w:pPr>
        <w:keepNext w:val="0"/>
        <w:keepLines w:val="0"/>
        <w:pageBreakBefore w:val="0"/>
        <w:widowControl/>
        <w:shd w:val="clear"/>
        <w:kinsoku w:val="0"/>
        <w:wordWrap w:val="0"/>
        <w:overflowPunct/>
        <w:topLinePunct w:val="0"/>
        <w:autoSpaceDE w:val="0"/>
        <w:autoSpaceDN w:val="0"/>
        <w:bidi w:val="0"/>
        <w:adjustRightInd w:val="0"/>
        <w:snapToGrid w:val="0"/>
        <w:spacing w:before="231" w:line="218" w:lineRule="auto"/>
        <w:ind w:left="2985"/>
        <w:textAlignment w:val="baseline"/>
        <w:rPr>
          <w:rFonts w:ascii="宋体" w:hAnsi="宋体" w:eastAsia="宋体" w:cs="宋体"/>
          <w:color w:val="auto"/>
          <w:sz w:val="71"/>
          <w:szCs w:val="71"/>
          <w:highlight w:val="none"/>
        </w:rPr>
      </w:pPr>
      <w:r>
        <w:rPr>
          <w:rFonts w:ascii="宋体" w:hAnsi="宋体" w:eastAsia="宋体" w:cs="宋体"/>
          <w:b/>
          <w:bCs/>
          <w:color w:val="auto"/>
          <w:spacing w:val="-2"/>
          <w:sz w:val="71"/>
          <w:szCs w:val="71"/>
          <w:highlight w:val="none"/>
        </w:rPr>
        <w:t>投标文件</w:t>
      </w:r>
    </w:p>
    <w:p w14:paraId="55C632E0">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385278B3">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5A347996">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4A14DCD7">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4C667BF7">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6DBCBD31">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4C6C14BE">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3BF12411">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52E923C8">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70AC4550">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132410FA">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1B7A9B0C">
      <w:pPr>
        <w:keepNext w:val="0"/>
        <w:keepLines w:val="0"/>
        <w:pageBreakBefore w:val="0"/>
        <w:widowControl/>
        <w:shd w:val="clear"/>
        <w:kinsoku w:val="0"/>
        <w:wordWrap w:val="0"/>
        <w:overflowPunct/>
        <w:topLinePunct w:val="0"/>
        <w:autoSpaceDE w:val="0"/>
        <w:autoSpaceDN w:val="0"/>
        <w:bidi w:val="0"/>
        <w:adjustRightInd w:val="0"/>
        <w:snapToGrid w:val="0"/>
        <w:spacing w:before="169" w:line="241" w:lineRule="auto"/>
        <w:ind w:left="2879"/>
        <w:textAlignment w:val="baseline"/>
        <w:outlineLvl w:val="0"/>
        <w:rPr>
          <w:rFonts w:ascii="黑体" w:hAnsi="黑体" w:eastAsia="黑体" w:cs="黑体"/>
          <w:color w:val="auto"/>
          <w:sz w:val="52"/>
          <w:szCs w:val="52"/>
          <w:highlight w:val="none"/>
        </w:rPr>
      </w:pPr>
      <w:bookmarkStart w:id="24" w:name="_Toc21200"/>
      <w:bookmarkStart w:id="25" w:name="_Toc18389"/>
      <w:r>
        <w:rPr>
          <w:rFonts w:ascii="黑体" w:hAnsi="黑体" w:eastAsia="黑体" w:cs="黑体"/>
          <w:color w:val="auto"/>
          <w:spacing w:val="-5"/>
          <w:sz w:val="52"/>
          <w:szCs w:val="52"/>
          <w:highlight w:val="none"/>
        </w:rPr>
        <w:t>资格审查部分</w:t>
      </w:r>
      <w:bookmarkEnd w:id="24"/>
      <w:bookmarkEnd w:id="25"/>
    </w:p>
    <w:p w14:paraId="7DE9E20B">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54ED706B">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32F931B6">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21698D35">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2103C377">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25DCE5AF">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37F0C491">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78A7F080">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34852B8E">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16B529A1">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7F16EE9C">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2AFA24D9">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6FFF85DB">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01A902C4">
      <w:pPr>
        <w:pStyle w:val="11"/>
        <w:keepNext w:val="0"/>
        <w:keepLines w:val="0"/>
        <w:pageBreakBefore w:val="0"/>
        <w:widowControl/>
        <w:shd w:val="clear"/>
        <w:kinsoku w:val="0"/>
        <w:wordWrap w:val="0"/>
        <w:overflowPunct/>
        <w:topLinePunct w:val="0"/>
        <w:autoSpaceDE w:val="0"/>
        <w:autoSpaceDN w:val="0"/>
        <w:bidi w:val="0"/>
        <w:adjustRightInd w:val="0"/>
        <w:snapToGrid w:val="0"/>
        <w:spacing w:before="100" w:line="221" w:lineRule="auto"/>
        <w:textAlignment w:val="baseline"/>
        <w:rPr>
          <w:color w:val="auto"/>
          <w:highlight w:val="none"/>
        </w:rPr>
      </w:pPr>
      <w:r>
        <w:rPr>
          <w:color w:val="auto"/>
          <w:spacing w:val="4"/>
          <w:highlight w:val="none"/>
        </w:rPr>
        <w:t>项目名称：</w:t>
      </w:r>
    </w:p>
    <w:p w14:paraId="02258773">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7" w:line="224" w:lineRule="auto"/>
        <w:textAlignment w:val="baseline"/>
        <w:rPr>
          <w:color w:val="auto"/>
          <w:highlight w:val="none"/>
        </w:rPr>
      </w:pPr>
      <w:r>
        <w:rPr>
          <w:color w:val="auto"/>
          <w:spacing w:val="4"/>
          <w:highlight w:val="none"/>
        </w:rPr>
        <w:t>项目编号：</w:t>
      </w:r>
    </w:p>
    <w:p w14:paraId="3397AD96">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2" w:line="221" w:lineRule="auto"/>
        <w:textAlignment w:val="baseline"/>
        <w:rPr>
          <w:color w:val="auto"/>
          <w:highlight w:val="none"/>
        </w:rPr>
      </w:pPr>
      <w:r>
        <w:rPr>
          <w:color w:val="auto"/>
          <w:spacing w:val="7"/>
          <w:highlight w:val="none"/>
        </w:rPr>
        <w:t>投标人名称（公章</w:t>
      </w:r>
      <w:r>
        <w:rPr>
          <w:color w:val="auto"/>
          <w:spacing w:val="2"/>
          <w:highlight w:val="none"/>
        </w:rPr>
        <w:t>）：</w:t>
      </w:r>
    </w:p>
    <w:p w14:paraId="112C33C6">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8" w:line="222" w:lineRule="auto"/>
        <w:ind w:left="3546"/>
        <w:textAlignment w:val="baseline"/>
        <w:rPr>
          <w:color w:val="auto"/>
          <w:highlight w:val="none"/>
        </w:rPr>
      </w:pPr>
      <w:r>
        <w:rPr>
          <w:color w:val="auto"/>
          <w:spacing w:val="-9"/>
          <w:highlight w:val="none"/>
        </w:rPr>
        <w:t>年</w:t>
      </w:r>
      <w:r>
        <w:rPr>
          <w:color w:val="auto"/>
          <w:spacing w:val="20"/>
          <w:highlight w:val="none"/>
        </w:rPr>
        <w:t xml:space="preserve">  </w:t>
      </w:r>
      <w:r>
        <w:rPr>
          <w:color w:val="auto"/>
          <w:spacing w:val="-9"/>
          <w:highlight w:val="none"/>
        </w:rPr>
        <w:t>月</w:t>
      </w:r>
      <w:r>
        <w:rPr>
          <w:color w:val="auto"/>
          <w:spacing w:val="42"/>
          <w:highlight w:val="none"/>
        </w:rPr>
        <w:t xml:space="preserve">  </w:t>
      </w:r>
      <w:r>
        <w:rPr>
          <w:color w:val="auto"/>
          <w:spacing w:val="-9"/>
          <w:highlight w:val="none"/>
        </w:rPr>
        <w:t>日</w:t>
      </w:r>
    </w:p>
    <w:p w14:paraId="15579331">
      <w:pPr>
        <w:keepNext w:val="0"/>
        <w:keepLines w:val="0"/>
        <w:pageBreakBefore w:val="0"/>
        <w:widowControl/>
        <w:shd w:val="clear"/>
        <w:kinsoku w:val="0"/>
        <w:wordWrap w:val="0"/>
        <w:overflowPunct/>
        <w:topLinePunct w:val="0"/>
        <w:autoSpaceDE w:val="0"/>
        <w:autoSpaceDN w:val="0"/>
        <w:bidi w:val="0"/>
        <w:adjustRightInd w:val="0"/>
        <w:snapToGrid w:val="0"/>
        <w:spacing w:line="222" w:lineRule="auto"/>
        <w:textAlignment w:val="baseline"/>
        <w:rPr>
          <w:color w:val="auto"/>
          <w:highlight w:val="none"/>
        </w:rPr>
      </w:pPr>
    </w:p>
    <w:p w14:paraId="5A87EDFF">
      <w:pPr>
        <w:pStyle w:val="26"/>
        <w:shd w:val="clear"/>
        <w:rPr>
          <w:color w:val="auto"/>
          <w:highlight w:val="none"/>
        </w:rPr>
        <w:sectPr>
          <w:footerReference r:id="rId17" w:type="default"/>
          <w:pgSz w:w="11906" w:h="16839"/>
          <w:pgMar w:top="1440" w:right="1800" w:bottom="1440" w:left="1800" w:header="1417" w:footer="1417" w:gutter="0"/>
          <w:pgNumType w:fmt="decimal"/>
          <w:cols w:space="720" w:num="1"/>
        </w:sectPr>
      </w:pPr>
    </w:p>
    <w:p w14:paraId="4A8C8D3B">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218" w:lineRule="auto"/>
        <w:ind w:left="43"/>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pacing w:val="-11"/>
          <w:sz w:val="28"/>
          <w:szCs w:val="28"/>
          <w:highlight w:val="none"/>
        </w:rPr>
        <w:t>附件1：</w:t>
      </w:r>
    </w:p>
    <w:p w14:paraId="23F826F4">
      <w:pPr>
        <w:pStyle w:val="5"/>
        <w:shd w:val="clear"/>
        <w:bidi w:val="0"/>
        <w:rPr>
          <w:rFonts w:hint="eastAsia" w:ascii="仿宋" w:hAnsi="仿宋" w:eastAsia="仿宋" w:cs="仿宋"/>
          <w:color w:val="auto"/>
          <w:highlight w:val="none"/>
        </w:rPr>
      </w:pPr>
      <w:r>
        <w:rPr>
          <w:rFonts w:hint="eastAsia" w:ascii="仿宋" w:hAnsi="仿宋" w:eastAsia="仿宋" w:cs="仿宋"/>
          <w:color w:val="auto"/>
          <w:highlight w:val="none"/>
        </w:rPr>
        <w:t>营业执照</w:t>
      </w:r>
    </w:p>
    <w:p w14:paraId="6978EFFB">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具有独立承担民事责任的能力的法人参与招标需提供营业执照及有效期内的法定代表人身份证明（有授权委托人的需提交授权委托书，且授权委托人身份证明应为有效期内证件）</w:t>
      </w:r>
      <w:r>
        <w:rPr>
          <w:rFonts w:hint="eastAsia" w:ascii="仿宋" w:hAnsi="仿宋" w:eastAsia="仿宋" w:cs="仿宋"/>
          <w:color w:val="auto"/>
          <w:spacing w:val="7"/>
          <w:sz w:val="24"/>
          <w:szCs w:val="24"/>
          <w:highlight w:val="none"/>
        </w:rPr>
        <w:t>文件复印件加盖公章;自然人参与招标需提供自然人有效期</w:t>
      </w:r>
      <w:r>
        <w:rPr>
          <w:rFonts w:hint="eastAsia" w:ascii="仿宋" w:hAnsi="仿宋" w:eastAsia="仿宋" w:cs="仿宋"/>
          <w:color w:val="auto"/>
          <w:spacing w:val="-3"/>
          <w:sz w:val="24"/>
          <w:szCs w:val="24"/>
          <w:highlight w:val="none"/>
        </w:rPr>
        <w:t>内的身份证明。</w:t>
      </w:r>
    </w:p>
    <w:p w14:paraId="68D5AD35">
      <w:pPr>
        <w:keepNext w:val="0"/>
        <w:keepLines w:val="0"/>
        <w:pageBreakBefore w:val="0"/>
        <w:widowControl/>
        <w:shd w:val="clear"/>
        <w:kinsoku w:val="0"/>
        <w:wordWrap w:val="0"/>
        <w:overflowPunct/>
        <w:topLinePunct w:val="0"/>
        <w:autoSpaceDE w:val="0"/>
        <w:autoSpaceDN w:val="0"/>
        <w:bidi w:val="0"/>
        <w:adjustRightInd w:val="0"/>
        <w:snapToGrid w:val="0"/>
        <w:spacing w:line="421" w:lineRule="auto"/>
        <w:textAlignment w:val="baseline"/>
        <w:rPr>
          <w:rFonts w:hint="eastAsia" w:ascii="仿宋" w:hAnsi="仿宋" w:eastAsia="仿宋" w:cs="仿宋"/>
          <w:color w:val="auto"/>
          <w:sz w:val="28"/>
          <w:szCs w:val="28"/>
          <w:highlight w:val="none"/>
        </w:rPr>
      </w:pPr>
    </w:p>
    <w:p w14:paraId="59CF50AF">
      <w:pPr>
        <w:pStyle w:val="26"/>
        <w:shd w:val="clear"/>
        <w:rPr>
          <w:rFonts w:hint="eastAsia" w:ascii="仿宋" w:hAnsi="仿宋" w:eastAsia="仿宋" w:cs="仿宋"/>
          <w:color w:val="auto"/>
          <w:highlight w:val="none"/>
        </w:rPr>
        <w:sectPr>
          <w:footerReference r:id="rId18" w:type="default"/>
          <w:pgSz w:w="11906" w:h="16839"/>
          <w:pgMar w:top="1440" w:right="1800" w:bottom="1440" w:left="1800" w:header="1417" w:footer="1417" w:gutter="0"/>
          <w:pgNumType w:fmt="decimal"/>
          <w:cols w:space="720" w:num="1"/>
        </w:sectPr>
      </w:pPr>
    </w:p>
    <w:p w14:paraId="7BFEB955">
      <w:pPr>
        <w:pStyle w:val="5"/>
        <w:shd w:val="clear"/>
        <w:bidi w:val="0"/>
        <w:rPr>
          <w:rFonts w:hint="eastAsia" w:ascii="仿宋" w:hAnsi="仿宋" w:eastAsia="仿宋" w:cs="仿宋"/>
          <w:color w:val="auto"/>
          <w:highlight w:val="none"/>
        </w:rPr>
      </w:pPr>
      <w:r>
        <w:rPr>
          <w:rFonts w:hint="eastAsia" w:ascii="仿宋" w:hAnsi="仿宋" w:eastAsia="仿宋" w:cs="仿宋"/>
          <w:color w:val="auto"/>
          <w:highlight w:val="none"/>
        </w:rPr>
        <w:t>法定代表人身份证明书（统一格式）</w:t>
      </w:r>
    </w:p>
    <w:p w14:paraId="2780D031">
      <w:pPr>
        <w:pStyle w:val="11"/>
        <w:keepNext w:val="0"/>
        <w:keepLines w:val="0"/>
        <w:pageBreakBefore w:val="0"/>
        <w:widowControl/>
        <w:shd w:val="clear"/>
        <w:kinsoku w:val="0"/>
        <w:wordWrap w:val="0"/>
        <w:overflowPunct/>
        <w:topLinePunct w:val="0"/>
        <w:autoSpaceDE w:val="0"/>
        <w:autoSpaceDN w:val="0"/>
        <w:bidi w:val="0"/>
        <w:adjustRightInd w:val="0"/>
        <w:snapToGrid w:val="0"/>
        <w:spacing w:before="182" w:line="360" w:lineRule="auto"/>
        <w:ind w:left="58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单位名称：</w:t>
      </w:r>
      <w:r>
        <w:rPr>
          <w:rFonts w:hint="eastAsia" w:ascii="仿宋" w:hAnsi="仿宋" w:eastAsia="仿宋" w:cs="仿宋"/>
          <w:color w:val="auto"/>
          <w:sz w:val="24"/>
          <w:szCs w:val="24"/>
          <w:highlight w:val="none"/>
          <w:u w:val="single" w:color="auto"/>
        </w:rPr>
        <w:t xml:space="preserve">                                   </w:t>
      </w:r>
    </w:p>
    <w:p w14:paraId="273C99E5">
      <w:pPr>
        <w:pStyle w:val="11"/>
        <w:keepNext w:val="0"/>
        <w:keepLines w:val="0"/>
        <w:pageBreakBefore w:val="0"/>
        <w:widowControl/>
        <w:shd w:val="clear"/>
        <w:kinsoku w:val="0"/>
        <w:wordWrap w:val="0"/>
        <w:overflowPunct/>
        <w:topLinePunct w:val="0"/>
        <w:autoSpaceDE w:val="0"/>
        <w:autoSpaceDN w:val="0"/>
        <w:bidi w:val="0"/>
        <w:adjustRightInd w:val="0"/>
        <w:snapToGrid w:val="0"/>
        <w:spacing w:before="73" w:line="360" w:lineRule="auto"/>
        <w:ind w:left="58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单位类型：</w:t>
      </w:r>
      <w:r>
        <w:rPr>
          <w:rFonts w:hint="eastAsia" w:ascii="仿宋" w:hAnsi="仿宋" w:eastAsia="仿宋" w:cs="仿宋"/>
          <w:color w:val="auto"/>
          <w:sz w:val="24"/>
          <w:szCs w:val="24"/>
          <w:highlight w:val="none"/>
          <w:u w:val="single" w:color="auto"/>
        </w:rPr>
        <w:t xml:space="preserve">                                   </w:t>
      </w:r>
    </w:p>
    <w:p w14:paraId="1E8B0682">
      <w:pPr>
        <w:pStyle w:val="11"/>
        <w:keepNext w:val="0"/>
        <w:keepLines w:val="0"/>
        <w:pageBreakBefore w:val="0"/>
        <w:widowControl/>
        <w:shd w:val="clear"/>
        <w:kinsoku w:val="0"/>
        <w:wordWrap w:val="0"/>
        <w:overflowPunct/>
        <w:topLinePunct w:val="0"/>
        <w:autoSpaceDE w:val="0"/>
        <w:autoSpaceDN w:val="0"/>
        <w:bidi w:val="0"/>
        <w:adjustRightInd w:val="0"/>
        <w:snapToGrid w:val="0"/>
        <w:spacing w:before="70" w:line="360" w:lineRule="auto"/>
        <w:ind w:left="58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9"/>
          <w:sz w:val="24"/>
          <w:szCs w:val="24"/>
          <w:highlight w:val="none"/>
        </w:rPr>
        <w:t>住</w:t>
      </w:r>
      <w:r>
        <w:rPr>
          <w:rFonts w:hint="eastAsia" w:ascii="仿宋" w:hAnsi="仿宋" w:eastAsia="仿宋" w:cs="仿宋"/>
          <w:color w:val="auto"/>
          <w:spacing w:val="2"/>
          <w:sz w:val="24"/>
          <w:szCs w:val="24"/>
          <w:highlight w:val="none"/>
        </w:rPr>
        <w:t xml:space="preserve">    </w:t>
      </w:r>
      <w:r>
        <w:rPr>
          <w:rFonts w:hint="eastAsia" w:ascii="仿宋" w:hAnsi="仿宋" w:eastAsia="仿宋" w:cs="仿宋"/>
          <w:color w:val="auto"/>
          <w:spacing w:val="-19"/>
          <w:sz w:val="24"/>
          <w:szCs w:val="24"/>
          <w:highlight w:val="none"/>
        </w:rPr>
        <w:t>所：</w:t>
      </w:r>
      <w:r>
        <w:rPr>
          <w:rFonts w:hint="eastAsia" w:ascii="仿宋" w:hAnsi="仿宋" w:eastAsia="仿宋" w:cs="仿宋"/>
          <w:color w:val="auto"/>
          <w:sz w:val="24"/>
          <w:szCs w:val="24"/>
          <w:highlight w:val="none"/>
          <w:u w:val="single" w:color="auto"/>
        </w:rPr>
        <w:t xml:space="preserve">                                   </w:t>
      </w:r>
    </w:p>
    <w:p w14:paraId="0B28DDC5">
      <w:pPr>
        <w:pStyle w:val="11"/>
        <w:keepNext w:val="0"/>
        <w:keepLines w:val="0"/>
        <w:pageBreakBefore w:val="0"/>
        <w:widowControl/>
        <w:shd w:val="clear"/>
        <w:kinsoku w:val="0"/>
        <w:wordWrap w:val="0"/>
        <w:overflowPunct/>
        <w:topLinePunct w:val="0"/>
        <w:autoSpaceDE w:val="0"/>
        <w:autoSpaceDN w:val="0"/>
        <w:bidi w:val="0"/>
        <w:adjustRightInd w:val="0"/>
        <w:snapToGrid w:val="0"/>
        <w:spacing w:before="71" w:line="360" w:lineRule="auto"/>
        <w:ind w:left="58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成立日期：</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4"/>
          <w:sz w:val="24"/>
          <w:szCs w:val="24"/>
          <w:highlight w:val="none"/>
        </w:rPr>
        <w:t>年</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pacing w:val="-114"/>
          <w:sz w:val="24"/>
          <w:szCs w:val="24"/>
          <w:highlight w:val="none"/>
        </w:rPr>
        <w:t xml:space="preserve"> </w:t>
      </w:r>
      <w:r>
        <w:rPr>
          <w:rFonts w:hint="eastAsia" w:ascii="仿宋" w:hAnsi="仿宋" w:eastAsia="仿宋" w:cs="仿宋"/>
          <w:color w:val="auto"/>
          <w:spacing w:val="-4"/>
          <w:sz w:val="24"/>
          <w:szCs w:val="24"/>
          <w:highlight w:val="none"/>
        </w:rPr>
        <w:t>月</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pacing w:val="-76"/>
          <w:sz w:val="24"/>
          <w:szCs w:val="24"/>
          <w:highlight w:val="none"/>
        </w:rPr>
        <w:t xml:space="preserve"> </w:t>
      </w:r>
      <w:r>
        <w:rPr>
          <w:rFonts w:hint="eastAsia" w:ascii="仿宋" w:hAnsi="仿宋" w:eastAsia="仿宋" w:cs="仿宋"/>
          <w:color w:val="auto"/>
          <w:spacing w:val="-4"/>
          <w:sz w:val="24"/>
          <w:szCs w:val="24"/>
          <w:highlight w:val="none"/>
        </w:rPr>
        <w:t>日</w:t>
      </w:r>
    </w:p>
    <w:p w14:paraId="394100E3">
      <w:pPr>
        <w:pStyle w:val="11"/>
        <w:keepNext w:val="0"/>
        <w:keepLines w:val="0"/>
        <w:pageBreakBefore w:val="0"/>
        <w:widowControl/>
        <w:shd w:val="clear"/>
        <w:kinsoku w:val="0"/>
        <w:wordWrap w:val="0"/>
        <w:overflowPunct/>
        <w:topLinePunct w:val="0"/>
        <w:autoSpaceDE w:val="0"/>
        <w:autoSpaceDN w:val="0"/>
        <w:bidi w:val="0"/>
        <w:adjustRightInd w:val="0"/>
        <w:snapToGrid w:val="0"/>
        <w:spacing w:before="70" w:line="360" w:lineRule="auto"/>
        <w:ind w:left="6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营业期限：</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 xml:space="preserve">           </w:t>
      </w:r>
    </w:p>
    <w:p w14:paraId="0024AE3F">
      <w:pPr>
        <w:pStyle w:val="11"/>
        <w:keepNext w:val="0"/>
        <w:keepLines w:val="0"/>
        <w:pageBreakBefore w:val="0"/>
        <w:widowControl/>
        <w:shd w:val="clear"/>
        <w:kinsoku w:val="0"/>
        <w:wordWrap w:val="0"/>
        <w:overflowPunct/>
        <w:topLinePunct w:val="0"/>
        <w:autoSpaceDE w:val="0"/>
        <w:autoSpaceDN w:val="0"/>
        <w:bidi w:val="0"/>
        <w:adjustRightInd w:val="0"/>
        <w:snapToGrid w:val="0"/>
        <w:spacing w:before="68" w:line="360" w:lineRule="auto"/>
        <w:ind w:left="20" w:right="62" w:firstLine="56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姓    名：</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3"/>
          <w:sz w:val="24"/>
          <w:szCs w:val="24"/>
          <w:highlight w:val="none"/>
        </w:rPr>
        <w:t>性别：</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3"/>
          <w:sz w:val="24"/>
          <w:szCs w:val="24"/>
          <w:highlight w:val="none"/>
        </w:rPr>
        <w:t>系</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lang w:val="en-US" w:eastAsia="zh-CN"/>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3"/>
          <w:sz w:val="24"/>
          <w:szCs w:val="24"/>
          <w:highlight w:val="none"/>
        </w:rPr>
        <w:t>（投</w:t>
      </w:r>
      <w:r>
        <w:rPr>
          <w:rFonts w:hint="eastAsia" w:ascii="仿宋" w:hAnsi="仿宋" w:eastAsia="仿宋" w:cs="仿宋"/>
          <w:color w:val="auto"/>
          <w:spacing w:val="-1"/>
          <w:sz w:val="24"/>
          <w:szCs w:val="24"/>
          <w:highlight w:val="none"/>
        </w:rPr>
        <w:t>标人名称）的法定代表人。</w:t>
      </w:r>
    </w:p>
    <w:p w14:paraId="537A0E7D">
      <w:pPr>
        <w:pStyle w:val="11"/>
        <w:keepNext w:val="0"/>
        <w:keepLines w:val="0"/>
        <w:pageBreakBefore w:val="0"/>
        <w:widowControl/>
        <w:shd w:val="clear"/>
        <w:kinsoku w:val="0"/>
        <w:wordWrap w:val="0"/>
        <w:overflowPunct/>
        <w:topLinePunct w:val="0"/>
        <w:autoSpaceDE w:val="0"/>
        <w:autoSpaceDN w:val="0"/>
        <w:bidi w:val="0"/>
        <w:adjustRightInd w:val="0"/>
        <w:snapToGrid w:val="0"/>
        <w:spacing w:before="1" w:line="360" w:lineRule="auto"/>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特此证明。</w:t>
      </w:r>
    </w:p>
    <w:p w14:paraId="540723FA">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z w:val="24"/>
          <w:szCs w:val="24"/>
          <w:highlight w:val="none"/>
        </w:rPr>
      </w:pPr>
    </w:p>
    <w:p w14:paraId="33EDA72E">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360" w:lineRule="auto"/>
        <w:ind w:left="290"/>
        <w:textAlignment w:val="baseline"/>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（附法定代表人身份证正反两面扫描件）</w:t>
      </w:r>
    </w:p>
    <w:tbl>
      <w:tblPr>
        <w:tblStyle w:val="21"/>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172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261" w:type="dxa"/>
            <w:vAlign w:val="top"/>
          </w:tcPr>
          <w:p w14:paraId="36BF63A1">
            <w:pPr>
              <w:keepNext w:val="0"/>
              <w:keepLines w:val="0"/>
              <w:pageBreakBefore w:val="0"/>
              <w:widowControl w:val="0"/>
              <w:shd w:val="clear"/>
              <w:kinsoku/>
              <w:wordWrap w:val="0"/>
              <w:overflowPunct/>
              <w:topLinePunct w:val="0"/>
              <w:autoSpaceDE w:val="0"/>
              <w:autoSpaceDN w:val="0"/>
              <w:bidi w:val="0"/>
              <w:adjustRightInd w:val="0"/>
              <w:snapToGrid w:val="0"/>
              <w:spacing w:line="2000" w:lineRule="exact"/>
              <w:ind w:left="0" w:leftChars="0" w:right="0" w:rightChars="0" w:firstLine="0" w:firstLineChars="0"/>
              <w:jc w:val="center"/>
              <w:textAlignment w:val="baseline"/>
              <w:rPr>
                <w:rFonts w:hint="eastAsia" w:ascii="仿宋" w:hAnsi="仿宋" w:eastAsia="仿宋" w:cs="仿宋"/>
                <w:color w:val="auto"/>
                <w:sz w:val="28"/>
                <w:szCs w:val="28"/>
                <w:highlight w:val="none"/>
                <w:vertAlign w:val="baseline"/>
              </w:rPr>
            </w:pPr>
            <w:r>
              <w:rPr>
                <w:rFonts w:hint="eastAsia" w:ascii="仿宋" w:hAnsi="仿宋" w:eastAsia="仿宋" w:cs="仿宋"/>
                <w:color w:val="auto"/>
                <w:spacing w:val="8"/>
                <w:sz w:val="28"/>
                <w:szCs w:val="28"/>
                <w:highlight w:val="none"/>
              </w:rPr>
              <w:t>法定代表人身份证正面</w:t>
            </w:r>
          </w:p>
        </w:tc>
        <w:tc>
          <w:tcPr>
            <w:tcW w:w="4261" w:type="dxa"/>
            <w:vAlign w:val="top"/>
          </w:tcPr>
          <w:p w14:paraId="61B40931">
            <w:pPr>
              <w:keepNext w:val="0"/>
              <w:keepLines w:val="0"/>
              <w:pageBreakBefore w:val="0"/>
              <w:widowControl w:val="0"/>
              <w:shd w:val="clear"/>
              <w:kinsoku/>
              <w:wordWrap w:val="0"/>
              <w:overflowPunct/>
              <w:topLinePunct w:val="0"/>
              <w:autoSpaceDE w:val="0"/>
              <w:autoSpaceDN w:val="0"/>
              <w:bidi w:val="0"/>
              <w:adjustRightInd w:val="0"/>
              <w:snapToGrid w:val="0"/>
              <w:spacing w:line="2000" w:lineRule="exact"/>
              <w:ind w:left="0" w:leftChars="0" w:right="0" w:rightChars="0" w:firstLine="0" w:firstLineChars="0"/>
              <w:jc w:val="center"/>
              <w:textAlignment w:val="baseline"/>
              <w:rPr>
                <w:rFonts w:hint="eastAsia" w:ascii="仿宋" w:hAnsi="仿宋" w:eastAsia="仿宋" w:cs="仿宋"/>
                <w:color w:val="auto"/>
                <w:sz w:val="28"/>
                <w:szCs w:val="28"/>
                <w:highlight w:val="none"/>
                <w:vertAlign w:val="baseline"/>
              </w:rPr>
            </w:pPr>
            <w:r>
              <w:rPr>
                <w:rFonts w:hint="eastAsia" w:ascii="仿宋" w:hAnsi="仿宋" w:eastAsia="仿宋" w:cs="仿宋"/>
                <w:color w:val="auto"/>
                <w:spacing w:val="8"/>
                <w:sz w:val="28"/>
                <w:szCs w:val="28"/>
                <w:highlight w:val="none"/>
              </w:rPr>
              <w:t>法定代表人身份证反面</w:t>
            </w:r>
          </w:p>
        </w:tc>
      </w:tr>
    </w:tbl>
    <w:p w14:paraId="55DEB1B6">
      <w:pPr>
        <w:shd w:val="clear"/>
        <w:rPr>
          <w:rFonts w:hint="eastAsia" w:ascii="仿宋" w:hAnsi="仿宋" w:eastAsia="仿宋" w:cs="仿宋"/>
          <w:color w:val="auto"/>
          <w:highlight w:val="none"/>
        </w:rPr>
      </w:pPr>
    </w:p>
    <w:p w14:paraId="09C424EC">
      <w:pPr>
        <w:pStyle w:val="11"/>
        <w:keepNext w:val="0"/>
        <w:keepLines w:val="0"/>
        <w:pageBreakBefore w:val="0"/>
        <w:widowControl/>
        <w:shd w:val="clear"/>
        <w:kinsoku w:val="0"/>
        <w:wordWrap w:val="0"/>
        <w:overflowPunct/>
        <w:topLinePunct w:val="0"/>
        <w:autoSpaceDE w:val="0"/>
        <w:autoSpaceDN w:val="0"/>
        <w:bidi w:val="0"/>
        <w:adjustRightInd w:val="0"/>
        <w:snapToGrid w:val="0"/>
        <w:spacing w:before="92" w:line="360" w:lineRule="auto"/>
        <w:ind w:left="585"/>
        <w:textAlignment w:val="baseline"/>
        <w:rPr>
          <w:rFonts w:hint="eastAsia" w:ascii="仿宋" w:hAnsi="仿宋" w:eastAsia="仿宋" w:cs="仿宋"/>
          <w:color w:val="auto"/>
          <w:spacing w:val="1"/>
          <w:sz w:val="24"/>
          <w:szCs w:val="24"/>
          <w:highlight w:val="none"/>
        </w:rPr>
      </w:pPr>
      <w:r>
        <w:rPr>
          <w:rFonts w:hint="eastAsia" w:ascii="仿宋" w:hAnsi="仿宋" w:eastAsia="仿宋" w:cs="仿宋"/>
          <w:color w:val="auto"/>
          <w:spacing w:val="-3"/>
          <w:sz w:val="24"/>
          <w:szCs w:val="24"/>
          <w:highlight w:val="none"/>
        </w:rPr>
        <w:t>投标人(盖章</w:t>
      </w:r>
      <w:r>
        <w:rPr>
          <w:rFonts w:hint="eastAsia" w:ascii="仿宋" w:hAnsi="仿宋" w:eastAsia="仿宋" w:cs="仿宋"/>
          <w:color w:val="auto"/>
          <w:spacing w:val="1"/>
          <w:sz w:val="24"/>
          <w:szCs w:val="24"/>
          <w:highlight w:val="none"/>
        </w:rPr>
        <w:t>）：</w:t>
      </w:r>
    </w:p>
    <w:p w14:paraId="4E96771B">
      <w:pPr>
        <w:pStyle w:val="11"/>
        <w:keepNext w:val="0"/>
        <w:keepLines w:val="0"/>
        <w:pageBreakBefore w:val="0"/>
        <w:widowControl/>
        <w:shd w:val="clear"/>
        <w:kinsoku w:val="0"/>
        <w:wordWrap w:val="0"/>
        <w:overflowPunct/>
        <w:topLinePunct w:val="0"/>
        <w:autoSpaceDE w:val="0"/>
        <w:autoSpaceDN w:val="0"/>
        <w:bidi w:val="0"/>
        <w:adjustRightInd w:val="0"/>
        <w:snapToGrid w:val="0"/>
        <w:spacing w:before="92" w:line="360" w:lineRule="auto"/>
        <w:ind w:left="585"/>
        <w:textAlignment w:val="baseline"/>
        <w:rPr>
          <w:rFonts w:hint="eastAsia" w:ascii="仿宋" w:hAnsi="仿宋" w:eastAsia="仿宋" w:cs="仿宋"/>
          <w:color w:val="auto"/>
          <w:spacing w:val="-20"/>
          <w:sz w:val="24"/>
          <w:szCs w:val="24"/>
          <w:highlight w:val="none"/>
        </w:rPr>
      </w:pPr>
      <w:r>
        <w:rPr>
          <w:rFonts w:hint="eastAsia" w:ascii="仿宋" w:hAnsi="仿宋" w:eastAsia="仿宋" w:cs="仿宋"/>
          <w:color w:val="auto"/>
          <w:spacing w:val="-20"/>
          <w:sz w:val="24"/>
          <w:szCs w:val="24"/>
          <w:highlight w:val="none"/>
        </w:rPr>
        <w:t>日期：</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20"/>
          <w:sz w:val="24"/>
          <w:szCs w:val="24"/>
          <w:highlight w:val="none"/>
        </w:rPr>
        <w:t>年</w:t>
      </w:r>
      <w:r>
        <w:rPr>
          <w:rFonts w:hint="eastAsia" w:ascii="仿宋" w:hAnsi="仿宋" w:eastAsia="仿宋" w:cs="仿宋"/>
          <w:color w:val="auto"/>
          <w:spacing w:val="35"/>
          <w:sz w:val="24"/>
          <w:szCs w:val="24"/>
          <w:highlight w:val="none"/>
          <w:u w:val="single" w:color="auto"/>
        </w:rPr>
        <w:t xml:space="preserve">   </w:t>
      </w:r>
      <w:r>
        <w:rPr>
          <w:rFonts w:hint="eastAsia" w:ascii="仿宋" w:hAnsi="仿宋" w:eastAsia="仿宋" w:cs="仿宋"/>
          <w:color w:val="auto"/>
          <w:spacing w:val="-20"/>
          <w:sz w:val="24"/>
          <w:szCs w:val="24"/>
          <w:highlight w:val="none"/>
        </w:rPr>
        <w:t>月</w:t>
      </w:r>
      <w:r>
        <w:rPr>
          <w:rFonts w:hint="eastAsia" w:ascii="仿宋" w:hAnsi="仿宋" w:eastAsia="仿宋" w:cs="仿宋"/>
          <w:color w:val="auto"/>
          <w:spacing w:val="46"/>
          <w:sz w:val="24"/>
          <w:szCs w:val="24"/>
          <w:highlight w:val="none"/>
          <w:u w:val="single" w:color="auto"/>
        </w:rPr>
        <w:t xml:space="preserve">   </w:t>
      </w:r>
      <w:r>
        <w:rPr>
          <w:rFonts w:hint="eastAsia" w:ascii="仿宋" w:hAnsi="仿宋" w:eastAsia="仿宋" w:cs="仿宋"/>
          <w:color w:val="auto"/>
          <w:spacing w:val="-20"/>
          <w:sz w:val="24"/>
          <w:szCs w:val="24"/>
          <w:highlight w:val="none"/>
        </w:rPr>
        <w:t>日</w:t>
      </w:r>
    </w:p>
    <w:p w14:paraId="71414CED">
      <w:pPr>
        <w:shd w:val="clear"/>
        <w:rPr>
          <w:rFonts w:hint="eastAsia" w:ascii="仿宋" w:hAnsi="仿宋" w:eastAsia="仿宋" w:cs="仿宋"/>
          <w:color w:val="auto"/>
          <w:highlight w:val="none"/>
        </w:rPr>
      </w:pPr>
    </w:p>
    <w:p w14:paraId="2816BFFA">
      <w:pPr>
        <w:keepNext w:val="0"/>
        <w:keepLines w:val="0"/>
        <w:pageBreakBefore w:val="0"/>
        <w:widowControl/>
        <w:shd w:val="clear"/>
        <w:kinsoku w:val="0"/>
        <w:wordWrap w:val="0"/>
        <w:overflowPunct/>
        <w:topLinePunct w:val="0"/>
        <w:autoSpaceDE w:val="0"/>
        <w:autoSpaceDN w:val="0"/>
        <w:bidi w:val="0"/>
        <w:adjustRightInd w:val="0"/>
        <w:snapToGrid w:val="0"/>
        <w:spacing w:line="218" w:lineRule="auto"/>
        <w:textAlignment w:val="baseline"/>
        <w:rPr>
          <w:rFonts w:hint="eastAsia" w:ascii="仿宋" w:hAnsi="仿宋" w:eastAsia="仿宋" w:cs="仿宋"/>
          <w:color w:val="auto"/>
          <w:sz w:val="28"/>
          <w:szCs w:val="28"/>
          <w:highlight w:val="none"/>
        </w:rPr>
        <w:sectPr>
          <w:headerReference r:id="rId19" w:type="default"/>
          <w:footerReference r:id="rId20" w:type="default"/>
          <w:pgSz w:w="11906" w:h="16839"/>
          <w:pgMar w:top="1440" w:right="1800" w:bottom="1440" w:left="1800" w:header="1417" w:footer="1417" w:gutter="0"/>
          <w:pgNumType w:fmt="decimal"/>
          <w:cols w:space="720" w:num="1"/>
        </w:sectPr>
      </w:pPr>
    </w:p>
    <w:p w14:paraId="3D7F64E0">
      <w:pPr>
        <w:pStyle w:val="5"/>
        <w:shd w:val="clear"/>
        <w:bidi w:val="0"/>
        <w:rPr>
          <w:rFonts w:hint="eastAsia" w:ascii="仿宋" w:hAnsi="仿宋" w:eastAsia="仿宋" w:cs="仿宋"/>
          <w:color w:val="auto"/>
          <w:highlight w:val="none"/>
        </w:rPr>
      </w:pPr>
      <w:r>
        <w:rPr>
          <w:rFonts w:hint="eastAsia" w:ascii="仿宋" w:hAnsi="仿宋" w:eastAsia="仿宋" w:cs="仿宋"/>
          <w:color w:val="auto"/>
          <w:highlight w:val="none"/>
        </w:rPr>
        <w:t>法定代表人授权委托书（统一格式）</w:t>
      </w:r>
    </w:p>
    <w:p w14:paraId="24DFDFAD">
      <w:pPr>
        <w:pStyle w:val="11"/>
        <w:keepNext w:val="0"/>
        <w:keepLines w:val="0"/>
        <w:pageBreakBefore w:val="0"/>
        <w:widowControl/>
        <w:shd w:val="clear"/>
        <w:tabs>
          <w:tab w:val="left" w:pos="1331"/>
        </w:tabs>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本授权委托书声明：注册于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rPr>
        <w:t>（投标人住址</w:t>
      </w:r>
      <w:r>
        <w:rPr>
          <w:rFonts w:hint="eastAsia" w:ascii="仿宋" w:hAnsi="仿宋" w:eastAsia="仿宋" w:cs="仿宋"/>
          <w:color w:val="auto"/>
          <w:spacing w:val="-1"/>
          <w:sz w:val="24"/>
          <w:szCs w:val="24"/>
          <w:highlight w:val="none"/>
        </w:rPr>
        <w:t>）的</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3"/>
          <w:sz w:val="24"/>
          <w:szCs w:val="24"/>
          <w:highlight w:val="none"/>
        </w:rPr>
        <w:t>（投标人名称）的</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3"/>
          <w:sz w:val="24"/>
          <w:szCs w:val="24"/>
          <w:highlight w:val="none"/>
        </w:rPr>
        <w:t>（法定代表人姓名、职务）代表本</w:t>
      </w:r>
      <w:r>
        <w:rPr>
          <w:rFonts w:hint="eastAsia" w:ascii="仿宋" w:hAnsi="仿宋" w:eastAsia="仿宋" w:cs="仿宋"/>
          <w:color w:val="auto"/>
          <w:spacing w:val="1"/>
          <w:sz w:val="24"/>
          <w:szCs w:val="24"/>
          <w:highlight w:val="none"/>
        </w:rPr>
        <w:t>公司授权</w:t>
      </w:r>
      <w:r>
        <w:rPr>
          <w:rFonts w:hint="eastAsia" w:ascii="仿宋" w:hAnsi="仿宋" w:eastAsia="仿宋" w:cs="仿宋"/>
          <w:color w:val="auto"/>
          <w:spacing w:val="-120"/>
          <w:sz w:val="24"/>
          <w:szCs w:val="24"/>
          <w:highlight w:val="none"/>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（法定代表人授权委托人的姓</w:t>
      </w:r>
      <w:r>
        <w:rPr>
          <w:rFonts w:hint="eastAsia" w:ascii="仿宋" w:hAnsi="仿宋" w:eastAsia="仿宋" w:cs="仿宋"/>
          <w:color w:val="auto"/>
          <w:sz w:val="24"/>
          <w:szCs w:val="24"/>
          <w:highlight w:val="none"/>
        </w:rPr>
        <w:t>名、职务）为本公司的合</w:t>
      </w:r>
      <w:r>
        <w:rPr>
          <w:rFonts w:hint="eastAsia" w:ascii="仿宋" w:hAnsi="仿宋" w:eastAsia="仿宋" w:cs="仿宋"/>
          <w:color w:val="auto"/>
          <w:spacing w:val="1"/>
          <w:sz w:val="24"/>
          <w:szCs w:val="24"/>
          <w:highlight w:val="none"/>
        </w:rPr>
        <w:t>法委托人，就贵方组织的</w:t>
      </w:r>
      <w:r>
        <w:rPr>
          <w:rFonts w:hint="eastAsia" w:ascii="仿宋" w:hAnsi="仿宋" w:eastAsia="仿宋" w:cs="仿宋"/>
          <w:color w:val="auto"/>
          <w:spacing w:val="-98"/>
          <w:sz w:val="24"/>
          <w:szCs w:val="24"/>
          <w:highlight w:val="none"/>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（项目名称）项目（项目编</w:t>
      </w:r>
      <w:r>
        <w:rPr>
          <w:rFonts w:hint="eastAsia" w:ascii="仿宋" w:hAnsi="仿宋" w:eastAsia="仿宋" w:cs="仿宋"/>
          <w:color w:val="auto"/>
          <w:sz w:val="24"/>
          <w:szCs w:val="24"/>
          <w:highlight w:val="none"/>
        </w:rPr>
        <w:t>号</w:t>
      </w:r>
      <w:r>
        <w:rPr>
          <w:rFonts w:hint="eastAsia" w:ascii="仿宋" w:hAnsi="仿宋" w:eastAsia="仿宋" w:cs="仿宋"/>
          <w:color w:val="auto"/>
          <w:spacing w:val="-32"/>
          <w:sz w:val="24"/>
          <w:szCs w:val="24"/>
          <w:highlight w:val="none"/>
        </w:rPr>
        <w:t>：</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54"/>
          <w:sz w:val="24"/>
          <w:szCs w:val="24"/>
          <w:highlight w:val="none"/>
        </w:rPr>
        <w:t xml:space="preserve"> </w:t>
      </w:r>
      <w:r>
        <w:rPr>
          <w:rFonts w:hint="eastAsia" w:ascii="仿宋" w:hAnsi="仿宋" w:eastAsia="仿宋" w:cs="仿宋"/>
          <w:color w:val="auto"/>
          <w:spacing w:val="-32"/>
          <w:sz w:val="24"/>
          <w:szCs w:val="24"/>
          <w:highlight w:val="none"/>
        </w:rPr>
        <w:t>），</w:t>
      </w:r>
      <w:r>
        <w:rPr>
          <w:rFonts w:hint="eastAsia" w:ascii="仿宋" w:hAnsi="仿宋" w:eastAsia="仿宋" w:cs="仿宋"/>
          <w:color w:val="auto"/>
          <w:sz w:val="24"/>
          <w:szCs w:val="24"/>
          <w:highlight w:val="none"/>
        </w:rPr>
        <w:t>以本公司名义处理一切与之有关的事宜。投标人授权委托</w:t>
      </w:r>
      <w:r>
        <w:rPr>
          <w:rFonts w:hint="eastAsia" w:ascii="仿宋" w:hAnsi="仿宋" w:eastAsia="仿宋" w:cs="仿宋"/>
          <w:color w:val="auto"/>
          <w:spacing w:val="-3"/>
          <w:sz w:val="24"/>
          <w:szCs w:val="24"/>
          <w:highlight w:val="none"/>
        </w:rPr>
        <w:t>人在投标过程中所签署的一切文件和处理与之有关的一切事务，本公司均予以认</w:t>
      </w:r>
      <w:r>
        <w:rPr>
          <w:rFonts w:hint="eastAsia" w:ascii="仿宋" w:hAnsi="仿宋" w:eastAsia="仿宋" w:cs="仿宋"/>
          <w:color w:val="auto"/>
          <w:sz w:val="24"/>
          <w:szCs w:val="24"/>
          <w:highlight w:val="none"/>
        </w:rPr>
        <w:t>可并对此承担责任。法定代表人授权委托人无转委托权。</w:t>
      </w:r>
    </w:p>
    <w:p w14:paraId="1E111945">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特此授权。</w:t>
      </w:r>
    </w:p>
    <w:p w14:paraId="5D52F2B0">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本授权书于</w:t>
      </w:r>
      <w:r>
        <w:rPr>
          <w:rFonts w:hint="eastAsia" w:ascii="仿宋" w:hAnsi="仿宋" w:eastAsia="仿宋" w:cs="仿宋"/>
          <w:color w:val="auto"/>
          <w:spacing w:val="-6"/>
          <w:sz w:val="24"/>
          <w:szCs w:val="24"/>
          <w:highlight w:val="none"/>
          <w:u w:val="single" w:color="auto"/>
        </w:rPr>
        <w:t xml:space="preserve">     </w:t>
      </w:r>
      <w:r>
        <w:rPr>
          <w:rFonts w:hint="eastAsia" w:ascii="仿宋" w:hAnsi="仿宋" w:eastAsia="仿宋" w:cs="仿宋"/>
          <w:color w:val="auto"/>
          <w:spacing w:val="-6"/>
          <w:sz w:val="24"/>
          <w:szCs w:val="24"/>
          <w:highlight w:val="none"/>
        </w:rPr>
        <w:t>年</w:t>
      </w:r>
      <w:r>
        <w:rPr>
          <w:rFonts w:hint="eastAsia" w:ascii="仿宋" w:hAnsi="仿宋" w:eastAsia="仿宋" w:cs="仿宋"/>
          <w:color w:val="auto"/>
          <w:spacing w:val="-6"/>
          <w:sz w:val="24"/>
          <w:szCs w:val="24"/>
          <w:highlight w:val="none"/>
          <w:u w:val="single" w:color="auto"/>
        </w:rPr>
        <w:t xml:space="preserve">   </w:t>
      </w:r>
      <w:r>
        <w:rPr>
          <w:rFonts w:hint="eastAsia" w:ascii="仿宋" w:hAnsi="仿宋" w:eastAsia="仿宋" w:cs="仿宋"/>
          <w:color w:val="auto"/>
          <w:spacing w:val="-98"/>
          <w:sz w:val="24"/>
          <w:szCs w:val="24"/>
          <w:highlight w:val="none"/>
        </w:rPr>
        <w:t xml:space="preserve"> </w:t>
      </w:r>
      <w:r>
        <w:rPr>
          <w:rFonts w:hint="eastAsia" w:ascii="仿宋" w:hAnsi="仿宋" w:eastAsia="仿宋" w:cs="仿宋"/>
          <w:color w:val="auto"/>
          <w:spacing w:val="-6"/>
          <w:sz w:val="24"/>
          <w:szCs w:val="24"/>
          <w:highlight w:val="none"/>
        </w:rPr>
        <w:t>月</w:t>
      </w:r>
      <w:r>
        <w:rPr>
          <w:rFonts w:hint="eastAsia" w:ascii="仿宋" w:hAnsi="仿宋" w:eastAsia="仿宋" w:cs="仿宋"/>
          <w:color w:val="auto"/>
          <w:spacing w:val="-6"/>
          <w:sz w:val="24"/>
          <w:szCs w:val="24"/>
          <w:highlight w:val="none"/>
          <w:u w:val="single" w:color="auto"/>
        </w:rPr>
        <w:t xml:space="preserve">   </w:t>
      </w:r>
      <w:r>
        <w:rPr>
          <w:rFonts w:hint="eastAsia" w:ascii="仿宋" w:hAnsi="仿宋" w:eastAsia="仿宋" w:cs="仿宋"/>
          <w:color w:val="auto"/>
          <w:spacing w:val="-65"/>
          <w:sz w:val="24"/>
          <w:szCs w:val="24"/>
          <w:highlight w:val="none"/>
        </w:rPr>
        <w:t xml:space="preserve"> </w:t>
      </w:r>
      <w:r>
        <w:rPr>
          <w:rFonts w:hint="eastAsia" w:ascii="仿宋" w:hAnsi="仿宋" w:eastAsia="仿宋" w:cs="仿宋"/>
          <w:color w:val="auto"/>
          <w:spacing w:val="-6"/>
          <w:sz w:val="24"/>
          <w:szCs w:val="24"/>
          <w:highlight w:val="none"/>
        </w:rPr>
        <w:t>日-</w:t>
      </w:r>
      <w:r>
        <w:rPr>
          <w:rFonts w:hint="eastAsia" w:ascii="仿宋" w:hAnsi="仿宋" w:eastAsia="仿宋" w:cs="仿宋"/>
          <w:color w:val="auto"/>
          <w:spacing w:val="29"/>
          <w:sz w:val="24"/>
          <w:szCs w:val="24"/>
          <w:highlight w:val="none"/>
          <w:u w:val="single" w:color="auto"/>
        </w:rPr>
        <w:t xml:space="preserve">    </w:t>
      </w:r>
      <w:r>
        <w:rPr>
          <w:rFonts w:hint="eastAsia" w:ascii="仿宋" w:hAnsi="仿宋" w:eastAsia="仿宋" w:cs="仿宋"/>
          <w:color w:val="auto"/>
          <w:spacing w:val="-6"/>
          <w:sz w:val="24"/>
          <w:szCs w:val="24"/>
          <w:highlight w:val="none"/>
        </w:rPr>
        <w:t>年</w:t>
      </w:r>
      <w:r>
        <w:rPr>
          <w:rFonts w:hint="eastAsia" w:ascii="仿宋" w:hAnsi="仿宋" w:eastAsia="仿宋" w:cs="仿宋"/>
          <w:color w:val="auto"/>
          <w:spacing w:val="39"/>
          <w:sz w:val="24"/>
          <w:szCs w:val="24"/>
          <w:highlight w:val="none"/>
          <w:u w:val="single" w:color="auto"/>
        </w:rPr>
        <w:t xml:space="preserve">   </w:t>
      </w:r>
      <w:r>
        <w:rPr>
          <w:rFonts w:hint="eastAsia" w:ascii="仿宋" w:hAnsi="仿宋" w:eastAsia="仿宋" w:cs="仿宋"/>
          <w:color w:val="auto"/>
          <w:spacing w:val="-6"/>
          <w:sz w:val="24"/>
          <w:szCs w:val="24"/>
          <w:highlight w:val="none"/>
        </w:rPr>
        <w:t>月</w:t>
      </w:r>
      <w:r>
        <w:rPr>
          <w:rFonts w:hint="eastAsia" w:ascii="仿宋" w:hAnsi="仿宋" w:eastAsia="仿宋" w:cs="仿宋"/>
          <w:color w:val="auto"/>
          <w:spacing w:val="59"/>
          <w:sz w:val="24"/>
          <w:szCs w:val="24"/>
          <w:highlight w:val="none"/>
          <w:u w:val="single" w:color="auto"/>
        </w:rPr>
        <w:t xml:space="preserve">  </w:t>
      </w:r>
      <w:r>
        <w:rPr>
          <w:rFonts w:hint="eastAsia" w:ascii="仿宋" w:hAnsi="仿宋" w:eastAsia="仿宋" w:cs="仿宋"/>
          <w:color w:val="auto"/>
          <w:spacing w:val="-6"/>
          <w:sz w:val="24"/>
          <w:szCs w:val="24"/>
          <w:highlight w:val="none"/>
        </w:rPr>
        <w:t>日有效，特此</w:t>
      </w:r>
      <w:r>
        <w:rPr>
          <w:rFonts w:hint="eastAsia" w:ascii="仿宋" w:hAnsi="仿宋" w:eastAsia="仿宋" w:cs="仿宋"/>
          <w:color w:val="auto"/>
          <w:spacing w:val="-7"/>
          <w:sz w:val="24"/>
          <w:szCs w:val="24"/>
          <w:highlight w:val="none"/>
        </w:rPr>
        <w:t>声明。</w:t>
      </w:r>
    </w:p>
    <w:p w14:paraId="57F3FB88">
      <w:pPr>
        <w:pStyle w:val="11"/>
        <w:keepNext w:val="0"/>
        <w:keepLines w:val="0"/>
        <w:pageBreakBefore w:val="0"/>
        <w:widowControl/>
        <w:shd w:val="clear"/>
        <w:kinsoku w:val="0"/>
        <w:wordWrap w:val="0"/>
        <w:overflowPunct/>
        <w:topLinePunct w:val="0"/>
        <w:autoSpaceDE w:val="0"/>
        <w:autoSpaceDN w:val="0"/>
        <w:bidi w:val="0"/>
        <w:adjustRightInd w:val="0"/>
        <w:snapToGrid w:val="0"/>
        <w:spacing w:before="83" w:line="218" w:lineRule="auto"/>
        <w:ind w:left="1938"/>
        <w:textAlignment w:val="baseline"/>
        <w:rPr>
          <w:rFonts w:hint="eastAsia" w:ascii="仿宋" w:hAnsi="仿宋" w:eastAsia="仿宋" w:cs="仿宋"/>
          <w:b/>
          <w:bCs/>
          <w:color w:val="auto"/>
          <w:spacing w:val="-4"/>
          <w:sz w:val="28"/>
          <w:szCs w:val="28"/>
          <w:highlight w:val="none"/>
        </w:rPr>
      </w:pPr>
      <w:r>
        <w:rPr>
          <w:rFonts w:hint="eastAsia" w:ascii="仿宋" w:hAnsi="仿宋" w:eastAsia="仿宋" w:cs="仿宋"/>
          <w:b/>
          <w:bCs/>
          <w:color w:val="auto"/>
          <w:spacing w:val="-4"/>
          <w:sz w:val="28"/>
          <w:szCs w:val="28"/>
          <w:highlight w:val="none"/>
        </w:rPr>
        <w:t>法定代表人身份证正反两面扫描件：</w:t>
      </w:r>
    </w:p>
    <w:tbl>
      <w:tblPr>
        <w:tblStyle w:val="21"/>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C263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261" w:type="dxa"/>
            <w:vAlign w:val="top"/>
          </w:tcPr>
          <w:p w14:paraId="118550A3">
            <w:pPr>
              <w:keepNext w:val="0"/>
              <w:keepLines w:val="0"/>
              <w:pageBreakBefore w:val="0"/>
              <w:widowControl w:val="0"/>
              <w:shd w:val="clear"/>
              <w:kinsoku/>
              <w:wordWrap w:val="0"/>
              <w:overflowPunct/>
              <w:topLinePunct w:val="0"/>
              <w:autoSpaceDE w:val="0"/>
              <w:autoSpaceDN w:val="0"/>
              <w:bidi w:val="0"/>
              <w:adjustRightInd w:val="0"/>
              <w:snapToGrid w:val="0"/>
              <w:spacing w:line="2000" w:lineRule="exact"/>
              <w:ind w:left="0" w:leftChars="0" w:right="0" w:rightChars="0" w:firstLine="0" w:firstLineChars="0"/>
              <w:jc w:val="center"/>
              <w:textAlignment w:val="baseline"/>
              <w:rPr>
                <w:rFonts w:hint="eastAsia" w:ascii="仿宋" w:hAnsi="仿宋" w:eastAsia="仿宋" w:cs="仿宋"/>
                <w:color w:val="auto"/>
                <w:sz w:val="28"/>
                <w:szCs w:val="28"/>
                <w:highlight w:val="none"/>
                <w:vertAlign w:val="baseline"/>
              </w:rPr>
            </w:pPr>
            <w:r>
              <w:rPr>
                <w:rFonts w:hint="eastAsia" w:ascii="仿宋" w:hAnsi="仿宋" w:eastAsia="仿宋" w:cs="仿宋"/>
                <w:color w:val="auto"/>
                <w:spacing w:val="8"/>
                <w:sz w:val="28"/>
                <w:szCs w:val="28"/>
                <w:highlight w:val="none"/>
              </w:rPr>
              <w:t>法定代表人身份证正面</w:t>
            </w:r>
          </w:p>
        </w:tc>
        <w:tc>
          <w:tcPr>
            <w:tcW w:w="4261" w:type="dxa"/>
            <w:vAlign w:val="top"/>
          </w:tcPr>
          <w:p w14:paraId="266C19BA">
            <w:pPr>
              <w:keepNext w:val="0"/>
              <w:keepLines w:val="0"/>
              <w:pageBreakBefore w:val="0"/>
              <w:widowControl w:val="0"/>
              <w:shd w:val="clear"/>
              <w:kinsoku/>
              <w:wordWrap w:val="0"/>
              <w:overflowPunct/>
              <w:topLinePunct w:val="0"/>
              <w:autoSpaceDE w:val="0"/>
              <w:autoSpaceDN w:val="0"/>
              <w:bidi w:val="0"/>
              <w:adjustRightInd w:val="0"/>
              <w:snapToGrid w:val="0"/>
              <w:spacing w:line="2000" w:lineRule="exact"/>
              <w:ind w:left="0" w:leftChars="0" w:right="0" w:rightChars="0" w:firstLine="0" w:firstLineChars="0"/>
              <w:jc w:val="center"/>
              <w:textAlignment w:val="baseline"/>
              <w:rPr>
                <w:rFonts w:hint="eastAsia" w:ascii="仿宋" w:hAnsi="仿宋" w:eastAsia="仿宋" w:cs="仿宋"/>
                <w:color w:val="auto"/>
                <w:sz w:val="28"/>
                <w:szCs w:val="28"/>
                <w:highlight w:val="none"/>
                <w:vertAlign w:val="baseline"/>
              </w:rPr>
            </w:pPr>
            <w:r>
              <w:rPr>
                <w:rFonts w:hint="eastAsia" w:ascii="仿宋" w:hAnsi="仿宋" w:eastAsia="仿宋" w:cs="仿宋"/>
                <w:color w:val="auto"/>
                <w:spacing w:val="8"/>
                <w:sz w:val="28"/>
                <w:szCs w:val="28"/>
                <w:highlight w:val="none"/>
              </w:rPr>
              <w:t>法定代表人身份证反面</w:t>
            </w:r>
          </w:p>
        </w:tc>
      </w:tr>
    </w:tbl>
    <w:p w14:paraId="2A04C84A">
      <w:pPr>
        <w:pStyle w:val="11"/>
        <w:keepNext w:val="0"/>
        <w:keepLines w:val="0"/>
        <w:pageBreakBefore w:val="0"/>
        <w:widowControl/>
        <w:shd w:val="clear"/>
        <w:kinsoku w:val="0"/>
        <w:wordWrap w:val="0"/>
        <w:overflowPunct/>
        <w:topLinePunct w:val="0"/>
        <w:autoSpaceDE w:val="0"/>
        <w:autoSpaceDN w:val="0"/>
        <w:bidi w:val="0"/>
        <w:adjustRightInd w:val="0"/>
        <w:snapToGrid w:val="0"/>
        <w:spacing w:before="92" w:line="218" w:lineRule="auto"/>
        <w:ind w:left="2067"/>
        <w:textAlignment w:val="baseline"/>
        <w:rPr>
          <w:rFonts w:hint="eastAsia" w:ascii="仿宋" w:hAnsi="仿宋" w:eastAsia="仿宋" w:cs="仿宋"/>
          <w:b/>
          <w:bCs/>
          <w:color w:val="auto"/>
          <w:spacing w:val="-3"/>
          <w:sz w:val="28"/>
          <w:szCs w:val="28"/>
          <w:highlight w:val="none"/>
        </w:rPr>
      </w:pPr>
      <w:r>
        <w:rPr>
          <w:rFonts w:hint="eastAsia" w:ascii="仿宋" w:hAnsi="仿宋" w:eastAsia="仿宋" w:cs="仿宋"/>
          <w:b/>
          <w:bCs/>
          <w:color w:val="auto"/>
          <w:spacing w:val="-3"/>
          <w:sz w:val="28"/>
          <w:szCs w:val="28"/>
          <w:highlight w:val="none"/>
        </w:rPr>
        <w:t>授权委托人身份证正反两面扫描件</w:t>
      </w:r>
    </w:p>
    <w:tbl>
      <w:tblPr>
        <w:tblStyle w:val="21"/>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6A6C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261" w:type="dxa"/>
            <w:vAlign w:val="top"/>
          </w:tcPr>
          <w:p w14:paraId="4B93AECA">
            <w:pPr>
              <w:keepNext w:val="0"/>
              <w:keepLines w:val="0"/>
              <w:pageBreakBefore w:val="0"/>
              <w:widowControl w:val="0"/>
              <w:shd w:val="clear"/>
              <w:kinsoku/>
              <w:wordWrap w:val="0"/>
              <w:overflowPunct/>
              <w:topLinePunct w:val="0"/>
              <w:autoSpaceDE w:val="0"/>
              <w:autoSpaceDN w:val="0"/>
              <w:bidi w:val="0"/>
              <w:adjustRightInd w:val="0"/>
              <w:snapToGrid w:val="0"/>
              <w:spacing w:line="2000" w:lineRule="exact"/>
              <w:ind w:left="0" w:leftChars="0" w:right="0" w:rightChars="0" w:firstLine="0" w:firstLineChars="0"/>
              <w:jc w:val="center"/>
              <w:textAlignment w:val="baseline"/>
              <w:rPr>
                <w:rFonts w:hint="eastAsia" w:ascii="仿宋" w:hAnsi="仿宋" w:eastAsia="仿宋" w:cs="仿宋"/>
                <w:color w:val="auto"/>
                <w:sz w:val="28"/>
                <w:szCs w:val="28"/>
                <w:highlight w:val="none"/>
                <w:vertAlign w:val="baseline"/>
              </w:rPr>
            </w:pPr>
            <w:r>
              <w:rPr>
                <w:rFonts w:hint="eastAsia" w:ascii="仿宋" w:hAnsi="仿宋" w:eastAsia="仿宋" w:cs="仿宋"/>
                <w:color w:val="auto"/>
                <w:spacing w:val="8"/>
                <w:sz w:val="28"/>
                <w:szCs w:val="28"/>
                <w:highlight w:val="none"/>
              </w:rPr>
              <w:t>授权委托人身份证正面</w:t>
            </w:r>
          </w:p>
        </w:tc>
        <w:tc>
          <w:tcPr>
            <w:tcW w:w="4261" w:type="dxa"/>
            <w:vAlign w:val="top"/>
          </w:tcPr>
          <w:p w14:paraId="1F158D8E">
            <w:pPr>
              <w:keepNext w:val="0"/>
              <w:keepLines w:val="0"/>
              <w:pageBreakBefore w:val="0"/>
              <w:widowControl w:val="0"/>
              <w:shd w:val="clear"/>
              <w:kinsoku/>
              <w:wordWrap w:val="0"/>
              <w:overflowPunct/>
              <w:topLinePunct w:val="0"/>
              <w:autoSpaceDE w:val="0"/>
              <w:autoSpaceDN w:val="0"/>
              <w:bidi w:val="0"/>
              <w:adjustRightInd w:val="0"/>
              <w:snapToGrid w:val="0"/>
              <w:spacing w:line="2000" w:lineRule="exact"/>
              <w:ind w:left="0" w:leftChars="0" w:right="0" w:rightChars="0" w:firstLine="0" w:firstLineChars="0"/>
              <w:jc w:val="center"/>
              <w:textAlignment w:val="baseline"/>
              <w:rPr>
                <w:rFonts w:hint="eastAsia" w:ascii="仿宋" w:hAnsi="仿宋" w:eastAsia="仿宋" w:cs="仿宋"/>
                <w:color w:val="auto"/>
                <w:sz w:val="28"/>
                <w:szCs w:val="28"/>
                <w:highlight w:val="none"/>
                <w:vertAlign w:val="baseline"/>
              </w:rPr>
            </w:pPr>
            <w:r>
              <w:rPr>
                <w:rFonts w:hint="eastAsia" w:ascii="仿宋" w:hAnsi="仿宋" w:eastAsia="仿宋" w:cs="仿宋"/>
                <w:color w:val="auto"/>
                <w:spacing w:val="8"/>
                <w:sz w:val="28"/>
                <w:szCs w:val="28"/>
                <w:highlight w:val="none"/>
              </w:rPr>
              <w:t>授权委托人身份证反面</w:t>
            </w:r>
          </w:p>
        </w:tc>
      </w:tr>
    </w:tbl>
    <w:p w14:paraId="3CD2DE11">
      <w:pPr>
        <w:pStyle w:val="11"/>
        <w:keepNext w:val="0"/>
        <w:keepLines w:val="0"/>
        <w:pageBreakBefore w:val="0"/>
        <w:widowControl/>
        <w:shd w:val="clear"/>
        <w:kinsoku w:val="0"/>
        <w:wordWrap w:val="0"/>
        <w:overflowPunct/>
        <w:topLinePunct w:val="0"/>
        <w:autoSpaceDE w:val="0"/>
        <w:autoSpaceDN w:val="0"/>
        <w:bidi w:val="0"/>
        <w:adjustRightInd w:val="0"/>
        <w:snapToGrid w:val="0"/>
        <w:spacing w:before="314" w:line="360" w:lineRule="auto"/>
        <w:ind w:left="26"/>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投标人法定代表人（签字或盖章</w:t>
      </w:r>
      <w:r>
        <w:rPr>
          <w:rFonts w:hint="eastAsia" w:ascii="仿宋" w:hAnsi="仿宋" w:eastAsia="仿宋" w:cs="仿宋"/>
          <w:color w:val="auto"/>
          <w:sz w:val="28"/>
          <w:szCs w:val="28"/>
          <w:highlight w:val="none"/>
        </w:rPr>
        <w:t>）：</w:t>
      </w:r>
    </w:p>
    <w:p w14:paraId="6DE23C47">
      <w:pPr>
        <w:pStyle w:val="11"/>
        <w:keepNext w:val="0"/>
        <w:keepLines w:val="0"/>
        <w:pageBreakBefore w:val="0"/>
        <w:widowControl/>
        <w:shd w:val="clear"/>
        <w:kinsoku w:val="0"/>
        <w:wordWrap w:val="0"/>
        <w:overflowPunct/>
        <w:topLinePunct w:val="0"/>
        <w:autoSpaceDE w:val="0"/>
        <w:autoSpaceDN w:val="0"/>
        <w:bidi w:val="0"/>
        <w:adjustRightInd w:val="0"/>
        <w:snapToGrid w:val="0"/>
        <w:spacing w:before="71" w:line="360" w:lineRule="auto"/>
        <w:ind w:left="26"/>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投标人法定代表人授权委托人（签字或盖章</w:t>
      </w:r>
      <w:r>
        <w:rPr>
          <w:rFonts w:hint="eastAsia" w:ascii="仿宋" w:hAnsi="仿宋" w:eastAsia="仿宋" w:cs="仿宋"/>
          <w:color w:val="auto"/>
          <w:spacing w:val="2"/>
          <w:sz w:val="28"/>
          <w:szCs w:val="28"/>
          <w:highlight w:val="none"/>
        </w:rPr>
        <w:t>）：</w:t>
      </w:r>
    </w:p>
    <w:p w14:paraId="216781B3">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z w:val="21"/>
          <w:highlight w:val="none"/>
        </w:rPr>
      </w:pPr>
    </w:p>
    <w:p w14:paraId="477848E9">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360" w:lineRule="auto"/>
        <w:ind w:left="26"/>
        <w:textAlignment w:val="baseline"/>
        <w:rPr>
          <w:rFonts w:hint="eastAsia" w:ascii="仿宋" w:hAnsi="仿宋" w:eastAsia="仿宋" w:cs="仿宋"/>
          <w:color w:val="auto"/>
          <w:spacing w:val="1"/>
          <w:sz w:val="28"/>
          <w:szCs w:val="28"/>
          <w:highlight w:val="none"/>
        </w:rPr>
      </w:pPr>
      <w:r>
        <w:rPr>
          <w:rFonts w:hint="eastAsia" w:ascii="仿宋" w:hAnsi="仿宋" w:eastAsia="仿宋" w:cs="仿宋"/>
          <w:color w:val="auto"/>
          <w:spacing w:val="-2"/>
          <w:sz w:val="28"/>
          <w:szCs w:val="28"/>
          <w:highlight w:val="none"/>
        </w:rPr>
        <w:t>投标人企业（盖章</w:t>
      </w:r>
      <w:r>
        <w:rPr>
          <w:rFonts w:hint="eastAsia" w:ascii="仿宋" w:hAnsi="仿宋" w:eastAsia="仿宋" w:cs="仿宋"/>
          <w:color w:val="auto"/>
          <w:spacing w:val="1"/>
          <w:sz w:val="28"/>
          <w:szCs w:val="28"/>
          <w:highlight w:val="none"/>
        </w:rPr>
        <w:t>）：</w:t>
      </w:r>
    </w:p>
    <w:p w14:paraId="73E0AFCC">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360" w:lineRule="auto"/>
        <w:ind w:left="26"/>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5"/>
          <w:sz w:val="28"/>
          <w:szCs w:val="28"/>
          <w:highlight w:val="none"/>
        </w:rPr>
        <w:t>日</w:t>
      </w:r>
      <w:r>
        <w:rPr>
          <w:rFonts w:hint="eastAsia" w:ascii="仿宋" w:hAnsi="仿宋" w:eastAsia="仿宋" w:cs="仿宋"/>
          <w:color w:val="auto"/>
          <w:spacing w:val="4"/>
          <w:sz w:val="28"/>
          <w:szCs w:val="28"/>
          <w:highlight w:val="none"/>
        </w:rPr>
        <w:t xml:space="preserve">   </w:t>
      </w:r>
      <w:r>
        <w:rPr>
          <w:rFonts w:hint="eastAsia" w:ascii="仿宋" w:hAnsi="仿宋" w:eastAsia="仿宋" w:cs="仿宋"/>
          <w:color w:val="auto"/>
          <w:spacing w:val="-15"/>
          <w:sz w:val="28"/>
          <w:szCs w:val="28"/>
          <w:highlight w:val="none"/>
        </w:rPr>
        <w:t>期：</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15"/>
          <w:sz w:val="28"/>
          <w:szCs w:val="28"/>
          <w:highlight w:val="none"/>
        </w:rPr>
        <w:t>年</w:t>
      </w:r>
      <w:r>
        <w:rPr>
          <w:rFonts w:hint="eastAsia" w:ascii="仿宋" w:hAnsi="仿宋" w:eastAsia="仿宋" w:cs="仿宋"/>
          <w:color w:val="auto"/>
          <w:spacing w:val="-15"/>
          <w:sz w:val="28"/>
          <w:szCs w:val="28"/>
          <w:highlight w:val="none"/>
          <w:u w:val="single"/>
          <w:lang w:val="en-US" w:eastAsia="zh-CN"/>
        </w:rPr>
        <w:t xml:space="preserve">   </w:t>
      </w:r>
      <w:r>
        <w:rPr>
          <w:rFonts w:hint="eastAsia" w:ascii="仿宋" w:hAnsi="仿宋" w:eastAsia="仿宋" w:cs="仿宋"/>
          <w:color w:val="auto"/>
          <w:spacing w:val="-15"/>
          <w:sz w:val="28"/>
          <w:szCs w:val="28"/>
          <w:highlight w:val="none"/>
        </w:rPr>
        <w:t>月</w:t>
      </w:r>
      <w:r>
        <w:rPr>
          <w:rFonts w:hint="eastAsia" w:ascii="仿宋" w:hAnsi="仿宋" w:eastAsia="仿宋" w:cs="仿宋"/>
          <w:color w:val="auto"/>
          <w:spacing w:val="-15"/>
          <w:sz w:val="28"/>
          <w:szCs w:val="28"/>
          <w:highlight w:val="none"/>
          <w:u w:val="single"/>
          <w:lang w:val="en-US" w:eastAsia="zh-CN"/>
        </w:rPr>
        <w:t xml:space="preserve">   </w:t>
      </w:r>
      <w:r>
        <w:rPr>
          <w:rFonts w:hint="eastAsia" w:ascii="仿宋" w:hAnsi="仿宋" w:eastAsia="仿宋" w:cs="仿宋"/>
          <w:color w:val="auto"/>
          <w:spacing w:val="-15"/>
          <w:sz w:val="28"/>
          <w:szCs w:val="28"/>
          <w:highlight w:val="none"/>
        </w:rPr>
        <w:t>日</w:t>
      </w:r>
    </w:p>
    <w:p w14:paraId="67512C86">
      <w:pPr>
        <w:pStyle w:val="11"/>
        <w:keepNext w:val="0"/>
        <w:keepLines w:val="0"/>
        <w:pageBreakBefore w:val="0"/>
        <w:widowControl/>
        <w:shd w:val="clear"/>
        <w:kinsoku w:val="0"/>
        <w:wordWrap w:val="0"/>
        <w:overflowPunct/>
        <w:topLinePunct w:val="0"/>
        <w:autoSpaceDE w:val="0"/>
        <w:autoSpaceDN w:val="0"/>
        <w:bidi w:val="0"/>
        <w:adjustRightInd w:val="0"/>
        <w:snapToGrid w:val="0"/>
        <w:spacing w:before="106" w:line="360" w:lineRule="auto"/>
        <w:ind w:left="26"/>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rPr>
        <w:t>注：1、本项目只允许有唯一的法定代表人授权委托人。</w:t>
      </w:r>
    </w:p>
    <w:p w14:paraId="50C1A38E">
      <w:pPr>
        <w:pStyle w:val="11"/>
        <w:keepNext w:val="0"/>
        <w:keepLines w:val="0"/>
        <w:pageBreakBefore w:val="0"/>
        <w:widowControl/>
        <w:shd w:val="clear"/>
        <w:kinsoku w:val="0"/>
        <w:wordWrap w:val="0"/>
        <w:overflowPunct/>
        <w:topLinePunct w:val="0"/>
        <w:autoSpaceDE w:val="0"/>
        <w:autoSpaceDN w:val="0"/>
        <w:bidi w:val="0"/>
        <w:adjustRightInd w:val="0"/>
        <w:snapToGrid w:val="0"/>
        <w:spacing w:before="117" w:line="360" w:lineRule="auto"/>
        <w:ind w:left="35" w:right="335" w:firstLine="475"/>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2"/>
          <w:sz w:val="24"/>
          <w:szCs w:val="24"/>
          <w:highlight w:val="none"/>
        </w:rPr>
        <w:t>2、投标人法定代表人参加投标的，可以不提供法定代表人授</w:t>
      </w:r>
      <w:r>
        <w:rPr>
          <w:rFonts w:hint="eastAsia" w:ascii="仿宋" w:hAnsi="仿宋" w:eastAsia="仿宋" w:cs="仿宋"/>
          <w:b/>
          <w:bCs/>
          <w:color w:val="auto"/>
          <w:spacing w:val="-3"/>
          <w:sz w:val="24"/>
          <w:szCs w:val="24"/>
          <w:highlight w:val="none"/>
        </w:rPr>
        <w:t>权委托书，但必须提供上述法定代表人身份证明书，否则将视为无效投标。</w:t>
      </w:r>
    </w:p>
    <w:p w14:paraId="1C442F1E">
      <w:pPr>
        <w:keepNext w:val="0"/>
        <w:keepLines w:val="0"/>
        <w:pageBreakBefore w:val="0"/>
        <w:widowControl/>
        <w:shd w:val="clear"/>
        <w:kinsoku w:val="0"/>
        <w:wordWrap w:val="0"/>
        <w:overflowPunct/>
        <w:topLinePunct w:val="0"/>
        <w:autoSpaceDE w:val="0"/>
        <w:autoSpaceDN w:val="0"/>
        <w:bidi w:val="0"/>
        <w:adjustRightInd w:val="0"/>
        <w:snapToGrid w:val="0"/>
        <w:spacing w:line="309" w:lineRule="auto"/>
        <w:textAlignment w:val="baseline"/>
        <w:rPr>
          <w:rFonts w:hint="eastAsia" w:ascii="仿宋" w:hAnsi="仿宋" w:eastAsia="仿宋" w:cs="仿宋"/>
          <w:color w:val="auto"/>
          <w:sz w:val="24"/>
          <w:szCs w:val="24"/>
          <w:highlight w:val="none"/>
        </w:rPr>
      </w:pPr>
    </w:p>
    <w:p w14:paraId="5E8D0520">
      <w:pPr>
        <w:pStyle w:val="26"/>
        <w:shd w:val="clear"/>
        <w:rPr>
          <w:rFonts w:hint="eastAsia" w:ascii="仿宋" w:hAnsi="仿宋" w:eastAsia="仿宋" w:cs="仿宋"/>
          <w:color w:val="auto"/>
          <w:highlight w:val="none"/>
        </w:rPr>
        <w:sectPr>
          <w:headerReference r:id="rId21" w:type="default"/>
          <w:footerReference r:id="rId22" w:type="default"/>
          <w:pgSz w:w="11906" w:h="16839"/>
          <w:pgMar w:top="1440" w:right="1800" w:bottom="1440" w:left="1800" w:header="1417" w:footer="1417" w:gutter="0"/>
          <w:pgNumType w:fmt="decimal"/>
          <w:cols w:space="720" w:num="1"/>
        </w:sectPr>
      </w:pPr>
    </w:p>
    <w:p w14:paraId="6EA69056">
      <w:pPr>
        <w:pStyle w:val="5"/>
        <w:shd w:val="clear"/>
        <w:bidi w:val="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投标人资格声明函</w:t>
      </w:r>
    </w:p>
    <w:p w14:paraId="199ECA83">
      <w:pPr>
        <w:pStyle w:val="11"/>
        <w:keepNext w:val="0"/>
        <w:keepLines w:val="0"/>
        <w:pageBreakBefore w:val="0"/>
        <w:widowControl/>
        <w:shd w:val="clear"/>
        <w:tabs>
          <w:tab w:val="left" w:pos="1830"/>
        </w:tabs>
        <w:kinsoku/>
        <w:wordWrap w:val="0"/>
        <w:overflowPunct/>
        <w:topLinePunct w:val="0"/>
        <w:autoSpaceDE w:val="0"/>
        <w:autoSpaceDN w:val="0"/>
        <w:bidi w:val="0"/>
        <w:adjustRightInd w:val="0"/>
        <w:snapToGrid w:val="0"/>
        <w:spacing w:line="360" w:lineRule="auto"/>
        <w:ind w:right="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6"/>
          <w:sz w:val="24"/>
          <w:szCs w:val="24"/>
          <w:highlight w:val="none"/>
        </w:rPr>
        <w:t>（采购人名称</w:t>
      </w:r>
      <w:r>
        <w:rPr>
          <w:rFonts w:hint="eastAsia" w:ascii="仿宋" w:hAnsi="仿宋" w:eastAsia="仿宋" w:cs="仿宋"/>
          <w:color w:val="auto"/>
          <w:spacing w:val="-4"/>
          <w:sz w:val="24"/>
          <w:szCs w:val="24"/>
          <w:highlight w:val="none"/>
        </w:rPr>
        <w:t>）：</w:t>
      </w:r>
    </w:p>
    <w:p w14:paraId="4B94ABB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我公司自愿参加</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（项目名</w:t>
      </w:r>
      <w:r>
        <w:rPr>
          <w:rFonts w:hint="eastAsia" w:ascii="仿宋" w:hAnsi="仿宋" w:eastAsia="仿宋" w:cs="仿宋"/>
          <w:color w:val="auto"/>
          <w:sz w:val="24"/>
          <w:szCs w:val="24"/>
          <w:highlight w:val="none"/>
        </w:rPr>
        <w:t>称及项目编号）政府采</w:t>
      </w:r>
      <w:r>
        <w:rPr>
          <w:rFonts w:hint="eastAsia" w:ascii="仿宋" w:hAnsi="仿宋" w:eastAsia="仿宋" w:cs="仿宋"/>
          <w:color w:val="auto"/>
          <w:spacing w:val="-2"/>
          <w:sz w:val="24"/>
          <w:szCs w:val="24"/>
          <w:highlight w:val="none"/>
        </w:rPr>
        <w:t>购活动，并作如下声明：</w:t>
      </w:r>
    </w:p>
    <w:p w14:paraId="28B4F00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（一）我公司已清楚招标文件的要求及有关文件规定。</w:t>
      </w:r>
    </w:p>
    <w:p w14:paraId="4ACC547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（二）我公司的法定代表人或单位负责人与本项目</w:t>
      </w:r>
      <w:r>
        <w:rPr>
          <w:rFonts w:hint="eastAsia" w:ascii="仿宋" w:hAnsi="仿宋" w:eastAsia="仿宋" w:cs="仿宋"/>
          <w:color w:val="auto"/>
          <w:spacing w:val="-4"/>
          <w:sz w:val="24"/>
          <w:szCs w:val="24"/>
          <w:highlight w:val="none"/>
        </w:rPr>
        <w:t>其他投标人的</w:t>
      </w:r>
      <w:r>
        <w:rPr>
          <w:rFonts w:hint="eastAsia" w:ascii="仿宋" w:hAnsi="仿宋" w:eastAsia="仿宋" w:cs="仿宋"/>
          <w:color w:val="auto"/>
          <w:spacing w:val="6"/>
          <w:sz w:val="24"/>
          <w:szCs w:val="24"/>
          <w:highlight w:val="none"/>
        </w:rPr>
        <w:t>法定代表人或单位负责人不为同一人且与其他投标人之间不存在直</w:t>
      </w:r>
      <w:r>
        <w:rPr>
          <w:rFonts w:hint="eastAsia" w:ascii="仿宋" w:hAnsi="仿宋" w:eastAsia="仿宋" w:cs="仿宋"/>
          <w:color w:val="auto"/>
          <w:spacing w:val="-2"/>
          <w:sz w:val="24"/>
          <w:szCs w:val="24"/>
          <w:highlight w:val="none"/>
        </w:rPr>
        <w:t>接控股、管理关系。</w:t>
      </w:r>
    </w:p>
    <w:p w14:paraId="1858666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（三）我公司承诺：若为本采购项目提供整体设计、规范编制或</w:t>
      </w:r>
      <w:r>
        <w:rPr>
          <w:rFonts w:hint="eastAsia" w:ascii="仿宋" w:hAnsi="仿宋" w:eastAsia="仿宋" w:cs="仿宋"/>
          <w:color w:val="auto"/>
          <w:spacing w:val="-4"/>
          <w:sz w:val="24"/>
          <w:szCs w:val="24"/>
          <w:highlight w:val="none"/>
        </w:rPr>
        <w:t>者项目管理、监理、检测等服务，将不再参加该采购项目的其他采购活动。</w:t>
      </w:r>
    </w:p>
    <w:p w14:paraId="689DBB9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（四）我公司承诺：我公司不存在被责令停业、财产被接</w:t>
      </w:r>
      <w:r>
        <w:rPr>
          <w:rFonts w:hint="eastAsia" w:ascii="仿宋" w:hAnsi="仿宋" w:eastAsia="仿宋" w:cs="仿宋"/>
          <w:color w:val="auto"/>
          <w:spacing w:val="-7"/>
          <w:sz w:val="24"/>
          <w:szCs w:val="24"/>
          <w:highlight w:val="none"/>
        </w:rPr>
        <w:t>管、冻</w:t>
      </w:r>
      <w:r>
        <w:rPr>
          <w:rFonts w:hint="eastAsia" w:ascii="仿宋" w:hAnsi="仿宋" w:eastAsia="仿宋" w:cs="仿宋"/>
          <w:color w:val="auto"/>
          <w:spacing w:val="4"/>
          <w:sz w:val="24"/>
          <w:szCs w:val="24"/>
          <w:highlight w:val="none"/>
        </w:rPr>
        <w:t>结和破产状态，以及投标资格被取消或者被暂停且在暂停期内的情</w:t>
      </w:r>
      <w:r>
        <w:rPr>
          <w:rFonts w:hint="eastAsia" w:ascii="仿宋" w:hAnsi="仿宋" w:eastAsia="仿宋" w:cs="仿宋"/>
          <w:color w:val="auto"/>
          <w:spacing w:val="-2"/>
          <w:sz w:val="24"/>
          <w:szCs w:val="24"/>
          <w:highlight w:val="none"/>
        </w:rPr>
        <w:t>形。</w:t>
      </w:r>
    </w:p>
    <w:p w14:paraId="4881658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0"/>
          <w:sz w:val="24"/>
          <w:szCs w:val="24"/>
          <w:highlight w:val="none"/>
        </w:rPr>
        <w:t>（五）我公司承诺：本项目标的的所有权和使用权归采购人所</w:t>
      </w:r>
      <w:r>
        <w:rPr>
          <w:rFonts w:hint="eastAsia" w:ascii="仿宋" w:hAnsi="仿宋" w:eastAsia="仿宋" w:cs="仿宋"/>
          <w:color w:val="auto"/>
          <w:spacing w:val="-11"/>
          <w:sz w:val="24"/>
          <w:szCs w:val="24"/>
          <w:highlight w:val="none"/>
        </w:rPr>
        <w:t>有，</w:t>
      </w:r>
      <w:r>
        <w:rPr>
          <w:rFonts w:hint="eastAsia" w:ascii="仿宋" w:hAnsi="仿宋" w:eastAsia="仿宋" w:cs="仿宋"/>
          <w:color w:val="auto"/>
          <w:spacing w:val="-3"/>
          <w:sz w:val="24"/>
          <w:szCs w:val="24"/>
          <w:highlight w:val="none"/>
        </w:rPr>
        <w:t>知识产权（含该作品的著作权及版权）或专利归作者</w:t>
      </w:r>
      <w:r>
        <w:rPr>
          <w:rFonts w:hint="eastAsia" w:ascii="仿宋" w:hAnsi="仿宋" w:eastAsia="仿宋" w:cs="仿宋"/>
          <w:color w:val="auto"/>
          <w:spacing w:val="-4"/>
          <w:sz w:val="24"/>
          <w:szCs w:val="24"/>
          <w:highlight w:val="none"/>
        </w:rPr>
        <w:t>我公司所有。本</w:t>
      </w:r>
      <w:r>
        <w:rPr>
          <w:rFonts w:hint="eastAsia" w:ascii="仿宋" w:hAnsi="仿宋" w:eastAsia="仿宋" w:cs="仿宋"/>
          <w:color w:val="auto"/>
          <w:spacing w:val="-3"/>
          <w:sz w:val="24"/>
          <w:szCs w:val="24"/>
          <w:highlight w:val="none"/>
        </w:rPr>
        <w:t>项目我公司所提供的货物（服务）不侵犯任何第三方</w:t>
      </w:r>
      <w:r>
        <w:rPr>
          <w:rFonts w:hint="eastAsia" w:ascii="仿宋" w:hAnsi="仿宋" w:eastAsia="仿宋" w:cs="仿宋"/>
          <w:color w:val="auto"/>
          <w:spacing w:val="-4"/>
          <w:sz w:val="24"/>
          <w:szCs w:val="24"/>
          <w:highlight w:val="none"/>
        </w:rPr>
        <w:t>的专利、商标或</w:t>
      </w:r>
      <w:r>
        <w:rPr>
          <w:rFonts w:hint="eastAsia" w:ascii="仿宋" w:hAnsi="仿宋" w:eastAsia="仿宋" w:cs="仿宋"/>
          <w:color w:val="auto"/>
          <w:spacing w:val="-3"/>
          <w:sz w:val="24"/>
          <w:szCs w:val="24"/>
          <w:highlight w:val="none"/>
        </w:rPr>
        <w:t>版权，否则，我公司承担对第三方的知识产权（含该</w:t>
      </w:r>
      <w:r>
        <w:rPr>
          <w:rFonts w:hint="eastAsia" w:ascii="仿宋" w:hAnsi="仿宋" w:eastAsia="仿宋" w:cs="仿宋"/>
          <w:color w:val="auto"/>
          <w:spacing w:val="-4"/>
          <w:sz w:val="24"/>
          <w:szCs w:val="24"/>
          <w:highlight w:val="none"/>
        </w:rPr>
        <w:t>作品的著作权及</w:t>
      </w:r>
      <w:r>
        <w:rPr>
          <w:rFonts w:hint="eastAsia" w:ascii="仿宋" w:hAnsi="仿宋" w:eastAsia="仿宋" w:cs="仿宋"/>
          <w:color w:val="auto"/>
          <w:spacing w:val="-2"/>
          <w:sz w:val="24"/>
          <w:szCs w:val="24"/>
          <w:highlight w:val="none"/>
        </w:rPr>
        <w:t>版权）或专利的侵权责任，以及由此产生的后果由我公司</w:t>
      </w:r>
      <w:r>
        <w:rPr>
          <w:rFonts w:hint="eastAsia" w:ascii="仿宋" w:hAnsi="仿宋" w:eastAsia="仿宋" w:cs="仿宋"/>
          <w:color w:val="auto"/>
          <w:spacing w:val="-3"/>
          <w:sz w:val="24"/>
          <w:szCs w:val="24"/>
          <w:highlight w:val="none"/>
        </w:rPr>
        <w:t>自行负责。</w:t>
      </w:r>
    </w:p>
    <w:p w14:paraId="571227C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（六）我公司承诺在本次政府采购活动中，如有违法、违规、弄</w:t>
      </w:r>
      <w:r>
        <w:rPr>
          <w:rFonts w:hint="eastAsia" w:ascii="仿宋" w:hAnsi="仿宋" w:eastAsia="仿宋" w:cs="仿宋"/>
          <w:color w:val="auto"/>
          <w:spacing w:val="-3"/>
          <w:sz w:val="24"/>
          <w:szCs w:val="24"/>
          <w:highlight w:val="none"/>
        </w:rPr>
        <w:t>虚作假行为，所造成的损失、不良后果及法律责任</w:t>
      </w:r>
      <w:r>
        <w:rPr>
          <w:rFonts w:hint="eastAsia" w:ascii="仿宋" w:hAnsi="仿宋" w:eastAsia="仿宋" w:cs="仿宋"/>
          <w:color w:val="auto"/>
          <w:spacing w:val="-4"/>
          <w:sz w:val="24"/>
          <w:szCs w:val="24"/>
          <w:highlight w:val="none"/>
        </w:rPr>
        <w:t>，一律由我公司自</w:t>
      </w:r>
      <w:r>
        <w:rPr>
          <w:rFonts w:hint="eastAsia" w:ascii="仿宋" w:hAnsi="仿宋" w:eastAsia="仿宋" w:cs="仿宋"/>
          <w:color w:val="auto"/>
          <w:spacing w:val="-2"/>
          <w:sz w:val="24"/>
          <w:szCs w:val="24"/>
          <w:highlight w:val="none"/>
        </w:rPr>
        <w:t>行承担。</w:t>
      </w:r>
    </w:p>
    <w:p w14:paraId="4570933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若以上声明不实，我方自愿承担一切法律后果。</w:t>
      </w:r>
    </w:p>
    <w:p w14:paraId="14108577">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4F3222D7">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338536A5">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57E0C57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投标人名称（盖章</w:t>
      </w:r>
      <w:r>
        <w:rPr>
          <w:rFonts w:hint="eastAsia" w:ascii="仿宋" w:hAnsi="仿宋" w:eastAsia="仿宋" w:cs="仿宋"/>
          <w:color w:val="auto"/>
          <w:spacing w:val="-1"/>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14:paraId="1BD369F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1"/>
          <w:sz w:val="24"/>
          <w:szCs w:val="24"/>
          <w:highlight w:val="none"/>
        </w:rPr>
        <w:t>投标人法定代表人或其授权委托人（签字或盖章</w:t>
      </w:r>
      <w:r>
        <w:rPr>
          <w:rFonts w:hint="eastAsia" w:ascii="仿宋" w:hAnsi="仿宋" w:eastAsia="仿宋" w:cs="仿宋"/>
          <w:color w:val="auto"/>
          <w:spacing w:val="2"/>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p>
    <w:p w14:paraId="51036E9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08" w:firstLineChars="200"/>
        <w:textAlignment w:val="baseline"/>
        <w:rPr>
          <w:rFonts w:hint="eastAsia" w:ascii="仿宋" w:hAnsi="仿宋" w:eastAsia="仿宋" w:cs="仿宋"/>
          <w:color w:val="auto"/>
          <w:spacing w:val="-18"/>
          <w:sz w:val="24"/>
          <w:szCs w:val="24"/>
          <w:highlight w:val="none"/>
        </w:rPr>
      </w:pPr>
      <w:r>
        <w:rPr>
          <w:rFonts w:hint="eastAsia" w:ascii="仿宋" w:hAnsi="仿宋" w:eastAsia="仿宋" w:cs="仿宋"/>
          <w:color w:val="auto"/>
          <w:spacing w:val="-18"/>
          <w:sz w:val="24"/>
          <w:szCs w:val="24"/>
          <w:highlight w:val="none"/>
        </w:rPr>
        <w:t>日期：</w:t>
      </w:r>
      <w:r>
        <w:rPr>
          <w:rFonts w:hint="eastAsia" w:ascii="仿宋" w:hAnsi="仿宋" w:eastAsia="仿宋" w:cs="仿宋"/>
          <w:color w:val="auto"/>
          <w:spacing w:val="28"/>
          <w:sz w:val="24"/>
          <w:szCs w:val="24"/>
          <w:highlight w:val="none"/>
          <w:u w:val="single" w:color="auto"/>
        </w:rPr>
        <w:t xml:space="preserve">    </w:t>
      </w:r>
      <w:r>
        <w:rPr>
          <w:rFonts w:hint="eastAsia" w:ascii="仿宋" w:hAnsi="仿宋" w:eastAsia="仿宋" w:cs="仿宋"/>
          <w:color w:val="auto"/>
          <w:spacing w:val="-18"/>
          <w:sz w:val="24"/>
          <w:szCs w:val="24"/>
          <w:highlight w:val="none"/>
        </w:rPr>
        <w:t>年</w:t>
      </w:r>
      <w:r>
        <w:rPr>
          <w:rFonts w:hint="eastAsia" w:ascii="仿宋" w:hAnsi="仿宋" w:eastAsia="仿宋" w:cs="仿宋"/>
          <w:color w:val="auto"/>
          <w:spacing w:val="46"/>
          <w:sz w:val="24"/>
          <w:szCs w:val="24"/>
          <w:highlight w:val="none"/>
          <w:u w:val="single" w:color="auto"/>
        </w:rPr>
        <w:t xml:space="preserve">  </w:t>
      </w:r>
      <w:r>
        <w:rPr>
          <w:rFonts w:hint="eastAsia" w:ascii="仿宋" w:hAnsi="仿宋" w:eastAsia="仿宋" w:cs="仿宋"/>
          <w:color w:val="auto"/>
          <w:spacing w:val="-18"/>
          <w:sz w:val="24"/>
          <w:szCs w:val="24"/>
          <w:highlight w:val="none"/>
        </w:rPr>
        <w:t>月</w:t>
      </w:r>
      <w:r>
        <w:rPr>
          <w:rFonts w:hint="eastAsia" w:ascii="仿宋" w:hAnsi="仿宋" w:eastAsia="仿宋" w:cs="仿宋"/>
          <w:color w:val="auto"/>
          <w:spacing w:val="46"/>
          <w:sz w:val="24"/>
          <w:szCs w:val="24"/>
          <w:highlight w:val="none"/>
          <w:u w:val="single" w:color="auto"/>
        </w:rPr>
        <w:t xml:space="preserve">  </w:t>
      </w:r>
      <w:r>
        <w:rPr>
          <w:rFonts w:hint="eastAsia" w:ascii="仿宋" w:hAnsi="仿宋" w:eastAsia="仿宋" w:cs="仿宋"/>
          <w:color w:val="auto"/>
          <w:spacing w:val="-18"/>
          <w:sz w:val="24"/>
          <w:szCs w:val="24"/>
          <w:highlight w:val="none"/>
        </w:rPr>
        <w:t>日</w:t>
      </w:r>
    </w:p>
    <w:p w14:paraId="2E15709D">
      <w:pPr>
        <w:shd w:val="clear"/>
        <w:rPr>
          <w:rFonts w:hint="eastAsia" w:ascii="仿宋" w:hAnsi="仿宋" w:eastAsia="仿宋" w:cs="仿宋"/>
          <w:color w:val="auto"/>
          <w:highlight w:val="none"/>
        </w:rPr>
      </w:pPr>
    </w:p>
    <w:p w14:paraId="3970DA33">
      <w:pPr>
        <w:keepNext w:val="0"/>
        <w:keepLines w:val="0"/>
        <w:pageBreakBefore w:val="0"/>
        <w:widowControl/>
        <w:shd w:val="clear"/>
        <w:kinsoku w:val="0"/>
        <w:wordWrap w:val="0"/>
        <w:overflowPunct/>
        <w:topLinePunct w:val="0"/>
        <w:autoSpaceDE w:val="0"/>
        <w:autoSpaceDN w:val="0"/>
        <w:bidi w:val="0"/>
        <w:adjustRightInd w:val="0"/>
        <w:snapToGrid w:val="0"/>
        <w:spacing w:line="218" w:lineRule="auto"/>
        <w:textAlignment w:val="baseline"/>
        <w:rPr>
          <w:rFonts w:hint="eastAsia" w:ascii="仿宋" w:hAnsi="仿宋" w:eastAsia="仿宋" w:cs="仿宋"/>
          <w:color w:val="auto"/>
          <w:sz w:val="28"/>
          <w:szCs w:val="28"/>
          <w:highlight w:val="none"/>
        </w:rPr>
        <w:sectPr>
          <w:headerReference r:id="rId23" w:type="default"/>
          <w:footerReference r:id="rId24" w:type="default"/>
          <w:pgSz w:w="11906" w:h="16839"/>
          <w:pgMar w:top="1440" w:right="1800" w:bottom="1440" w:left="1800" w:header="1417" w:footer="1417" w:gutter="0"/>
          <w:pgNumType w:fmt="decimal"/>
          <w:cols w:space="720" w:num="1"/>
        </w:sectPr>
      </w:pPr>
    </w:p>
    <w:p w14:paraId="1718596D">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218" w:lineRule="auto"/>
        <w:ind w:left="43"/>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pacing w:val="-11"/>
          <w:sz w:val="28"/>
          <w:szCs w:val="28"/>
          <w:highlight w:val="none"/>
        </w:rPr>
        <w:t>附件2：</w:t>
      </w:r>
    </w:p>
    <w:p w14:paraId="539666D8">
      <w:pPr>
        <w:pStyle w:val="5"/>
        <w:shd w:val="clear"/>
        <w:bidi w:val="0"/>
        <w:rPr>
          <w:rFonts w:hint="eastAsia" w:ascii="仿宋" w:hAnsi="仿宋" w:eastAsia="仿宋" w:cs="仿宋"/>
          <w:color w:val="auto"/>
          <w:highlight w:val="none"/>
        </w:rPr>
      </w:pPr>
      <w:r>
        <w:rPr>
          <w:rFonts w:hint="eastAsia" w:ascii="仿宋" w:hAnsi="仿宋" w:eastAsia="仿宋" w:cs="仿宋"/>
          <w:color w:val="auto"/>
          <w:highlight w:val="none"/>
        </w:rPr>
        <w:t>具有良好的商业信誉和健全的财务会计制度</w:t>
      </w:r>
    </w:p>
    <w:p w14:paraId="623529D7">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投标人需提供近1年内或上一年度财务报告（财务报表或审</w:t>
      </w:r>
      <w:r>
        <w:rPr>
          <w:rFonts w:hint="eastAsia" w:ascii="仿宋" w:hAnsi="仿宋" w:eastAsia="仿宋" w:cs="仿宋"/>
          <w:color w:val="auto"/>
          <w:spacing w:val="-6"/>
          <w:sz w:val="24"/>
          <w:szCs w:val="24"/>
          <w:highlight w:val="none"/>
        </w:rPr>
        <w:t>计报</w:t>
      </w:r>
      <w:r>
        <w:rPr>
          <w:rFonts w:hint="eastAsia" w:ascii="仿宋" w:hAnsi="仿宋" w:eastAsia="仿宋" w:cs="仿宋"/>
          <w:color w:val="auto"/>
          <w:spacing w:val="-3"/>
          <w:sz w:val="24"/>
          <w:szCs w:val="24"/>
          <w:highlight w:val="none"/>
        </w:rPr>
        <w:t>告或银行出具的资信证明）等材料复印件（需加盖公章</w:t>
      </w:r>
      <w:r>
        <w:rPr>
          <w:rFonts w:hint="eastAsia" w:ascii="仿宋" w:hAnsi="仿宋" w:eastAsia="仿宋" w:cs="仿宋"/>
          <w:color w:val="auto"/>
          <w:spacing w:val="-13"/>
          <w:sz w:val="24"/>
          <w:szCs w:val="24"/>
          <w:highlight w:val="none"/>
        </w:rPr>
        <w:t>）；</w:t>
      </w:r>
      <w:r>
        <w:rPr>
          <w:rFonts w:hint="eastAsia" w:ascii="仿宋" w:hAnsi="仿宋" w:eastAsia="仿宋" w:cs="仿宋"/>
          <w:color w:val="auto"/>
          <w:spacing w:val="-3"/>
          <w:sz w:val="24"/>
          <w:szCs w:val="24"/>
          <w:highlight w:val="none"/>
        </w:rPr>
        <w:t>新成立不</w:t>
      </w:r>
      <w:r>
        <w:rPr>
          <w:rFonts w:hint="eastAsia" w:ascii="仿宋" w:hAnsi="仿宋" w:eastAsia="仿宋" w:cs="仿宋"/>
          <w:color w:val="auto"/>
          <w:spacing w:val="-2"/>
          <w:sz w:val="24"/>
          <w:szCs w:val="24"/>
          <w:highlight w:val="none"/>
        </w:rPr>
        <w:t>满</w:t>
      </w:r>
      <w:r>
        <w:rPr>
          <w:rFonts w:hint="eastAsia" w:ascii="仿宋" w:hAnsi="仿宋" w:eastAsia="仿宋" w:cs="仿宋"/>
          <w:color w:val="auto"/>
          <w:spacing w:val="-42"/>
          <w:sz w:val="24"/>
          <w:szCs w:val="24"/>
          <w:highlight w:val="none"/>
        </w:rPr>
        <w:t xml:space="preserve"> </w:t>
      </w:r>
      <w:r>
        <w:rPr>
          <w:rFonts w:hint="eastAsia" w:ascii="仿宋" w:hAnsi="仿宋" w:eastAsia="仿宋" w:cs="仿宋"/>
          <w:color w:val="auto"/>
          <w:spacing w:val="-2"/>
          <w:sz w:val="24"/>
          <w:szCs w:val="24"/>
          <w:highlight w:val="none"/>
        </w:rPr>
        <w:t>1</w:t>
      </w:r>
      <w:r>
        <w:rPr>
          <w:rFonts w:hint="eastAsia" w:ascii="仿宋" w:hAnsi="仿宋" w:eastAsia="仿宋" w:cs="仿宋"/>
          <w:color w:val="auto"/>
          <w:spacing w:val="-57"/>
          <w:sz w:val="24"/>
          <w:szCs w:val="24"/>
          <w:highlight w:val="none"/>
        </w:rPr>
        <w:t xml:space="preserve"> </w:t>
      </w:r>
      <w:r>
        <w:rPr>
          <w:rFonts w:hint="eastAsia" w:ascii="仿宋" w:hAnsi="仿宋" w:eastAsia="仿宋" w:cs="仿宋"/>
          <w:color w:val="auto"/>
          <w:spacing w:val="-2"/>
          <w:sz w:val="24"/>
          <w:szCs w:val="24"/>
          <w:highlight w:val="none"/>
        </w:rPr>
        <w:t>年的企业及其他组织提供具有良好的商业信誉</w:t>
      </w:r>
      <w:r>
        <w:rPr>
          <w:rFonts w:hint="eastAsia" w:ascii="仿宋" w:hAnsi="仿宋" w:eastAsia="仿宋" w:cs="仿宋"/>
          <w:color w:val="auto"/>
          <w:spacing w:val="-3"/>
          <w:sz w:val="24"/>
          <w:szCs w:val="24"/>
          <w:highlight w:val="none"/>
        </w:rPr>
        <w:t>的书面声明。</w:t>
      </w:r>
    </w:p>
    <w:p w14:paraId="6B721FD2">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注：财务报表应至少包括资产负债表、损益表、现金流量表。</w:t>
      </w:r>
    </w:p>
    <w:p w14:paraId="0CD81923">
      <w:pPr>
        <w:shd w:val="clear"/>
        <w:rPr>
          <w:rFonts w:hint="eastAsia" w:ascii="仿宋" w:hAnsi="仿宋" w:eastAsia="仿宋" w:cs="仿宋"/>
          <w:color w:val="auto"/>
          <w:highlight w:val="none"/>
        </w:rPr>
      </w:pPr>
    </w:p>
    <w:p w14:paraId="251B0C19">
      <w:pPr>
        <w:keepNext w:val="0"/>
        <w:keepLines w:val="0"/>
        <w:pageBreakBefore w:val="0"/>
        <w:widowControl/>
        <w:shd w:val="clear"/>
        <w:kinsoku w:val="0"/>
        <w:wordWrap w:val="0"/>
        <w:overflowPunct/>
        <w:topLinePunct w:val="0"/>
        <w:autoSpaceDE w:val="0"/>
        <w:autoSpaceDN w:val="0"/>
        <w:bidi w:val="0"/>
        <w:adjustRightInd w:val="0"/>
        <w:snapToGrid w:val="0"/>
        <w:spacing w:line="216" w:lineRule="auto"/>
        <w:textAlignment w:val="baseline"/>
        <w:rPr>
          <w:rFonts w:hint="eastAsia" w:ascii="仿宋" w:hAnsi="仿宋" w:eastAsia="仿宋" w:cs="仿宋"/>
          <w:color w:val="auto"/>
          <w:sz w:val="28"/>
          <w:szCs w:val="28"/>
          <w:highlight w:val="none"/>
        </w:rPr>
        <w:sectPr>
          <w:headerReference r:id="rId25" w:type="default"/>
          <w:footerReference r:id="rId26" w:type="default"/>
          <w:pgSz w:w="11906" w:h="16839"/>
          <w:pgMar w:top="1440" w:right="1800" w:bottom="1440" w:left="1800" w:header="1417" w:footer="1417" w:gutter="0"/>
          <w:pgNumType w:fmt="decimal"/>
          <w:cols w:space="720" w:num="1"/>
        </w:sectPr>
      </w:pPr>
    </w:p>
    <w:p w14:paraId="0808CD78">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218" w:lineRule="auto"/>
        <w:ind w:left="43"/>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pacing w:val="-11"/>
          <w:sz w:val="28"/>
          <w:szCs w:val="28"/>
          <w:highlight w:val="none"/>
        </w:rPr>
        <w:t>附件3：</w:t>
      </w:r>
    </w:p>
    <w:p w14:paraId="6D2F18A4">
      <w:pPr>
        <w:pStyle w:val="5"/>
        <w:shd w:val="clear"/>
        <w:bidi w:val="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具有履行合同</w:t>
      </w:r>
      <w:r>
        <w:rPr>
          <w:rFonts w:hint="eastAsia" w:ascii="仿宋" w:hAnsi="仿宋" w:eastAsia="仿宋" w:cs="仿宋"/>
          <w:color w:val="auto"/>
          <w:sz w:val="32"/>
          <w:szCs w:val="32"/>
          <w:highlight w:val="none"/>
          <w:lang w:eastAsia="zh-CN"/>
        </w:rPr>
        <w:t>所必需的</w:t>
      </w:r>
      <w:r>
        <w:rPr>
          <w:rFonts w:hint="eastAsia" w:ascii="仿宋" w:hAnsi="仿宋" w:eastAsia="仿宋" w:cs="仿宋"/>
          <w:color w:val="auto"/>
          <w:sz w:val="32"/>
          <w:szCs w:val="32"/>
          <w:highlight w:val="none"/>
        </w:rPr>
        <w:t>设备和专业技术能力的</w:t>
      </w:r>
    </w:p>
    <w:p w14:paraId="61637619">
      <w:pPr>
        <w:pStyle w:val="5"/>
        <w:shd w:val="clear"/>
        <w:bidi w:val="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声明函（统一格式）</w:t>
      </w:r>
    </w:p>
    <w:p w14:paraId="10B8F5E6">
      <w:pPr>
        <w:pStyle w:val="11"/>
        <w:keepNext w:val="0"/>
        <w:keepLines w:val="0"/>
        <w:pageBreakBefore w:val="0"/>
        <w:widowControl/>
        <w:shd w:val="clear"/>
        <w:tabs>
          <w:tab w:val="left" w:pos="8270"/>
        </w:tabs>
        <w:kinsoku w:val="0"/>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我公司</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lang w:val="en-US" w:eastAsia="zh-CN"/>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（投标人全称）收到</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pacing w:val="-3"/>
          <w:sz w:val="24"/>
          <w:szCs w:val="24"/>
          <w:highlight w:val="none"/>
        </w:rPr>
        <w:t>（项目名称及项目编号）的招标文件后，在完全理解该项目采购技术要求和商务条款的基础上，决定参加此次招标活动。我方保证具备履</w:t>
      </w:r>
      <w:r>
        <w:rPr>
          <w:rFonts w:hint="eastAsia" w:ascii="仿宋" w:hAnsi="仿宋" w:eastAsia="仿宋" w:cs="仿宋"/>
          <w:color w:val="auto"/>
          <w:sz w:val="24"/>
          <w:szCs w:val="24"/>
          <w:highlight w:val="none"/>
        </w:rPr>
        <w:t>行合同所必需的设备和专业技术能力，并承诺如下：</w:t>
      </w:r>
    </w:p>
    <w:p w14:paraId="2702F8A9">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（一）具有独立承担民事责任的能力；</w:t>
      </w:r>
    </w:p>
    <w:p w14:paraId="6DD3C5DA">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（二）具有良好的商业信誉和健全的财务会计制度；</w:t>
      </w:r>
    </w:p>
    <w:p w14:paraId="76804F69">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（三）具有履行合同所必需的设备和专业技术能力；</w:t>
      </w:r>
    </w:p>
    <w:p w14:paraId="116BCA22">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（四）参加政府采购活动前三年内，在经营活动中没有重</w:t>
      </w:r>
      <w:r>
        <w:rPr>
          <w:rFonts w:hint="eastAsia" w:ascii="仿宋" w:hAnsi="仿宋" w:eastAsia="仿宋" w:cs="仿宋"/>
          <w:color w:val="auto"/>
          <w:spacing w:val="-7"/>
          <w:sz w:val="24"/>
          <w:szCs w:val="24"/>
          <w:highlight w:val="none"/>
        </w:rPr>
        <w:t>大违法</w:t>
      </w:r>
      <w:r>
        <w:rPr>
          <w:rFonts w:hint="eastAsia" w:ascii="仿宋" w:hAnsi="仿宋" w:eastAsia="仿宋" w:cs="仿宋"/>
          <w:color w:val="auto"/>
          <w:spacing w:val="-6"/>
          <w:sz w:val="24"/>
          <w:szCs w:val="24"/>
          <w:highlight w:val="none"/>
        </w:rPr>
        <w:t>记录；</w:t>
      </w:r>
    </w:p>
    <w:p w14:paraId="40199D7F">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（五）法律、行政法规规定的其他条件。</w:t>
      </w:r>
    </w:p>
    <w:p w14:paraId="1C2B49D2">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（六）我公司已完全了解本招标文件中规定的技术</w:t>
      </w:r>
      <w:r>
        <w:rPr>
          <w:rFonts w:hint="eastAsia" w:ascii="仿宋" w:hAnsi="仿宋" w:eastAsia="仿宋" w:cs="仿宋"/>
          <w:color w:val="auto"/>
          <w:spacing w:val="-4"/>
          <w:sz w:val="24"/>
          <w:szCs w:val="24"/>
          <w:highlight w:val="none"/>
        </w:rPr>
        <w:t>要求和商务条</w:t>
      </w:r>
      <w:r>
        <w:rPr>
          <w:rFonts w:hint="eastAsia" w:ascii="仿宋" w:hAnsi="仿宋" w:eastAsia="仿宋" w:cs="仿宋"/>
          <w:color w:val="auto"/>
          <w:spacing w:val="-7"/>
          <w:sz w:val="24"/>
          <w:szCs w:val="24"/>
          <w:highlight w:val="none"/>
        </w:rPr>
        <w:t>款。</w:t>
      </w:r>
    </w:p>
    <w:p w14:paraId="37CA9312">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同时，为履行本项采购合同我公司具备如下主要设</w:t>
      </w:r>
      <w:r>
        <w:rPr>
          <w:rFonts w:hint="eastAsia" w:ascii="仿宋" w:hAnsi="仿宋" w:eastAsia="仿宋" w:cs="仿宋"/>
          <w:color w:val="auto"/>
          <w:spacing w:val="-3"/>
          <w:sz w:val="24"/>
          <w:szCs w:val="24"/>
          <w:highlight w:val="none"/>
        </w:rPr>
        <w:t>备和主要专业技术能力：</w:t>
      </w:r>
    </w:p>
    <w:p w14:paraId="64397E78">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主要设备有：</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4"/>
          <w:sz w:val="24"/>
          <w:szCs w:val="24"/>
          <w:highlight w:val="none"/>
        </w:rPr>
        <w:t>。</w:t>
      </w:r>
    </w:p>
    <w:p w14:paraId="0BF06565">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239B43D5">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主要专业技术能力有：</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22EA2C8D">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314320BC">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7D00F184">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423961F8">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451FB613">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5BAA59F1">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投标人名称（盖章</w:t>
      </w:r>
      <w:r>
        <w:rPr>
          <w:rFonts w:hint="eastAsia" w:ascii="仿宋" w:hAnsi="仿宋" w:eastAsia="仿宋" w:cs="仿宋"/>
          <w:color w:val="auto"/>
          <w:spacing w:val="-1"/>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14:paraId="1B6F0A9C">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1"/>
          <w:sz w:val="24"/>
          <w:szCs w:val="24"/>
          <w:highlight w:val="none"/>
        </w:rPr>
        <w:t>投标人法定代表人或其授权委托人（签字或盖章</w:t>
      </w:r>
      <w:r>
        <w:rPr>
          <w:rFonts w:hint="eastAsia" w:ascii="仿宋" w:hAnsi="仿宋" w:eastAsia="仿宋" w:cs="仿宋"/>
          <w:color w:val="auto"/>
          <w:spacing w:val="2"/>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p>
    <w:p w14:paraId="360207E4">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08" w:firstLineChars="200"/>
        <w:textAlignment w:val="baseline"/>
        <w:rPr>
          <w:rFonts w:hint="eastAsia" w:ascii="仿宋" w:hAnsi="仿宋" w:eastAsia="仿宋" w:cs="仿宋"/>
          <w:color w:val="auto"/>
          <w:spacing w:val="-18"/>
          <w:sz w:val="24"/>
          <w:szCs w:val="24"/>
          <w:highlight w:val="none"/>
        </w:rPr>
      </w:pPr>
      <w:r>
        <w:rPr>
          <w:rFonts w:hint="eastAsia" w:ascii="仿宋" w:hAnsi="仿宋" w:eastAsia="仿宋" w:cs="仿宋"/>
          <w:color w:val="auto"/>
          <w:spacing w:val="-18"/>
          <w:sz w:val="24"/>
          <w:szCs w:val="24"/>
          <w:highlight w:val="none"/>
        </w:rPr>
        <w:t>日期：</w:t>
      </w:r>
      <w:r>
        <w:rPr>
          <w:rFonts w:hint="eastAsia" w:ascii="仿宋" w:hAnsi="仿宋" w:eastAsia="仿宋" w:cs="仿宋"/>
          <w:color w:val="auto"/>
          <w:spacing w:val="28"/>
          <w:sz w:val="24"/>
          <w:szCs w:val="24"/>
          <w:highlight w:val="none"/>
          <w:u w:val="single" w:color="auto"/>
        </w:rPr>
        <w:t xml:space="preserve">    </w:t>
      </w:r>
      <w:r>
        <w:rPr>
          <w:rFonts w:hint="eastAsia" w:ascii="仿宋" w:hAnsi="仿宋" w:eastAsia="仿宋" w:cs="仿宋"/>
          <w:color w:val="auto"/>
          <w:spacing w:val="-18"/>
          <w:sz w:val="24"/>
          <w:szCs w:val="24"/>
          <w:highlight w:val="none"/>
        </w:rPr>
        <w:t>年</w:t>
      </w:r>
      <w:r>
        <w:rPr>
          <w:rFonts w:hint="eastAsia" w:ascii="仿宋" w:hAnsi="仿宋" w:eastAsia="仿宋" w:cs="仿宋"/>
          <w:color w:val="auto"/>
          <w:spacing w:val="46"/>
          <w:sz w:val="24"/>
          <w:szCs w:val="24"/>
          <w:highlight w:val="none"/>
          <w:u w:val="single" w:color="auto"/>
        </w:rPr>
        <w:t xml:space="preserve">  </w:t>
      </w:r>
      <w:r>
        <w:rPr>
          <w:rFonts w:hint="eastAsia" w:ascii="仿宋" w:hAnsi="仿宋" w:eastAsia="仿宋" w:cs="仿宋"/>
          <w:color w:val="auto"/>
          <w:spacing w:val="-18"/>
          <w:sz w:val="24"/>
          <w:szCs w:val="24"/>
          <w:highlight w:val="none"/>
        </w:rPr>
        <w:t>月</w:t>
      </w:r>
      <w:r>
        <w:rPr>
          <w:rFonts w:hint="eastAsia" w:ascii="仿宋" w:hAnsi="仿宋" w:eastAsia="仿宋" w:cs="仿宋"/>
          <w:color w:val="auto"/>
          <w:spacing w:val="46"/>
          <w:sz w:val="24"/>
          <w:szCs w:val="24"/>
          <w:highlight w:val="none"/>
          <w:u w:val="single" w:color="auto"/>
        </w:rPr>
        <w:t xml:space="preserve">  </w:t>
      </w:r>
      <w:r>
        <w:rPr>
          <w:rFonts w:hint="eastAsia" w:ascii="仿宋" w:hAnsi="仿宋" w:eastAsia="仿宋" w:cs="仿宋"/>
          <w:color w:val="auto"/>
          <w:spacing w:val="-18"/>
          <w:sz w:val="24"/>
          <w:szCs w:val="24"/>
          <w:highlight w:val="none"/>
        </w:rPr>
        <w:t>日</w:t>
      </w:r>
    </w:p>
    <w:p w14:paraId="6435D67B">
      <w:pPr>
        <w:shd w:val="clear"/>
        <w:rPr>
          <w:rFonts w:hint="eastAsia" w:ascii="仿宋" w:hAnsi="仿宋" w:eastAsia="仿宋" w:cs="仿宋"/>
          <w:color w:val="auto"/>
          <w:highlight w:val="none"/>
        </w:rPr>
      </w:pPr>
    </w:p>
    <w:p w14:paraId="72690477">
      <w:pPr>
        <w:keepNext w:val="0"/>
        <w:keepLines w:val="0"/>
        <w:pageBreakBefore w:val="0"/>
        <w:widowControl/>
        <w:shd w:val="clear"/>
        <w:kinsoku w:val="0"/>
        <w:wordWrap w:val="0"/>
        <w:overflowPunct/>
        <w:topLinePunct w:val="0"/>
        <w:autoSpaceDE w:val="0"/>
        <w:autoSpaceDN w:val="0"/>
        <w:bidi w:val="0"/>
        <w:adjustRightInd w:val="0"/>
        <w:snapToGrid w:val="0"/>
        <w:spacing w:line="218" w:lineRule="auto"/>
        <w:textAlignment w:val="baseline"/>
        <w:rPr>
          <w:rFonts w:hint="eastAsia" w:ascii="仿宋" w:hAnsi="仿宋" w:eastAsia="仿宋" w:cs="仿宋"/>
          <w:color w:val="auto"/>
          <w:sz w:val="28"/>
          <w:szCs w:val="28"/>
          <w:highlight w:val="none"/>
        </w:rPr>
        <w:sectPr>
          <w:footerReference r:id="rId27" w:type="default"/>
          <w:pgSz w:w="11906" w:h="16839"/>
          <w:pgMar w:top="1440" w:right="1800" w:bottom="1440" w:left="1800" w:header="1417" w:footer="1417" w:gutter="0"/>
          <w:pgNumType w:fmt="decimal"/>
          <w:cols w:space="720" w:num="1"/>
        </w:sectPr>
      </w:pPr>
    </w:p>
    <w:p w14:paraId="7E3E16F5">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218" w:lineRule="auto"/>
        <w:ind w:left="43"/>
        <w:textAlignment w:val="baseline"/>
        <w:rPr>
          <w:rFonts w:hint="eastAsia" w:ascii="仿宋" w:hAnsi="仿宋" w:eastAsia="仿宋" w:cs="仿宋"/>
          <w:color w:val="auto"/>
          <w:sz w:val="21"/>
          <w:highlight w:val="none"/>
        </w:rPr>
      </w:pPr>
      <w:r>
        <w:rPr>
          <w:rFonts w:hint="eastAsia" w:ascii="仿宋" w:hAnsi="仿宋" w:eastAsia="仿宋" w:cs="仿宋"/>
          <w:b/>
          <w:bCs/>
          <w:color w:val="auto"/>
          <w:spacing w:val="-16"/>
          <w:sz w:val="28"/>
          <w:szCs w:val="28"/>
          <w:highlight w:val="none"/>
        </w:rPr>
        <w:t>附件4：</w:t>
      </w:r>
    </w:p>
    <w:p w14:paraId="54ADC77C">
      <w:pPr>
        <w:pStyle w:val="5"/>
        <w:shd w:val="clear"/>
        <w:bidi w:val="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参加政府采购活动前三年内在经营活动中没有</w:t>
      </w:r>
    </w:p>
    <w:p w14:paraId="76190B22">
      <w:pPr>
        <w:pStyle w:val="5"/>
        <w:shd w:val="clear"/>
        <w:bidi w:val="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重大违法记录的声明函</w:t>
      </w:r>
    </w:p>
    <w:p w14:paraId="17822D41">
      <w:pPr>
        <w:pStyle w:val="11"/>
        <w:keepNext w:val="0"/>
        <w:keepLines w:val="0"/>
        <w:pageBreakBefore w:val="0"/>
        <w:widowControl/>
        <w:shd w:val="clear"/>
        <w:tabs>
          <w:tab w:val="left" w:pos="4211"/>
        </w:tabs>
        <w:kinsoku w:val="0"/>
        <w:wordWrap w:val="0"/>
        <w:overflowPunct/>
        <w:topLinePunct w:val="0"/>
        <w:autoSpaceDE w:val="0"/>
        <w:autoSpaceDN w:val="0"/>
        <w:bidi w:val="0"/>
        <w:adjustRightInd w:val="0"/>
        <w:snapToGrid w:val="0"/>
        <w:spacing w:before="91" w:line="216" w:lineRule="auto"/>
        <w:ind w:left="11"/>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color="auto"/>
          <w:lang w:val="en-US" w:eastAsia="zh-CN"/>
        </w:rPr>
        <w:t xml:space="preserve">                   </w:t>
      </w:r>
      <w:r>
        <w:rPr>
          <w:rFonts w:hint="eastAsia" w:ascii="仿宋" w:hAnsi="仿宋" w:eastAsia="仿宋" w:cs="仿宋"/>
          <w:color w:val="auto"/>
          <w:spacing w:val="6"/>
          <w:sz w:val="28"/>
          <w:szCs w:val="28"/>
          <w:highlight w:val="none"/>
        </w:rPr>
        <w:t>（采购人名称</w:t>
      </w:r>
      <w:r>
        <w:rPr>
          <w:rFonts w:hint="eastAsia" w:ascii="仿宋" w:hAnsi="仿宋" w:eastAsia="仿宋" w:cs="仿宋"/>
          <w:color w:val="auto"/>
          <w:spacing w:val="-4"/>
          <w:sz w:val="28"/>
          <w:szCs w:val="28"/>
          <w:highlight w:val="none"/>
        </w:rPr>
        <w:t>）：</w:t>
      </w:r>
    </w:p>
    <w:p w14:paraId="038EC0C1">
      <w:pPr>
        <w:pStyle w:val="11"/>
        <w:keepNext w:val="0"/>
        <w:keepLines w:val="0"/>
        <w:pageBreakBefore w:val="0"/>
        <w:widowControl/>
        <w:shd w:val="clear"/>
        <w:kinsoku w:val="0"/>
        <w:wordWrap/>
        <w:overflowPunct/>
        <w:topLinePunct w:val="0"/>
        <w:autoSpaceDE w:val="0"/>
        <w:autoSpaceDN w:val="0"/>
        <w:bidi w:val="0"/>
        <w:adjustRightInd w:val="0"/>
        <w:snapToGrid w:val="0"/>
        <w:spacing w:line="216" w:lineRule="auto"/>
        <w:ind w:right="0" w:firstLine="548" w:firstLineChars="200"/>
        <w:jc w:val="left"/>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我方在参加</w:t>
      </w:r>
      <w:r>
        <w:rPr>
          <w:rFonts w:hint="eastAsia" w:ascii="仿宋" w:hAnsi="仿宋" w:eastAsia="仿宋" w:cs="仿宋"/>
          <w:color w:val="auto"/>
          <w:spacing w:val="-3"/>
          <w:sz w:val="28"/>
          <w:szCs w:val="28"/>
          <w:highlight w:val="none"/>
          <w:u w:val="single" w:color="auto"/>
        </w:rPr>
        <w:t xml:space="preserve">                      </w:t>
      </w:r>
      <w:r>
        <w:rPr>
          <w:rFonts w:hint="eastAsia" w:ascii="仿宋" w:hAnsi="仿宋" w:eastAsia="仿宋" w:cs="仿宋"/>
          <w:color w:val="auto"/>
          <w:spacing w:val="-3"/>
          <w:sz w:val="28"/>
          <w:szCs w:val="28"/>
          <w:highlight w:val="none"/>
        </w:rPr>
        <w:t>（项目名称）政府采购活动</w:t>
      </w:r>
      <w:r>
        <w:rPr>
          <w:rFonts w:hint="eastAsia" w:ascii="仿宋" w:hAnsi="仿宋" w:eastAsia="仿宋" w:cs="仿宋"/>
          <w:color w:val="auto"/>
          <w:spacing w:val="-6"/>
          <w:sz w:val="28"/>
          <w:szCs w:val="28"/>
          <w:highlight w:val="none"/>
        </w:rPr>
        <w:t>前3年内,在经营活动中：</w:t>
      </w:r>
    </w:p>
    <w:p w14:paraId="077F7F80">
      <w:pPr>
        <w:pStyle w:val="11"/>
        <w:keepNext w:val="0"/>
        <w:keepLines w:val="0"/>
        <w:pageBreakBefore w:val="0"/>
        <w:widowControl/>
        <w:shd w:val="clear"/>
        <w:kinsoku w:val="0"/>
        <w:wordWrap w:val="0"/>
        <w:overflowPunct/>
        <w:topLinePunct w:val="0"/>
        <w:autoSpaceDE w:val="0"/>
        <w:autoSpaceDN w:val="0"/>
        <w:bidi w:val="0"/>
        <w:adjustRightInd w:val="0"/>
        <w:snapToGrid w:val="0"/>
        <w:spacing w:before="74" w:line="264" w:lineRule="auto"/>
        <w:ind w:left="22" w:right="24" w:firstLine="576"/>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1、没有重大违法记录（重大违法记录指投标人因</w:t>
      </w:r>
      <w:r>
        <w:rPr>
          <w:rFonts w:hint="eastAsia" w:ascii="仿宋" w:hAnsi="仿宋" w:eastAsia="仿宋" w:cs="仿宋"/>
          <w:color w:val="auto"/>
          <w:sz w:val="28"/>
          <w:szCs w:val="28"/>
          <w:highlight w:val="none"/>
        </w:rPr>
        <w:t>违法经营受到</w:t>
      </w:r>
      <w:r>
        <w:rPr>
          <w:rFonts w:hint="eastAsia" w:ascii="仿宋" w:hAnsi="仿宋" w:eastAsia="仿宋" w:cs="仿宋"/>
          <w:color w:val="auto"/>
          <w:spacing w:val="-3"/>
          <w:sz w:val="28"/>
          <w:szCs w:val="28"/>
          <w:highlight w:val="none"/>
        </w:rPr>
        <w:t>刑事处罚或者责令停产停业、吊销许可证或</w:t>
      </w:r>
      <w:r>
        <w:rPr>
          <w:rFonts w:hint="eastAsia" w:ascii="仿宋" w:hAnsi="仿宋" w:eastAsia="仿宋" w:cs="仿宋"/>
          <w:color w:val="auto"/>
          <w:spacing w:val="-4"/>
          <w:sz w:val="28"/>
          <w:szCs w:val="28"/>
          <w:highlight w:val="none"/>
        </w:rPr>
        <w:t>者执照、较大数额罚款等</w:t>
      </w:r>
      <w:r>
        <w:rPr>
          <w:rFonts w:hint="eastAsia" w:ascii="仿宋" w:hAnsi="仿宋" w:eastAsia="仿宋" w:cs="仿宋"/>
          <w:color w:val="auto"/>
          <w:spacing w:val="-2"/>
          <w:sz w:val="28"/>
          <w:szCs w:val="28"/>
          <w:highlight w:val="none"/>
        </w:rPr>
        <w:t>行政处罚）。</w:t>
      </w:r>
    </w:p>
    <w:p w14:paraId="437A0A72">
      <w:pPr>
        <w:pStyle w:val="11"/>
        <w:keepNext w:val="0"/>
        <w:keepLines w:val="0"/>
        <w:pageBreakBefore w:val="0"/>
        <w:widowControl/>
        <w:shd w:val="clear"/>
        <w:kinsoku w:val="0"/>
        <w:wordWrap w:val="0"/>
        <w:overflowPunct/>
        <w:topLinePunct w:val="0"/>
        <w:autoSpaceDE w:val="0"/>
        <w:autoSpaceDN w:val="0"/>
        <w:bidi w:val="0"/>
        <w:adjustRightInd w:val="0"/>
        <w:snapToGrid w:val="0"/>
        <w:spacing w:before="3" w:line="263" w:lineRule="auto"/>
        <w:ind w:left="22" w:right="24" w:firstLine="57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2、没有行贿犯罪记录（查询内容：①投标人</w:t>
      </w:r>
      <w:r>
        <w:rPr>
          <w:rFonts w:hint="eastAsia" w:ascii="仿宋" w:hAnsi="仿宋" w:eastAsia="仿宋" w:cs="仿宋"/>
          <w:color w:val="auto"/>
          <w:spacing w:val="-3"/>
          <w:sz w:val="28"/>
          <w:szCs w:val="28"/>
          <w:highlight w:val="none"/>
          <w:u w:val="single" w:color="auto"/>
        </w:rPr>
        <w:t xml:space="preserve"> </w:t>
      </w:r>
      <w:r>
        <w:rPr>
          <w:rFonts w:hint="eastAsia" w:ascii="仿宋" w:hAnsi="仿宋" w:eastAsia="仿宋" w:cs="仿宋"/>
          <w:color w:val="auto"/>
          <w:spacing w:val="-4"/>
          <w:sz w:val="28"/>
          <w:szCs w:val="28"/>
          <w:highlight w:val="none"/>
          <w:u w:val="single" w:color="auto"/>
        </w:rPr>
        <w:t xml:space="preserve">        </w:t>
      </w:r>
      <w:r>
        <w:rPr>
          <w:rFonts w:hint="eastAsia" w:ascii="仿宋" w:hAnsi="仿宋" w:eastAsia="仿宋" w:cs="仿宋"/>
          <w:color w:val="auto"/>
          <w:spacing w:val="-4"/>
          <w:sz w:val="28"/>
          <w:szCs w:val="28"/>
          <w:highlight w:val="none"/>
        </w:rPr>
        <w:t>、组织机</w:t>
      </w:r>
      <w:r>
        <w:rPr>
          <w:rFonts w:hint="eastAsia" w:ascii="仿宋" w:hAnsi="仿宋" w:eastAsia="仿宋" w:cs="仿宋"/>
          <w:color w:val="auto"/>
          <w:spacing w:val="18"/>
          <w:sz w:val="28"/>
          <w:szCs w:val="28"/>
          <w:highlight w:val="none"/>
        </w:rPr>
        <w:t>构代码证或统一社会信用代码</w:t>
      </w:r>
      <w:r>
        <w:rPr>
          <w:rFonts w:hint="eastAsia" w:ascii="仿宋" w:hAnsi="仿宋" w:eastAsia="仿宋" w:cs="仿宋"/>
          <w:color w:val="auto"/>
          <w:spacing w:val="2"/>
          <w:sz w:val="28"/>
          <w:szCs w:val="28"/>
          <w:highlight w:val="none"/>
          <w:u w:val="single" w:color="auto"/>
        </w:rPr>
        <w:t xml:space="preserve">             </w:t>
      </w:r>
      <w:r>
        <w:rPr>
          <w:rFonts w:hint="eastAsia" w:ascii="仿宋" w:hAnsi="仿宋" w:eastAsia="仿宋" w:cs="仿宋"/>
          <w:color w:val="auto"/>
          <w:spacing w:val="68"/>
          <w:sz w:val="28"/>
          <w:szCs w:val="28"/>
          <w:highlight w:val="none"/>
        </w:rPr>
        <w:t xml:space="preserve"> </w:t>
      </w:r>
      <w:r>
        <w:rPr>
          <w:rFonts w:hint="eastAsia" w:ascii="仿宋" w:hAnsi="仿宋" w:eastAsia="仿宋" w:cs="仿宋"/>
          <w:color w:val="auto"/>
          <w:spacing w:val="18"/>
          <w:sz w:val="28"/>
          <w:szCs w:val="28"/>
          <w:highlight w:val="none"/>
        </w:rPr>
        <w:t>；②法定代表</w:t>
      </w:r>
      <w:r>
        <w:rPr>
          <w:rFonts w:hint="eastAsia" w:ascii="仿宋" w:hAnsi="仿宋" w:eastAsia="仿宋" w:cs="仿宋"/>
          <w:color w:val="auto"/>
          <w:spacing w:val="-5"/>
          <w:sz w:val="28"/>
          <w:szCs w:val="28"/>
          <w:highlight w:val="none"/>
        </w:rPr>
        <w:t>人</w:t>
      </w:r>
      <w:r>
        <w:rPr>
          <w:rFonts w:hint="eastAsia" w:ascii="仿宋" w:hAnsi="仿宋" w:eastAsia="仿宋" w:cs="仿宋"/>
          <w:color w:val="auto"/>
          <w:spacing w:val="-5"/>
          <w:sz w:val="28"/>
          <w:szCs w:val="28"/>
          <w:highlight w:val="none"/>
          <w:u w:val="single" w:color="auto"/>
        </w:rPr>
        <w:t xml:space="preserve">         </w:t>
      </w:r>
      <w:r>
        <w:rPr>
          <w:rFonts w:hint="eastAsia" w:ascii="仿宋" w:hAnsi="仿宋" w:eastAsia="仿宋" w:cs="仿宋"/>
          <w:color w:val="auto"/>
          <w:spacing w:val="-5"/>
          <w:sz w:val="28"/>
          <w:szCs w:val="28"/>
          <w:highlight w:val="none"/>
        </w:rPr>
        <w:t>、身份证号码</w:t>
      </w:r>
      <w:r>
        <w:rPr>
          <w:rFonts w:hint="eastAsia" w:ascii="仿宋" w:hAnsi="仿宋" w:eastAsia="仿宋" w:cs="仿宋"/>
          <w:color w:val="auto"/>
          <w:spacing w:val="-139"/>
          <w:sz w:val="28"/>
          <w:szCs w:val="28"/>
          <w:highlight w:val="none"/>
        </w:rPr>
        <w:t xml:space="preserve"> </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30"/>
          <w:sz w:val="28"/>
          <w:szCs w:val="28"/>
          <w:highlight w:val="none"/>
        </w:rPr>
        <w:t xml:space="preserve"> </w:t>
      </w:r>
      <w:r>
        <w:rPr>
          <w:rFonts w:hint="eastAsia" w:ascii="仿宋" w:hAnsi="仿宋" w:eastAsia="仿宋" w:cs="仿宋"/>
          <w:color w:val="auto"/>
          <w:spacing w:val="-5"/>
          <w:sz w:val="28"/>
          <w:szCs w:val="28"/>
          <w:highlight w:val="none"/>
        </w:rPr>
        <w:t>；③项目负责人</w:t>
      </w:r>
      <w:r>
        <w:rPr>
          <w:rFonts w:hint="eastAsia" w:ascii="仿宋" w:hAnsi="仿宋" w:eastAsia="仿宋" w:cs="仿宋"/>
          <w:color w:val="auto"/>
          <w:spacing w:val="-138"/>
          <w:sz w:val="28"/>
          <w:szCs w:val="28"/>
          <w:highlight w:val="none"/>
        </w:rPr>
        <w:t xml:space="preserve"> </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5"/>
          <w:sz w:val="28"/>
          <w:szCs w:val="28"/>
          <w:highlight w:val="none"/>
        </w:rPr>
        <w:t>、身份</w:t>
      </w:r>
      <w:r>
        <w:rPr>
          <w:rFonts w:hint="eastAsia" w:ascii="仿宋" w:hAnsi="仿宋" w:eastAsia="仿宋" w:cs="仿宋"/>
          <w:color w:val="auto"/>
          <w:spacing w:val="-1"/>
          <w:sz w:val="28"/>
          <w:szCs w:val="28"/>
          <w:highlight w:val="none"/>
        </w:rPr>
        <w:t>证号码</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38"/>
          <w:sz w:val="28"/>
          <w:szCs w:val="28"/>
          <w:highlight w:val="none"/>
        </w:rPr>
        <w:t xml:space="preserve"> </w:t>
      </w:r>
      <w:r>
        <w:rPr>
          <w:rFonts w:hint="eastAsia" w:ascii="仿宋" w:hAnsi="仿宋" w:eastAsia="仿宋" w:cs="仿宋"/>
          <w:color w:val="auto"/>
          <w:spacing w:val="-1"/>
          <w:sz w:val="28"/>
          <w:szCs w:val="28"/>
          <w:highlight w:val="none"/>
        </w:rPr>
        <w:t>）。</w:t>
      </w:r>
    </w:p>
    <w:p w14:paraId="0347C13A">
      <w:pPr>
        <w:pStyle w:val="11"/>
        <w:keepNext w:val="0"/>
        <w:keepLines w:val="0"/>
        <w:pageBreakBefore w:val="0"/>
        <w:widowControl/>
        <w:shd w:val="clear"/>
        <w:kinsoku w:val="0"/>
        <w:wordWrap w:val="0"/>
        <w:overflowPunct/>
        <w:topLinePunct w:val="0"/>
        <w:autoSpaceDE w:val="0"/>
        <w:autoSpaceDN w:val="0"/>
        <w:bidi w:val="0"/>
        <w:adjustRightInd w:val="0"/>
        <w:snapToGrid w:val="0"/>
        <w:spacing w:before="3" w:line="263" w:lineRule="auto"/>
        <w:ind w:left="18" w:right="22" w:firstLine="579"/>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二、我方在参加本项目活动前一段时间内具有良好的商业信誉和</w:t>
      </w:r>
      <w:r>
        <w:rPr>
          <w:rFonts w:hint="eastAsia" w:ascii="仿宋" w:hAnsi="仿宋" w:eastAsia="仿宋" w:cs="仿宋"/>
          <w:color w:val="auto"/>
          <w:spacing w:val="6"/>
          <w:sz w:val="28"/>
          <w:szCs w:val="28"/>
          <w:highlight w:val="none"/>
        </w:rPr>
        <w:t>健全的财务会计制度、具有依法缴纳税收和社会保障资金的良好记</w:t>
      </w:r>
      <w:r>
        <w:rPr>
          <w:rFonts w:hint="eastAsia" w:ascii="仿宋" w:hAnsi="仿宋" w:eastAsia="仿宋" w:cs="仿宋"/>
          <w:color w:val="auto"/>
          <w:spacing w:val="-3"/>
          <w:sz w:val="28"/>
          <w:szCs w:val="28"/>
          <w:highlight w:val="none"/>
        </w:rPr>
        <w:t>录。</w:t>
      </w:r>
    </w:p>
    <w:p w14:paraId="0B7EC286">
      <w:pPr>
        <w:pStyle w:val="11"/>
        <w:keepNext w:val="0"/>
        <w:keepLines w:val="0"/>
        <w:pageBreakBefore w:val="0"/>
        <w:widowControl/>
        <w:shd w:val="clear"/>
        <w:kinsoku w:val="0"/>
        <w:wordWrap w:val="0"/>
        <w:overflowPunct/>
        <w:topLinePunct w:val="0"/>
        <w:autoSpaceDE w:val="0"/>
        <w:autoSpaceDN w:val="0"/>
        <w:bidi w:val="0"/>
        <w:adjustRightInd w:val="0"/>
        <w:snapToGrid w:val="0"/>
        <w:spacing w:before="2" w:line="264" w:lineRule="auto"/>
        <w:ind w:left="26" w:firstLine="576"/>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三、我方承诺在新疆政府采购网政采云平台上传</w:t>
      </w:r>
      <w:r>
        <w:rPr>
          <w:rFonts w:hint="eastAsia" w:ascii="仿宋" w:hAnsi="仿宋" w:eastAsia="仿宋" w:cs="仿宋"/>
          <w:color w:val="auto"/>
          <w:spacing w:val="-5"/>
          <w:sz w:val="28"/>
          <w:szCs w:val="28"/>
          <w:highlight w:val="none"/>
        </w:rPr>
        <w:t>提交的资格审查</w:t>
      </w:r>
      <w:r>
        <w:rPr>
          <w:rFonts w:hint="eastAsia" w:ascii="仿宋" w:hAnsi="仿宋" w:eastAsia="仿宋" w:cs="仿宋"/>
          <w:color w:val="auto"/>
          <w:spacing w:val="-3"/>
          <w:sz w:val="28"/>
          <w:szCs w:val="28"/>
          <w:highlight w:val="none"/>
        </w:rPr>
        <w:t>材料，均合法、真实、准确、有效，无任何伪造、修改、虚假成分，</w:t>
      </w:r>
      <w:r>
        <w:rPr>
          <w:rFonts w:hint="eastAsia" w:ascii="仿宋" w:hAnsi="仿宋" w:eastAsia="仿宋" w:cs="仿宋"/>
          <w:color w:val="auto"/>
          <w:spacing w:val="-1"/>
          <w:sz w:val="28"/>
          <w:szCs w:val="28"/>
          <w:highlight w:val="none"/>
        </w:rPr>
        <w:t>并对所提供资料的真实性、准确性负责。</w:t>
      </w:r>
    </w:p>
    <w:p w14:paraId="3F712DAF">
      <w:pPr>
        <w:keepNext w:val="0"/>
        <w:keepLines w:val="0"/>
        <w:pageBreakBefore w:val="0"/>
        <w:widowControl/>
        <w:shd w:val="clear"/>
        <w:kinsoku w:val="0"/>
        <w:wordWrap w:val="0"/>
        <w:overflowPunct/>
        <w:topLinePunct w:val="0"/>
        <w:autoSpaceDE w:val="0"/>
        <w:autoSpaceDN w:val="0"/>
        <w:bidi w:val="0"/>
        <w:adjustRightInd w:val="0"/>
        <w:snapToGrid w:val="0"/>
        <w:spacing w:line="304" w:lineRule="auto"/>
        <w:textAlignment w:val="baseline"/>
        <w:rPr>
          <w:rFonts w:hint="eastAsia" w:ascii="仿宋" w:hAnsi="仿宋" w:eastAsia="仿宋" w:cs="仿宋"/>
          <w:color w:val="auto"/>
          <w:sz w:val="21"/>
          <w:highlight w:val="none"/>
        </w:rPr>
      </w:pPr>
    </w:p>
    <w:p w14:paraId="26287ED2">
      <w:pPr>
        <w:pStyle w:val="11"/>
        <w:keepNext w:val="0"/>
        <w:keepLines w:val="0"/>
        <w:pageBreakBefore w:val="0"/>
        <w:widowControl/>
        <w:shd w:val="clear"/>
        <w:kinsoku w:val="0"/>
        <w:wordWrap w:val="0"/>
        <w:overflowPunct/>
        <w:topLinePunct w:val="0"/>
        <w:autoSpaceDE w:val="0"/>
        <w:autoSpaceDN w:val="0"/>
        <w:bidi w:val="0"/>
        <w:adjustRightInd w:val="0"/>
        <w:snapToGrid w:val="0"/>
        <w:spacing w:before="92" w:line="218" w:lineRule="auto"/>
        <w:ind w:left="584"/>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若以上声明不实，我方自愿承担一切法律后果。</w:t>
      </w:r>
    </w:p>
    <w:p w14:paraId="63C44C39">
      <w:pPr>
        <w:keepNext w:val="0"/>
        <w:keepLines w:val="0"/>
        <w:pageBreakBefore w:val="0"/>
        <w:widowControl/>
        <w:shd w:val="clear"/>
        <w:kinsoku w:val="0"/>
        <w:wordWrap w:val="0"/>
        <w:overflowPunct/>
        <w:topLinePunct w:val="0"/>
        <w:autoSpaceDE w:val="0"/>
        <w:autoSpaceDN w:val="0"/>
        <w:bidi w:val="0"/>
        <w:adjustRightInd w:val="0"/>
        <w:snapToGrid w:val="0"/>
        <w:spacing w:line="262" w:lineRule="auto"/>
        <w:textAlignment w:val="baseline"/>
        <w:rPr>
          <w:rFonts w:hint="eastAsia" w:ascii="仿宋" w:hAnsi="仿宋" w:eastAsia="仿宋" w:cs="仿宋"/>
          <w:color w:val="auto"/>
          <w:sz w:val="21"/>
          <w:highlight w:val="none"/>
        </w:rPr>
      </w:pPr>
    </w:p>
    <w:p w14:paraId="4A3EDDA9">
      <w:pPr>
        <w:keepNext w:val="0"/>
        <w:keepLines w:val="0"/>
        <w:pageBreakBefore w:val="0"/>
        <w:widowControl/>
        <w:shd w:val="clear"/>
        <w:kinsoku w:val="0"/>
        <w:wordWrap w:val="0"/>
        <w:overflowPunct/>
        <w:topLinePunct w:val="0"/>
        <w:autoSpaceDE w:val="0"/>
        <w:autoSpaceDN w:val="0"/>
        <w:bidi w:val="0"/>
        <w:adjustRightInd w:val="0"/>
        <w:snapToGrid w:val="0"/>
        <w:spacing w:line="262" w:lineRule="auto"/>
        <w:textAlignment w:val="baseline"/>
        <w:rPr>
          <w:rFonts w:hint="eastAsia" w:ascii="仿宋" w:hAnsi="仿宋" w:eastAsia="仿宋" w:cs="仿宋"/>
          <w:color w:val="auto"/>
          <w:sz w:val="21"/>
          <w:highlight w:val="none"/>
        </w:rPr>
      </w:pPr>
    </w:p>
    <w:p w14:paraId="73C6E88F">
      <w:pPr>
        <w:keepNext w:val="0"/>
        <w:keepLines w:val="0"/>
        <w:pageBreakBefore w:val="0"/>
        <w:widowControl/>
        <w:shd w:val="clear"/>
        <w:kinsoku w:val="0"/>
        <w:wordWrap w:val="0"/>
        <w:overflowPunct/>
        <w:topLinePunct w:val="0"/>
        <w:autoSpaceDE w:val="0"/>
        <w:autoSpaceDN w:val="0"/>
        <w:bidi w:val="0"/>
        <w:adjustRightInd w:val="0"/>
        <w:snapToGrid w:val="0"/>
        <w:spacing w:line="263" w:lineRule="auto"/>
        <w:textAlignment w:val="baseline"/>
        <w:rPr>
          <w:rFonts w:hint="eastAsia" w:ascii="仿宋" w:hAnsi="仿宋" w:eastAsia="仿宋" w:cs="仿宋"/>
          <w:color w:val="auto"/>
          <w:sz w:val="21"/>
          <w:highlight w:val="none"/>
        </w:rPr>
      </w:pPr>
    </w:p>
    <w:p w14:paraId="215CB605">
      <w:pPr>
        <w:keepNext w:val="0"/>
        <w:keepLines w:val="0"/>
        <w:pageBreakBefore w:val="0"/>
        <w:widowControl/>
        <w:shd w:val="clear"/>
        <w:kinsoku w:val="0"/>
        <w:wordWrap w:val="0"/>
        <w:overflowPunct/>
        <w:topLinePunct w:val="0"/>
        <w:autoSpaceDE w:val="0"/>
        <w:autoSpaceDN w:val="0"/>
        <w:bidi w:val="0"/>
        <w:adjustRightInd w:val="0"/>
        <w:snapToGrid w:val="0"/>
        <w:spacing w:line="263" w:lineRule="auto"/>
        <w:textAlignment w:val="baseline"/>
        <w:rPr>
          <w:rFonts w:hint="eastAsia" w:ascii="仿宋" w:hAnsi="仿宋" w:eastAsia="仿宋" w:cs="仿宋"/>
          <w:color w:val="auto"/>
          <w:sz w:val="21"/>
          <w:highlight w:val="none"/>
        </w:rPr>
      </w:pPr>
    </w:p>
    <w:p w14:paraId="61557C10">
      <w:pPr>
        <w:keepNext w:val="0"/>
        <w:keepLines w:val="0"/>
        <w:pageBreakBefore w:val="0"/>
        <w:widowControl/>
        <w:shd w:val="clear"/>
        <w:kinsoku w:val="0"/>
        <w:wordWrap w:val="0"/>
        <w:overflowPunct/>
        <w:topLinePunct w:val="0"/>
        <w:autoSpaceDE w:val="0"/>
        <w:autoSpaceDN w:val="0"/>
        <w:bidi w:val="0"/>
        <w:adjustRightInd w:val="0"/>
        <w:snapToGrid w:val="0"/>
        <w:spacing w:line="263" w:lineRule="auto"/>
        <w:textAlignment w:val="baseline"/>
        <w:rPr>
          <w:rFonts w:hint="eastAsia" w:ascii="仿宋" w:hAnsi="仿宋" w:eastAsia="仿宋" w:cs="仿宋"/>
          <w:color w:val="auto"/>
          <w:sz w:val="21"/>
          <w:highlight w:val="none"/>
        </w:rPr>
      </w:pPr>
    </w:p>
    <w:p w14:paraId="735B8792">
      <w:pPr>
        <w:keepNext w:val="0"/>
        <w:keepLines w:val="0"/>
        <w:pageBreakBefore w:val="0"/>
        <w:widowControl/>
        <w:shd w:val="clear"/>
        <w:kinsoku w:val="0"/>
        <w:wordWrap w:val="0"/>
        <w:overflowPunct/>
        <w:topLinePunct w:val="0"/>
        <w:autoSpaceDE w:val="0"/>
        <w:autoSpaceDN w:val="0"/>
        <w:bidi w:val="0"/>
        <w:adjustRightInd w:val="0"/>
        <w:snapToGrid w:val="0"/>
        <w:spacing w:line="263" w:lineRule="auto"/>
        <w:textAlignment w:val="baseline"/>
        <w:rPr>
          <w:rFonts w:hint="eastAsia" w:ascii="仿宋" w:hAnsi="仿宋" w:eastAsia="仿宋" w:cs="仿宋"/>
          <w:color w:val="auto"/>
          <w:sz w:val="21"/>
          <w:highlight w:val="none"/>
        </w:rPr>
      </w:pPr>
    </w:p>
    <w:p w14:paraId="1671E7CE">
      <w:pPr>
        <w:keepNext w:val="0"/>
        <w:keepLines w:val="0"/>
        <w:pageBreakBefore w:val="0"/>
        <w:widowControl/>
        <w:shd w:val="clear"/>
        <w:kinsoku w:val="0"/>
        <w:wordWrap w:val="0"/>
        <w:overflowPunct/>
        <w:topLinePunct w:val="0"/>
        <w:autoSpaceDE w:val="0"/>
        <w:autoSpaceDN w:val="0"/>
        <w:bidi w:val="0"/>
        <w:adjustRightInd w:val="0"/>
        <w:snapToGrid w:val="0"/>
        <w:spacing w:line="263" w:lineRule="auto"/>
        <w:textAlignment w:val="baseline"/>
        <w:rPr>
          <w:rFonts w:hint="eastAsia" w:ascii="仿宋" w:hAnsi="仿宋" w:eastAsia="仿宋" w:cs="仿宋"/>
          <w:color w:val="auto"/>
          <w:sz w:val="21"/>
          <w:highlight w:val="none"/>
        </w:rPr>
      </w:pPr>
    </w:p>
    <w:p w14:paraId="0FB8EFAE">
      <w:pPr>
        <w:keepNext w:val="0"/>
        <w:keepLines w:val="0"/>
        <w:pageBreakBefore w:val="0"/>
        <w:widowControl/>
        <w:shd w:val="clear"/>
        <w:kinsoku w:val="0"/>
        <w:wordWrap w:val="0"/>
        <w:overflowPunct/>
        <w:topLinePunct w:val="0"/>
        <w:autoSpaceDE w:val="0"/>
        <w:autoSpaceDN w:val="0"/>
        <w:bidi w:val="0"/>
        <w:adjustRightInd w:val="0"/>
        <w:snapToGrid w:val="0"/>
        <w:spacing w:line="263" w:lineRule="auto"/>
        <w:textAlignment w:val="baseline"/>
        <w:rPr>
          <w:rFonts w:hint="eastAsia" w:ascii="仿宋" w:hAnsi="仿宋" w:eastAsia="仿宋" w:cs="仿宋"/>
          <w:color w:val="auto"/>
          <w:sz w:val="21"/>
          <w:highlight w:val="none"/>
        </w:rPr>
      </w:pPr>
    </w:p>
    <w:p w14:paraId="7EC7722D">
      <w:pPr>
        <w:keepNext w:val="0"/>
        <w:keepLines w:val="0"/>
        <w:pageBreakBefore w:val="0"/>
        <w:widowControl/>
        <w:shd w:val="clear"/>
        <w:kinsoku w:val="0"/>
        <w:wordWrap w:val="0"/>
        <w:overflowPunct/>
        <w:topLinePunct w:val="0"/>
        <w:autoSpaceDE w:val="0"/>
        <w:autoSpaceDN w:val="0"/>
        <w:bidi w:val="0"/>
        <w:adjustRightInd w:val="0"/>
        <w:snapToGrid w:val="0"/>
        <w:spacing w:line="263" w:lineRule="auto"/>
        <w:textAlignment w:val="baseline"/>
        <w:rPr>
          <w:rFonts w:hint="eastAsia" w:ascii="仿宋" w:hAnsi="仿宋" w:eastAsia="仿宋" w:cs="仿宋"/>
          <w:color w:val="auto"/>
          <w:sz w:val="21"/>
          <w:highlight w:val="none"/>
        </w:rPr>
      </w:pPr>
    </w:p>
    <w:p w14:paraId="27F94EA9">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投标人名称（盖章</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color="auto"/>
        </w:rPr>
        <w:t xml:space="preserve">                 </w:t>
      </w:r>
    </w:p>
    <w:p w14:paraId="2FCA639B">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textAlignment w:val="baseline"/>
        <w:rPr>
          <w:rFonts w:hint="eastAsia" w:ascii="仿宋" w:hAnsi="仿宋" w:eastAsia="仿宋" w:cs="仿宋"/>
          <w:color w:val="auto"/>
          <w:sz w:val="28"/>
          <w:szCs w:val="28"/>
          <w:highlight w:val="none"/>
          <w:u w:val="single" w:color="auto"/>
        </w:rPr>
      </w:pPr>
      <w:r>
        <w:rPr>
          <w:rFonts w:hint="eastAsia" w:ascii="仿宋" w:hAnsi="仿宋" w:eastAsia="仿宋" w:cs="仿宋"/>
          <w:color w:val="auto"/>
          <w:spacing w:val="-1"/>
          <w:sz w:val="28"/>
          <w:szCs w:val="28"/>
          <w:highlight w:val="none"/>
        </w:rPr>
        <w:t>投标人法定代表人或其授权委托人（签字或盖章</w:t>
      </w:r>
      <w:r>
        <w:rPr>
          <w:rFonts w:hint="eastAsia" w:ascii="仿宋" w:hAnsi="仿宋" w:eastAsia="仿宋" w:cs="仿宋"/>
          <w:color w:val="auto"/>
          <w:spacing w:val="2"/>
          <w:sz w:val="28"/>
          <w:szCs w:val="28"/>
          <w:highlight w:val="none"/>
        </w:rPr>
        <w:t>）：</w:t>
      </w:r>
      <w:r>
        <w:rPr>
          <w:rFonts w:hint="eastAsia" w:ascii="仿宋" w:hAnsi="仿宋" w:eastAsia="仿宋" w:cs="仿宋"/>
          <w:color w:val="auto"/>
          <w:sz w:val="28"/>
          <w:szCs w:val="28"/>
          <w:highlight w:val="none"/>
          <w:u w:val="single" w:color="auto"/>
        </w:rPr>
        <w:t xml:space="preserve">       </w:t>
      </w:r>
    </w:p>
    <w:p w14:paraId="379452B7">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8"/>
          <w:sz w:val="28"/>
          <w:szCs w:val="28"/>
          <w:highlight w:val="none"/>
        </w:rPr>
        <w:t>日期：</w:t>
      </w:r>
      <w:r>
        <w:rPr>
          <w:rFonts w:hint="eastAsia" w:ascii="仿宋" w:hAnsi="仿宋" w:eastAsia="仿宋" w:cs="仿宋"/>
          <w:color w:val="auto"/>
          <w:sz w:val="28"/>
          <w:szCs w:val="28"/>
          <w:highlight w:val="none"/>
          <w:u w:val="single" w:color="auto"/>
        </w:rPr>
        <w:t xml:space="preserve">      </w:t>
      </w:r>
      <w:r>
        <w:rPr>
          <w:rFonts w:hint="eastAsia" w:ascii="仿宋" w:hAnsi="仿宋" w:eastAsia="仿宋" w:cs="仿宋"/>
          <w:color w:val="auto"/>
          <w:spacing w:val="-18"/>
          <w:sz w:val="28"/>
          <w:szCs w:val="28"/>
          <w:highlight w:val="none"/>
        </w:rPr>
        <w:t>年</w:t>
      </w:r>
      <w:r>
        <w:rPr>
          <w:rFonts w:hint="eastAsia" w:ascii="仿宋" w:hAnsi="仿宋" w:eastAsia="仿宋" w:cs="仿宋"/>
          <w:color w:val="auto"/>
          <w:spacing w:val="46"/>
          <w:sz w:val="28"/>
          <w:szCs w:val="28"/>
          <w:highlight w:val="none"/>
          <w:u w:val="single" w:color="auto"/>
        </w:rPr>
        <w:t xml:space="preserve">   </w:t>
      </w:r>
      <w:r>
        <w:rPr>
          <w:rFonts w:hint="eastAsia" w:ascii="仿宋" w:hAnsi="仿宋" w:eastAsia="仿宋" w:cs="仿宋"/>
          <w:color w:val="auto"/>
          <w:spacing w:val="-18"/>
          <w:sz w:val="28"/>
          <w:szCs w:val="28"/>
          <w:highlight w:val="none"/>
        </w:rPr>
        <w:t>月</w:t>
      </w:r>
      <w:r>
        <w:rPr>
          <w:rFonts w:hint="eastAsia" w:ascii="仿宋" w:hAnsi="仿宋" w:eastAsia="仿宋" w:cs="仿宋"/>
          <w:color w:val="auto"/>
          <w:spacing w:val="46"/>
          <w:sz w:val="28"/>
          <w:szCs w:val="28"/>
          <w:highlight w:val="none"/>
          <w:u w:val="single" w:color="auto"/>
        </w:rPr>
        <w:t xml:space="preserve">   </w:t>
      </w:r>
      <w:r>
        <w:rPr>
          <w:rFonts w:hint="eastAsia" w:ascii="仿宋" w:hAnsi="仿宋" w:eastAsia="仿宋" w:cs="仿宋"/>
          <w:color w:val="auto"/>
          <w:spacing w:val="-18"/>
          <w:sz w:val="28"/>
          <w:szCs w:val="28"/>
          <w:highlight w:val="none"/>
        </w:rPr>
        <w:t>日</w:t>
      </w:r>
    </w:p>
    <w:p w14:paraId="4BC11388">
      <w:pPr>
        <w:keepNext w:val="0"/>
        <w:keepLines w:val="0"/>
        <w:pageBreakBefore w:val="0"/>
        <w:widowControl/>
        <w:shd w:val="clear"/>
        <w:kinsoku w:val="0"/>
        <w:wordWrap w:val="0"/>
        <w:overflowPunct/>
        <w:topLinePunct w:val="0"/>
        <w:autoSpaceDE w:val="0"/>
        <w:autoSpaceDN w:val="0"/>
        <w:bidi w:val="0"/>
        <w:adjustRightInd w:val="0"/>
        <w:snapToGrid w:val="0"/>
        <w:spacing w:line="218" w:lineRule="auto"/>
        <w:textAlignment w:val="baseline"/>
        <w:rPr>
          <w:rFonts w:hint="eastAsia" w:ascii="仿宋" w:hAnsi="仿宋" w:eastAsia="仿宋" w:cs="仿宋"/>
          <w:color w:val="auto"/>
          <w:sz w:val="28"/>
          <w:szCs w:val="28"/>
          <w:highlight w:val="none"/>
        </w:rPr>
      </w:pPr>
    </w:p>
    <w:p w14:paraId="00C1162E">
      <w:pPr>
        <w:pStyle w:val="26"/>
        <w:shd w:val="clear"/>
        <w:rPr>
          <w:rFonts w:hint="eastAsia" w:ascii="仿宋" w:hAnsi="仿宋" w:eastAsia="仿宋" w:cs="仿宋"/>
          <w:color w:val="auto"/>
          <w:highlight w:val="none"/>
        </w:rPr>
        <w:sectPr>
          <w:headerReference r:id="rId28" w:type="default"/>
          <w:footerReference r:id="rId29" w:type="default"/>
          <w:pgSz w:w="11906" w:h="16839"/>
          <w:pgMar w:top="1440" w:right="1800" w:bottom="1440" w:left="1800" w:header="1417" w:footer="1417" w:gutter="0"/>
          <w:pgNumType w:fmt="decimal"/>
          <w:cols w:space="720" w:num="1"/>
        </w:sectPr>
      </w:pPr>
    </w:p>
    <w:p w14:paraId="769992D9">
      <w:pPr>
        <w:pStyle w:val="5"/>
        <w:shd w:val="clear"/>
        <w:bidi w:val="0"/>
        <w:rPr>
          <w:rFonts w:hint="eastAsia" w:ascii="仿宋" w:hAnsi="仿宋" w:eastAsia="仿宋" w:cs="仿宋"/>
          <w:color w:val="auto"/>
          <w:highlight w:val="none"/>
        </w:rPr>
      </w:pPr>
      <w:r>
        <w:rPr>
          <w:rFonts w:hint="eastAsia" w:ascii="仿宋" w:hAnsi="仿宋" w:eastAsia="仿宋" w:cs="仿宋"/>
          <w:color w:val="auto"/>
          <w:highlight w:val="none"/>
        </w:rPr>
        <w:t>未被列入失信被执行人、重大税收违法案件当事人、政府采购严重违法失信行为记录名单（现场查询“信用中国”网</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"https://www.creditchina.gov.cn"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www.creditchina.gov.cn</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t xml:space="preserve">、中国政府采购网 </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"https://www.ccgp.gov.cn"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www.ccgp.gov.cn</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t>）</w:t>
      </w:r>
    </w:p>
    <w:p w14:paraId="2DEDD739">
      <w:pPr>
        <w:pStyle w:val="11"/>
        <w:keepNext w:val="0"/>
        <w:keepLines w:val="0"/>
        <w:pageBreakBefore w:val="0"/>
        <w:widowControl/>
        <w:shd w:val="clear"/>
        <w:kinsoku w:val="0"/>
        <w:wordWrap w:val="0"/>
        <w:overflowPunct/>
        <w:topLinePunct w:val="0"/>
        <w:autoSpaceDE w:val="0"/>
        <w:autoSpaceDN w:val="0"/>
        <w:bidi w:val="0"/>
        <w:adjustRightInd w:val="0"/>
        <w:snapToGrid w:val="0"/>
        <w:spacing w:before="128" w:line="360" w:lineRule="auto"/>
        <w:ind w:left="29"/>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注：1.其他组织或自然人不查询“信用中国”网站。</w:t>
      </w:r>
    </w:p>
    <w:p w14:paraId="3AD8E651">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360" w:lineRule="auto"/>
        <w:ind w:left="592"/>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2.此项内容由相关人员现场查询。</w:t>
      </w:r>
    </w:p>
    <w:p w14:paraId="122D12CF">
      <w:pPr>
        <w:keepNext w:val="0"/>
        <w:keepLines w:val="0"/>
        <w:pageBreakBefore w:val="0"/>
        <w:widowControl/>
        <w:shd w:val="clear"/>
        <w:kinsoku w:val="0"/>
        <w:wordWrap w:val="0"/>
        <w:overflowPunct/>
        <w:topLinePunct w:val="0"/>
        <w:autoSpaceDE w:val="0"/>
        <w:autoSpaceDN w:val="0"/>
        <w:bidi w:val="0"/>
        <w:adjustRightInd w:val="0"/>
        <w:snapToGrid w:val="0"/>
        <w:spacing w:line="217" w:lineRule="auto"/>
        <w:textAlignment w:val="baseline"/>
        <w:rPr>
          <w:rFonts w:hint="eastAsia" w:ascii="仿宋" w:hAnsi="仿宋" w:eastAsia="仿宋" w:cs="仿宋"/>
          <w:color w:val="auto"/>
          <w:sz w:val="28"/>
          <w:szCs w:val="28"/>
          <w:highlight w:val="none"/>
        </w:rPr>
      </w:pPr>
    </w:p>
    <w:p w14:paraId="1EC949E6">
      <w:pPr>
        <w:pStyle w:val="26"/>
        <w:shd w:val="clear"/>
        <w:rPr>
          <w:rFonts w:hint="eastAsia" w:ascii="仿宋" w:hAnsi="仿宋" w:eastAsia="仿宋" w:cs="仿宋"/>
          <w:color w:val="auto"/>
          <w:highlight w:val="none"/>
        </w:rPr>
        <w:sectPr>
          <w:headerReference r:id="rId30" w:type="default"/>
          <w:footerReference r:id="rId31" w:type="default"/>
          <w:pgSz w:w="11906" w:h="16839"/>
          <w:pgMar w:top="1440" w:right="1800" w:bottom="1440" w:left="1800" w:header="1417" w:footer="1417" w:gutter="0"/>
          <w:pgNumType w:fmt="decimal"/>
          <w:cols w:space="720" w:num="1"/>
        </w:sectPr>
      </w:pPr>
    </w:p>
    <w:p w14:paraId="3BDA0A80">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218" w:lineRule="auto"/>
        <w:ind w:left="43"/>
        <w:textAlignment w:val="baseline"/>
        <w:rPr>
          <w:rFonts w:hint="eastAsia" w:ascii="仿宋" w:hAnsi="仿宋" w:eastAsia="仿宋" w:cs="仿宋"/>
          <w:color w:val="auto"/>
          <w:sz w:val="21"/>
          <w:highlight w:val="none"/>
        </w:rPr>
      </w:pPr>
      <w:r>
        <w:rPr>
          <w:rFonts w:hint="eastAsia" w:ascii="仿宋" w:hAnsi="仿宋" w:eastAsia="仿宋" w:cs="仿宋"/>
          <w:b/>
          <w:bCs/>
          <w:color w:val="auto"/>
          <w:spacing w:val="-17"/>
          <w:sz w:val="28"/>
          <w:szCs w:val="28"/>
          <w:highlight w:val="none"/>
        </w:rPr>
        <w:t>附件5：</w:t>
      </w:r>
    </w:p>
    <w:p w14:paraId="7C26EE78">
      <w:pPr>
        <w:pStyle w:val="5"/>
        <w:shd w:val="clear"/>
        <w:bidi w:val="0"/>
        <w:rPr>
          <w:rFonts w:hint="eastAsia" w:ascii="仿宋" w:hAnsi="仿宋" w:eastAsia="仿宋" w:cs="仿宋"/>
          <w:color w:val="auto"/>
          <w:highlight w:val="none"/>
        </w:rPr>
      </w:pPr>
      <w:r>
        <w:rPr>
          <w:rFonts w:hint="eastAsia" w:ascii="仿宋" w:hAnsi="仿宋" w:eastAsia="仿宋" w:cs="仿宋"/>
          <w:color w:val="auto"/>
          <w:highlight w:val="none"/>
        </w:rPr>
        <w:t>依法缴纳税收和缴纳社会保障资金的良好记录</w:t>
      </w:r>
    </w:p>
    <w:p w14:paraId="4DB8FED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s="仿宋"/>
          <w:color w:val="auto"/>
          <w:sz w:val="28"/>
          <w:szCs w:val="28"/>
          <w:highlight w:val="none"/>
        </w:rPr>
        <w:sectPr>
          <w:headerReference r:id="rId32" w:type="default"/>
          <w:footerReference r:id="rId33" w:type="default"/>
          <w:pgSz w:w="11906" w:h="16839"/>
          <w:pgMar w:top="1440" w:right="1800" w:bottom="1440" w:left="1800" w:header="1090" w:footer="1253" w:gutter="0"/>
          <w:pgNumType w:fmt="decimal"/>
          <w:cols w:space="720" w:num="1"/>
        </w:sectPr>
      </w:pPr>
      <w:r>
        <w:rPr>
          <w:rFonts w:hint="eastAsia" w:ascii="仿宋" w:hAnsi="仿宋" w:eastAsia="仿宋" w:cs="仿宋"/>
          <w:color w:val="auto"/>
          <w:sz w:val="28"/>
          <w:szCs w:val="28"/>
          <w:highlight w:val="none"/>
          <w:lang w:eastAsia="zh-CN"/>
        </w:rPr>
        <w:t>有依法缴纳税收和社会保障资金的良好记录：提供投标截止日前6个月内任意1个月的社保证明材料（社保缴费明细表及缴费凭证），如依法不需要缴纳社会保障资金的，应提供相应文件证明（新成立不满3个月的企业，按实际发生的提供）；提供投标截止日前6个月内任意1个月的缴纳税收的完税证明或税务部门出具的纳税证明；如依法免税的，应提供相应文件证明（新成立不满3个月的企业，按实际发生的提供）；</w:t>
      </w:r>
    </w:p>
    <w:p w14:paraId="2D9475F8">
      <w:pPr>
        <w:pStyle w:val="11"/>
        <w:pageBreakBefore w:val="0"/>
        <w:shd w:val="clear"/>
        <w:wordWrap/>
        <w:overflowPunct/>
        <w:topLinePunct w:val="0"/>
        <w:bidi w:val="0"/>
        <w:spacing w:before="91" w:line="360" w:lineRule="auto"/>
        <w:ind w:left="43"/>
        <w:rPr>
          <w:rFonts w:hint="eastAsia" w:ascii="仿宋" w:hAnsi="仿宋" w:eastAsia="仿宋" w:cs="仿宋"/>
          <w:color w:val="auto"/>
          <w:sz w:val="28"/>
          <w:szCs w:val="28"/>
          <w:highlight w:val="none"/>
        </w:rPr>
      </w:pPr>
      <w:r>
        <w:rPr>
          <w:rFonts w:hint="eastAsia" w:ascii="仿宋" w:hAnsi="仿宋" w:eastAsia="仿宋" w:cs="仿宋"/>
          <w:b/>
          <w:bCs/>
          <w:color w:val="auto"/>
          <w:spacing w:val="-17"/>
          <w:sz w:val="28"/>
          <w:szCs w:val="28"/>
          <w:highlight w:val="none"/>
        </w:rPr>
        <w:t>附件6：</w:t>
      </w:r>
    </w:p>
    <w:p w14:paraId="372CBA09">
      <w:pPr>
        <w:pStyle w:val="5"/>
        <w:shd w:val="clear"/>
        <w:bidi w:val="0"/>
        <w:rPr>
          <w:rFonts w:hint="eastAsia" w:ascii="仿宋" w:hAnsi="仿宋" w:eastAsia="仿宋" w:cs="仿宋"/>
          <w:color w:val="auto"/>
          <w:highlight w:val="none"/>
        </w:rPr>
      </w:pPr>
      <w:r>
        <w:rPr>
          <w:rFonts w:hint="eastAsia" w:ascii="仿宋" w:hAnsi="仿宋" w:eastAsia="仿宋" w:cs="仿宋"/>
          <w:color w:val="auto"/>
          <w:highlight w:val="none"/>
        </w:rPr>
        <w:t>中小企业声明函（服务）</w:t>
      </w:r>
    </w:p>
    <w:p w14:paraId="260CC80A">
      <w:pPr>
        <w:pStyle w:val="11"/>
        <w:keepNext w:val="0"/>
        <w:keepLines w:val="0"/>
        <w:pageBreakBefore w:val="0"/>
        <w:widowControl/>
        <w:shd w:val="clear"/>
        <w:tabs>
          <w:tab w:val="left" w:pos="151"/>
        </w:tabs>
        <w:kinsoku/>
        <w:wordWrap w:val="0"/>
        <w:overflowPunct/>
        <w:topLinePunct w:val="0"/>
        <w:autoSpaceDE w:val="0"/>
        <w:autoSpaceDN w:val="0"/>
        <w:bidi w:val="0"/>
        <w:adjustRightInd w:val="0"/>
        <w:snapToGrid w:val="0"/>
        <w:spacing w:line="360" w:lineRule="auto"/>
        <w:ind w:left="0" w:right="203" w:firstLine="464"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本公司（联合体）郑重声明，根据《政府采购促进中小企业发展</w:t>
      </w:r>
      <w:r>
        <w:rPr>
          <w:rFonts w:hint="eastAsia" w:ascii="仿宋" w:hAnsi="仿宋" w:eastAsia="仿宋" w:cs="仿宋"/>
          <w:color w:val="auto"/>
          <w:sz w:val="24"/>
          <w:szCs w:val="24"/>
          <w:highlight w:val="none"/>
        </w:rPr>
        <w:t>管理办法》（财库﹝2020)46号）的规定，本公司（联合体）参加</w:t>
      </w:r>
      <w:r>
        <w:rPr>
          <w:rFonts w:hint="eastAsia" w:ascii="仿宋" w:hAnsi="仿宋" w:eastAsia="仿宋" w:cs="仿宋"/>
          <w:b/>
          <w:bCs/>
          <w:color w:val="auto"/>
          <w:sz w:val="24"/>
          <w:szCs w:val="24"/>
          <w:highlight w:val="none"/>
          <w:u w:val="single" w:color="auto"/>
          <w:lang w:val="en-US" w:eastAsia="zh-CN"/>
        </w:rPr>
        <w:t xml:space="preserve">  </w:t>
      </w:r>
      <w:r>
        <w:rPr>
          <w:rFonts w:hint="eastAsia" w:ascii="仿宋" w:hAnsi="仿宋" w:eastAsia="仿宋" w:cs="仿宋"/>
          <w:b/>
          <w:bCs/>
          <w:color w:val="auto"/>
          <w:spacing w:val="-8"/>
          <w:sz w:val="24"/>
          <w:szCs w:val="24"/>
          <w:highlight w:val="none"/>
          <w:u w:val="single" w:color="auto"/>
        </w:rPr>
        <w:t>（单位名称）</w:t>
      </w:r>
      <w:r>
        <w:rPr>
          <w:rFonts w:hint="eastAsia" w:ascii="仿宋" w:hAnsi="仿宋" w:eastAsia="仿宋" w:cs="仿宋"/>
          <w:color w:val="auto"/>
          <w:spacing w:val="-8"/>
          <w:sz w:val="24"/>
          <w:szCs w:val="24"/>
          <w:highlight w:val="none"/>
          <w:u w:val="single" w:color="auto"/>
          <w:lang w:val="en-US" w:eastAsia="zh-CN"/>
        </w:rPr>
        <w:t xml:space="preserve">  </w:t>
      </w:r>
      <w:r>
        <w:rPr>
          <w:rFonts w:hint="eastAsia" w:ascii="仿宋" w:hAnsi="仿宋" w:eastAsia="仿宋" w:cs="仿宋"/>
          <w:color w:val="auto"/>
          <w:spacing w:val="-8"/>
          <w:sz w:val="24"/>
          <w:szCs w:val="24"/>
          <w:highlight w:val="none"/>
        </w:rPr>
        <w:t>的</w:t>
      </w:r>
      <w:r>
        <w:rPr>
          <w:rFonts w:hint="eastAsia" w:ascii="仿宋" w:hAnsi="仿宋" w:eastAsia="仿宋" w:cs="仿宋"/>
          <w:b/>
          <w:bCs/>
          <w:color w:val="auto"/>
          <w:spacing w:val="-8"/>
          <w:sz w:val="24"/>
          <w:szCs w:val="24"/>
          <w:highlight w:val="none"/>
          <w:lang w:val="en-US" w:eastAsia="zh-CN"/>
        </w:rPr>
        <w:t xml:space="preserve">  </w:t>
      </w:r>
      <w:r>
        <w:rPr>
          <w:rFonts w:hint="eastAsia" w:ascii="仿宋" w:hAnsi="仿宋" w:eastAsia="仿宋" w:cs="仿宋"/>
          <w:b/>
          <w:bCs/>
          <w:color w:val="auto"/>
          <w:spacing w:val="-8"/>
          <w:sz w:val="24"/>
          <w:szCs w:val="24"/>
          <w:highlight w:val="none"/>
          <w:u w:val="single" w:color="auto"/>
        </w:rPr>
        <w:t>（项目名称）</w:t>
      </w:r>
      <w:r>
        <w:rPr>
          <w:rFonts w:hint="eastAsia" w:ascii="仿宋" w:hAnsi="仿宋" w:eastAsia="仿宋" w:cs="仿宋"/>
          <w:b/>
          <w:bCs/>
          <w:color w:val="auto"/>
          <w:spacing w:val="-8"/>
          <w:sz w:val="24"/>
          <w:szCs w:val="24"/>
          <w:highlight w:val="none"/>
          <w:u w:val="single" w:color="auto"/>
          <w:lang w:val="en-US" w:eastAsia="zh-CN"/>
        </w:rPr>
        <w:t xml:space="preserve">   </w:t>
      </w:r>
      <w:r>
        <w:rPr>
          <w:rFonts w:hint="eastAsia" w:ascii="仿宋" w:hAnsi="仿宋" w:eastAsia="仿宋" w:cs="仿宋"/>
          <w:color w:val="auto"/>
          <w:spacing w:val="-8"/>
          <w:sz w:val="24"/>
          <w:szCs w:val="24"/>
          <w:highlight w:val="none"/>
        </w:rPr>
        <w:t>采购活动，服务全部由符合政策要求的</w:t>
      </w:r>
      <w:r>
        <w:rPr>
          <w:rFonts w:hint="eastAsia" w:ascii="仿宋" w:hAnsi="仿宋" w:eastAsia="仿宋" w:cs="仿宋"/>
          <w:color w:val="auto"/>
          <w:spacing w:val="-3"/>
          <w:sz w:val="24"/>
          <w:szCs w:val="24"/>
          <w:highlight w:val="none"/>
        </w:rPr>
        <w:t>中小企业承接。相关企业（含联合体中的中小企业、签订分包意向协</w:t>
      </w:r>
      <w:r>
        <w:rPr>
          <w:rFonts w:hint="eastAsia" w:ascii="仿宋" w:hAnsi="仿宋" w:eastAsia="仿宋" w:cs="仿宋"/>
          <w:color w:val="auto"/>
          <w:sz w:val="24"/>
          <w:szCs w:val="24"/>
          <w:highlight w:val="none"/>
        </w:rPr>
        <w:t>议的中小企业）的具体情况如下：</w:t>
      </w:r>
    </w:p>
    <w:p w14:paraId="0834192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203" w:firstLine="44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1.</w:t>
      </w:r>
      <w:r>
        <w:rPr>
          <w:rFonts w:hint="eastAsia" w:ascii="仿宋" w:hAnsi="仿宋" w:eastAsia="仿宋" w:cs="仿宋"/>
          <w:color w:val="auto"/>
          <w:spacing w:val="-8"/>
          <w:sz w:val="24"/>
          <w:szCs w:val="24"/>
          <w:highlight w:val="none"/>
          <w:u w:val="single" w:color="auto"/>
        </w:rPr>
        <w:t>（标的名称</w:t>
      </w:r>
      <w:r>
        <w:rPr>
          <w:rFonts w:hint="eastAsia" w:ascii="仿宋" w:hAnsi="仿宋" w:eastAsia="仿宋" w:cs="仿宋"/>
          <w:color w:val="auto"/>
          <w:spacing w:val="-48"/>
          <w:sz w:val="24"/>
          <w:szCs w:val="24"/>
          <w:highlight w:val="none"/>
          <w:u w:val="single" w:color="auto"/>
        </w:rPr>
        <w:t>）</w:t>
      </w:r>
      <w:r>
        <w:rPr>
          <w:rFonts w:hint="eastAsia" w:ascii="仿宋" w:hAnsi="仿宋" w:eastAsia="仿宋" w:cs="仿宋"/>
          <w:color w:val="auto"/>
          <w:spacing w:val="-48"/>
          <w:sz w:val="24"/>
          <w:szCs w:val="24"/>
          <w:highlight w:val="none"/>
        </w:rPr>
        <w:t>，</w:t>
      </w:r>
      <w:r>
        <w:rPr>
          <w:rFonts w:hint="eastAsia" w:ascii="仿宋" w:hAnsi="仿宋" w:eastAsia="仿宋" w:cs="仿宋"/>
          <w:color w:val="auto"/>
          <w:spacing w:val="-8"/>
          <w:sz w:val="24"/>
          <w:szCs w:val="24"/>
          <w:highlight w:val="none"/>
        </w:rPr>
        <w:t>属于</w:t>
      </w:r>
      <w:r>
        <w:rPr>
          <w:rFonts w:hint="eastAsia" w:ascii="仿宋" w:hAnsi="仿宋" w:eastAsia="仿宋" w:cs="仿宋"/>
          <w:color w:val="auto"/>
          <w:spacing w:val="-8"/>
          <w:sz w:val="24"/>
          <w:szCs w:val="24"/>
          <w:highlight w:val="none"/>
          <w:u w:val="single" w:color="auto"/>
        </w:rPr>
        <w:t>（采购文件中明确的所属行业</w:t>
      </w:r>
      <w:r>
        <w:rPr>
          <w:rFonts w:hint="eastAsia" w:ascii="仿宋" w:hAnsi="仿宋" w:eastAsia="仿宋" w:cs="仿宋"/>
          <w:color w:val="auto"/>
          <w:spacing w:val="-48"/>
          <w:sz w:val="24"/>
          <w:szCs w:val="24"/>
          <w:highlight w:val="none"/>
          <w:u w:val="single" w:color="auto"/>
        </w:rPr>
        <w:t>）</w:t>
      </w:r>
      <w:r>
        <w:rPr>
          <w:rFonts w:hint="eastAsia" w:ascii="仿宋" w:hAnsi="仿宋" w:eastAsia="仿宋" w:cs="仿宋"/>
          <w:color w:val="auto"/>
          <w:spacing w:val="-48"/>
          <w:sz w:val="24"/>
          <w:szCs w:val="24"/>
          <w:highlight w:val="none"/>
        </w:rPr>
        <w:t>；</w:t>
      </w:r>
      <w:r>
        <w:rPr>
          <w:rFonts w:hint="eastAsia" w:ascii="仿宋" w:hAnsi="仿宋" w:eastAsia="仿宋" w:cs="仿宋"/>
          <w:color w:val="auto"/>
          <w:spacing w:val="-8"/>
          <w:sz w:val="24"/>
          <w:szCs w:val="24"/>
          <w:highlight w:val="none"/>
        </w:rPr>
        <w:t>承接（承</w:t>
      </w:r>
      <w:r>
        <w:rPr>
          <w:rFonts w:hint="eastAsia" w:ascii="仿宋" w:hAnsi="仿宋" w:eastAsia="仿宋" w:cs="仿宋"/>
          <w:color w:val="auto"/>
          <w:spacing w:val="-2"/>
          <w:sz w:val="24"/>
          <w:szCs w:val="24"/>
          <w:highlight w:val="none"/>
        </w:rPr>
        <w:t>建）企业为</w:t>
      </w:r>
      <w:r>
        <w:rPr>
          <w:rFonts w:hint="eastAsia" w:ascii="仿宋" w:hAnsi="仿宋" w:eastAsia="仿宋" w:cs="仿宋"/>
          <w:color w:val="auto"/>
          <w:spacing w:val="-2"/>
          <w:sz w:val="24"/>
          <w:szCs w:val="24"/>
          <w:highlight w:val="none"/>
          <w:u w:val="single" w:color="auto"/>
        </w:rPr>
        <w:t>（企业名称</w:t>
      </w:r>
      <w:r>
        <w:rPr>
          <w:rFonts w:hint="eastAsia" w:ascii="仿宋" w:hAnsi="仿宋" w:eastAsia="仿宋" w:cs="仿宋"/>
          <w:color w:val="auto"/>
          <w:spacing w:val="18"/>
          <w:sz w:val="24"/>
          <w:szCs w:val="24"/>
          <w:highlight w:val="none"/>
          <w:u w:val="single" w:color="auto"/>
        </w:rPr>
        <w:t>）</w:t>
      </w:r>
      <w:r>
        <w:rPr>
          <w:rFonts w:hint="eastAsia" w:ascii="仿宋" w:hAnsi="仿宋" w:eastAsia="仿宋" w:cs="仿宋"/>
          <w:color w:val="auto"/>
          <w:spacing w:val="18"/>
          <w:sz w:val="24"/>
          <w:szCs w:val="24"/>
          <w:highlight w:val="none"/>
        </w:rPr>
        <w:t>，</w:t>
      </w:r>
      <w:r>
        <w:rPr>
          <w:rFonts w:hint="eastAsia" w:ascii="仿宋" w:hAnsi="仿宋" w:eastAsia="仿宋" w:cs="仿宋"/>
          <w:color w:val="auto"/>
          <w:spacing w:val="-2"/>
          <w:sz w:val="24"/>
          <w:szCs w:val="24"/>
          <w:highlight w:val="none"/>
        </w:rPr>
        <w:t>从业人员</w:t>
      </w:r>
      <w:r>
        <w:rPr>
          <w:rFonts w:hint="eastAsia" w:ascii="仿宋" w:hAnsi="仿宋" w:eastAsia="仿宋" w:cs="仿宋"/>
          <w:color w:val="auto"/>
          <w:spacing w:val="-138"/>
          <w:sz w:val="24"/>
          <w:szCs w:val="24"/>
          <w:highlight w:val="none"/>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2"/>
          <w:sz w:val="24"/>
          <w:szCs w:val="24"/>
          <w:highlight w:val="none"/>
        </w:rPr>
        <w:t>人，营业收入为</w:t>
      </w:r>
      <w:r>
        <w:rPr>
          <w:rFonts w:hint="eastAsia" w:ascii="仿宋" w:hAnsi="仿宋" w:eastAsia="仿宋" w:cs="仿宋"/>
          <w:color w:val="auto"/>
          <w:spacing w:val="-138"/>
          <w:sz w:val="24"/>
          <w:szCs w:val="24"/>
          <w:highlight w:val="none"/>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2"/>
          <w:sz w:val="24"/>
          <w:szCs w:val="24"/>
          <w:highlight w:val="none"/>
        </w:rPr>
        <w:t>万元，</w:t>
      </w:r>
      <w:r>
        <w:rPr>
          <w:rFonts w:hint="eastAsia" w:ascii="仿宋" w:hAnsi="仿宋" w:eastAsia="仿宋" w:cs="仿宋"/>
          <w:color w:val="auto"/>
          <w:spacing w:val="-4"/>
          <w:sz w:val="24"/>
          <w:szCs w:val="24"/>
          <w:highlight w:val="none"/>
        </w:rPr>
        <w:t>资产总额为</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pacing w:val="-113"/>
          <w:sz w:val="24"/>
          <w:szCs w:val="24"/>
          <w:highlight w:val="none"/>
        </w:rPr>
        <w:t xml:space="preserve"> </w:t>
      </w:r>
      <w:r>
        <w:rPr>
          <w:rFonts w:hint="eastAsia" w:ascii="仿宋" w:hAnsi="仿宋" w:eastAsia="仿宋" w:cs="仿宋"/>
          <w:color w:val="auto"/>
          <w:spacing w:val="-4"/>
          <w:sz w:val="24"/>
          <w:szCs w:val="24"/>
          <w:highlight w:val="none"/>
        </w:rPr>
        <w:t>万元，属于（</w:t>
      </w:r>
      <w:r>
        <w:rPr>
          <w:rFonts w:hint="eastAsia" w:ascii="仿宋" w:hAnsi="仿宋" w:eastAsia="仿宋" w:cs="仿宋"/>
          <w:color w:val="auto"/>
          <w:spacing w:val="-4"/>
          <w:sz w:val="24"/>
          <w:szCs w:val="24"/>
          <w:highlight w:val="none"/>
          <w:u w:val="single" w:color="auto"/>
        </w:rPr>
        <w:t>中型企业、小型企业、微型</w:t>
      </w:r>
      <w:r>
        <w:rPr>
          <w:rFonts w:hint="eastAsia" w:ascii="仿宋" w:hAnsi="仿宋" w:eastAsia="仿宋" w:cs="仿宋"/>
          <w:color w:val="auto"/>
          <w:spacing w:val="-5"/>
          <w:sz w:val="24"/>
          <w:szCs w:val="24"/>
          <w:highlight w:val="none"/>
          <w:u w:val="single" w:color="auto"/>
        </w:rPr>
        <w:t>企业</w:t>
      </w:r>
      <w:r>
        <w:rPr>
          <w:rFonts w:hint="eastAsia" w:ascii="仿宋" w:hAnsi="仿宋" w:eastAsia="仿宋" w:cs="仿宋"/>
          <w:color w:val="auto"/>
          <w:sz w:val="24"/>
          <w:szCs w:val="24"/>
          <w:highlight w:val="none"/>
        </w:rPr>
        <w:t>）；</w:t>
      </w:r>
    </w:p>
    <w:p w14:paraId="290CE38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179" w:firstLine="44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2.（</w:t>
      </w:r>
      <w:r>
        <w:rPr>
          <w:rFonts w:hint="eastAsia" w:ascii="仿宋" w:hAnsi="仿宋" w:eastAsia="仿宋" w:cs="仿宋"/>
          <w:color w:val="auto"/>
          <w:spacing w:val="-8"/>
          <w:sz w:val="24"/>
          <w:szCs w:val="24"/>
          <w:highlight w:val="none"/>
          <w:u w:val="single" w:color="auto"/>
        </w:rPr>
        <w:t>标的名称</w:t>
      </w:r>
      <w:r>
        <w:rPr>
          <w:rFonts w:hint="eastAsia" w:ascii="仿宋" w:hAnsi="仿宋" w:eastAsia="仿宋" w:cs="仿宋"/>
          <w:color w:val="auto"/>
          <w:spacing w:val="-46"/>
          <w:sz w:val="24"/>
          <w:szCs w:val="24"/>
          <w:highlight w:val="none"/>
        </w:rPr>
        <w:t>），</w:t>
      </w:r>
      <w:r>
        <w:rPr>
          <w:rFonts w:hint="eastAsia" w:ascii="仿宋" w:hAnsi="仿宋" w:eastAsia="仿宋" w:cs="仿宋"/>
          <w:color w:val="auto"/>
          <w:spacing w:val="-8"/>
          <w:sz w:val="24"/>
          <w:szCs w:val="24"/>
          <w:highlight w:val="none"/>
        </w:rPr>
        <w:t>属于（</w:t>
      </w:r>
      <w:r>
        <w:rPr>
          <w:rFonts w:hint="eastAsia" w:ascii="仿宋" w:hAnsi="仿宋" w:eastAsia="仿宋" w:cs="仿宋"/>
          <w:color w:val="auto"/>
          <w:spacing w:val="-8"/>
          <w:sz w:val="24"/>
          <w:szCs w:val="24"/>
          <w:highlight w:val="none"/>
          <w:u w:val="single" w:color="auto"/>
        </w:rPr>
        <w:t>采购文件中明确的所属行业</w:t>
      </w:r>
      <w:r>
        <w:rPr>
          <w:rFonts w:hint="eastAsia" w:ascii="仿宋" w:hAnsi="仿宋" w:eastAsia="仿宋" w:cs="仿宋"/>
          <w:color w:val="auto"/>
          <w:spacing w:val="-46"/>
          <w:sz w:val="24"/>
          <w:szCs w:val="24"/>
          <w:highlight w:val="none"/>
        </w:rPr>
        <w:t>）；</w:t>
      </w:r>
      <w:r>
        <w:rPr>
          <w:rFonts w:hint="eastAsia" w:ascii="仿宋" w:hAnsi="仿宋" w:eastAsia="仿宋" w:cs="仿宋"/>
          <w:color w:val="auto"/>
          <w:spacing w:val="-8"/>
          <w:sz w:val="24"/>
          <w:szCs w:val="24"/>
          <w:highlight w:val="none"/>
        </w:rPr>
        <w:t>承接（承</w:t>
      </w:r>
      <w:r>
        <w:rPr>
          <w:rFonts w:hint="eastAsia" w:ascii="仿宋" w:hAnsi="仿宋" w:eastAsia="仿宋" w:cs="仿宋"/>
          <w:color w:val="auto"/>
          <w:spacing w:val="-4"/>
          <w:sz w:val="24"/>
          <w:szCs w:val="24"/>
          <w:highlight w:val="none"/>
        </w:rPr>
        <w:t>建）企业为（</w:t>
      </w:r>
      <w:r>
        <w:rPr>
          <w:rFonts w:hint="eastAsia" w:ascii="仿宋" w:hAnsi="仿宋" w:eastAsia="仿宋" w:cs="仿宋"/>
          <w:color w:val="auto"/>
          <w:spacing w:val="-4"/>
          <w:sz w:val="24"/>
          <w:szCs w:val="24"/>
          <w:highlight w:val="none"/>
          <w:u w:val="single" w:color="auto"/>
        </w:rPr>
        <w:t>企业名称</w:t>
      </w:r>
      <w:r>
        <w:rPr>
          <w:rFonts w:hint="eastAsia" w:ascii="仿宋" w:hAnsi="仿宋" w:eastAsia="仿宋" w:cs="仿宋"/>
          <w:color w:val="auto"/>
          <w:spacing w:val="7"/>
          <w:sz w:val="24"/>
          <w:szCs w:val="24"/>
          <w:highlight w:val="none"/>
        </w:rPr>
        <w:t>），</w:t>
      </w:r>
      <w:r>
        <w:rPr>
          <w:rFonts w:hint="eastAsia" w:ascii="仿宋" w:hAnsi="仿宋" w:eastAsia="仿宋" w:cs="仿宋"/>
          <w:color w:val="auto"/>
          <w:spacing w:val="-4"/>
          <w:sz w:val="24"/>
          <w:szCs w:val="24"/>
          <w:highlight w:val="none"/>
        </w:rPr>
        <w:t>从业人员</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pacing w:val="-4"/>
          <w:sz w:val="24"/>
          <w:szCs w:val="24"/>
          <w:highlight w:val="none"/>
        </w:rPr>
        <w:t>人，营业收入为</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pacing w:val="-4"/>
          <w:sz w:val="24"/>
          <w:szCs w:val="24"/>
          <w:highlight w:val="none"/>
        </w:rPr>
        <w:t>万元，资产总额为</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pacing w:val="-4"/>
          <w:sz w:val="24"/>
          <w:szCs w:val="24"/>
          <w:highlight w:val="none"/>
        </w:rPr>
        <w:t>万元，属于（中型企业、小型企业、微型</w:t>
      </w:r>
      <w:r>
        <w:rPr>
          <w:rFonts w:hint="eastAsia" w:ascii="仿宋" w:hAnsi="仿宋" w:eastAsia="仿宋" w:cs="仿宋"/>
          <w:color w:val="auto"/>
          <w:spacing w:val="-5"/>
          <w:sz w:val="24"/>
          <w:szCs w:val="24"/>
          <w:highlight w:val="none"/>
        </w:rPr>
        <w:t>企业</w:t>
      </w:r>
      <w:r>
        <w:rPr>
          <w:rFonts w:hint="eastAsia" w:ascii="仿宋" w:hAnsi="仿宋" w:eastAsia="仿宋" w:cs="仿宋"/>
          <w:color w:val="auto"/>
          <w:sz w:val="24"/>
          <w:szCs w:val="24"/>
          <w:highlight w:val="none"/>
        </w:rPr>
        <w:t>）；</w:t>
      </w:r>
    </w:p>
    <w:p w14:paraId="2E183FC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12"/>
          <w:sz w:val="24"/>
          <w:szCs w:val="24"/>
          <w:highlight w:val="none"/>
        </w:rPr>
        <w:t>……</w:t>
      </w:r>
    </w:p>
    <w:p w14:paraId="02C65F8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201"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以上企业，不属于大企业的分支机构，不存在控股股东为大企业</w:t>
      </w:r>
      <w:r>
        <w:rPr>
          <w:rFonts w:hint="eastAsia" w:ascii="仿宋" w:hAnsi="仿宋" w:eastAsia="仿宋" w:cs="仿宋"/>
          <w:color w:val="auto"/>
          <w:spacing w:val="-2"/>
          <w:sz w:val="24"/>
          <w:szCs w:val="24"/>
          <w:highlight w:val="none"/>
        </w:rPr>
        <w:t>的情形，也不存在与大企业的法人为同一人的情形。</w:t>
      </w:r>
    </w:p>
    <w:p w14:paraId="0641FA3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203" w:firstLine="464"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4"/>
          <w:sz w:val="24"/>
          <w:szCs w:val="24"/>
          <w:highlight w:val="none"/>
        </w:rPr>
        <w:t>本企业对上述声明内容的真实性负责。如有虚假，将依法承担相</w:t>
      </w:r>
      <w:r>
        <w:rPr>
          <w:rFonts w:hint="eastAsia" w:ascii="仿宋" w:hAnsi="仿宋" w:eastAsia="仿宋" w:cs="仿宋"/>
          <w:color w:val="auto"/>
          <w:spacing w:val="-5"/>
          <w:sz w:val="24"/>
          <w:szCs w:val="24"/>
          <w:highlight w:val="none"/>
        </w:rPr>
        <w:t>应责任。</w:t>
      </w:r>
    </w:p>
    <w:p w14:paraId="1D6926C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企业名称（盖章</w:t>
      </w:r>
      <w:r>
        <w:rPr>
          <w:rFonts w:hint="eastAsia" w:ascii="仿宋" w:hAnsi="仿宋" w:eastAsia="仿宋" w:cs="仿宋"/>
          <w:color w:val="auto"/>
          <w:sz w:val="24"/>
          <w:szCs w:val="24"/>
          <w:highlight w:val="none"/>
        </w:rPr>
        <w:t>）：</w:t>
      </w:r>
    </w:p>
    <w:p w14:paraId="0EED5EE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firstLine="39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1"/>
          <w:sz w:val="24"/>
          <w:szCs w:val="24"/>
          <w:highlight w:val="none"/>
        </w:rPr>
        <w:t>日期：</w:t>
      </w:r>
    </w:p>
    <w:p w14:paraId="353AA61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203"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备注：1.从业人员、营业收入、资产总额填报上一年度数据，无上一年度数据的</w:t>
      </w:r>
      <w:r>
        <w:rPr>
          <w:rFonts w:hint="eastAsia" w:ascii="仿宋" w:hAnsi="仿宋" w:eastAsia="仿宋" w:cs="仿宋"/>
          <w:color w:val="auto"/>
          <w:spacing w:val="-2"/>
          <w:sz w:val="24"/>
          <w:szCs w:val="24"/>
          <w:highlight w:val="none"/>
        </w:rPr>
        <w:t>新成立企业可不填报。</w:t>
      </w:r>
    </w:p>
    <w:p w14:paraId="16BF9A2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firstLine="484"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2.《中小企业声明函》中</w:t>
      </w:r>
      <w:r>
        <w:rPr>
          <w:rFonts w:hint="eastAsia" w:ascii="仿宋" w:hAnsi="仿宋" w:eastAsia="仿宋" w:cs="仿宋"/>
          <w:color w:val="auto"/>
          <w:spacing w:val="-83"/>
          <w:sz w:val="24"/>
          <w:szCs w:val="24"/>
          <w:highlight w:val="none"/>
        </w:rPr>
        <w:t xml:space="preserve"> </w:t>
      </w:r>
      <w:r>
        <w:rPr>
          <w:rFonts w:hint="eastAsia" w:ascii="仿宋" w:hAnsi="仿宋" w:eastAsia="仿宋" w:cs="仿宋"/>
          <w:color w:val="auto"/>
          <w:spacing w:val="1"/>
          <w:sz w:val="24"/>
          <w:szCs w:val="24"/>
          <w:highlight w:val="none"/>
        </w:rPr>
        <w:t>“标的名称”填的是采购标的（详见采购需求</w:t>
      </w:r>
      <w:r>
        <w:rPr>
          <w:rFonts w:hint="eastAsia" w:ascii="仿宋" w:hAnsi="仿宋" w:eastAsia="仿宋" w:cs="仿宋"/>
          <w:color w:val="auto"/>
          <w:sz w:val="24"/>
          <w:szCs w:val="24"/>
          <w:highlight w:val="none"/>
        </w:rPr>
        <w:t>表）名称；“从业人员、营业收入、资产总额”填的是生产厂家的数据；“所属行业”</w:t>
      </w:r>
      <w:r>
        <w:rPr>
          <w:rFonts w:hint="eastAsia" w:ascii="仿宋" w:hAnsi="仿宋" w:eastAsia="仿宋" w:cs="仿宋"/>
          <w:color w:val="auto"/>
          <w:spacing w:val="-1"/>
          <w:sz w:val="24"/>
          <w:szCs w:val="24"/>
          <w:highlight w:val="none"/>
        </w:rPr>
        <w:t>根据招标文件的要求填写。</w:t>
      </w:r>
    </w:p>
    <w:p w14:paraId="4C92C39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203"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中小企业声明函》由参加政府采购活动的投标人出具。以联合体形式参加政府采购活动或者合同分包的，声明函中需填写联合体中的中小企业或签订分包意向协议的中小企业相关信息，投标人应当在声明函“项目名称”部分标明联合体中</w:t>
      </w:r>
      <w:r>
        <w:rPr>
          <w:rFonts w:hint="eastAsia" w:ascii="仿宋" w:hAnsi="仿宋" w:eastAsia="仿宋" w:cs="仿宋"/>
          <w:color w:val="auto"/>
          <w:spacing w:val="-1"/>
          <w:sz w:val="24"/>
          <w:szCs w:val="24"/>
          <w:highlight w:val="none"/>
        </w:rPr>
        <w:t>中小企业承担的具体内容或者中小企业的具体分包内容。</w:t>
      </w:r>
    </w:p>
    <w:p w14:paraId="20BBA3A5">
      <w:pPr>
        <w:pageBreakBefore w:val="0"/>
        <w:shd w:val="clear"/>
        <w:wordWrap/>
        <w:overflowPunct/>
        <w:topLinePunct w:val="0"/>
        <w:bidi w:val="0"/>
        <w:spacing w:line="25" w:lineRule="atLeast"/>
        <w:rPr>
          <w:rFonts w:hint="eastAsia" w:ascii="仿宋" w:hAnsi="仿宋" w:eastAsia="仿宋" w:cs="仿宋"/>
          <w:color w:val="auto"/>
          <w:sz w:val="24"/>
          <w:szCs w:val="24"/>
          <w:highlight w:val="none"/>
        </w:rPr>
      </w:pPr>
    </w:p>
    <w:p w14:paraId="3689751A">
      <w:pPr>
        <w:pageBreakBefore w:val="0"/>
        <w:shd w:val="clear"/>
        <w:wordWrap/>
        <w:overflowPunct/>
        <w:topLinePunct w:val="0"/>
        <w:bidi w:val="0"/>
        <w:spacing w:line="25" w:lineRule="atLeast"/>
        <w:rPr>
          <w:rFonts w:hint="eastAsia" w:ascii="仿宋" w:hAnsi="仿宋" w:eastAsia="仿宋" w:cs="仿宋"/>
          <w:color w:val="auto"/>
          <w:sz w:val="24"/>
          <w:szCs w:val="24"/>
          <w:highlight w:val="none"/>
        </w:rPr>
        <w:sectPr>
          <w:headerReference r:id="rId34" w:type="default"/>
          <w:footerReference r:id="rId35" w:type="default"/>
          <w:pgSz w:w="11906" w:h="16839"/>
          <w:pgMar w:top="1440" w:right="1800" w:bottom="1440" w:left="1800" w:header="1090" w:footer="1253" w:gutter="0"/>
          <w:pgNumType w:fmt="decimal"/>
          <w:cols w:space="720" w:num="1"/>
        </w:sectPr>
      </w:pPr>
    </w:p>
    <w:p w14:paraId="121F07A4">
      <w:pPr>
        <w:pStyle w:val="11"/>
        <w:pageBreakBefore w:val="0"/>
        <w:shd w:val="clear"/>
        <w:wordWrap/>
        <w:overflowPunct/>
        <w:topLinePunct w:val="0"/>
        <w:bidi w:val="0"/>
        <w:spacing w:before="91" w:line="25" w:lineRule="atLeast"/>
        <w:ind w:left="43"/>
        <w:rPr>
          <w:rFonts w:hint="eastAsia" w:ascii="仿宋" w:hAnsi="仿宋" w:eastAsia="仿宋" w:cs="仿宋"/>
          <w:color w:val="auto"/>
          <w:sz w:val="28"/>
          <w:szCs w:val="28"/>
          <w:highlight w:val="none"/>
        </w:rPr>
      </w:pPr>
      <w:r>
        <w:rPr>
          <w:rFonts w:hint="eastAsia" w:ascii="仿宋" w:hAnsi="仿宋" w:eastAsia="仿宋" w:cs="仿宋"/>
          <w:b/>
          <w:bCs/>
          <w:color w:val="auto"/>
          <w:spacing w:val="-17"/>
          <w:sz w:val="28"/>
          <w:szCs w:val="28"/>
          <w:highlight w:val="none"/>
        </w:rPr>
        <w:t>附件7：</w:t>
      </w:r>
    </w:p>
    <w:p w14:paraId="28B6B112">
      <w:pPr>
        <w:pStyle w:val="11"/>
        <w:pageBreakBefore w:val="0"/>
        <w:shd w:val="clear"/>
        <w:wordWrap/>
        <w:overflowPunct/>
        <w:topLinePunct w:val="0"/>
        <w:bidi w:val="0"/>
        <w:spacing w:before="70" w:line="360" w:lineRule="auto"/>
        <w:ind w:left="2072"/>
        <w:rPr>
          <w:rFonts w:hint="eastAsia" w:ascii="仿宋" w:hAnsi="仿宋" w:eastAsia="仿宋" w:cs="仿宋"/>
          <w:color w:val="auto"/>
          <w:sz w:val="32"/>
          <w:szCs w:val="32"/>
          <w:highlight w:val="none"/>
        </w:rPr>
      </w:pPr>
      <w:r>
        <w:rPr>
          <w:rFonts w:hint="eastAsia" w:ascii="仿宋" w:hAnsi="仿宋" w:eastAsia="仿宋" w:cs="仿宋"/>
          <w:b/>
          <w:bCs/>
          <w:color w:val="auto"/>
          <w:spacing w:val="-3"/>
          <w:sz w:val="32"/>
          <w:szCs w:val="32"/>
          <w:highlight w:val="none"/>
        </w:rPr>
        <w:t>分包意向协议（若有，统一格式）</w:t>
      </w:r>
    </w:p>
    <w:p w14:paraId="4622DD3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rPr>
        <w:t>立约方</w:t>
      </w:r>
      <w:r>
        <w:rPr>
          <w:rFonts w:hint="eastAsia" w:ascii="仿宋" w:hAnsi="仿宋" w:eastAsia="仿宋" w:cs="仿宋"/>
          <w:color w:val="auto"/>
          <w:spacing w:val="-15"/>
          <w:sz w:val="24"/>
          <w:szCs w:val="24"/>
          <w:highlight w:val="none"/>
        </w:rPr>
        <w:t>：（</w:t>
      </w:r>
      <w:r>
        <w:rPr>
          <w:rFonts w:hint="eastAsia" w:ascii="仿宋" w:hAnsi="仿宋" w:eastAsia="仿宋" w:cs="仿宋"/>
          <w:color w:val="auto"/>
          <w:spacing w:val="-9"/>
          <w:sz w:val="24"/>
          <w:szCs w:val="24"/>
          <w:highlight w:val="none"/>
        </w:rPr>
        <w:t>甲公司全称）</w:t>
      </w:r>
    </w:p>
    <w:p w14:paraId="4313481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2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3"/>
          <w:sz w:val="24"/>
          <w:szCs w:val="24"/>
          <w:highlight w:val="none"/>
        </w:rPr>
        <w:t>（乙公司全称）</w:t>
      </w:r>
    </w:p>
    <w:p w14:paraId="45A7A0F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1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7"/>
          <w:sz w:val="24"/>
          <w:szCs w:val="24"/>
          <w:highlight w:val="none"/>
        </w:rPr>
        <w:t>（</w:t>
      </w:r>
      <w:r>
        <w:rPr>
          <w:rFonts w:hint="eastAsia" w:ascii="仿宋" w:hAnsi="仿宋" w:eastAsia="仿宋" w:cs="仿宋"/>
          <w:color w:val="auto"/>
          <w:spacing w:val="-51"/>
          <w:sz w:val="24"/>
          <w:szCs w:val="24"/>
          <w:highlight w:val="none"/>
        </w:rPr>
        <w:t xml:space="preserve"> </w:t>
      </w:r>
      <w:r>
        <w:rPr>
          <w:rFonts w:hint="eastAsia" w:ascii="仿宋" w:hAnsi="仿宋" w:eastAsia="仿宋" w:cs="仿宋"/>
          <w:color w:val="auto"/>
          <w:spacing w:val="-17"/>
          <w:sz w:val="24"/>
          <w:szCs w:val="24"/>
          <w:highlight w:val="none"/>
        </w:rPr>
        <w:t>…</w:t>
      </w:r>
      <w:r>
        <w:rPr>
          <w:rFonts w:hint="eastAsia" w:ascii="仿宋" w:hAnsi="仿宋" w:eastAsia="仿宋" w:cs="仿宋"/>
          <w:color w:val="auto"/>
          <w:spacing w:val="-94"/>
          <w:sz w:val="24"/>
          <w:szCs w:val="24"/>
          <w:highlight w:val="none"/>
        </w:rPr>
        <w:t xml:space="preserve"> </w:t>
      </w:r>
      <w:r>
        <w:rPr>
          <w:rFonts w:hint="eastAsia" w:ascii="仿宋" w:hAnsi="仿宋" w:eastAsia="仿宋" w:cs="仿宋"/>
          <w:color w:val="auto"/>
          <w:spacing w:val="-17"/>
          <w:sz w:val="24"/>
          <w:szCs w:val="24"/>
          <w:highlight w:val="none"/>
        </w:rPr>
        <w:t>…公司全称）</w:t>
      </w:r>
    </w:p>
    <w:p w14:paraId="02581E8A">
      <w:pPr>
        <w:pStyle w:val="11"/>
        <w:keepNext w:val="0"/>
        <w:keepLines w:val="0"/>
        <w:pageBreakBefore w:val="0"/>
        <w:widowControl/>
        <w:shd w:val="clear"/>
        <w:tabs>
          <w:tab w:val="left" w:pos="710"/>
        </w:tabs>
        <w:kinsoku/>
        <w:wordWrap w:val="0"/>
        <w:overflowPunct/>
        <w:topLinePunct w:val="0"/>
        <w:autoSpaceDE w:val="0"/>
        <w:autoSpaceDN w:val="0"/>
        <w:bidi w:val="0"/>
        <w:adjustRightInd w:val="0"/>
        <w:snapToGrid w:val="0"/>
        <w:spacing w:line="360" w:lineRule="auto"/>
        <w:ind w:left="0" w:right="0" w:firstLine="39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1"/>
          <w:sz w:val="24"/>
          <w:szCs w:val="24"/>
          <w:highlight w:val="none"/>
          <w:u w:val="single" w:color="auto"/>
        </w:rPr>
        <w:t>（甲公司全称）</w:t>
      </w:r>
      <w:r>
        <w:rPr>
          <w:rFonts w:hint="eastAsia" w:ascii="仿宋" w:hAnsi="仿宋" w:eastAsia="仿宋" w:cs="仿宋"/>
          <w:color w:val="auto"/>
          <w:spacing w:val="-21"/>
          <w:sz w:val="24"/>
          <w:szCs w:val="24"/>
          <w:highlight w:val="none"/>
        </w:rPr>
        <w:t>、</w:t>
      </w:r>
      <w:r>
        <w:rPr>
          <w:rFonts w:hint="eastAsia" w:ascii="仿宋" w:hAnsi="仿宋" w:eastAsia="仿宋" w:cs="仿宋"/>
          <w:color w:val="auto"/>
          <w:spacing w:val="-21"/>
          <w:sz w:val="24"/>
          <w:szCs w:val="24"/>
          <w:highlight w:val="none"/>
          <w:u w:val="single" w:color="auto"/>
        </w:rPr>
        <w:t>（乙公司全称）</w:t>
      </w:r>
      <w:r>
        <w:rPr>
          <w:rFonts w:hint="eastAsia" w:ascii="仿宋" w:hAnsi="仿宋" w:eastAsia="仿宋" w:cs="仿宋"/>
          <w:color w:val="auto"/>
          <w:spacing w:val="-21"/>
          <w:sz w:val="24"/>
          <w:szCs w:val="24"/>
          <w:highlight w:val="none"/>
        </w:rPr>
        <w:t>、</w:t>
      </w:r>
      <w:r>
        <w:rPr>
          <w:rFonts w:hint="eastAsia" w:ascii="仿宋" w:hAnsi="仿宋" w:eastAsia="仿宋" w:cs="仿宋"/>
          <w:color w:val="auto"/>
          <w:spacing w:val="-21"/>
          <w:sz w:val="24"/>
          <w:szCs w:val="24"/>
          <w:highlight w:val="none"/>
          <w:u w:val="single" w:color="auto"/>
        </w:rPr>
        <w:t>（……公司全称</w:t>
      </w:r>
      <w:r>
        <w:rPr>
          <w:rFonts w:hint="eastAsia" w:ascii="仿宋" w:hAnsi="仿宋" w:eastAsia="仿宋" w:cs="仿宋"/>
          <w:color w:val="auto"/>
          <w:spacing w:val="-22"/>
          <w:sz w:val="24"/>
          <w:szCs w:val="24"/>
          <w:highlight w:val="none"/>
          <w:u w:val="single" w:color="auto"/>
        </w:rPr>
        <w:t>）</w:t>
      </w:r>
      <w:r>
        <w:rPr>
          <w:rFonts w:hint="eastAsia" w:ascii="仿宋" w:hAnsi="仿宋" w:eastAsia="仿宋" w:cs="仿宋"/>
          <w:color w:val="auto"/>
          <w:spacing w:val="-22"/>
          <w:sz w:val="24"/>
          <w:szCs w:val="24"/>
          <w:highlight w:val="none"/>
        </w:rPr>
        <w:t>自愿达成</w:t>
      </w:r>
      <w:r>
        <w:rPr>
          <w:rFonts w:hint="eastAsia" w:ascii="仿宋" w:hAnsi="仿宋" w:eastAsia="仿宋" w:cs="仿宋"/>
          <w:color w:val="auto"/>
          <w:spacing w:val="4"/>
          <w:sz w:val="24"/>
          <w:szCs w:val="24"/>
          <w:highlight w:val="none"/>
        </w:rPr>
        <w:t>分包意向，参加</w:t>
      </w:r>
      <w:r>
        <w:rPr>
          <w:rFonts w:hint="eastAsia" w:ascii="仿宋" w:hAnsi="仿宋" w:eastAsia="仿宋" w:cs="仿宋"/>
          <w:color w:val="auto"/>
          <w:spacing w:val="4"/>
          <w:sz w:val="24"/>
          <w:szCs w:val="24"/>
          <w:highlight w:val="none"/>
          <w:u w:val="single" w:color="auto"/>
        </w:rPr>
        <w:t>（采购项目名称</w:t>
      </w:r>
      <w:r>
        <w:rPr>
          <w:rFonts w:hint="eastAsia" w:ascii="仿宋" w:hAnsi="仿宋" w:eastAsia="仿宋" w:cs="仿宋"/>
          <w:color w:val="auto"/>
          <w:spacing w:val="-35"/>
          <w:sz w:val="24"/>
          <w:szCs w:val="24"/>
          <w:highlight w:val="none"/>
          <w:u w:val="single" w:color="auto"/>
        </w:rPr>
        <w:t>）（</w:t>
      </w:r>
      <w:r>
        <w:rPr>
          <w:rFonts w:hint="eastAsia" w:ascii="仿宋" w:hAnsi="仿宋" w:eastAsia="仿宋" w:cs="仿宋"/>
          <w:color w:val="auto"/>
          <w:spacing w:val="4"/>
          <w:sz w:val="24"/>
          <w:szCs w:val="24"/>
          <w:highlight w:val="none"/>
          <w:u w:val="single" w:color="auto"/>
        </w:rPr>
        <w:t>采购项目编号）</w:t>
      </w:r>
      <w:r>
        <w:rPr>
          <w:rFonts w:hint="eastAsia" w:ascii="仿宋" w:hAnsi="仿宋" w:eastAsia="仿宋" w:cs="仿宋"/>
          <w:color w:val="auto"/>
          <w:spacing w:val="4"/>
          <w:sz w:val="24"/>
          <w:szCs w:val="24"/>
          <w:highlight w:val="none"/>
        </w:rPr>
        <w:t>的投标活动。</w:t>
      </w:r>
      <w:r>
        <w:rPr>
          <w:rFonts w:hint="eastAsia" w:ascii="仿宋" w:hAnsi="仿宋" w:eastAsia="仿宋" w:cs="仿宋"/>
          <w:color w:val="auto"/>
          <w:spacing w:val="-3"/>
          <w:sz w:val="24"/>
          <w:szCs w:val="24"/>
          <w:highlight w:val="none"/>
        </w:rPr>
        <w:t>经各方充分协商一致，就项目的投标和合同</w:t>
      </w:r>
      <w:r>
        <w:rPr>
          <w:rFonts w:hint="eastAsia" w:ascii="仿宋" w:hAnsi="仿宋" w:eastAsia="仿宋" w:cs="仿宋"/>
          <w:color w:val="auto"/>
          <w:spacing w:val="-4"/>
          <w:sz w:val="24"/>
          <w:szCs w:val="24"/>
          <w:highlight w:val="none"/>
        </w:rPr>
        <w:t>实施阶段的有关事务协商</w:t>
      </w:r>
      <w:r>
        <w:rPr>
          <w:rFonts w:hint="eastAsia" w:ascii="仿宋" w:hAnsi="仿宋" w:eastAsia="仿宋" w:cs="仿宋"/>
          <w:color w:val="auto"/>
          <w:spacing w:val="-2"/>
          <w:sz w:val="24"/>
          <w:szCs w:val="24"/>
          <w:highlight w:val="none"/>
        </w:rPr>
        <w:t>一致订立意向如下：</w:t>
      </w:r>
    </w:p>
    <w:p w14:paraId="51824BD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一、分包意向各方关系</w:t>
      </w:r>
    </w:p>
    <w:p w14:paraId="77344DC6">
      <w:pPr>
        <w:pStyle w:val="11"/>
        <w:keepNext w:val="0"/>
        <w:keepLines w:val="0"/>
        <w:pageBreakBefore w:val="0"/>
        <w:widowControl/>
        <w:shd w:val="clear"/>
        <w:tabs>
          <w:tab w:val="left" w:pos="710"/>
        </w:tabs>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color="auto"/>
        </w:rPr>
        <w:tab/>
      </w:r>
      <w:r>
        <w:rPr>
          <w:rFonts w:hint="eastAsia" w:ascii="仿宋" w:hAnsi="仿宋" w:eastAsia="仿宋" w:cs="仿宋"/>
          <w:color w:val="auto"/>
          <w:spacing w:val="-16"/>
          <w:sz w:val="24"/>
          <w:szCs w:val="24"/>
          <w:highlight w:val="none"/>
          <w:u w:val="single" w:color="auto"/>
        </w:rPr>
        <w:t>（甲公司全称）</w:t>
      </w:r>
      <w:r>
        <w:rPr>
          <w:rFonts w:hint="eastAsia" w:ascii="仿宋" w:hAnsi="仿宋" w:eastAsia="仿宋" w:cs="仿宋"/>
          <w:color w:val="auto"/>
          <w:spacing w:val="-16"/>
          <w:sz w:val="24"/>
          <w:szCs w:val="24"/>
          <w:highlight w:val="none"/>
        </w:rPr>
        <w:t>为投标方、</w:t>
      </w:r>
      <w:r>
        <w:rPr>
          <w:rFonts w:hint="eastAsia" w:ascii="仿宋" w:hAnsi="仿宋" w:eastAsia="仿宋" w:cs="仿宋"/>
          <w:color w:val="auto"/>
          <w:spacing w:val="-16"/>
          <w:sz w:val="24"/>
          <w:szCs w:val="24"/>
          <w:highlight w:val="none"/>
          <w:u w:val="single" w:color="auto"/>
        </w:rPr>
        <w:t>（乙公司全称）</w:t>
      </w:r>
      <w:r>
        <w:rPr>
          <w:rFonts w:hint="eastAsia" w:ascii="仿宋" w:hAnsi="仿宋" w:eastAsia="仿宋" w:cs="仿宋"/>
          <w:color w:val="auto"/>
          <w:spacing w:val="-16"/>
          <w:sz w:val="24"/>
          <w:szCs w:val="24"/>
          <w:highlight w:val="none"/>
        </w:rPr>
        <w:t>、</w:t>
      </w:r>
      <w:r>
        <w:rPr>
          <w:rFonts w:hint="eastAsia" w:ascii="仿宋" w:hAnsi="仿宋" w:eastAsia="仿宋" w:cs="仿宋"/>
          <w:color w:val="auto"/>
          <w:spacing w:val="-16"/>
          <w:sz w:val="24"/>
          <w:szCs w:val="24"/>
          <w:highlight w:val="none"/>
          <w:u w:val="single" w:color="auto"/>
        </w:rPr>
        <w:t>（……公司全称）</w:t>
      </w:r>
      <w:r>
        <w:rPr>
          <w:rFonts w:hint="eastAsia" w:ascii="仿宋" w:hAnsi="仿宋" w:eastAsia="仿宋" w:cs="仿宋"/>
          <w:color w:val="auto"/>
          <w:spacing w:val="-4"/>
          <w:sz w:val="24"/>
          <w:szCs w:val="24"/>
          <w:highlight w:val="none"/>
        </w:rPr>
        <w:t>为分包意向投标人</w:t>
      </w:r>
      <w:r>
        <w:rPr>
          <w:rFonts w:hint="eastAsia" w:ascii="仿宋" w:hAnsi="仿宋" w:eastAsia="仿宋" w:cs="仿宋"/>
          <w:color w:val="auto"/>
          <w:spacing w:val="-40"/>
          <w:sz w:val="24"/>
          <w:szCs w:val="24"/>
          <w:highlight w:val="none"/>
        </w:rPr>
        <w:t>，</w:t>
      </w:r>
      <w:r>
        <w:rPr>
          <w:rFonts w:hint="eastAsia" w:ascii="仿宋" w:hAnsi="仿宋" w:eastAsia="仿宋" w:cs="仿宋"/>
          <w:color w:val="auto"/>
          <w:spacing w:val="-40"/>
          <w:sz w:val="24"/>
          <w:szCs w:val="24"/>
          <w:highlight w:val="none"/>
          <w:u w:val="single" w:color="auto"/>
        </w:rPr>
        <w:t>（</w:t>
      </w:r>
      <w:r>
        <w:rPr>
          <w:rFonts w:hint="eastAsia" w:ascii="仿宋" w:hAnsi="仿宋" w:eastAsia="仿宋" w:cs="仿宋"/>
          <w:color w:val="auto"/>
          <w:spacing w:val="-4"/>
          <w:sz w:val="24"/>
          <w:szCs w:val="24"/>
          <w:highlight w:val="none"/>
          <w:u w:val="single" w:color="auto"/>
        </w:rPr>
        <w:t>甲公司全称）</w:t>
      </w:r>
      <w:r>
        <w:rPr>
          <w:rFonts w:hint="eastAsia" w:ascii="仿宋" w:hAnsi="仿宋" w:eastAsia="仿宋" w:cs="仿宋"/>
          <w:color w:val="auto"/>
          <w:spacing w:val="-4"/>
          <w:sz w:val="24"/>
          <w:szCs w:val="24"/>
          <w:highlight w:val="none"/>
        </w:rPr>
        <w:t>以</w:t>
      </w:r>
      <w:r>
        <w:rPr>
          <w:rFonts w:hint="eastAsia" w:cs="仿宋"/>
          <w:color w:val="auto"/>
          <w:spacing w:val="-4"/>
          <w:sz w:val="24"/>
          <w:szCs w:val="24"/>
          <w:highlight w:val="none"/>
          <w:lang w:eastAsia="zh-CN"/>
        </w:rPr>
        <w:t>投标</w:t>
      </w:r>
      <w:r>
        <w:rPr>
          <w:rFonts w:hint="eastAsia" w:ascii="仿宋" w:hAnsi="仿宋" w:eastAsia="仿宋" w:cs="仿宋"/>
          <w:color w:val="auto"/>
          <w:spacing w:val="-4"/>
          <w:sz w:val="24"/>
          <w:szCs w:val="24"/>
          <w:highlight w:val="none"/>
        </w:rPr>
        <w:t>人的身份参加本项目的投标。若中标</w:t>
      </w:r>
      <w:r>
        <w:rPr>
          <w:rFonts w:hint="eastAsia" w:ascii="仿宋" w:hAnsi="仿宋" w:eastAsia="仿宋" w:cs="仿宋"/>
          <w:color w:val="auto"/>
          <w:spacing w:val="-36"/>
          <w:sz w:val="24"/>
          <w:szCs w:val="24"/>
          <w:highlight w:val="none"/>
        </w:rPr>
        <w:t>，</w:t>
      </w:r>
      <w:r>
        <w:rPr>
          <w:rFonts w:hint="eastAsia" w:ascii="仿宋" w:hAnsi="仿宋" w:eastAsia="仿宋" w:cs="仿宋"/>
          <w:color w:val="auto"/>
          <w:spacing w:val="-36"/>
          <w:sz w:val="24"/>
          <w:szCs w:val="24"/>
          <w:highlight w:val="none"/>
          <w:u w:val="single" w:color="auto"/>
        </w:rPr>
        <w:t>（</w:t>
      </w:r>
      <w:r>
        <w:rPr>
          <w:rFonts w:hint="eastAsia" w:ascii="仿宋" w:hAnsi="仿宋" w:eastAsia="仿宋" w:cs="仿宋"/>
          <w:color w:val="auto"/>
          <w:spacing w:val="-4"/>
          <w:sz w:val="24"/>
          <w:szCs w:val="24"/>
          <w:highlight w:val="none"/>
          <w:u w:val="single" w:color="auto"/>
        </w:rPr>
        <w:t>甲公司全称）</w:t>
      </w:r>
      <w:r>
        <w:rPr>
          <w:rFonts w:hint="eastAsia" w:ascii="仿宋" w:hAnsi="仿宋" w:eastAsia="仿宋" w:cs="仿宋"/>
          <w:color w:val="auto"/>
          <w:spacing w:val="-4"/>
          <w:sz w:val="24"/>
          <w:szCs w:val="24"/>
          <w:highlight w:val="none"/>
        </w:rPr>
        <w:t>与采购人签订政府采</w:t>
      </w:r>
      <w:r>
        <w:rPr>
          <w:rFonts w:hint="eastAsia" w:ascii="仿宋" w:hAnsi="仿宋" w:eastAsia="仿宋" w:cs="仿宋"/>
          <w:color w:val="auto"/>
          <w:spacing w:val="-5"/>
          <w:sz w:val="24"/>
          <w:szCs w:val="24"/>
          <w:highlight w:val="none"/>
        </w:rPr>
        <w:t>购合同。承接</w:t>
      </w:r>
      <w:r>
        <w:rPr>
          <w:rFonts w:hint="eastAsia" w:ascii="仿宋" w:hAnsi="仿宋" w:eastAsia="仿宋" w:cs="仿宋"/>
          <w:color w:val="auto"/>
          <w:spacing w:val="-13"/>
          <w:sz w:val="24"/>
          <w:szCs w:val="24"/>
          <w:highlight w:val="none"/>
        </w:rPr>
        <w:t>分包意向的各投标人与</w:t>
      </w:r>
      <w:r>
        <w:rPr>
          <w:rFonts w:hint="eastAsia" w:ascii="仿宋" w:hAnsi="仿宋" w:eastAsia="仿宋" w:cs="仿宋"/>
          <w:color w:val="auto"/>
          <w:spacing w:val="-13"/>
          <w:sz w:val="24"/>
          <w:szCs w:val="24"/>
          <w:highlight w:val="none"/>
          <w:u w:val="single" w:color="auto"/>
        </w:rPr>
        <w:t>（甲公司全称）</w:t>
      </w:r>
      <w:r>
        <w:rPr>
          <w:rFonts w:hint="eastAsia" w:ascii="仿宋" w:hAnsi="仿宋" w:eastAsia="仿宋" w:cs="仿宋"/>
          <w:color w:val="auto"/>
          <w:spacing w:val="-13"/>
          <w:sz w:val="24"/>
          <w:szCs w:val="24"/>
          <w:highlight w:val="none"/>
        </w:rPr>
        <w:t>签订</w:t>
      </w:r>
      <w:r>
        <w:rPr>
          <w:rFonts w:hint="eastAsia" w:ascii="仿宋" w:hAnsi="仿宋" w:eastAsia="仿宋" w:cs="仿宋"/>
          <w:color w:val="auto"/>
          <w:spacing w:val="-14"/>
          <w:sz w:val="24"/>
          <w:szCs w:val="24"/>
          <w:highlight w:val="none"/>
        </w:rPr>
        <w:t>分包合同。</w:t>
      </w:r>
      <w:r>
        <w:rPr>
          <w:rFonts w:hint="eastAsia" w:ascii="仿宋" w:hAnsi="仿宋" w:eastAsia="仿宋" w:cs="仿宋"/>
          <w:color w:val="auto"/>
          <w:spacing w:val="-14"/>
          <w:sz w:val="24"/>
          <w:szCs w:val="24"/>
          <w:highlight w:val="none"/>
          <w:u w:val="single" w:color="auto"/>
        </w:rPr>
        <w:t>（甲公司全称）</w:t>
      </w:r>
      <w:r>
        <w:rPr>
          <w:rFonts w:hint="eastAsia" w:ascii="仿宋" w:hAnsi="仿宋" w:eastAsia="仿宋" w:cs="仿宋"/>
          <w:color w:val="auto"/>
          <w:spacing w:val="-4"/>
          <w:sz w:val="24"/>
          <w:szCs w:val="24"/>
          <w:highlight w:val="none"/>
        </w:rPr>
        <w:t>就采购项目和分包项目向采购人负责，分包投标人就分包项目承担责</w:t>
      </w:r>
      <w:r>
        <w:rPr>
          <w:rFonts w:hint="eastAsia" w:ascii="仿宋" w:hAnsi="仿宋" w:eastAsia="仿宋" w:cs="仿宋"/>
          <w:color w:val="auto"/>
          <w:spacing w:val="-7"/>
          <w:sz w:val="24"/>
          <w:szCs w:val="24"/>
          <w:highlight w:val="none"/>
        </w:rPr>
        <w:t>任。</w:t>
      </w:r>
    </w:p>
    <w:p w14:paraId="113C802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二、有关事项约定如下：</w:t>
      </w:r>
    </w:p>
    <w:p w14:paraId="1C4A671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1.如中标，分包投标人分别与</w:t>
      </w:r>
      <w:r>
        <w:rPr>
          <w:rFonts w:hint="eastAsia" w:ascii="仿宋" w:hAnsi="仿宋" w:eastAsia="仿宋" w:cs="仿宋"/>
          <w:color w:val="auto"/>
          <w:spacing w:val="-7"/>
          <w:sz w:val="24"/>
          <w:szCs w:val="24"/>
          <w:highlight w:val="none"/>
          <w:u w:val="single" w:color="auto"/>
        </w:rPr>
        <w:t>（甲公司全称）</w:t>
      </w:r>
      <w:r>
        <w:rPr>
          <w:rFonts w:hint="eastAsia" w:ascii="仿宋" w:hAnsi="仿宋" w:eastAsia="仿宋" w:cs="仿宋"/>
          <w:color w:val="auto"/>
          <w:spacing w:val="-7"/>
          <w:sz w:val="24"/>
          <w:szCs w:val="24"/>
          <w:highlight w:val="none"/>
        </w:rPr>
        <w:t>签订合同书，并就</w:t>
      </w:r>
      <w:r>
        <w:rPr>
          <w:rFonts w:hint="eastAsia" w:ascii="仿宋" w:hAnsi="仿宋" w:eastAsia="仿宋" w:cs="仿宋"/>
          <w:color w:val="auto"/>
          <w:spacing w:val="-2"/>
          <w:sz w:val="24"/>
          <w:szCs w:val="24"/>
          <w:highlight w:val="none"/>
        </w:rPr>
        <w:t>中标项目分包部分向采购人负责有连带的和各自的法律责任；</w:t>
      </w:r>
    </w:p>
    <w:p w14:paraId="59348414">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2.分包意向投标人1</w:t>
      </w:r>
      <w:r>
        <w:rPr>
          <w:rFonts w:hint="eastAsia" w:ascii="仿宋" w:hAnsi="仿宋" w:eastAsia="仿宋" w:cs="仿宋"/>
          <w:color w:val="auto"/>
          <w:spacing w:val="-7"/>
          <w:sz w:val="24"/>
          <w:szCs w:val="24"/>
          <w:highlight w:val="none"/>
          <w:u w:val="single" w:color="auto"/>
        </w:rPr>
        <w:t>（公司全称）</w:t>
      </w:r>
      <w:r>
        <w:rPr>
          <w:rFonts w:hint="eastAsia" w:ascii="仿宋" w:hAnsi="仿宋" w:eastAsia="仿宋" w:cs="仿宋"/>
          <w:color w:val="auto"/>
          <w:spacing w:val="-7"/>
          <w:sz w:val="24"/>
          <w:szCs w:val="24"/>
          <w:highlight w:val="none"/>
        </w:rPr>
        <w:t>为（请填写：大型、中型、</w:t>
      </w:r>
      <w:r>
        <w:rPr>
          <w:rFonts w:hint="eastAsia" w:ascii="仿宋" w:hAnsi="仿宋" w:eastAsia="仿宋" w:cs="仿宋"/>
          <w:color w:val="auto"/>
          <w:spacing w:val="1"/>
          <w:sz w:val="24"/>
          <w:szCs w:val="24"/>
          <w:highlight w:val="none"/>
        </w:rPr>
        <w:t>小型、微型）企业，将承担适宜分包部分</w:t>
      </w:r>
      <w:r>
        <w:rPr>
          <w:rFonts w:hint="eastAsia" w:ascii="仿宋" w:hAnsi="仿宋" w:eastAsia="仿宋" w:cs="仿宋"/>
          <w:color w:val="auto"/>
          <w:spacing w:val="1"/>
          <w:sz w:val="24"/>
          <w:szCs w:val="24"/>
          <w:highlight w:val="none"/>
          <w:u w:val="single" w:color="auto"/>
        </w:rPr>
        <w:t>（具体分包内容）</w:t>
      </w:r>
      <w:r>
        <w:rPr>
          <w:rFonts w:hint="eastAsia" w:ascii="仿宋" w:hAnsi="仿宋" w:eastAsia="仿宋" w:cs="仿宋"/>
          <w:color w:val="auto"/>
          <w:spacing w:val="1"/>
          <w:sz w:val="24"/>
          <w:szCs w:val="24"/>
          <w:highlight w:val="none"/>
        </w:rPr>
        <w:t>合同总</w:t>
      </w:r>
      <w:r>
        <w:rPr>
          <w:rFonts w:hint="eastAsia" w:ascii="仿宋" w:hAnsi="仿宋" w:eastAsia="仿宋" w:cs="仿宋"/>
          <w:color w:val="auto"/>
          <w:spacing w:val="-2"/>
          <w:sz w:val="24"/>
          <w:szCs w:val="24"/>
          <w:highlight w:val="none"/>
        </w:rPr>
        <w:t>金额</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pacing w:val="-2"/>
          <w:sz w:val="24"/>
          <w:szCs w:val="24"/>
          <w:highlight w:val="none"/>
        </w:rPr>
        <w:t>%的工作内容。</w:t>
      </w:r>
    </w:p>
    <w:p w14:paraId="0A4B233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3.分包意向投标人2</w:t>
      </w:r>
      <w:r>
        <w:rPr>
          <w:rFonts w:hint="eastAsia" w:ascii="仿宋" w:hAnsi="仿宋" w:eastAsia="仿宋" w:cs="仿宋"/>
          <w:color w:val="auto"/>
          <w:spacing w:val="-7"/>
          <w:sz w:val="24"/>
          <w:szCs w:val="24"/>
          <w:highlight w:val="none"/>
          <w:u w:val="single" w:color="auto"/>
        </w:rPr>
        <w:t>（公司全称）</w:t>
      </w:r>
      <w:r>
        <w:rPr>
          <w:rFonts w:hint="eastAsia" w:ascii="仿宋" w:hAnsi="仿宋" w:eastAsia="仿宋" w:cs="仿宋"/>
          <w:color w:val="auto"/>
          <w:spacing w:val="-7"/>
          <w:sz w:val="24"/>
          <w:szCs w:val="24"/>
          <w:highlight w:val="none"/>
        </w:rPr>
        <w:t>为（请填写：大型</w:t>
      </w:r>
      <w:r>
        <w:rPr>
          <w:rFonts w:hint="eastAsia" w:ascii="仿宋" w:hAnsi="仿宋" w:eastAsia="仿宋" w:cs="仿宋"/>
          <w:color w:val="auto"/>
          <w:spacing w:val="-8"/>
          <w:sz w:val="24"/>
          <w:szCs w:val="24"/>
          <w:highlight w:val="none"/>
        </w:rPr>
        <w:t>、中型、</w:t>
      </w:r>
      <w:r>
        <w:rPr>
          <w:rFonts w:hint="eastAsia" w:ascii="仿宋" w:hAnsi="仿宋" w:eastAsia="仿宋" w:cs="仿宋"/>
          <w:color w:val="auto"/>
          <w:spacing w:val="-4"/>
          <w:sz w:val="24"/>
          <w:szCs w:val="24"/>
          <w:highlight w:val="none"/>
        </w:rPr>
        <w:t>小型、微型）企业，将承担适宜分包部分</w:t>
      </w:r>
      <w:r>
        <w:rPr>
          <w:rFonts w:hint="eastAsia" w:ascii="仿宋" w:hAnsi="仿宋" w:eastAsia="仿宋" w:cs="仿宋"/>
          <w:color w:val="auto"/>
          <w:spacing w:val="-4"/>
          <w:sz w:val="24"/>
          <w:szCs w:val="24"/>
          <w:highlight w:val="none"/>
          <w:u w:val="single" w:color="auto"/>
        </w:rPr>
        <w:t>（具体分包内容）</w:t>
      </w:r>
      <w:r>
        <w:rPr>
          <w:rFonts w:hint="eastAsia" w:ascii="仿宋" w:hAnsi="仿宋" w:eastAsia="仿宋" w:cs="仿宋"/>
          <w:color w:val="auto"/>
          <w:spacing w:val="-4"/>
          <w:sz w:val="24"/>
          <w:szCs w:val="24"/>
          <w:highlight w:val="none"/>
        </w:rPr>
        <w:t>合同总金</w:t>
      </w:r>
      <w:r>
        <w:rPr>
          <w:rFonts w:hint="eastAsia" w:ascii="仿宋" w:hAnsi="仿宋" w:eastAsia="仿宋" w:cs="仿宋"/>
          <w:color w:val="auto"/>
          <w:spacing w:val="-2"/>
          <w:sz w:val="24"/>
          <w:szCs w:val="24"/>
          <w:highlight w:val="none"/>
        </w:rPr>
        <w:t>额</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pacing w:val="-2"/>
          <w:sz w:val="24"/>
          <w:szCs w:val="24"/>
          <w:highlight w:val="none"/>
        </w:rPr>
        <w:t>%的工作内容。</w:t>
      </w:r>
    </w:p>
    <w:p w14:paraId="3D863B6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4.分包意向投标人3</w:t>
      </w:r>
      <w:r>
        <w:rPr>
          <w:rFonts w:hint="eastAsia" w:ascii="仿宋" w:hAnsi="仿宋" w:eastAsia="仿宋" w:cs="仿宋"/>
          <w:color w:val="auto"/>
          <w:spacing w:val="-7"/>
          <w:sz w:val="24"/>
          <w:szCs w:val="24"/>
          <w:highlight w:val="none"/>
          <w:u w:val="single" w:color="auto"/>
        </w:rPr>
        <w:t>（公司全称）</w:t>
      </w:r>
      <w:r>
        <w:rPr>
          <w:rFonts w:hint="eastAsia" w:ascii="仿宋" w:hAnsi="仿宋" w:eastAsia="仿宋" w:cs="仿宋"/>
          <w:color w:val="auto"/>
          <w:spacing w:val="-7"/>
          <w:sz w:val="24"/>
          <w:szCs w:val="24"/>
          <w:highlight w:val="none"/>
        </w:rPr>
        <w:t>为（请填写：大型、</w:t>
      </w:r>
      <w:r>
        <w:rPr>
          <w:rFonts w:hint="eastAsia" w:ascii="仿宋" w:hAnsi="仿宋" w:eastAsia="仿宋" w:cs="仿宋"/>
          <w:color w:val="auto"/>
          <w:spacing w:val="-8"/>
          <w:sz w:val="24"/>
          <w:szCs w:val="24"/>
          <w:highlight w:val="none"/>
        </w:rPr>
        <w:t>中型、</w:t>
      </w:r>
      <w:r>
        <w:rPr>
          <w:rFonts w:hint="eastAsia" w:ascii="仿宋" w:hAnsi="仿宋" w:eastAsia="仿宋" w:cs="仿宋"/>
          <w:color w:val="auto"/>
          <w:spacing w:val="-4"/>
          <w:sz w:val="24"/>
          <w:szCs w:val="24"/>
          <w:highlight w:val="none"/>
        </w:rPr>
        <w:t>小型、微型）企业，将承担适宜分包部分</w:t>
      </w:r>
      <w:r>
        <w:rPr>
          <w:rFonts w:hint="eastAsia" w:ascii="仿宋" w:hAnsi="仿宋" w:eastAsia="仿宋" w:cs="仿宋"/>
          <w:color w:val="auto"/>
          <w:spacing w:val="-4"/>
          <w:sz w:val="24"/>
          <w:szCs w:val="24"/>
          <w:highlight w:val="none"/>
          <w:u w:val="single" w:color="auto"/>
        </w:rPr>
        <w:t>（具体分包内容）</w:t>
      </w:r>
      <w:r>
        <w:rPr>
          <w:rFonts w:hint="eastAsia" w:ascii="仿宋" w:hAnsi="仿宋" w:eastAsia="仿宋" w:cs="仿宋"/>
          <w:color w:val="auto"/>
          <w:spacing w:val="-4"/>
          <w:sz w:val="24"/>
          <w:szCs w:val="24"/>
          <w:highlight w:val="none"/>
        </w:rPr>
        <w:t>合同总金</w:t>
      </w:r>
      <w:r>
        <w:rPr>
          <w:rFonts w:hint="eastAsia" w:ascii="仿宋" w:hAnsi="仿宋" w:eastAsia="仿宋" w:cs="仿宋"/>
          <w:color w:val="auto"/>
          <w:spacing w:val="-2"/>
          <w:sz w:val="24"/>
          <w:szCs w:val="24"/>
          <w:highlight w:val="none"/>
        </w:rPr>
        <w:t>额</w:t>
      </w:r>
      <w:r>
        <w:rPr>
          <w:rFonts w:hint="eastAsia" w:ascii="仿宋" w:hAnsi="仿宋" w:eastAsia="仿宋" w:cs="仿宋"/>
          <w:color w:val="auto"/>
          <w:spacing w:val="-2"/>
          <w:sz w:val="24"/>
          <w:szCs w:val="24"/>
          <w:highlight w:val="none"/>
          <w:u w:val="single"/>
        </w:rPr>
        <w:t xml:space="preserve">    </w:t>
      </w:r>
      <w:r>
        <w:rPr>
          <w:rFonts w:hint="eastAsia" w:ascii="仿宋" w:hAnsi="仿宋" w:eastAsia="仿宋" w:cs="仿宋"/>
          <w:color w:val="auto"/>
          <w:spacing w:val="-2"/>
          <w:sz w:val="24"/>
          <w:szCs w:val="24"/>
          <w:highlight w:val="none"/>
        </w:rPr>
        <w:t>%的工作内容。</w:t>
      </w:r>
    </w:p>
    <w:p w14:paraId="5CF6FC9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position w:val="-12"/>
          <w:sz w:val="24"/>
          <w:szCs w:val="24"/>
          <w:highlight w:val="none"/>
        </w:rPr>
        <w:t>…</w:t>
      </w:r>
    </w:p>
    <w:p w14:paraId="4CB648C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三、</w:t>
      </w:r>
      <w:r>
        <w:rPr>
          <w:rFonts w:hint="eastAsia" w:ascii="仿宋" w:hAnsi="仿宋" w:eastAsia="仿宋" w:cs="仿宋"/>
          <w:color w:val="auto"/>
          <w:spacing w:val="-5"/>
          <w:sz w:val="24"/>
          <w:szCs w:val="24"/>
          <w:highlight w:val="none"/>
        </w:rPr>
        <w:t>接受分包合同的中小企业与分包企业之间（请填写：是否存</w:t>
      </w:r>
      <w:r>
        <w:rPr>
          <w:rFonts w:hint="eastAsia" w:ascii="仿宋" w:hAnsi="仿宋" w:eastAsia="仿宋" w:cs="仿宋"/>
          <w:color w:val="auto"/>
          <w:spacing w:val="-1"/>
          <w:sz w:val="24"/>
          <w:szCs w:val="24"/>
          <w:highlight w:val="none"/>
        </w:rPr>
        <w:t>在）直接控股、管理关系的情形。（分包中有中小企业时适用）</w:t>
      </w:r>
    </w:p>
    <w:p w14:paraId="51DCBC7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rPr>
        <w:t>四、</w:t>
      </w:r>
      <w:r>
        <w:rPr>
          <w:rFonts w:hint="eastAsia" w:ascii="仿宋" w:hAnsi="仿宋" w:eastAsia="仿宋" w:cs="仿宋"/>
          <w:color w:val="auto"/>
          <w:spacing w:val="-3"/>
          <w:sz w:val="24"/>
          <w:szCs w:val="24"/>
          <w:highlight w:val="none"/>
        </w:rPr>
        <w:t>如因违约过失责任而导致采购人经济损失或被索赔时</w:t>
      </w:r>
      <w:r>
        <w:rPr>
          <w:rFonts w:hint="eastAsia" w:ascii="仿宋" w:hAnsi="仿宋" w:eastAsia="仿宋" w:cs="仿宋"/>
          <w:color w:val="auto"/>
          <w:spacing w:val="-49"/>
          <w:sz w:val="24"/>
          <w:szCs w:val="24"/>
          <w:highlight w:val="none"/>
        </w:rPr>
        <w:t>，（</w:t>
      </w:r>
      <w:r>
        <w:rPr>
          <w:rFonts w:hint="eastAsia" w:ascii="仿宋" w:hAnsi="仿宋" w:eastAsia="仿宋" w:cs="仿宋"/>
          <w:color w:val="auto"/>
          <w:spacing w:val="-3"/>
          <w:sz w:val="24"/>
          <w:szCs w:val="24"/>
          <w:highlight w:val="none"/>
        </w:rPr>
        <w:t>甲</w:t>
      </w:r>
      <w:r>
        <w:rPr>
          <w:rFonts w:hint="eastAsia" w:ascii="仿宋" w:hAnsi="仿宋" w:eastAsia="仿宋" w:cs="仿宋"/>
          <w:color w:val="auto"/>
          <w:spacing w:val="-1"/>
          <w:sz w:val="24"/>
          <w:szCs w:val="24"/>
          <w:highlight w:val="none"/>
        </w:rPr>
        <w:t>公司全称）同意无条件优先清偿采购人的一切债务和经济赔偿。</w:t>
      </w:r>
    </w:p>
    <w:p w14:paraId="4E548D1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五、</w:t>
      </w:r>
      <w:r>
        <w:rPr>
          <w:rFonts w:hint="eastAsia" w:ascii="仿宋" w:hAnsi="仿宋" w:eastAsia="仿宋" w:cs="仿宋"/>
          <w:color w:val="auto"/>
          <w:spacing w:val="-4"/>
          <w:sz w:val="24"/>
          <w:szCs w:val="24"/>
          <w:highlight w:val="none"/>
        </w:rPr>
        <w:t>如中标，分包意向投标人不得以任何理由提出终止</w:t>
      </w:r>
      <w:r>
        <w:rPr>
          <w:rFonts w:hint="eastAsia" w:ascii="仿宋" w:hAnsi="仿宋" w:eastAsia="仿宋" w:cs="仿宋"/>
          <w:color w:val="auto"/>
          <w:spacing w:val="-5"/>
          <w:sz w:val="24"/>
          <w:szCs w:val="24"/>
          <w:highlight w:val="none"/>
        </w:rPr>
        <w:t>本意向协议。</w:t>
      </w:r>
    </w:p>
    <w:p w14:paraId="069FBE6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六、</w:t>
      </w:r>
      <w:r>
        <w:rPr>
          <w:rFonts w:hint="eastAsia" w:ascii="仿宋" w:hAnsi="仿宋" w:eastAsia="仿宋" w:cs="仿宋"/>
          <w:color w:val="auto"/>
          <w:spacing w:val="-5"/>
          <w:sz w:val="24"/>
          <w:szCs w:val="24"/>
          <w:highlight w:val="none"/>
        </w:rPr>
        <w:t>本</w:t>
      </w:r>
      <w:r>
        <w:rPr>
          <w:rFonts w:hint="eastAsia" w:cs="仿宋"/>
          <w:color w:val="auto"/>
          <w:spacing w:val="-5"/>
          <w:sz w:val="24"/>
          <w:szCs w:val="24"/>
          <w:highlight w:val="none"/>
          <w:lang w:eastAsia="zh-CN"/>
        </w:rPr>
        <w:t>意向书</w:t>
      </w:r>
      <w:r>
        <w:rPr>
          <w:rFonts w:hint="eastAsia" w:ascii="仿宋" w:hAnsi="仿宋" w:eastAsia="仿宋" w:cs="仿宋"/>
          <w:color w:val="auto"/>
          <w:spacing w:val="-5"/>
          <w:sz w:val="24"/>
          <w:szCs w:val="24"/>
          <w:highlight w:val="none"/>
        </w:rPr>
        <w:t>自签署之日起生效，有效期内有效，如</w:t>
      </w:r>
      <w:r>
        <w:rPr>
          <w:rFonts w:hint="eastAsia" w:cs="仿宋"/>
          <w:color w:val="auto"/>
          <w:spacing w:val="-5"/>
          <w:sz w:val="24"/>
          <w:szCs w:val="24"/>
          <w:highlight w:val="none"/>
          <w:lang w:eastAsia="zh-CN"/>
        </w:rPr>
        <w:t>获得</w:t>
      </w:r>
      <w:r>
        <w:rPr>
          <w:rFonts w:hint="eastAsia" w:ascii="仿宋" w:hAnsi="仿宋" w:eastAsia="仿宋" w:cs="仿宋"/>
          <w:color w:val="auto"/>
          <w:spacing w:val="-5"/>
          <w:sz w:val="24"/>
          <w:szCs w:val="24"/>
          <w:highlight w:val="none"/>
        </w:rPr>
        <w:t>中标资</w:t>
      </w:r>
      <w:r>
        <w:rPr>
          <w:rFonts w:hint="eastAsia" w:ascii="仿宋" w:hAnsi="仿宋" w:eastAsia="仿宋" w:cs="仿宋"/>
          <w:color w:val="auto"/>
          <w:spacing w:val="-1"/>
          <w:sz w:val="24"/>
          <w:szCs w:val="24"/>
          <w:highlight w:val="none"/>
        </w:rPr>
        <w:t>格，有效期延续至合同履行完毕之日。</w:t>
      </w:r>
    </w:p>
    <w:p w14:paraId="3192362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rPr>
        <w:t>七、</w:t>
      </w:r>
      <w:r>
        <w:rPr>
          <w:rFonts w:hint="eastAsia" w:ascii="仿宋" w:hAnsi="仿宋" w:eastAsia="仿宋" w:cs="仿宋"/>
          <w:color w:val="auto"/>
          <w:spacing w:val="-3"/>
          <w:sz w:val="24"/>
          <w:szCs w:val="24"/>
          <w:highlight w:val="none"/>
        </w:rPr>
        <w:t>本意向书正本一式</w:t>
      </w:r>
      <w:r>
        <w:rPr>
          <w:rFonts w:hint="eastAsia" w:ascii="仿宋" w:hAnsi="仿宋" w:eastAsia="仿宋" w:cs="仿宋"/>
          <w:color w:val="auto"/>
          <w:spacing w:val="-3"/>
          <w:sz w:val="24"/>
          <w:szCs w:val="24"/>
          <w:highlight w:val="none"/>
          <w:u w:val="single" w:color="auto"/>
          <w:lang w:val="en-US" w:eastAsia="zh-CN"/>
        </w:rPr>
        <w:t xml:space="preserve"> </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3"/>
          <w:sz w:val="24"/>
          <w:szCs w:val="24"/>
          <w:highlight w:val="none"/>
        </w:rPr>
        <w:t>份，随投标文件装订</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3"/>
          <w:sz w:val="24"/>
          <w:szCs w:val="24"/>
          <w:highlight w:val="none"/>
        </w:rPr>
        <w:t>份</w:t>
      </w:r>
      <w:r>
        <w:rPr>
          <w:rFonts w:hint="eastAsia" w:ascii="仿宋" w:hAnsi="仿宋" w:eastAsia="仿宋" w:cs="仿宋"/>
          <w:color w:val="auto"/>
          <w:spacing w:val="-16"/>
          <w:sz w:val="24"/>
          <w:szCs w:val="24"/>
          <w:highlight w:val="none"/>
        </w:rPr>
        <w:t>，（</w:t>
      </w:r>
      <w:r>
        <w:rPr>
          <w:rFonts w:hint="eastAsia" w:ascii="仿宋" w:hAnsi="仿宋" w:eastAsia="仿宋" w:cs="仿宋"/>
          <w:color w:val="auto"/>
          <w:spacing w:val="-3"/>
          <w:sz w:val="24"/>
          <w:szCs w:val="24"/>
          <w:highlight w:val="none"/>
        </w:rPr>
        <w:t>甲公司</w:t>
      </w:r>
      <w:r>
        <w:rPr>
          <w:rFonts w:hint="eastAsia" w:ascii="仿宋" w:hAnsi="仿宋" w:eastAsia="仿宋" w:cs="仿宋"/>
          <w:color w:val="auto"/>
          <w:spacing w:val="-1"/>
          <w:sz w:val="24"/>
          <w:szCs w:val="24"/>
          <w:highlight w:val="none"/>
        </w:rPr>
        <w:t>全称）及各分包意向投标人各一份。</w:t>
      </w:r>
    </w:p>
    <w:p w14:paraId="03C3FC2C">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66E624C0">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4BCCBB7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9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甲公司全称</w:t>
      </w:r>
      <w:r>
        <w:rPr>
          <w:rFonts w:hint="eastAsia" w:ascii="仿宋" w:hAnsi="仿宋" w:eastAsia="仿宋" w:cs="仿宋"/>
          <w:color w:val="auto"/>
          <w:spacing w:val="-39"/>
          <w:sz w:val="24"/>
          <w:szCs w:val="24"/>
          <w:highlight w:val="none"/>
        </w:rPr>
        <w:t>：（</w:t>
      </w:r>
      <w:r>
        <w:rPr>
          <w:rFonts w:hint="eastAsia" w:ascii="仿宋" w:hAnsi="仿宋" w:eastAsia="仿宋" w:cs="仿宋"/>
          <w:color w:val="auto"/>
          <w:spacing w:val="3"/>
          <w:sz w:val="24"/>
          <w:szCs w:val="24"/>
          <w:highlight w:val="none"/>
        </w:rPr>
        <w:t>盖章）</w:t>
      </w:r>
    </w:p>
    <w:p w14:paraId="4885083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法定代表人（签字或盖章）</w:t>
      </w:r>
    </w:p>
    <w:p w14:paraId="4A4DA4F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2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3"/>
          <w:sz w:val="24"/>
          <w:szCs w:val="24"/>
          <w:highlight w:val="none"/>
        </w:rPr>
        <w:t>年</w:t>
      </w:r>
      <w:r>
        <w:rPr>
          <w:rFonts w:hint="eastAsia" w:ascii="仿宋" w:hAnsi="仿宋" w:eastAsia="仿宋" w:cs="仿宋"/>
          <w:color w:val="auto"/>
          <w:spacing w:val="6"/>
          <w:sz w:val="24"/>
          <w:szCs w:val="24"/>
          <w:highlight w:val="none"/>
        </w:rPr>
        <w:t xml:space="preserve">    </w:t>
      </w:r>
      <w:r>
        <w:rPr>
          <w:rFonts w:hint="eastAsia" w:ascii="仿宋" w:hAnsi="仿宋" w:eastAsia="仿宋" w:cs="仿宋"/>
          <w:color w:val="auto"/>
          <w:spacing w:val="-13"/>
          <w:sz w:val="24"/>
          <w:szCs w:val="24"/>
          <w:highlight w:val="none"/>
        </w:rPr>
        <w:t>月</w:t>
      </w:r>
      <w:r>
        <w:rPr>
          <w:rFonts w:hint="eastAsia" w:ascii="仿宋" w:hAnsi="仿宋" w:eastAsia="仿宋" w:cs="仿宋"/>
          <w:color w:val="auto"/>
          <w:spacing w:val="15"/>
          <w:sz w:val="24"/>
          <w:szCs w:val="24"/>
          <w:highlight w:val="none"/>
        </w:rPr>
        <w:t xml:space="preserve">    </w:t>
      </w:r>
      <w:r>
        <w:rPr>
          <w:rFonts w:hint="eastAsia" w:ascii="仿宋" w:hAnsi="仿宋" w:eastAsia="仿宋" w:cs="仿宋"/>
          <w:color w:val="auto"/>
          <w:spacing w:val="-13"/>
          <w:sz w:val="24"/>
          <w:szCs w:val="24"/>
          <w:highlight w:val="none"/>
        </w:rPr>
        <w:t>日</w:t>
      </w:r>
    </w:p>
    <w:p w14:paraId="71B2890C">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17A0922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9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乙公司全称</w:t>
      </w:r>
      <w:r>
        <w:rPr>
          <w:rFonts w:hint="eastAsia" w:ascii="仿宋" w:hAnsi="仿宋" w:eastAsia="仿宋" w:cs="仿宋"/>
          <w:color w:val="auto"/>
          <w:spacing w:val="-38"/>
          <w:sz w:val="24"/>
          <w:szCs w:val="24"/>
          <w:highlight w:val="none"/>
        </w:rPr>
        <w:t>：（</w:t>
      </w:r>
      <w:r>
        <w:rPr>
          <w:rFonts w:hint="eastAsia" w:ascii="仿宋" w:hAnsi="仿宋" w:eastAsia="仿宋" w:cs="仿宋"/>
          <w:color w:val="auto"/>
          <w:spacing w:val="3"/>
          <w:sz w:val="24"/>
          <w:szCs w:val="24"/>
          <w:highlight w:val="none"/>
        </w:rPr>
        <w:t>盖章）</w:t>
      </w:r>
    </w:p>
    <w:p w14:paraId="6823EBE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法定代表人（签字或盖章）</w:t>
      </w:r>
    </w:p>
    <w:p w14:paraId="46E6FE5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2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3"/>
          <w:sz w:val="24"/>
          <w:szCs w:val="24"/>
          <w:highlight w:val="none"/>
        </w:rPr>
        <w:t>年</w:t>
      </w:r>
      <w:r>
        <w:rPr>
          <w:rFonts w:hint="eastAsia" w:ascii="仿宋" w:hAnsi="仿宋" w:eastAsia="仿宋" w:cs="仿宋"/>
          <w:color w:val="auto"/>
          <w:spacing w:val="6"/>
          <w:sz w:val="24"/>
          <w:szCs w:val="24"/>
          <w:highlight w:val="none"/>
        </w:rPr>
        <w:t xml:space="preserve">    </w:t>
      </w:r>
      <w:r>
        <w:rPr>
          <w:rFonts w:hint="eastAsia" w:ascii="仿宋" w:hAnsi="仿宋" w:eastAsia="仿宋" w:cs="仿宋"/>
          <w:color w:val="auto"/>
          <w:spacing w:val="-13"/>
          <w:sz w:val="24"/>
          <w:szCs w:val="24"/>
          <w:highlight w:val="none"/>
        </w:rPr>
        <w:t>月</w:t>
      </w:r>
      <w:r>
        <w:rPr>
          <w:rFonts w:hint="eastAsia" w:ascii="仿宋" w:hAnsi="仿宋" w:eastAsia="仿宋" w:cs="仿宋"/>
          <w:color w:val="auto"/>
          <w:spacing w:val="15"/>
          <w:sz w:val="24"/>
          <w:szCs w:val="24"/>
          <w:highlight w:val="none"/>
        </w:rPr>
        <w:t xml:space="preserve">    </w:t>
      </w:r>
      <w:r>
        <w:rPr>
          <w:rFonts w:hint="eastAsia" w:ascii="仿宋" w:hAnsi="仿宋" w:eastAsia="仿宋" w:cs="仿宋"/>
          <w:color w:val="auto"/>
          <w:spacing w:val="-13"/>
          <w:sz w:val="24"/>
          <w:szCs w:val="24"/>
          <w:highlight w:val="none"/>
        </w:rPr>
        <w:t>日</w:t>
      </w:r>
    </w:p>
    <w:p w14:paraId="56203061">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155F4CE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0"/>
          <w:sz w:val="24"/>
          <w:szCs w:val="24"/>
          <w:highlight w:val="none"/>
        </w:rPr>
        <w:t>公司全称（盖章）</w:t>
      </w:r>
    </w:p>
    <w:p w14:paraId="0524DC4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0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法定代表人</w:t>
      </w:r>
      <w:r>
        <w:rPr>
          <w:rFonts w:hint="eastAsia" w:ascii="仿宋" w:hAnsi="仿宋" w:eastAsia="仿宋" w:cs="仿宋"/>
          <w:color w:val="auto"/>
          <w:spacing w:val="-39"/>
          <w:sz w:val="24"/>
          <w:szCs w:val="24"/>
          <w:highlight w:val="none"/>
        </w:rPr>
        <w:t>：（</w:t>
      </w:r>
      <w:r>
        <w:rPr>
          <w:rFonts w:hint="eastAsia" w:ascii="仿宋" w:hAnsi="仿宋" w:eastAsia="仿宋" w:cs="仿宋"/>
          <w:color w:val="auto"/>
          <w:spacing w:val="5"/>
          <w:sz w:val="24"/>
          <w:szCs w:val="24"/>
          <w:highlight w:val="none"/>
        </w:rPr>
        <w:t>签字或盖章）</w:t>
      </w:r>
    </w:p>
    <w:p w14:paraId="70911D6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2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3"/>
          <w:sz w:val="24"/>
          <w:szCs w:val="24"/>
          <w:highlight w:val="none"/>
        </w:rPr>
        <w:t>年</w:t>
      </w:r>
      <w:r>
        <w:rPr>
          <w:rFonts w:hint="eastAsia" w:ascii="仿宋" w:hAnsi="仿宋" w:eastAsia="仿宋" w:cs="仿宋"/>
          <w:color w:val="auto"/>
          <w:spacing w:val="6"/>
          <w:sz w:val="24"/>
          <w:szCs w:val="24"/>
          <w:highlight w:val="none"/>
        </w:rPr>
        <w:t xml:space="preserve">    </w:t>
      </w:r>
      <w:r>
        <w:rPr>
          <w:rFonts w:hint="eastAsia" w:ascii="仿宋" w:hAnsi="仿宋" w:eastAsia="仿宋" w:cs="仿宋"/>
          <w:color w:val="auto"/>
          <w:spacing w:val="-13"/>
          <w:sz w:val="24"/>
          <w:szCs w:val="24"/>
          <w:highlight w:val="none"/>
        </w:rPr>
        <w:t>月</w:t>
      </w:r>
      <w:r>
        <w:rPr>
          <w:rFonts w:hint="eastAsia" w:ascii="仿宋" w:hAnsi="仿宋" w:eastAsia="仿宋" w:cs="仿宋"/>
          <w:color w:val="auto"/>
          <w:spacing w:val="15"/>
          <w:sz w:val="24"/>
          <w:szCs w:val="24"/>
          <w:highlight w:val="none"/>
        </w:rPr>
        <w:t xml:space="preserve">    </w:t>
      </w:r>
      <w:r>
        <w:rPr>
          <w:rFonts w:hint="eastAsia" w:ascii="仿宋" w:hAnsi="仿宋" w:eastAsia="仿宋" w:cs="仿宋"/>
          <w:color w:val="auto"/>
          <w:spacing w:val="-13"/>
          <w:sz w:val="24"/>
          <w:szCs w:val="24"/>
          <w:highlight w:val="none"/>
        </w:rPr>
        <w:t>日</w:t>
      </w:r>
    </w:p>
    <w:p w14:paraId="79D2D369">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67D1094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注：1．各方成员应在本意向书上共同盖章确认。</w:t>
      </w:r>
    </w:p>
    <w:p w14:paraId="12697B7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cs="仿宋"/>
          <w:color w:val="auto"/>
          <w:spacing w:val="-1"/>
          <w:sz w:val="24"/>
          <w:szCs w:val="24"/>
          <w:highlight w:val="none"/>
          <w:lang w:eastAsia="zh-CN"/>
        </w:rPr>
        <w:t>2.</w:t>
      </w:r>
      <w:r>
        <w:rPr>
          <w:rFonts w:hint="eastAsia" w:ascii="仿宋" w:hAnsi="仿宋" w:eastAsia="仿宋" w:cs="仿宋"/>
          <w:color w:val="auto"/>
          <w:spacing w:val="-1"/>
          <w:sz w:val="24"/>
          <w:szCs w:val="24"/>
          <w:highlight w:val="none"/>
        </w:rPr>
        <w:t>本意向书内容将作为签订合同的附件之一。</w:t>
      </w:r>
    </w:p>
    <w:p w14:paraId="06264B76">
      <w:pPr>
        <w:pageBreakBefore w:val="0"/>
        <w:shd w:val="clear"/>
        <w:wordWrap/>
        <w:overflowPunct/>
        <w:topLinePunct w:val="0"/>
        <w:bidi w:val="0"/>
        <w:spacing w:line="25" w:lineRule="atLeast"/>
        <w:rPr>
          <w:rFonts w:hint="eastAsia" w:ascii="仿宋" w:hAnsi="仿宋" w:eastAsia="仿宋" w:cs="仿宋"/>
          <w:color w:val="auto"/>
          <w:sz w:val="28"/>
          <w:szCs w:val="28"/>
          <w:highlight w:val="none"/>
        </w:rPr>
      </w:pPr>
    </w:p>
    <w:p w14:paraId="0AA1F50D">
      <w:pPr>
        <w:pageBreakBefore w:val="0"/>
        <w:shd w:val="clear"/>
        <w:wordWrap/>
        <w:overflowPunct/>
        <w:topLinePunct w:val="0"/>
        <w:bidi w:val="0"/>
        <w:spacing w:line="25" w:lineRule="atLeast"/>
        <w:rPr>
          <w:rFonts w:hint="eastAsia" w:ascii="仿宋" w:hAnsi="仿宋" w:eastAsia="仿宋" w:cs="仿宋"/>
          <w:color w:val="auto"/>
          <w:sz w:val="28"/>
          <w:szCs w:val="28"/>
          <w:highlight w:val="none"/>
        </w:rPr>
        <w:sectPr>
          <w:headerReference r:id="rId36" w:type="default"/>
          <w:footerReference r:id="rId37" w:type="default"/>
          <w:pgSz w:w="11906" w:h="16839"/>
          <w:pgMar w:top="1440" w:right="1800" w:bottom="1440" w:left="1800" w:header="1090" w:footer="1253" w:gutter="0"/>
          <w:pgNumType w:fmt="decimal"/>
          <w:cols w:space="720" w:num="1"/>
        </w:sectPr>
      </w:pPr>
    </w:p>
    <w:p w14:paraId="7DCEF3FC">
      <w:pPr>
        <w:pStyle w:val="5"/>
        <w:shd w:val="clear"/>
        <w:bidi w:val="0"/>
        <w:rPr>
          <w:rFonts w:hint="eastAsia" w:ascii="仿宋" w:hAnsi="仿宋" w:eastAsia="仿宋" w:cs="仿宋"/>
          <w:color w:val="auto"/>
          <w:highlight w:val="none"/>
        </w:rPr>
      </w:pPr>
      <w:r>
        <w:rPr>
          <w:rFonts w:hint="eastAsia" w:ascii="仿宋" w:hAnsi="仿宋" w:eastAsia="仿宋" w:cs="仿宋"/>
          <w:color w:val="auto"/>
          <w:highlight w:val="none"/>
        </w:rPr>
        <w:t>残疾人福利性单位声明函（若有，统一格式）</w:t>
      </w:r>
    </w:p>
    <w:p w14:paraId="57DBCA6F">
      <w:pPr>
        <w:pStyle w:val="11"/>
        <w:keepNext w:val="0"/>
        <w:keepLines w:val="0"/>
        <w:pageBreakBefore w:val="0"/>
        <w:widowControl/>
        <w:shd w:val="clear"/>
        <w:tabs>
          <w:tab w:val="left" w:pos="8324"/>
        </w:tabs>
        <w:kinsoku w:val="0"/>
        <w:wordWrap w:val="0"/>
        <w:overflowPunct/>
        <w:topLinePunct w:val="0"/>
        <w:autoSpaceDE w:val="0"/>
        <w:autoSpaceDN w:val="0"/>
        <w:bidi w:val="0"/>
        <w:adjustRightInd w:val="0"/>
        <w:snapToGrid w:val="0"/>
        <w:spacing w:line="360" w:lineRule="auto"/>
        <w:ind w:left="0" w:right="0" w:firstLine="452"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本单位郑重声明，根据《财政部民政部中国残疾人联合</w:t>
      </w:r>
      <w:r>
        <w:rPr>
          <w:rFonts w:hint="eastAsia" w:ascii="仿宋" w:hAnsi="仿宋" w:eastAsia="仿宋" w:cs="仿宋"/>
          <w:color w:val="auto"/>
          <w:spacing w:val="-8"/>
          <w:sz w:val="24"/>
          <w:szCs w:val="24"/>
          <w:highlight w:val="none"/>
        </w:rPr>
        <w:t>会关于</w:t>
      </w:r>
      <w:r>
        <w:rPr>
          <w:rFonts w:hint="eastAsia" w:ascii="仿宋" w:hAnsi="仿宋" w:eastAsia="仿宋" w:cs="仿宋"/>
          <w:color w:val="auto"/>
          <w:spacing w:val="-2"/>
          <w:sz w:val="24"/>
          <w:szCs w:val="24"/>
          <w:highlight w:val="none"/>
        </w:rPr>
        <w:t>促进残疾人就业政府采购政策的通知》（财库〔2017〕141号）的规</w:t>
      </w:r>
      <w:r>
        <w:rPr>
          <w:rFonts w:hint="eastAsia" w:ascii="仿宋" w:hAnsi="仿宋" w:eastAsia="仿宋" w:cs="仿宋"/>
          <w:color w:val="auto"/>
          <w:spacing w:val="7"/>
          <w:sz w:val="24"/>
          <w:szCs w:val="24"/>
          <w:highlight w:val="none"/>
        </w:rPr>
        <w:t>定，本单位为符合条件的残疾人福利性单位，且</w:t>
      </w:r>
      <w:r>
        <w:rPr>
          <w:rFonts w:hint="eastAsia" w:ascii="仿宋" w:hAnsi="仿宋" w:eastAsia="仿宋" w:cs="仿宋"/>
          <w:color w:val="auto"/>
          <w:spacing w:val="6"/>
          <w:sz w:val="24"/>
          <w:szCs w:val="24"/>
          <w:highlight w:val="none"/>
        </w:rPr>
        <w:t>本单位参加</w:t>
      </w:r>
      <w:r>
        <w:rPr>
          <w:rFonts w:hint="eastAsia" w:ascii="仿宋" w:hAnsi="仿宋" w:eastAsia="仿宋" w:cs="仿宋"/>
          <w:color w:val="auto"/>
          <w:spacing w:val="6"/>
          <w:sz w:val="24"/>
          <w:szCs w:val="24"/>
          <w:highlight w:val="none"/>
          <w:u w:val="single"/>
          <w:lang w:val="en-US" w:eastAsia="zh-CN"/>
        </w:rPr>
        <w:t xml:space="preserve">   </w:t>
      </w:r>
      <w:r>
        <w:rPr>
          <w:rFonts w:hint="eastAsia" w:ascii="仿宋" w:hAnsi="仿宋" w:eastAsia="仿宋" w:cs="仿宋"/>
          <w:color w:val="auto"/>
          <w:spacing w:val="-7"/>
          <w:sz w:val="24"/>
          <w:szCs w:val="24"/>
          <w:highlight w:val="none"/>
        </w:rPr>
        <w:t>单位的</w:t>
      </w:r>
      <w:r>
        <w:rPr>
          <w:rFonts w:hint="eastAsia" w:ascii="仿宋" w:hAnsi="仿宋" w:eastAsia="仿宋" w:cs="仿宋"/>
          <w:color w:val="auto"/>
          <w:spacing w:val="22"/>
          <w:sz w:val="24"/>
          <w:szCs w:val="24"/>
          <w:highlight w:val="none"/>
          <w:u w:val="single" w:color="auto"/>
        </w:rPr>
        <w:t xml:space="preserve"> </w:t>
      </w:r>
      <w:r>
        <w:rPr>
          <w:rFonts w:hint="eastAsia" w:ascii="仿宋" w:hAnsi="仿宋" w:eastAsia="仿宋" w:cs="仿宋"/>
          <w:color w:val="auto"/>
          <w:spacing w:val="22"/>
          <w:sz w:val="24"/>
          <w:szCs w:val="24"/>
          <w:highlight w:val="none"/>
          <w:u w:val="single" w:color="auto"/>
          <w:lang w:val="en-US" w:eastAsia="zh-CN"/>
        </w:rPr>
        <w:t xml:space="preserve">   </w:t>
      </w:r>
      <w:r>
        <w:rPr>
          <w:rFonts w:hint="eastAsia" w:ascii="仿宋" w:hAnsi="仿宋" w:eastAsia="仿宋" w:cs="仿宋"/>
          <w:color w:val="auto"/>
          <w:spacing w:val="-7"/>
          <w:sz w:val="24"/>
          <w:szCs w:val="24"/>
          <w:highlight w:val="none"/>
        </w:rPr>
        <w:t>项目采购活动提供本单位制造的货物（</w:t>
      </w:r>
      <w:r>
        <w:rPr>
          <w:rFonts w:hint="eastAsia" w:ascii="仿宋" w:hAnsi="仿宋" w:eastAsia="仿宋" w:cs="仿宋"/>
          <w:color w:val="auto"/>
          <w:spacing w:val="-8"/>
          <w:sz w:val="24"/>
          <w:szCs w:val="24"/>
          <w:highlight w:val="none"/>
        </w:rPr>
        <w:t>由本单位提供货</w:t>
      </w:r>
      <w:r>
        <w:rPr>
          <w:rFonts w:hint="eastAsia" w:ascii="仿宋" w:hAnsi="仿宋" w:eastAsia="仿宋" w:cs="仿宋"/>
          <w:color w:val="auto"/>
          <w:spacing w:val="-2"/>
          <w:sz w:val="24"/>
          <w:szCs w:val="24"/>
          <w:highlight w:val="none"/>
        </w:rPr>
        <w:t>物（服务</w:t>
      </w:r>
      <w:r>
        <w:rPr>
          <w:rFonts w:hint="eastAsia" w:ascii="仿宋" w:hAnsi="仿宋" w:eastAsia="仿宋" w:cs="仿宋"/>
          <w:color w:val="auto"/>
          <w:spacing w:val="-18"/>
          <w:sz w:val="24"/>
          <w:szCs w:val="24"/>
          <w:highlight w:val="none"/>
        </w:rPr>
        <w:t>），</w:t>
      </w:r>
      <w:r>
        <w:rPr>
          <w:rFonts w:hint="eastAsia" w:ascii="仿宋" w:hAnsi="仿宋" w:eastAsia="仿宋" w:cs="仿宋"/>
          <w:color w:val="auto"/>
          <w:spacing w:val="-2"/>
          <w:sz w:val="24"/>
          <w:szCs w:val="24"/>
          <w:highlight w:val="none"/>
        </w:rPr>
        <w:t>或者提供其他残疾人福利性单位制造的货</w:t>
      </w:r>
      <w:r>
        <w:rPr>
          <w:rFonts w:hint="eastAsia" w:ascii="仿宋" w:hAnsi="仿宋" w:eastAsia="仿宋" w:cs="仿宋"/>
          <w:color w:val="auto"/>
          <w:spacing w:val="-3"/>
          <w:sz w:val="24"/>
          <w:szCs w:val="24"/>
          <w:highlight w:val="none"/>
        </w:rPr>
        <w:t>物（不包括使</w:t>
      </w:r>
      <w:r>
        <w:rPr>
          <w:rFonts w:hint="eastAsia" w:ascii="仿宋" w:hAnsi="仿宋" w:eastAsia="仿宋" w:cs="仿宋"/>
          <w:color w:val="auto"/>
          <w:spacing w:val="-1"/>
          <w:sz w:val="24"/>
          <w:szCs w:val="24"/>
          <w:highlight w:val="none"/>
        </w:rPr>
        <w:t>用非残疾人福利性单位注册商标的货物）。</w:t>
      </w:r>
    </w:p>
    <w:p w14:paraId="07F9F20C">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本单位对上述声明的真实性负责。如有虚假，将依法承担相应责</w:t>
      </w:r>
      <w:r>
        <w:rPr>
          <w:rFonts w:hint="eastAsia" w:ascii="仿宋" w:hAnsi="仿宋" w:eastAsia="仿宋" w:cs="仿宋"/>
          <w:color w:val="auto"/>
          <w:spacing w:val="-8"/>
          <w:sz w:val="24"/>
          <w:szCs w:val="24"/>
          <w:highlight w:val="none"/>
        </w:rPr>
        <w:t>任。</w:t>
      </w:r>
    </w:p>
    <w:p w14:paraId="189F1633">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1DDEAB86">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59F17B0D">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45FF5A85">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投标人名称（盖章</w:t>
      </w:r>
      <w:r>
        <w:rPr>
          <w:rFonts w:hint="eastAsia" w:ascii="仿宋" w:hAnsi="仿宋" w:eastAsia="仿宋" w:cs="仿宋"/>
          <w:color w:val="auto"/>
          <w:spacing w:val="1"/>
          <w:sz w:val="24"/>
          <w:szCs w:val="24"/>
          <w:highlight w:val="none"/>
        </w:rPr>
        <w:t>）：</w:t>
      </w:r>
    </w:p>
    <w:p w14:paraId="058490D9">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3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6"/>
          <w:sz w:val="24"/>
          <w:szCs w:val="24"/>
          <w:highlight w:val="none"/>
        </w:rPr>
        <w:t>日</w:t>
      </w:r>
      <w:r>
        <w:rPr>
          <w:rFonts w:hint="eastAsia" w:ascii="仿宋" w:hAnsi="仿宋" w:eastAsia="仿宋" w:cs="仿宋"/>
          <w:color w:val="auto"/>
          <w:spacing w:val="6"/>
          <w:sz w:val="24"/>
          <w:szCs w:val="24"/>
          <w:highlight w:val="none"/>
        </w:rPr>
        <w:t xml:space="preserve">  </w:t>
      </w:r>
      <w:r>
        <w:rPr>
          <w:rFonts w:hint="eastAsia" w:ascii="仿宋" w:hAnsi="仿宋" w:eastAsia="仿宋" w:cs="仿宋"/>
          <w:color w:val="auto"/>
          <w:spacing w:val="-26"/>
          <w:sz w:val="24"/>
          <w:szCs w:val="24"/>
          <w:highlight w:val="none"/>
        </w:rPr>
        <w:t>期：</w:t>
      </w:r>
    </w:p>
    <w:p w14:paraId="5CC173D5">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hint="eastAsia" w:ascii="仿宋" w:hAnsi="仿宋" w:eastAsia="仿宋" w:cs="仿宋"/>
          <w:color w:val="auto"/>
          <w:sz w:val="21"/>
          <w:highlight w:val="none"/>
        </w:rPr>
      </w:pPr>
    </w:p>
    <w:p w14:paraId="4ECCF9E9">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hint="eastAsia" w:ascii="仿宋" w:hAnsi="仿宋" w:eastAsia="仿宋" w:cs="仿宋"/>
          <w:color w:val="auto"/>
          <w:sz w:val="21"/>
          <w:highlight w:val="none"/>
        </w:rPr>
      </w:pPr>
    </w:p>
    <w:p w14:paraId="00F0C0E5">
      <w:pPr>
        <w:keepNext w:val="0"/>
        <w:keepLines w:val="0"/>
        <w:pageBreakBefore w:val="0"/>
        <w:widowControl/>
        <w:shd w:val="clear"/>
        <w:kinsoku w:val="0"/>
        <w:wordWrap w:val="0"/>
        <w:overflowPunct/>
        <w:topLinePunct w:val="0"/>
        <w:autoSpaceDE w:val="0"/>
        <w:autoSpaceDN w:val="0"/>
        <w:bidi w:val="0"/>
        <w:adjustRightInd w:val="0"/>
        <w:snapToGrid w:val="0"/>
        <w:spacing w:line="258" w:lineRule="auto"/>
        <w:textAlignment w:val="baseline"/>
        <w:rPr>
          <w:rFonts w:hint="eastAsia" w:ascii="仿宋" w:hAnsi="仿宋" w:eastAsia="仿宋" w:cs="仿宋"/>
          <w:color w:val="auto"/>
          <w:sz w:val="21"/>
          <w:highlight w:val="none"/>
        </w:rPr>
      </w:pPr>
    </w:p>
    <w:p w14:paraId="278CA1AC">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360" w:lineRule="auto"/>
        <w:ind w:left="58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rPr>
        <w:t>注：</w:t>
      </w:r>
    </w:p>
    <w:p w14:paraId="5E90D9FF">
      <w:pPr>
        <w:pStyle w:val="11"/>
        <w:keepNext w:val="0"/>
        <w:keepLines w:val="0"/>
        <w:pageBreakBefore w:val="0"/>
        <w:widowControl/>
        <w:shd w:val="clear"/>
        <w:kinsoku w:val="0"/>
        <w:wordWrap w:val="0"/>
        <w:overflowPunct/>
        <w:topLinePunct w:val="0"/>
        <w:autoSpaceDE w:val="0"/>
        <w:autoSpaceDN w:val="0"/>
        <w:bidi w:val="0"/>
        <w:adjustRightInd w:val="0"/>
        <w:snapToGrid w:val="0"/>
        <w:spacing w:before="60" w:line="360" w:lineRule="auto"/>
        <w:ind w:left="31" w:firstLine="58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中标（成交）投标人为残疾人福利性单位的，将随中标（成交）</w:t>
      </w:r>
      <w:r>
        <w:rPr>
          <w:rFonts w:hint="eastAsia" w:ascii="仿宋" w:hAnsi="仿宋" w:eastAsia="仿宋" w:cs="仿宋"/>
          <w:color w:val="auto"/>
          <w:spacing w:val="-1"/>
          <w:sz w:val="24"/>
          <w:szCs w:val="24"/>
          <w:highlight w:val="none"/>
        </w:rPr>
        <w:t>结果同时公告其《残疾人福利性单位声明函》，接受社会监督。</w:t>
      </w:r>
    </w:p>
    <w:p w14:paraId="7D3D5D22">
      <w:pPr>
        <w:pStyle w:val="11"/>
        <w:keepNext w:val="0"/>
        <w:keepLines w:val="0"/>
        <w:pageBreakBefore w:val="0"/>
        <w:widowControl/>
        <w:shd w:val="clear"/>
        <w:kinsoku w:val="0"/>
        <w:wordWrap w:val="0"/>
        <w:overflowPunct/>
        <w:topLinePunct w:val="0"/>
        <w:autoSpaceDE w:val="0"/>
        <w:autoSpaceDN w:val="0"/>
        <w:bidi w:val="0"/>
        <w:adjustRightInd w:val="0"/>
        <w:snapToGrid w:val="0"/>
        <w:spacing w:before="1" w:line="360" w:lineRule="auto"/>
        <w:ind w:left="584"/>
        <w:textAlignment w:val="baseline"/>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若不是残疾人福利性单位，投标文件中可不提供此声明函。</w:t>
      </w:r>
    </w:p>
    <w:p w14:paraId="4F58AE6A">
      <w:pPr>
        <w:keepNext w:val="0"/>
        <w:keepLines w:val="0"/>
        <w:pageBreakBefore w:val="0"/>
        <w:widowControl/>
        <w:shd w:val="clear"/>
        <w:kinsoku w:val="0"/>
        <w:wordWrap w:val="0"/>
        <w:overflowPunct/>
        <w:topLinePunct w:val="0"/>
        <w:autoSpaceDE w:val="0"/>
        <w:autoSpaceDN w:val="0"/>
        <w:bidi w:val="0"/>
        <w:adjustRightInd w:val="0"/>
        <w:snapToGrid w:val="0"/>
        <w:spacing w:line="215" w:lineRule="auto"/>
        <w:textAlignment w:val="baseline"/>
        <w:rPr>
          <w:rFonts w:hint="eastAsia" w:ascii="仿宋" w:hAnsi="仿宋" w:eastAsia="仿宋" w:cs="仿宋"/>
          <w:color w:val="auto"/>
          <w:highlight w:val="none"/>
          <w:lang w:eastAsia="zh-CN"/>
        </w:rPr>
      </w:pPr>
    </w:p>
    <w:p w14:paraId="15B30CCE">
      <w:pPr>
        <w:pStyle w:val="26"/>
        <w:shd w:val="clear"/>
        <w:rPr>
          <w:rFonts w:hint="eastAsia" w:ascii="仿宋" w:hAnsi="仿宋" w:eastAsia="仿宋" w:cs="仿宋"/>
          <w:color w:val="auto"/>
          <w:highlight w:val="none"/>
          <w:lang w:eastAsia="zh-CN"/>
        </w:rPr>
        <w:sectPr>
          <w:headerReference r:id="rId38" w:type="default"/>
          <w:footerReference r:id="rId39" w:type="default"/>
          <w:pgSz w:w="11906" w:h="16839"/>
          <w:pgMar w:top="1440" w:right="1800" w:bottom="1440" w:left="1800" w:header="1417" w:footer="1417" w:gutter="0"/>
          <w:pgNumType w:fmt="decimal"/>
          <w:cols w:space="720" w:num="1"/>
        </w:sectPr>
      </w:pPr>
    </w:p>
    <w:p w14:paraId="569D8D10">
      <w:pPr>
        <w:pStyle w:val="5"/>
        <w:shd w:val="clear"/>
        <w:bidi w:val="0"/>
        <w:rPr>
          <w:rFonts w:hint="eastAsia" w:ascii="仿宋" w:hAnsi="仿宋" w:eastAsia="仿宋" w:cs="仿宋"/>
          <w:color w:val="auto"/>
          <w:highlight w:val="none"/>
        </w:rPr>
      </w:pPr>
      <w:r>
        <w:rPr>
          <w:rFonts w:hint="eastAsia" w:ascii="仿宋" w:hAnsi="仿宋" w:eastAsia="仿宋" w:cs="仿宋"/>
          <w:color w:val="auto"/>
          <w:highlight w:val="none"/>
        </w:rPr>
        <w:t>监狱企业证明(若有，格式自拟)</w:t>
      </w:r>
    </w:p>
    <w:p w14:paraId="26DC8837">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注：1.监狱企业参加政府采购活动时，应当提供由省级以上监狱管理局、戒毒管理局（含新疆生产建设兵团）出具的属于监狱企业的</w:t>
      </w:r>
      <w:r>
        <w:rPr>
          <w:rFonts w:hint="eastAsia" w:ascii="仿宋" w:hAnsi="仿宋" w:eastAsia="仿宋" w:cs="仿宋"/>
          <w:color w:val="auto"/>
          <w:spacing w:val="-1"/>
          <w:sz w:val="24"/>
          <w:szCs w:val="24"/>
          <w:highlight w:val="none"/>
        </w:rPr>
        <w:t>证明文件，并加盖单位公章。</w:t>
      </w:r>
    </w:p>
    <w:p w14:paraId="58AB942C">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2.监狱企业视同小型、微型企业，享受预留份额、评标中价格扣</w:t>
      </w:r>
      <w:r>
        <w:rPr>
          <w:rFonts w:hint="eastAsia" w:ascii="仿宋" w:hAnsi="仿宋" w:eastAsia="仿宋" w:cs="仿宋"/>
          <w:color w:val="auto"/>
          <w:spacing w:val="6"/>
          <w:sz w:val="24"/>
          <w:szCs w:val="24"/>
          <w:highlight w:val="none"/>
        </w:rPr>
        <w:t>除等政府采购促进中小企业发展的政府采购政策。监狱</w:t>
      </w:r>
      <w:r>
        <w:rPr>
          <w:rFonts w:hint="eastAsia" w:ascii="仿宋" w:hAnsi="仿宋" w:eastAsia="仿宋" w:cs="仿宋"/>
          <w:color w:val="auto"/>
          <w:spacing w:val="5"/>
          <w:sz w:val="24"/>
          <w:szCs w:val="24"/>
          <w:highlight w:val="none"/>
        </w:rPr>
        <w:t>企业属于小</w:t>
      </w:r>
      <w:r>
        <w:rPr>
          <w:rFonts w:hint="eastAsia" w:ascii="仿宋" w:hAnsi="仿宋" w:eastAsia="仿宋" w:cs="仿宋"/>
          <w:color w:val="auto"/>
          <w:spacing w:val="-2"/>
          <w:sz w:val="24"/>
          <w:szCs w:val="24"/>
          <w:highlight w:val="none"/>
        </w:rPr>
        <w:t>型、微型企业的，不重复享受政策。</w:t>
      </w:r>
    </w:p>
    <w:p w14:paraId="28936091">
      <w:pPr>
        <w:pStyle w:val="26"/>
        <w:shd w:val="clear"/>
        <w:rPr>
          <w:rFonts w:hint="eastAsia" w:ascii="仿宋" w:hAnsi="仿宋" w:eastAsia="仿宋" w:cs="仿宋"/>
          <w:color w:val="auto"/>
          <w:highlight w:val="none"/>
        </w:rPr>
      </w:pPr>
    </w:p>
    <w:p w14:paraId="79D1887C">
      <w:pPr>
        <w:pStyle w:val="26"/>
        <w:shd w:val="clear"/>
        <w:rPr>
          <w:rFonts w:hint="eastAsia" w:ascii="仿宋" w:hAnsi="仿宋" w:eastAsia="仿宋" w:cs="仿宋"/>
          <w:color w:val="auto"/>
          <w:highlight w:val="none"/>
        </w:rPr>
        <w:sectPr>
          <w:headerReference r:id="rId40" w:type="default"/>
          <w:footerReference r:id="rId41" w:type="default"/>
          <w:pgSz w:w="11906" w:h="16839"/>
          <w:pgMar w:top="1440" w:right="1800" w:bottom="1440" w:left="1800" w:header="1417" w:footer="1417" w:gutter="0"/>
          <w:pgNumType w:fmt="decimal"/>
          <w:cols w:space="720" w:num="1"/>
        </w:sectPr>
      </w:pPr>
    </w:p>
    <w:p w14:paraId="462507B9">
      <w:pPr>
        <w:pStyle w:val="5"/>
        <w:shd w:val="clear"/>
        <w:bidi w:val="0"/>
        <w:rPr>
          <w:rFonts w:hint="eastAsia" w:ascii="仿宋" w:hAnsi="仿宋" w:eastAsia="仿宋" w:cs="仿宋"/>
          <w:color w:val="auto"/>
          <w:highlight w:val="none"/>
        </w:rPr>
      </w:pPr>
      <w:r>
        <w:rPr>
          <w:rFonts w:hint="eastAsia" w:ascii="仿宋" w:hAnsi="仿宋" w:eastAsia="仿宋" w:cs="仿宋"/>
          <w:color w:val="auto"/>
          <w:highlight w:val="none"/>
        </w:rPr>
        <w:t>联合投标协议书（若有，统一格式）</w:t>
      </w:r>
    </w:p>
    <w:p w14:paraId="0FD23591">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1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7"/>
          <w:sz w:val="24"/>
          <w:szCs w:val="24"/>
          <w:highlight w:val="none"/>
        </w:rPr>
        <w:t>甲方：</w:t>
      </w:r>
    </w:p>
    <w:p w14:paraId="71E858E2">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1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6"/>
          <w:sz w:val="24"/>
          <w:szCs w:val="24"/>
          <w:highlight w:val="none"/>
        </w:rPr>
        <w:t>乙方：</w:t>
      </w:r>
    </w:p>
    <w:p w14:paraId="08F7A12B">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（如果有，可按照甲、乙、丙、丁…序列增加）</w:t>
      </w:r>
    </w:p>
    <w:p w14:paraId="0EB527DA">
      <w:pPr>
        <w:pStyle w:val="11"/>
        <w:keepNext w:val="0"/>
        <w:keepLines w:val="0"/>
        <w:pageBreakBefore w:val="0"/>
        <w:widowControl/>
        <w:shd w:val="clear"/>
        <w:tabs>
          <w:tab w:val="left" w:pos="1130"/>
        </w:tabs>
        <w:kinsoku w:val="0"/>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联合体各方经协商，就投标</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组织实施的编号为</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lang w:val="en-US" w:eastAsia="zh-CN"/>
        </w:rPr>
        <w:t xml:space="preserve">  </w:t>
      </w:r>
      <w:r>
        <w:rPr>
          <w:rFonts w:hint="eastAsia" w:ascii="仿宋" w:hAnsi="仿宋" w:eastAsia="仿宋" w:cs="仿宋"/>
          <w:color w:val="auto"/>
          <w:spacing w:val="-2"/>
          <w:sz w:val="24"/>
          <w:szCs w:val="24"/>
          <w:highlight w:val="none"/>
        </w:rPr>
        <w:t>的采购活动联合进行投标之事宜，达成如下协议：</w:t>
      </w:r>
    </w:p>
    <w:p w14:paraId="33ADE43F">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一、联合体各方一致决定，以</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pacing w:val="-2"/>
          <w:sz w:val="24"/>
          <w:szCs w:val="24"/>
          <w:highlight w:val="none"/>
        </w:rPr>
        <w:t>主办人进行投标，并</w:t>
      </w:r>
      <w:r>
        <w:rPr>
          <w:rFonts w:hint="eastAsia" w:ascii="仿宋" w:hAnsi="仿宋" w:eastAsia="仿宋" w:cs="仿宋"/>
          <w:color w:val="auto"/>
          <w:spacing w:val="-1"/>
          <w:sz w:val="24"/>
          <w:szCs w:val="24"/>
          <w:highlight w:val="none"/>
        </w:rPr>
        <w:t>按照招标文件的规定分别提交资格文件。</w:t>
      </w:r>
    </w:p>
    <w:p w14:paraId="45144D6B">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二、在本次投标过程中，主办人的法定代表人或者授权代理人根据招标文件规定以及投标内容对采购人所作的任何合法承诺，包括书</w:t>
      </w:r>
      <w:r>
        <w:rPr>
          <w:rFonts w:hint="eastAsia" w:ascii="仿宋" w:hAnsi="仿宋" w:eastAsia="仿宋" w:cs="仿宋"/>
          <w:color w:val="auto"/>
          <w:spacing w:val="-3"/>
          <w:sz w:val="24"/>
          <w:szCs w:val="24"/>
          <w:highlight w:val="none"/>
        </w:rPr>
        <w:t>面澄清以及投标等对联合体各方均有约束力。如果中标并签订合同，</w:t>
      </w:r>
      <w:r>
        <w:rPr>
          <w:rFonts w:hint="eastAsia" w:ascii="仿宋" w:hAnsi="仿宋" w:eastAsia="仿宋" w:cs="仿宋"/>
          <w:color w:val="auto"/>
          <w:spacing w:val="6"/>
          <w:sz w:val="24"/>
          <w:szCs w:val="24"/>
          <w:highlight w:val="none"/>
        </w:rPr>
        <w:t>则联合体各方将共同履行对采购人或者采购代理机构所负有的全部</w:t>
      </w:r>
      <w:r>
        <w:rPr>
          <w:rFonts w:hint="eastAsia" w:ascii="仿宋" w:hAnsi="仿宋" w:eastAsia="仿宋" w:cs="仿宋"/>
          <w:color w:val="auto"/>
          <w:spacing w:val="-1"/>
          <w:sz w:val="24"/>
          <w:szCs w:val="24"/>
          <w:highlight w:val="none"/>
        </w:rPr>
        <w:t>义务，并就采购合同约定的事项对采购人承担连带责任。</w:t>
      </w:r>
    </w:p>
    <w:p w14:paraId="01C7E813">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三、联合体各方保证对主办人为投标本次采购而</w:t>
      </w:r>
      <w:r>
        <w:rPr>
          <w:rFonts w:hint="eastAsia" w:ascii="仿宋" w:hAnsi="仿宋" w:eastAsia="仿宋" w:cs="仿宋"/>
          <w:color w:val="auto"/>
          <w:spacing w:val="-5"/>
          <w:sz w:val="24"/>
          <w:szCs w:val="24"/>
          <w:highlight w:val="none"/>
        </w:rPr>
        <w:t>提供的产品和服</w:t>
      </w:r>
      <w:r>
        <w:rPr>
          <w:rFonts w:hint="eastAsia" w:ascii="仿宋" w:hAnsi="仿宋" w:eastAsia="仿宋" w:cs="仿宋"/>
          <w:color w:val="auto"/>
          <w:spacing w:val="-1"/>
          <w:sz w:val="24"/>
          <w:szCs w:val="24"/>
          <w:highlight w:val="none"/>
        </w:rPr>
        <w:t>务提供全部质量保证以及售后服务支持。</w:t>
      </w:r>
    </w:p>
    <w:p w14:paraId="019EC78D">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四、本次联合投标中，联合体各方承担的工作和义务：甲方承担的工作和义务为：</w:t>
      </w:r>
    </w:p>
    <w:p w14:paraId="5EB7B59E">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乙方承担的工作和义务为：</w:t>
      </w:r>
    </w:p>
    <w:p w14:paraId="17282618">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五、有关本次联合投标的其他事宜：</w:t>
      </w:r>
    </w:p>
    <w:p w14:paraId="3949F166">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（注：联合体涉及中小微企业的，应明确各自承担的比例。）</w:t>
      </w:r>
    </w:p>
    <w:p w14:paraId="4486186D">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六、本协议提交采购人或者采购代理机构后，联合体各方不得以</w:t>
      </w:r>
      <w:r>
        <w:rPr>
          <w:rFonts w:hint="eastAsia" w:ascii="仿宋" w:hAnsi="仿宋" w:eastAsia="仿宋" w:cs="仿宋"/>
          <w:color w:val="auto"/>
          <w:spacing w:val="-1"/>
          <w:sz w:val="24"/>
          <w:szCs w:val="24"/>
          <w:highlight w:val="none"/>
        </w:rPr>
        <w:t>任何形式对上述实质内容进行修改或者撤销。</w:t>
      </w:r>
    </w:p>
    <w:p w14:paraId="35D631B0">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七、本协议共</w:t>
      </w:r>
      <w:r>
        <w:rPr>
          <w:rFonts w:hint="eastAsia" w:ascii="仿宋" w:hAnsi="仿宋" w:eastAsia="仿宋" w:cs="仿宋"/>
          <w:color w:val="auto"/>
          <w:spacing w:val="-4"/>
          <w:sz w:val="24"/>
          <w:szCs w:val="24"/>
          <w:highlight w:val="none"/>
          <w:u w:val="single"/>
        </w:rPr>
        <w:t xml:space="preserve">  </w:t>
      </w:r>
      <w:r>
        <w:rPr>
          <w:rFonts w:hint="eastAsia" w:ascii="仿宋" w:hAnsi="仿宋" w:eastAsia="仿宋" w:cs="仿宋"/>
          <w:color w:val="auto"/>
          <w:spacing w:val="-4"/>
          <w:sz w:val="24"/>
          <w:szCs w:val="24"/>
          <w:highlight w:val="none"/>
        </w:rPr>
        <w:t>份，联合体各方各持</w:t>
      </w:r>
      <w:r>
        <w:rPr>
          <w:rFonts w:hint="eastAsia" w:ascii="仿宋" w:hAnsi="仿宋" w:eastAsia="仿宋" w:cs="仿宋"/>
          <w:color w:val="auto"/>
          <w:spacing w:val="-4"/>
          <w:sz w:val="24"/>
          <w:szCs w:val="24"/>
          <w:highlight w:val="none"/>
          <w:u w:val="single"/>
          <w:lang w:val="en-US" w:eastAsia="zh-CN"/>
        </w:rPr>
        <w:t xml:space="preserve">   </w:t>
      </w:r>
      <w:r>
        <w:rPr>
          <w:rFonts w:hint="eastAsia" w:ascii="仿宋" w:hAnsi="仿宋" w:eastAsia="仿宋" w:cs="仿宋"/>
          <w:color w:val="auto"/>
          <w:spacing w:val="-4"/>
          <w:sz w:val="24"/>
          <w:szCs w:val="24"/>
          <w:highlight w:val="none"/>
        </w:rPr>
        <w:t>份，并作为投标文件的一部分。</w:t>
      </w:r>
    </w:p>
    <w:p w14:paraId="766CC1F0">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0EB8C577">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甲方单位</w:t>
      </w:r>
      <w:r>
        <w:rPr>
          <w:rFonts w:hint="eastAsia" w:ascii="仿宋" w:hAnsi="仿宋" w:eastAsia="仿宋" w:cs="仿宋"/>
          <w:color w:val="auto"/>
          <w:spacing w:val="-34"/>
          <w:sz w:val="24"/>
          <w:szCs w:val="24"/>
          <w:highlight w:val="none"/>
        </w:rPr>
        <w:t>：</w:t>
      </w:r>
      <w:r>
        <w:rPr>
          <w:rFonts w:hint="eastAsia" w:ascii="仿宋" w:hAnsi="仿宋" w:eastAsia="仿宋" w:cs="仿宋"/>
          <w:color w:val="auto"/>
          <w:spacing w:val="16"/>
          <w:sz w:val="24"/>
          <w:szCs w:val="24"/>
          <w:highlight w:val="none"/>
        </w:rPr>
        <w:t xml:space="preserve">      </w:t>
      </w:r>
      <w:r>
        <w:rPr>
          <w:rFonts w:hint="eastAsia" w:ascii="仿宋" w:hAnsi="仿宋" w:eastAsia="仿宋" w:cs="仿宋"/>
          <w:color w:val="auto"/>
          <w:spacing w:val="-34"/>
          <w:sz w:val="24"/>
          <w:szCs w:val="24"/>
          <w:highlight w:val="none"/>
        </w:rPr>
        <w:t>（</w:t>
      </w:r>
      <w:r>
        <w:rPr>
          <w:rFonts w:hint="eastAsia" w:ascii="仿宋" w:hAnsi="仿宋" w:eastAsia="仿宋" w:cs="仿宋"/>
          <w:color w:val="auto"/>
          <w:spacing w:val="3"/>
          <w:sz w:val="24"/>
          <w:szCs w:val="24"/>
          <w:highlight w:val="none"/>
        </w:rPr>
        <w:t>公章）          乙方单位</w:t>
      </w:r>
      <w:r>
        <w:rPr>
          <w:rFonts w:hint="eastAsia" w:ascii="仿宋" w:hAnsi="仿宋" w:eastAsia="仿宋" w:cs="仿宋"/>
          <w:color w:val="auto"/>
          <w:spacing w:val="-34"/>
          <w:sz w:val="24"/>
          <w:szCs w:val="24"/>
          <w:highlight w:val="none"/>
        </w:rPr>
        <w:t>：</w:t>
      </w:r>
      <w:r>
        <w:rPr>
          <w:rFonts w:hint="eastAsia" w:ascii="仿宋" w:hAnsi="仿宋" w:eastAsia="仿宋" w:cs="仿宋"/>
          <w:color w:val="auto"/>
          <w:spacing w:val="17"/>
          <w:sz w:val="24"/>
          <w:szCs w:val="24"/>
          <w:highlight w:val="none"/>
        </w:rPr>
        <w:t xml:space="preserve">      </w:t>
      </w:r>
      <w:r>
        <w:rPr>
          <w:rFonts w:hint="eastAsia" w:ascii="仿宋" w:hAnsi="仿宋" w:eastAsia="仿宋" w:cs="仿宋"/>
          <w:color w:val="auto"/>
          <w:spacing w:val="-34"/>
          <w:sz w:val="24"/>
          <w:szCs w:val="24"/>
          <w:highlight w:val="none"/>
        </w:rPr>
        <w:t>（</w:t>
      </w:r>
      <w:r>
        <w:rPr>
          <w:rFonts w:hint="eastAsia" w:ascii="仿宋" w:hAnsi="仿宋" w:eastAsia="仿宋" w:cs="仿宋"/>
          <w:color w:val="auto"/>
          <w:spacing w:val="3"/>
          <w:sz w:val="24"/>
          <w:szCs w:val="24"/>
          <w:highlight w:val="none"/>
        </w:rPr>
        <w:t>公章）</w:t>
      </w:r>
    </w:p>
    <w:p w14:paraId="403F370B">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500"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法定代表人</w:t>
      </w:r>
      <w:r>
        <w:rPr>
          <w:rFonts w:hint="eastAsia" w:ascii="仿宋" w:hAnsi="仿宋" w:eastAsia="仿宋" w:cs="仿宋"/>
          <w:color w:val="auto"/>
          <w:spacing w:val="-60"/>
          <w:sz w:val="24"/>
          <w:szCs w:val="24"/>
          <w:highlight w:val="none"/>
        </w:rPr>
        <w:t>：</w:t>
      </w:r>
      <w:r>
        <w:rPr>
          <w:rFonts w:hint="eastAsia" w:ascii="仿宋" w:hAnsi="仿宋" w:eastAsia="仿宋" w:cs="仿宋"/>
          <w:color w:val="auto"/>
          <w:spacing w:val="22"/>
          <w:sz w:val="24"/>
          <w:szCs w:val="24"/>
          <w:highlight w:val="none"/>
        </w:rPr>
        <w:t xml:space="preserve">  </w:t>
      </w:r>
      <w:r>
        <w:rPr>
          <w:rFonts w:hint="eastAsia" w:ascii="仿宋" w:hAnsi="仿宋" w:eastAsia="仿宋" w:cs="仿宋"/>
          <w:color w:val="auto"/>
          <w:spacing w:val="-60"/>
          <w:sz w:val="24"/>
          <w:szCs w:val="24"/>
          <w:highlight w:val="none"/>
        </w:rPr>
        <w:t>（</w:t>
      </w:r>
      <w:r>
        <w:rPr>
          <w:rFonts w:hint="eastAsia" w:ascii="仿宋" w:hAnsi="仿宋" w:eastAsia="仿宋" w:cs="仿宋"/>
          <w:color w:val="auto"/>
          <w:spacing w:val="5"/>
          <w:sz w:val="24"/>
          <w:szCs w:val="24"/>
          <w:highlight w:val="none"/>
        </w:rPr>
        <w:t>签字或盖章）</w:t>
      </w:r>
      <w:r>
        <w:rPr>
          <w:rFonts w:hint="eastAsia" w:ascii="仿宋" w:hAnsi="仿宋" w:eastAsia="仿宋" w:cs="仿宋"/>
          <w:color w:val="auto"/>
          <w:spacing w:val="19"/>
          <w:sz w:val="24"/>
          <w:szCs w:val="24"/>
          <w:highlight w:val="none"/>
        </w:rPr>
        <w:t xml:space="preserve">      </w:t>
      </w:r>
      <w:r>
        <w:rPr>
          <w:rFonts w:hint="eastAsia" w:ascii="仿宋" w:hAnsi="仿宋" w:eastAsia="仿宋" w:cs="仿宋"/>
          <w:color w:val="auto"/>
          <w:spacing w:val="5"/>
          <w:sz w:val="24"/>
          <w:szCs w:val="24"/>
          <w:highlight w:val="none"/>
        </w:rPr>
        <w:t>法定代表人</w:t>
      </w:r>
      <w:r>
        <w:rPr>
          <w:rFonts w:hint="eastAsia" w:ascii="仿宋" w:hAnsi="仿宋" w:eastAsia="仿宋" w:cs="仿宋"/>
          <w:color w:val="auto"/>
          <w:spacing w:val="-60"/>
          <w:sz w:val="24"/>
          <w:szCs w:val="24"/>
          <w:highlight w:val="none"/>
        </w:rPr>
        <w:t>：（</w:t>
      </w:r>
      <w:r>
        <w:rPr>
          <w:rFonts w:hint="eastAsia" w:ascii="仿宋" w:hAnsi="仿宋" w:eastAsia="仿宋" w:cs="仿宋"/>
          <w:color w:val="auto"/>
          <w:spacing w:val="5"/>
          <w:sz w:val="24"/>
          <w:szCs w:val="24"/>
          <w:highlight w:val="none"/>
        </w:rPr>
        <w:t>签字或盖章）</w:t>
      </w:r>
    </w:p>
    <w:p w14:paraId="4303B0E1">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4BC1B0E6">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1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6"/>
          <w:sz w:val="24"/>
          <w:szCs w:val="24"/>
          <w:highlight w:val="none"/>
        </w:rPr>
        <w:t>日期：</w:t>
      </w:r>
      <w:r>
        <w:rPr>
          <w:rFonts w:hint="eastAsia" w:ascii="仿宋" w:hAnsi="仿宋" w:eastAsia="仿宋" w:cs="仿宋"/>
          <w:color w:val="auto"/>
          <w:spacing w:val="12"/>
          <w:sz w:val="24"/>
          <w:szCs w:val="24"/>
          <w:highlight w:val="none"/>
        </w:rPr>
        <w:t xml:space="preserve">  </w:t>
      </w:r>
      <w:r>
        <w:rPr>
          <w:rFonts w:hint="eastAsia" w:ascii="仿宋" w:hAnsi="仿宋" w:eastAsia="仿宋" w:cs="仿宋"/>
          <w:color w:val="auto"/>
          <w:spacing w:val="-16"/>
          <w:sz w:val="24"/>
          <w:szCs w:val="24"/>
          <w:highlight w:val="none"/>
        </w:rPr>
        <w:t>年</w:t>
      </w:r>
      <w:r>
        <w:rPr>
          <w:rFonts w:hint="eastAsia" w:ascii="仿宋" w:hAnsi="仿宋" w:eastAsia="仿宋" w:cs="仿宋"/>
          <w:color w:val="auto"/>
          <w:spacing w:val="13"/>
          <w:sz w:val="24"/>
          <w:szCs w:val="24"/>
          <w:highlight w:val="none"/>
        </w:rPr>
        <w:t xml:space="preserve">  </w:t>
      </w:r>
      <w:r>
        <w:rPr>
          <w:rFonts w:hint="eastAsia" w:ascii="仿宋" w:hAnsi="仿宋" w:eastAsia="仿宋" w:cs="仿宋"/>
          <w:color w:val="auto"/>
          <w:spacing w:val="-16"/>
          <w:sz w:val="24"/>
          <w:szCs w:val="24"/>
          <w:highlight w:val="none"/>
        </w:rPr>
        <w:t>月</w:t>
      </w:r>
      <w:r>
        <w:rPr>
          <w:rFonts w:hint="eastAsia" w:ascii="仿宋" w:hAnsi="仿宋" w:eastAsia="仿宋" w:cs="仿宋"/>
          <w:color w:val="auto"/>
          <w:spacing w:val="20"/>
          <w:sz w:val="24"/>
          <w:szCs w:val="24"/>
          <w:highlight w:val="none"/>
        </w:rPr>
        <w:t xml:space="preserve">   </w:t>
      </w:r>
      <w:r>
        <w:rPr>
          <w:rFonts w:hint="eastAsia" w:ascii="仿宋" w:hAnsi="仿宋" w:eastAsia="仿宋" w:cs="仿宋"/>
          <w:color w:val="auto"/>
          <w:spacing w:val="-16"/>
          <w:sz w:val="24"/>
          <w:szCs w:val="24"/>
          <w:highlight w:val="none"/>
        </w:rPr>
        <w:t xml:space="preserve">日             </w:t>
      </w:r>
      <w:r>
        <w:rPr>
          <w:rFonts w:hint="eastAsia" w:ascii="仿宋" w:hAnsi="仿宋" w:eastAsia="仿宋" w:cs="仿宋"/>
          <w:color w:val="auto"/>
          <w:spacing w:val="-17"/>
          <w:sz w:val="24"/>
          <w:szCs w:val="24"/>
          <w:highlight w:val="none"/>
        </w:rPr>
        <w:t xml:space="preserve">      日期：</w:t>
      </w:r>
      <w:r>
        <w:rPr>
          <w:rFonts w:hint="eastAsia" w:ascii="仿宋" w:hAnsi="仿宋" w:eastAsia="仿宋" w:cs="仿宋"/>
          <w:color w:val="auto"/>
          <w:spacing w:val="14"/>
          <w:sz w:val="24"/>
          <w:szCs w:val="24"/>
          <w:highlight w:val="none"/>
        </w:rPr>
        <w:t xml:space="preserve">  </w:t>
      </w:r>
      <w:r>
        <w:rPr>
          <w:rFonts w:hint="eastAsia" w:ascii="仿宋" w:hAnsi="仿宋" w:eastAsia="仿宋" w:cs="仿宋"/>
          <w:color w:val="auto"/>
          <w:spacing w:val="-17"/>
          <w:sz w:val="24"/>
          <w:szCs w:val="24"/>
          <w:highlight w:val="none"/>
        </w:rPr>
        <w:t>年</w:t>
      </w:r>
      <w:r>
        <w:rPr>
          <w:rFonts w:hint="eastAsia" w:ascii="仿宋" w:hAnsi="仿宋" w:eastAsia="仿宋" w:cs="仿宋"/>
          <w:color w:val="auto"/>
          <w:spacing w:val="13"/>
          <w:sz w:val="24"/>
          <w:szCs w:val="24"/>
          <w:highlight w:val="none"/>
        </w:rPr>
        <w:t xml:space="preserve">  </w:t>
      </w:r>
      <w:r>
        <w:rPr>
          <w:rFonts w:hint="eastAsia" w:ascii="仿宋" w:hAnsi="仿宋" w:eastAsia="仿宋" w:cs="仿宋"/>
          <w:color w:val="auto"/>
          <w:spacing w:val="-17"/>
          <w:sz w:val="24"/>
          <w:szCs w:val="24"/>
          <w:highlight w:val="none"/>
        </w:rPr>
        <w:t>月</w:t>
      </w:r>
      <w:r>
        <w:rPr>
          <w:rFonts w:hint="eastAsia" w:ascii="仿宋" w:hAnsi="仿宋" w:eastAsia="仿宋" w:cs="仿宋"/>
          <w:color w:val="auto"/>
          <w:spacing w:val="31"/>
          <w:sz w:val="24"/>
          <w:szCs w:val="24"/>
          <w:highlight w:val="none"/>
        </w:rPr>
        <w:t xml:space="preserve">  </w:t>
      </w:r>
      <w:r>
        <w:rPr>
          <w:rFonts w:hint="eastAsia" w:ascii="仿宋" w:hAnsi="仿宋" w:eastAsia="仿宋" w:cs="仿宋"/>
          <w:color w:val="auto"/>
          <w:spacing w:val="-17"/>
          <w:sz w:val="24"/>
          <w:szCs w:val="24"/>
          <w:highlight w:val="none"/>
        </w:rPr>
        <w:t>日</w:t>
      </w:r>
    </w:p>
    <w:p w14:paraId="588979F4">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0FDCE5E7">
      <w:pPr>
        <w:pStyle w:val="26"/>
        <w:pageBreakBefore w:val="0"/>
        <w:widowControl/>
        <w:shd w:val="clear"/>
        <w:overflowPunct/>
        <w:topLinePunct w:val="0"/>
        <w:bidi w:val="0"/>
        <w:adjustRightInd w:val="0"/>
        <w:spacing w:line="360" w:lineRule="auto"/>
        <w:ind w:left="0" w:right="0" w:firstLine="480" w:firstLineChars="200"/>
        <w:rPr>
          <w:rFonts w:hint="eastAsia" w:ascii="仿宋" w:hAnsi="仿宋" w:eastAsia="仿宋" w:cs="仿宋"/>
          <w:color w:val="auto"/>
          <w:sz w:val="24"/>
          <w:szCs w:val="24"/>
          <w:highlight w:val="none"/>
        </w:rPr>
        <w:sectPr>
          <w:headerReference r:id="rId42" w:type="default"/>
          <w:footerReference r:id="rId43" w:type="default"/>
          <w:pgSz w:w="11906" w:h="16839"/>
          <w:pgMar w:top="1440" w:right="1800" w:bottom="1440" w:left="1800" w:header="1417" w:footer="1417" w:gutter="0"/>
          <w:pgNumType w:fmt="decimal"/>
          <w:cols w:space="720" w:num="1"/>
        </w:sectPr>
      </w:pPr>
    </w:p>
    <w:p w14:paraId="463D4347">
      <w:pPr>
        <w:pStyle w:val="5"/>
        <w:shd w:val="clear"/>
        <w:bidi w:val="0"/>
        <w:rPr>
          <w:rFonts w:hint="eastAsia" w:ascii="仿宋" w:hAnsi="仿宋" w:eastAsia="仿宋" w:cs="仿宋"/>
          <w:color w:val="auto"/>
          <w:highlight w:val="none"/>
        </w:rPr>
      </w:pPr>
      <w:r>
        <w:rPr>
          <w:rFonts w:hint="eastAsia" w:ascii="仿宋" w:hAnsi="仿宋" w:eastAsia="仿宋" w:cs="仿宋"/>
          <w:color w:val="auto"/>
          <w:highlight w:val="none"/>
        </w:rPr>
        <w:t>联合投标授权委托书（若有，统一格式）</w:t>
      </w:r>
    </w:p>
    <w:p w14:paraId="0E50853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（如果两个以上的自然人、法人或者其他组织组成一个联合，可按照</w:t>
      </w:r>
      <w:r>
        <w:rPr>
          <w:rFonts w:hint="eastAsia" w:ascii="仿宋" w:hAnsi="仿宋" w:eastAsia="仿宋" w:cs="仿宋"/>
          <w:color w:val="auto"/>
          <w:spacing w:val="-8"/>
          <w:sz w:val="24"/>
          <w:szCs w:val="24"/>
          <w:highlight w:val="none"/>
        </w:rPr>
        <w:t>甲、乙、丙、丁…序列增加）</w:t>
      </w:r>
    </w:p>
    <w:p w14:paraId="57B4BA93">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09A2821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0"/>
          <w:sz w:val="24"/>
          <w:szCs w:val="24"/>
          <w:highlight w:val="none"/>
        </w:rPr>
        <w:t>本授权委托书声明：根据</w:t>
      </w:r>
      <w:r>
        <w:rPr>
          <w:rFonts w:hint="eastAsia" w:ascii="仿宋" w:hAnsi="仿宋" w:eastAsia="仿宋" w:cs="仿宋"/>
          <w:color w:val="auto"/>
          <w:spacing w:val="-10"/>
          <w:sz w:val="24"/>
          <w:szCs w:val="24"/>
          <w:highlight w:val="none"/>
          <w:u w:val="single" w:color="auto"/>
        </w:rPr>
        <w:t xml:space="preserve">       </w:t>
      </w:r>
      <w:r>
        <w:rPr>
          <w:rFonts w:hint="eastAsia" w:ascii="仿宋" w:hAnsi="仿宋" w:eastAsia="仿宋" w:cs="仿宋"/>
          <w:color w:val="auto"/>
          <w:spacing w:val="-10"/>
          <w:sz w:val="24"/>
          <w:szCs w:val="24"/>
          <w:highlight w:val="none"/>
        </w:rPr>
        <w:t>（甲方名称）</w:t>
      </w:r>
      <w:r>
        <w:rPr>
          <w:rFonts w:hint="eastAsia" w:ascii="仿宋" w:hAnsi="仿宋" w:eastAsia="仿宋" w:cs="仿宋"/>
          <w:color w:val="auto"/>
          <w:spacing w:val="-11"/>
          <w:sz w:val="24"/>
          <w:szCs w:val="24"/>
          <w:highlight w:val="none"/>
        </w:rPr>
        <w:t>与</w:t>
      </w:r>
      <w:r>
        <w:rPr>
          <w:rFonts w:hint="eastAsia" w:ascii="仿宋" w:hAnsi="仿宋" w:eastAsia="仿宋" w:cs="仿宋"/>
          <w:color w:val="auto"/>
          <w:spacing w:val="17"/>
          <w:sz w:val="24"/>
          <w:szCs w:val="24"/>
          <w:highlight w:val="none"/>
          <w:u w:val="single" w:color="auto"/>
        </w:rPr>
        <w:t xml:space="preserve">        </w:t>
      </w:r>
      <w:r>
        <w:rPr>
          <w:rFonts w:hint="eastAsia" w:ascii="仿宋" w:hAnsi="仿宋" w:eastAsia="仿宋" w:cs="仿宋"/>
          <w:color w:val="auto"/>
          <w:spacing w:val="-11"/>
          <w:sz w:val="24"/>
          <w:szCs w:val="24"/>
          <w:highlight w:val="none"/>
        </w:rPr>
        <w:t>（乙</w:t>
      </w:r>
      <w:r>
        <w:rPr>
          <w:rFonts w:hint="eastAsia" w:ascii="仿宋" w:hAnsi="仿宋" w:eastAsia="仿宋" w:cs="仿宋"/>
          <w:color w:val="auto"/>
          <w:spacing w:val="-1"/>
          <w:sz w:val="24"/>
          <w:szCs w:val="24"/>
          <w:highlight w:val="none"/>
        </w:rPr>
        <w:t>方名称）签订的《联合投标协议书》的内容</w:t>
      </w:r>
      <w:r>
        <w:rPr>
          <w:rFonts w:hint="eastAsia" w:ascii="仿宋" w:hAnsi="仿宋" w:eastAsia="仿宋" w:cs="仿宋"/>
          <w:color w:val="auto"/>
          <w:spacing w:val="-2"/>
          <w:sz w:val="24"/>
          <w:szCs w:val="24"/>
          <w:highlight w:val="none"/>
        </w:rPr>
        <w:t>，主办人</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pacing w:val="-2"/>
          <w:sz w:val="24"/>
          <w:szCs w:val="24"/>
          <w:highlight w:val="none"/>
        </w:rPr>
        <w:t>的法定</w:t>
      </w:r>
      <w:r>
        <w:rPr>
          <w:rFonts w:hint="eastAsia" w:ascii="仿宋" w:hAnsi="仿宋" w:eastAsia="仿宋" w:cs="仿宋"/>
          <w:color w:val="auto"/>
          <w:spacing w:val="-4"/>
          <w:sz w:val="24"/>
          <w:szCs w:val="24"/>
          <w:highlight w:val="none"/>
        </w:rPr>
        <w:t>代表人</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pacing w:val="-4"/>
          <w:sz w:val="24"/>
          <w:szCs w:val="24"/>
          <w:highlight w:val="none"/>
        </w:rPr>
        <w:t>现授权</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pacing w:val="-4"/>
          <w:sz w:val="24"/>
          <w:szCs w:val="24"/>
          <w:highlight w:val="none"/>
        </w:rPr>
        <w:t>为联合投标代理人，代理人在投标、开</w:t>
      </w:r>
      <w:r>
        <w:rPr>
          <w:rFonts w:hint="eastAsia" w:ascii="仿宋" w:hAnsi="仿宋" w:eastAsia="仿宋" w:cs="仿宋"/>
          <w:color w:val="auto"/>
          <w:spacing w:val="-3"/>
          <w:sz w:val="24"/>
          <w:szCs w:val="24"/>
          <w:highlight w:val="none"/>
        </w:rPr>
        <w:t>启投标文件、评标、合同谈判过程中所签署的一</w:t>
      </w:r>
      <w:r>
        <w:rPr>
          <w:rFonts w:hint="eastAsia" w:ascii="仿宋" w:hAnsi="仿宋" w:eastAsia="仿宋" w:cs="仿宋"/>
          <w:color w:val="auto"/>
          <w:spacing w:val="-4"/>
          <w:sz w:val="24"/>
          <w:szCs w:val="24"/>
          <w:highlight w:val="none"/>
        </w:rPr>
        <w:t>切文件和处理与这有</w:t>
      </w:r>
      <w:r>
        <w:rPr>
          <w:rFonts w:hint="eastAsia" w:ascii="仿宋" w:hAnsi="仿宋" w:eastAsia="仿宋" w:cs="仿宋"/>
          <w:color w:val="auto"/>
          <w:spacing w:val="-1"/>
          <w:sz w:val="24"/>
          <w:szCs w:val="24"/>
          <w:highlight w:val="none"/>
        </w:rPr>
        <w:t>关的一切事务，联合投标各方均予以认可并遵守。</w:t>
      </w:r>
    </w:p>
    <w:p w14:paraId="52D55B9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特此委托。</w:t>
      </w:r>
    </w:p>
    <w:p w14:paraId="2D5200AB">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04E896F4">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3A36CE6D">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216A74AE">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22439C1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0" w:firstLineChars="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主办人的法定代表人</w:t>
      </w:r>
      <w:r>
        <w:rPr>
          <w:rFonts w:hint="eastAsia" w:ascii="仿宋" w:hAnsi="仿宋" w:eastAsia="仿宋" w:cs="仿宋"/>
          <w:color w:val="auto"/>
          <w:spacing w:val="-21"/>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21"/>
          <w:sz w:val="24"/>
          <w:szCs w:val="24"/>
          <w:highlight w:val="none"/>
        </w:rPr>
        <w:t>（</w:t>
      </w:r>
      <w:r>
        <w:rPr>
          <w:rFonts w:hint="eastAsia" w:ascii="仿宋" w:hAnsi="仿宋" w:eastAsia="仿宋" w:cs="仿宋"/>
          <w:color w:val="auto"/>
          <w:spacing w:val="-5"/>
          <w:sz w:val="24"/>
          <w:szCs w:val="24"/>
          <w:highlight w:val="none"/>
        </w:rPr>
        <w:t xml:space="preserve">印章） </w:t>
      </w:r>
      <w:r>
        <w:rPr>
          <w:rFonts w:hint="eastAsia" w:ascii="仿宋" w:hAnsi="仿宋" w:eastAsia="仿宋" w:cs="仿宋"/>
          <w:color w:val="auto"/>
          <w:spacing w:val="-5"/>
          <w:sz w:val="24"/>
          <w:szCs w:val="24"/>
          <w:highlight w:val="none"/>
          <w:lang w:val="en-US" w:eastAsia="zh-CN"/>
        </w:rPr>
        <w:t xml:space="preserve"> </w:t>
      </w:r>
      <w:r>
        <w:rPr>
          <w:rFonts w:hint="eastAsia" w:ascii="仿宋" w:hAnsi="仿宋" w:eastAsia="仿宋" w:cs="仿宋"/>
          <w:color w:val="auto"/>
          <w:spacing w:val="-5"/>
          <w:sz w:val="24"/>
          <w:szCs w:val="24"/>
          <w:highlight w:val="none"/>
        </w:rPr>
        <w:t>联合投标代理人</w:t>
      </w:r>
      <w:r>
        <w:rPr>
          <w:rFonts w:hint="eastAsia" w:ascii="仿宋" w:hAnsi="仿宋" w:eastAsia="仿宋" w:cs="仿宋"/>
          <w:color w:val="auto"/>
          <w:spacing w:val="-21"/>
          <w:sz w:val="24"/>
          <w:szCs w:val="24"/>
          <w:highlight w:val="none"/>
        </w:rPr>
        <w:t>：</w:t>
      </w:r>
      <w:r>
        <w:rPr>
          <w:rFonts w:hint="eastAsia" w:ascii="仿宋" w:hAnsi="仿宋" w:eastAsia="仿宋" w:cs="仿宋"/>
          <w:color w:val="auto"/>
          <w:spacing w:val="13"/>
          <w:sz w:val="24"/>
          <w:szCs w:val="24"/>
          <w:highlight w:val="none"/>
        </w:rPr>
        <w:t xml:space="preserve">    </w:t>
      </w:r>
      <w:r>
        <w:rPr>
          <w:rFonts w:hint="eastAsia" w:ascii="仿宋" w:hAnsi="仿宋" w:eastAsia="仿宋" w:cs="仿宋"/>
          <w:color w:val="auto"/>
          <w:spacing w:val="13"/>
          <w:sz w:val="24"/>
          <w:szCs w:val="24"/>
          <w:highlight w:val="none"/>
          <w:lang w:val="en-US" w:eastAsia="zh-CN"/>
        </w:rPr>
        <w:t xml:space="preserve">    </w:t>
      </w:r>
      <w:r>
        <w:rPr>
          <w:rFonts w:hint="eastAsia" w:ascii="仿宋" w:hAnsi="仿宋" w:eastAsia="仿宋" w:cs="仿宋"/>
          <w:color w:val="auto"/>
          <w:spacing w:val="-21"/>
          <w:sz w:val="24"/>
          <w:szCs w:val="24"/>
          <w:highlight w:val="none"/>
        </w:rPr>
        <w:t>（</w:t>
      </w:r>
      <w:r>
        <w:rPr>
          <w:rFonts w:hint="eastAsia" w:ascii="仿宋" w:hAnsi="仿宋" w:eastAsia="仿宋" w:cs="仿宋"/>
          <w:color w:val="auto"/>
          <w:spacing w:val="-5"/>
          <w:sz w:val="24"/>
          <w:szCs w:val="24"/>
          <w:highlight w:val="none"/>
        </w:rPr>
        <w:t>印章）</w:t>
      </w:r>
    </w:p>
    <w:p w14:paraId="3E23659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0" w:firstLineChars="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7"/>
          <w:sz w:val="24"/>
          <w:szCs w:val="24"/>
          <w:highlight w:val="none"/>
        </w:rPr>
        <w:t>日期：</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年</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月</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日</w:t>
      </w:r>
      <w:r>
        <w:rPr>
          <w:rFonts w:hint="eastAsia" w:ascii="仿宋" w:hAnsi="仿宋" w:eastAsia="仿宋" w:cs="仿宋"/>
          <w:color w:val="auto"/>
          <w:spacing w:val="2"/>
          <w:sz w:val="24"/>
          <w:szCs w:val="24"/>
          <w:highlight w:val="none"/>
        </w:rPr>
        <w:t xml:space="preserve">                </w:t>
      </w:r>
      <w:r>
        <w:rPr>
          <w:rFonts w:hint="eastAsia" w:ascii="仿宋" w:hAnsi="仿宋" w:eastAsia="仿宋" w:cs="仿宋"/>
          <w:color w:val="auto"/>
          <w:spacing w:val="-17"/>
          <w:sz w:val="24"/>
          <w:szCs w:val="24"/>
          <w:highlight w:val="none"/>
        </w:rPr>
        <w:t>日期：</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年</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月</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日</w:t>
      </w:r>
    </w:p>
    <w:p w14:paraId="440AEA87">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0" w:firstLineChars="0"/>
        <w:textAlignment w:val="baseline"/>
        <w:rPr>
          <w:rFonts w:hint="eastAsia" w:ascii="仿宋" w:hAnsi="仿宋" w:eastAsia="仿宋" w:cs="仿宋"/>
          <w:color w:val="auto"/>
          <w:sz w:val="24"/>
          <w:szCs w:val="24"/>
          <w:highlight w:val="none"/>
        </w:rPr>
      </w:pPr>
    </w:p>
    <w:p w14:paraId="6299E528">
      <w:pPr>
        <w:pStyle w:val="26"/>
        <w:keepNext w:val="0"/>
        <w:keepLines w:val="0"/>
        <w:pageBreakBefore w:val="0"/>
        <w:widowControl/>
        <w:shd w:val="clear"/>
        <w:kinsoku/>
        <w:overflowPunct/>
        <w:topLinePunct w:val="0"/>
        <w:autoSpaceDE w:val="0"/>
        <w:autoSpaceDN w:val="0"/>
        <w:bidi w:val="0"/>
        <w:adjustRightInd w:val="0"/>
        <w:spacing w:line="360" w:lineRule="auto"/>
        <w:ind w:firstLine="0" w:firstLineChars="0"/>
        <w:rPr>
          <w:rFonts w:hint="eastAsia" w:ascii="仿宋" w:hAnsi="仿宋" w:eastAsia="仿宋" w:cs="仿宋"/>
          <w:color w:val="auto"/>
          <w:sz w:val="24"/>
          <w:szCs w:val="24"/>
          <w:highlight w:val="none"/>
        </w:rPr>
      </w:pPr>
    </w:p>
    <w:p w14:paraId="196B105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0" w:firstLineChars="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甲方名称</w:t>
      </w:r>
      <w:r>
        <w:rPr>
          <w:rFonts w:hint="eastAsia" w:ascii="仿宋" w:hAnsi="仿宋" w:eastAsia="仿宋" w:cs="仿宋"/>
          <w:color w:val="auto"/>
          <w:spacing w:val="-34"/>
          <w:sz w:val="24"/>
          <w:szCs w:val="24"/>
          <w:highlight w:val="none"/>
          <w:u w:val="none" w:color="auto"/>
        </w:rPr>
        <w:t>：</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34"/>
          <w:sz w:val="24"/>
          <w:szCs w:val="24"/>
          <w:highlight w:val="none"/>
        </w:rPr>
        <w:t>（</w:t>
      </w:r>
      <w:r>
        <w:rPr>
          <w:rFonts w:hint="eastAsia" w:ascii="仿宋" w:hAnsi="仿宋" w:eastAsia="仿宋" w:cs="仿宋"/>
          <w:color w:val="auto"/>
          <w:spacing w:val="3"/>
          <w:sz w:val="24"/>
          <w:szCs w:val="24"/>
          <w:highlight w:val="none"/>
        </w:rPr>
        <w:t>公章）            乙方名称</w:t>
      </w:r>
      <w:r>
        <w:rPr>
          <w:rFonts w:hint="eastAsia" w:ascii="仿宋" w:hAnsi="仿宋" w:eastAsia="仿宋" w:cs="仿宋"/>
          <w:color w:val="auto"/>
          <w:spacing w:val="-34"/>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34"/>
          <w:sz w:val="24"/>
          <w:szCs w:val="24"/>
          <w:highlight w:val="none"/>
        </w:rPr>
        <w:t>（</w:t>
      </w:r>
      <w:r>
        <w:rPr>
          <w:rFonts w:hint="eastAsia" w:ascii="仿宋" w:hAnsi="仿宋" w:eastAsia="仿宋" w:cs="仿宋"/>
          <w:color w:val="auto"/>
          <w:spacing w:val="3"/>
          <w:sz w:val="24"/>
          <w:szCs w:val="24"/>
          <w:highlight w:val="none"/>
        </w:rPr>
        <w:t>公章）</w:t>
      </w:r>
    </w:p>
    <w:p w14:paraId="290C369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0" w:firstLineChars="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法定代表人</w:t>
      </w:r>
      <w:r>
        <w:rPr>
          <w:rFonts w:hint="eastAsia" w:ascii="仿宋" w:hAnsi="仿宋" w:eastAsia="仿宋" w:cs="仿宋"/>
          <w:color w:val="auto"/>
          <w:spacing w:val="-51"/>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1"/>
          <w:sz w:val="24"/>
          <w:szCs w:val="24"/>
          <w:highlight w:val="none"/>
        </w:rPr>
        <w:t>（</w:t>
      </w:r>
      <w:r>
        <w:rPr>
          <w:rFonts w:hint="eastAsia" w:ascii="仿宋" w:hAnsi="仿宋" w:eastAsia="仿宋" w:cs="仿宋"/>
          <w:color w:val="auto"/>
          <w:spacing w:val="4"/>
          <w:sz w:val="24"/>
          <w:szCs w:val="24"/>
          <w:highlight w:val="none"/>
        </w:rPr>
        <w:t>签字或盖章）</w:t>
      </w:r>
      <w:r>
        <w:rPr>
          <w:rFonts w:hint="eastAsia" w:ascii="仿宋" w:hAnsi="仿宋" w:eastAsia="仿宋" w:cs="仿宋"/>
          <w:color w:val="auto"/>
          <w:sz w:val="24"/>
          <w:szCs w:val="24"/>
          <w:highlight w:val="none"/>
        </w:rPr>
        <w:t xml:space="preserve">    </w:t>
      </w:r>
      <w:r>
        <w:rPr>
          <w:rFonts w:hint="eastAsia" w:ascii="仿宋" w:hAnsi="仿宋" w:eastAsia="仿宋" w:cs="仿宋"/>
          <w:color w:val="auto"/>
          <w:spacing w:val="4"/>
          <w:sz w:val="24"/>
          <w:szCs w:val="24"/>
          <w:highlight w:val="none"/>
        </w:rPr>
        <w:t>法定代表人</w:t>
      </w:r>
      <w:r>
        <w:rPr>
          <w:rFonts w:hint="eastAsia" w:ascii="仿宋" w:hAnsi="仿宋" w:eastAsia="仿宋" w:cs="仿宋"/>
          <w:color w:val="auto"/>
          <w:spacing w:val="-51"/>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1"/>
          <w:sz w:val="24"/>
          <w:szCs w:val="24"/>
          <w:highlight w:val="none"/>
        </w:rPr>
        <w:t>（</w:t>
      </w:r>
      <w:r>
        <w:rPr>
          <w:rFonts w:hint="eastAsia" w:ascii="仿宋" w:hAnsi="仿宋" w:eastAsia="仿宋" w:cs="仿宋"/>
          <w:color w:val="auto"/>
          <w:spacing w:val="4"/>
          <w:sz w:val="24"/>
          <w:szCs w:val="24"/>
          <w:highlight w:val="none"/>
        </w:rPr>
        <w:t>签字或盖章）</w:t>
      </w:r>
    </w:p>
    <w:p w14:paraId="433F8E8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0" w:firstLineChars="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7"/>
          <w:sz w:val="24"/>
          <w:szCs w:val="24"/>
          <w:highlight w:val="none"/>
        </w:rPr>
        <w:t>日期：</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年</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月</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日</w:t>
      </w:r>
      <w:r>
        <w:rPr>
          <w:rFonts w:hint="eastAsia" w:ascii="仿宋" w:hAnsi="仿宋" w:eastAsia="仿宋" w:cs="仿宋"/>
          <w:color w:val="auto"/>
          <w:spacing w:val="2"/>
          <w:sz w:val="24"/>
          <w:szCs w:val="24"/>
          <w:highlight w:val="none"/>
        </w:rPr>
        <w:t xml:space="preserve">              </w:t>
      </w:r>
      <w:r>
        <w:rPr>
          <w:rFonts w:hint="eastAsia" w:ascii="仿宋" w:hAnsi="仿宋" w:eastAsia="仿宋" w:cs="仿宋"/>
          <w:color w:val="auto"/>
          <w:spacing w:val="2"/>
          <w:sz w:val="24"/>
          <w:szCs w:val="24"/>
          <w:highlight w:val="none"/>
          <w:lang w:val="en-US" w:eastAsia="zh-CN"/>
        </w:rPr>
        <w:t xml:space="preserve"> </w:t>
      </w:r>
      <w:r>
        <w:rPr>
          <w:rFonts w:hint="eastAsia" w:ascii="仿宋" w:hAnsi="仿宋" w:eastAsia="仿宋" w:cs="仿宋"/>
          <w:color w:val="auto"/>
          <w:spacing w:val="2"/>
          <w:sz w:val="24"/>
          <w:szCs w:val="24"/>
          <w:highlight w:val="none"/>
        </w:rPr>
        <w:t xml:space="preserve">  </w:t>
      </w:r>
      <w:r>
        <w:rPr>
          <w:rFonts w:hint="eastAsia" w:ascii="仿宋" w:hAnsi="仿宋" w:eastAsia="仿宋" w:cs="仿宋"/>
          <w:color w:val="auto"/>
          <w:spacing w:val="-17"/>
          <w:sz w:val="24"/>
          <w:szCs w:val="24"/>
          <w:highlight w:val="none"/>
        </w:rPr>
        <w:t>日期：</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年</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月</w:t>
      </w:r>
      <w:r>
        <w:rPr>
          <w:rFonts w:hint="eastAsia" w:ascii="仿宋" w:hAnsi="仿宋" w:eastAsia="仿宋" w:cs="仿宋"/>
          <w:color w:val="auto"/>
          <w:spacing w:val="-17"/>
          <w:sz w:val="24"/>
          <w:szCs w:val="24"/>
          <w:highlight w:val="none"/>
          <w:lang w:val="en-US" w:eastAsia="zh-CN"/>
        </w:rPr>
        <w:t xml:space="preserve">   </w:t>
      </w:r>
      <w:r>
        <w:rPr>
          <w:rFonts w:hint="eastAsia" w:ascii="仿宋" w:hAnsi="仿宋" w:eastAsia="仿宋" w:cs="仿宋"/>
          <w:color w:val="auto"/>
          <w:spacing w:val="-17"/>
          <w:sz w:val="24"/>
          <w:szCs w:val="24"/>
          <w:highlight w:val="none"/>
        </w:rPr>
        <w:t>日</w:t>
      </w:r>
    </w:p>
    <w:p w14:paraId="2492198E">
      <w:pPr>
        <w:keepNext w:val="0"/>
        <w:keepLines w:val="0"/>
        <w:pageBreakBefore w:val="0"/>
        <w:widowControl/>
        <w:shd w:val="clear"/>
        <w:kinsoku w:val="0"/>
        <w:wordWrap w:val="0"/>
        <w:overflowPunct/>
        <w:topLinePunct w:val="0"/>
        <w:autoSpaceDE w:val="0"/>
        <w:autoSpaceDN w:val="0"/>
        <w:bidi w:val="0"/>
        <w:adjustRightInd w:val="0"/>
        <w:snapToGrid w:val="0"/>
        <w:spacing w:line="217" w:lineRule="auto"/>
        <w:textAlignment w:val="baseline"/>
        <w:rPr>
          <w:color w:val="auto"/>
          <w:sz w:val="24"/>
          <w:szCs w:val="24"/>
          <w:highlight w:val="none"/>
        </w:rPr>
      </w:pPr>
    </w:p>
    <w:p w14:paraId="5D656B44">
      <w:pPr>
        <w:pageBreakBefore w:val="0"/>
        <w:shd w:val="clear"/>
        <w:wordWrap/>
        <w:overflowPunct/>
        <w:topLinePunct w:val="0"/>
        <w:bidi w:val="0"/>
        <w:spacing w:line="25" w:lineRule="atLeast"/>
        <w:rPr>
          <w:color w:val="auto"/>
          <w:sz w:val="24"/>
          <w:szCs w:val="24"/>
          <w:highlight w:val="none"/>
        </w:rPr>
        <w:sectPr>
          <w:headerReference r:id="rId44" w:type="default"/>
          <w:footerReference r:id="rId45" w:type="default"/>
          <w:pgSz w:w="11906" w:h="16839"/>
          <w:pgMar w:top="1440" w:right="1800" w:bottom="1440" w:left="1800" w:header="1090" w:footer="1253" w:gutter="0"/>
          <w:pgNumType w:fmt="decimal"/>
          <w:cols w:space="720" w:num="1"/>
        </w:sectPr>
      </w:pPr>
    </w:p>
    <w:p w14:paraId="1725204F">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5F94DAD3">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6D6F30A6">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14D1759D">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1CBE0E50">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3BB77F0C">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2EF4D39F">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346A0469">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21050812">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72E20613">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58696415">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0CAAE433">
      <w:pPr>
        <w:keepNext w:val="0"/>
        <w:keepLines w:val="0"/>
        <w:pageBreakBefore w:val="0"/>
        <w:widowControl/>
        <w:shd w:val="clear"/>
        <w:kinsoku w:val="0"/>
        <w:wordWrap w:val="0"/>
        <w:overflowPunct/>
        <w:topLinePunct w:val="0"/>
        <w:autoSpaceDE w:val="0"/>
        <w:autoSpaceDN w:val="0"/>
        <w:bidi w:val="0"/>
        <w:adjustRightInd w:val="0"/>
        <w:snapToGrid w:val="0"/>
        <w:spacing w:before="231" w:line="218" w:lineRule="auto"/>
        <w:ind w:left="2985"/>
        <w:textAlignment w:val="baseline"/>
        <w:rPr>
          <w:rFonts w:ascii="宋体" w:hAnsi="宋体" w:eastAsia="宋体" w:cs="宋体"/>
          <w:color w:val="auto"/>
          <w:sz w:val="71"/>
          <w:szCs w:val="71"/>
          <w:highlight w:val="none"/>
        </w:rPr>
      </w:pPr>
      <w:r>
        <w:rPr>
          <w:rFonts w:ascii="宋体" w:hAnsi="宋体" w:eastAsia="宋体" w:cs="宋体"/>
          <w:b/>
          <w:bCs/>
          <w:color w:val="auto"/>
          <w:spacing w:val="-2"/>
          <w:sz w:val="71"/>
          <w:szCs w:val="71"/>
          <w:highlight w:val="none"/>
        </w:rPr>
        <w:t>投标文件</w:t>
      </w:r>
    </w:p>
    <w:p w14:paraId="76848A47">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68D435AB">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7C0344DE">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03A4EEC3">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605209A2">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42A1BE3B">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13C2F3DB">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6F4CC8F8">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459A35F5">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2265C41D">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58E8EFAC">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235EDBFE">
      <w:pPr>
        <w:keepNext w:val="0"/>
        <w:keepLines w:val="0"/>
        <w:pageBreakBefore w:val="0"/>
        <w:widowControl/>
        <w:shd w:val="clear"/>
        <w:kinsoku w:val="0"/>
        <w:wordWrap w:val="0"/>
        <w:overflowPunct/>
        <w:topLinePunct w:val="0"/>
        <w:autoSpaceDE w:val="0"/>
        <w:autoSpaceDN w:val="0"/>
        <w:bidi w:val="0"/>
        <w:adjustRightInd w:val="0"/>
        <w:snapToGrid w:val="0"/>
        <w:spacing w:before="169" w:line="241" w:lineRule="auto"/>
        <w:ind w:left="2611"/>
        <w:textAlignment w:val="baseline"/>
        <w:outlineLvl w:val="0"/>
        <w:rPr>
          <w:rFonts w:ascii="黑体" w:hAnsi="黑体" w:eastAsia="黑体" w:cs="黑体"/>
          <w:color w:val="auto"/>
          <w:sz w:val="52"/>
          <w:szCs w:val="52"/>
          <w:highlight w:val="none"/>
        </w:rPr>
      </w:pPr>
      <w:bookmarkStart w:id="26" w:name="_Toc13857"/>
      <w:bookmarkStart w:id="27" w:name="_Toc29239"/>
      <w:r>
        <w:rPr>
          <w:rFonts w:ascii="黑体" w:hAnsi="黑体" w:eastAsia="黑体" w:cs="黑体"/>
          <w:color w:val="auto"/>
          <w:spacing w:val="-4"/>
          <w:sz w:val="52"/>
          <w:szCs w:val="52"/>
          <w:highlight w:val="none"/>
        </w:rPr>
        <w:t>符合性审查部分</w:t>
      </w:r>
      <w:bookmarkEnd w:id="26"/>
      <w:bookmarkEnd w:id="27"/>
    </w:p>
    <w:p w14:paraId="593494DC">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08CB078C">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1CEA8E97">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404D9AC7">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42EE861F">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4C67A28E">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7A25CB8F">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7B74AA18">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59CB903B">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2C7F7347">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7C417F88">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2FF8459E">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74C636C3">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5844C683">
      <w:pPr>
        <w:pStyle w:val="11"/>
        <w:keepNext w:val="0"/>
        <w:keepLines w:val="0"/>
        <w:pageBreakBefore w:val="0"/>
        <w:widowControl/>
        <w:shd w:val="clear"/>
        <w:kinsoku w:val="0"/>
        <w:wordWrap w:val="0"/>
        <w:overflowPunct/>
        <w:topLinePunct w:val="0"/>
        <w:autoSpaceDE w:val="0"/>
        <w:autoSpaceDN w:val="0"/>
        <w:bidi w:val="0"/>
        <w:adjustRightInd w:val="0"/>
        <w:snapToGrid w:val="0"/>
        <w:spacing w:before="100" w:line="221" w:lineRule="auto"/>
        <w:textAlignment w:val="baseline"/>
        <w:rPr>
          <w:color w:val="auto"/>
          <w:highlight w:val="none"/>
        </w:rPr>
      </w:pPr>
      <w:r>
        <w:rPr>
          <w:color w:val="auto"/>
          <w:spacing w:val="4"/>
          <w:highlight w:val="none"/>
        </w:rPr>
        <w:t>项目名称：</w:t>
      </w:r>
    </w:p>
    <w:p w14:paraId="6101B65E">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7" w:line="224" w:lineRule="auto"/>
        <w:textAlignment w:val="baseline"/>
        <w:rPr>
          <w:color w:val="auto"/>
          <w:highlight w:val="none"/>
        </w:rPr>
      </w:pPr>
      <w:r>
        <w:rPr>
          <w:color w:val="auto"/>
          <w:spacing w:val="4"/>
          <w:highlight w:val="none"/>
        </w:rPr>
        <w:t>项目编号：</w:t>
      </w:r>
    </w:p>
    <w:p w14:paraId="18D48161">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2" w:line="221" w:lineRule="auto"/>
        <w:textAlignment w:val="baseline"/>
        <w:rPr>
          <w:color w:val="auto"/>
          <w:highlight w:val="none"/>
        </w:rPr>
      </w:pPr>
      <w:r>
        <w:rPr>
          <w:color w:val="auto"/>
          <w:spacing w:val="7"/>
          <w:highlight w:val="none"/>
        </w:rPr>
        <w:t>投标人名称（公章</w:t>
      </w:r>
      <w:r>
        <w:rPr>
          <w:color w:val="auto"/>
          <w:spacing w:val="2"/>
          <w:highlight w:val="none"/>
        </w:rPr>
        <w:t>）：</w:t>
      </w:r>
    </w:p>
    <w:p w14:paraId="780D9FCC">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8" w:line="222" w:lineRule="auto"/>
        <w:ind w:left="3546"/>
        <w:textAlignment w:val="baseline"/>
        <w:rPr>
          <w:color w:val="auto"/>
          <w:highlight w:val="none"/>
        </w:rPr>
      </w:pPr>
      <w:r>
        <w:rPr>
          <w:color w:val="auto"/>
          <w:spacing w:val="-9"/>
          <w:highlight w:val="none"/>
        </w:rPr>
        <w:t>年</w:t>
      </w:r>
      <w:r>
        <w:rPr>
          <w:color w:val="auto"/>
          <w:spacing w:val="20"/>
          <w:highlight w:val="none"/>
        </w:rPr>
        <w:t xml:space="preserve">  </w:t>
      </w:r>
      <w:r>
        <w:rPr>
          <w:color w:val="auto"/>
          <w:spacing w:val="-9"/>
          <w:highlight w:val="none"/>
        </w:rPr>
        <w:t>月</w:t>
      </w:r>
      <w:r>
        <w:rPr>
          <w:color w:val="auto"/>
          <w:spacing w:val="42"/>
          <w:highlight w:val="none"/>
        </w:rPr>
        <w:t xml:space="preserve">  </w:t>
      </w:r>
      <w:r>
        <w:rPr>
          <w:color w:val="auto"/>
          <w:spacing w:val="-9"/>
          <w:highlight w:val="none"/>
        </w:rPr>
        <w:t>日</w:t>
      </w:r>
    </w:p>
    <w:p w14:paraId="1725991E">
      <w:pPr>
        <w:pageBreakBefore w:val="0"/>
        <w:shd w:val="clear"/>
        <w:wordWrap/>
        <w:overflowPunct/>
        <w:topLinePunct w:val="0"/>
        <w:bidi w:val="0"/>
        <w:spacing w:line="25" w:lineRule="atLeast"/>
        <w:rPr>
          <w:color w:val="auto"/>
          <w:highlight w:val="none"/>
        </w:rPr>
        <w:sectPr>
          <w:headerReference r:id="rId46" w:type="default"/>
          <w:footerReference r:id="rId47" w:type="default"/>
          <w:pgSz w:w="11906" w:h="16839"/>
          <w:pgMar w:top="1440" w:right="1800" w:bottom="1440" w:left="1800" w:header="1090" w:footer="1253" w:gutter="0"/>
          <w:pgNumType w:fmt="decimal"/>
          <w:cols w:space="720" w:num="1"/>
        </w:sectPr>
      </w:pPr>
    </w:p>
    <w:p w14:paraId="0D536E0E">
      <w:pPr>
        <w:pStyle w:val="11"/>
        <w:keepNext w:val="0"/>
        <w:keepLines w:val="0"/>
        <w:pageBreakBefore w:val="0"/>
        <w:widowControl/>
        <w:shd w:val="clear"/>
        <w:kinsoku w:val="0"/>
        <w:wordWrap w:val="0"/>
        <w:overflowPunct/>
        <w:topLinePunct w:val="0"/>
        <w:autoSpaceDE w:val="0"/>
        <w:autoSpaceDN w:val="0"/>
        <w:bidi w:val="0"/>
        <w:adjustRightInd w:val="0"/>
        <w:snapToGrid w:val="0"/>
        <w:spacing w:before="91" w:line="218" w:lineRule="auto"/>
        <w:ind w:left="471"/>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pacing w:val="-17"/>
          <w:sz w:val="28"/>
          <w:szCs w:val="28"/>
          <w:highlight w:val="none"/>
        </w:rPr>
        <w:t>附件</w:t>
      </w:r>
      <w:r>
        <w:rPr>
          <w:rFonts w:hint="eastAsia" w:cs="仿宋"/>
          <w:b/>
          <w:bCs/>
          <w:color w:val="auto"/>
          <w:spacing w:val="-17"/>
          <w:sz w:val="28"/>
          <w:szCs w:val="28"/>
          <w:highlight w:val="none"/>
          <w:lang w:val="en-US" w:eastAsia="zh-CN"/>
        </w:rPr>
        <w:t>8</w:t>
      </w:r>
      <w:r>
        <w:rPr>
          <w:rFonts w:hint="eastAsia" w:ascii="仿宋" w:hAnsi="仿宋" w:eastAsia="仿宋" w:cs="仿宋"/>
          <w:b/>
          <w:bCs/>
          <w:color w:val="auto"/>
          <w:spacing w:val="-17"/>
          <w:sz w:val="28"/>
          <w:szCs w:val="28"/>
          <w:highlight w:val="none"/>
        </w:rPr>
        <w:t>：</w:t>
      </w:r>
    </w:p>
    <w:p w14:paraId="0304CC3D">
      <w:pPr>
        <w:pStyle w:val="5"/>
        <w:keepNext/>
        <w:keepLines/>
        <w:pageBreakBefore w:val="0"/>
        <w:widowControl/>
        <w:shd w:val="clear"/>
        <w:kinsoku w:val="0"/>
        <w:wordWrap/>
        <w:overflowPunct/>
        <w:topLinePunct w:val="0"/>
        <w:autoSpaceDE/>
        <w:autoSpaceDN/>
        <w:bidi w:val="0"/>
        <w:adjustRightInd w:val="0"/>
        <w:snapToGrid w:val="0"/>
        <w:textAlignment w:val="baseline"/>
        <w:rPr>
          <w:rFonts w:hint="eastAsia" w:ascii="仿宋" w:hAnsi="仿宋" w:eastAsia="仿宋" w:cs="仿宋"/>
          <w:color w:val="auto"/>
          <w:highlight w:val="none"/>
        </w:rPr>
      </w:pPr>
      <w:r>
        <w:rPr>
          <w:rFonts w:hint="eastAsia" w:ascii="仿宋" w:hAnsi="仿宋" w:eastAsia="仿宋" w:cs="仿宋"/>
          <w:color w:val="auto"/>
          <w:highlight w:val="none"/>
        </w:rPr>
        <w:t>开标一览表（统一格式）</w:t>
      </w:r>
    </w:p>
    <w:p w14:paraId="35E7F4B5">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pacing w:val="-4"/>
          <w:sz w:val="24"/>
          <w:szCs w:val="24"/>
          <w:highlight w:val="none"/>
          <w:lang w:eastAsia="zh-CN"/>
        </w:rPr>
      </w:pPr>
      <w:r>
        <w:rPr>
          <w:rFonts w:hint="eastAsia" w:ascii="仿宋" w:hAnsi="仿宋" w:eastAsia="仿宋" w:cs="仿宋"/>
          <w:color w:val="auto"/>
          <w:spacing w:val="-4"/>
          <w:sz w:val="24"/>
          <w:szCs w:val="24"/>
          <w:highlight w:val="none"/>
        </w:rPr>
        <w:t>项目名称</w:t>
      </w:r>
      <w:r>
        <w:rPr>
          <w:rFonts w:hint="eastAsia" w:ascii="仿宋" w:hAnsi="仿宋" w:eastAsia="仿宋" w:cs="仿宋"/>
          <w:color w:val="auto"/>
          <w:spacing w:val="-4"/>
          <w:sz w:val="24"/>
          <w:szCs w:val="24"/>
          <w:highlight w:val="none"/>
          <w:lang w:eastAsia="zh-CN"/>
        </w:rPr>
        <w:t>：</w:t>
      </w:r>
      <w:r>
        <w:rPr>
          <w:rFonts w:hint="eastAsia" w:ascii="仿宋" w:hAnsi="仿宋" w:eastAsia="仿宋" w:cs="仿宋"/>
          <w:color w:val="auto"/>
          <w:sz w:val="24"/>
          <w:szCs w:val="24"/>
          <w:highlight w:val="none"/>
          <w:u w:val="single" w:color="auto"/>
        </w:rPr>
        <w:t xml:space="preserve">                     </w:t>
      </w:r>
    </w:p>
    <w:p w14:paraId="5CEE838F">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项目编号：</w:t>
      </w:r>
      <w:r>
        <w:rPr>
          <w:rFonts w:hint="eastAsia" w:ascii="仿宋" w:hAnsi="仿宋" w:eastAsia="仿宋" w:cs="仿宋"/>
          <w:color w:val="auto"/>
          <w:sz w:val="24"/>
          <w:szCs w:val="24"/>
          <w:highlight w:val="none"/>
          <w:u w:val="single" w:color="auto"/>
        </w:rPr>
        <w:t xml:space="preserve">                     </w:t>
      </w:r>
    </w:p>
    <w:tbl>
      <w:tblPr>
        <w:tblStyle w:val="24"/>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801"/>
        <w:gridCol w:w="5509"/>
      </w:tblGrid>
      <w:tr w14:paraId="3DCCA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685" w:type="pct"/>
            <w:vAlign w:val="center"/>
          </w:tcPr>
          <w:p w14:paraId="3A92A719">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rPr>
              <w:t>投标</w:t>
            </w:r>
            <w:r>
              <w:rPr>
                <w:rFonts w:hint="eastAsia" w:ascii="仿宋" w:hAnsi="仿宋" w:eastAsia="仿宋" w:cs="仿宋"/>
                <w:color w:val="auto"/>
                <w:spacing w:val="-4"/>
                <w:sz w:val="24"/>
                <w:szCs w:val="24"/>
                <w:highlight w:val="none"/>
                <w:lang w:val="en-US" w:eastAsia="zh-CN"/>
              </w:rPr>
              <w:t>总报价</w:t>
            </w:r>
          </w:p>
          <w:p w14:paraId="3B44D50D">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r>
              <w:rPr>
                <w:rFonts w:hint="eastAsia" w:ascii="仿宋" w:hAnsi="仿宋" w:eastAsia="仿宋" w:cs="仿宋"/>
                <w:color w:val="auto"/>
                <w:sz w:val="24"/>
                <w:szCs w:val="24"/>
                <w:highlight w:val="none"/>
                <w:lang w:val="en-US" w:eastAsia="zh-CN"/>
              </w:rPr>
              <w:t>人民币</w:t>
            </w:r>
            <w:r>
              <w:rPr>
                <w:rFonts w:hint="eastAsia" w:ascii="仿宋" w:hAnsi="仿宋" w:eastAsia="仿宋" w:cs="仿宋"/>
                <w:color w:val="auto"/>
                <w:sz w:val="24"/>
                <w:szCs w:val="24"/>
                <w:highlight w:val="none"/>
              </w:rPr>
              <w:t>元）</w:t>
            </w:r>
          </w:p>
        </w:tc>
        <w:tc>
          <w:tcPr>
            <w:tcW w:w="3314" w:type="pct"/>
            <w:vAlign w:val="center"/>
          </w:tcPr>
          <w:p w14:paraId="280E7DF8">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小写：</w:t>
            </w:r>
          </w:p>
          <w:p w14:paraId="57928D33">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大写</w:t>
            </w:r>
            <w:r>
              <w:rPr>
                <w:rFonts w:hint="eastAsia" w:ascii="仿宋" w:hAnsi="仿宋" w:eastAsia="仿宋" w:cs="仿宋"/>
                <w:color w:val="auto"/>
                <w:spacing w:val="-17"/>
                <w:sz w:val="24"/>
                <w:szCs w:val="24"/>
                <w:highlight w:val="none"/>
              </w:rPr>
              <w:t>：</w:t>
            </w:r>
          </w:p>
        </w:tc>
      </w:tr>
      <w:tr w14:paraId="1195FF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685" w:type="pct"/>
            <w:vAlign w:val="center"/>
          </w:tcPr>
          <w:p w14:paraId="687A5C38">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合同履约期限</w:t>
            </w:r>
          </w:p>
        </w:tc>
        <w:tc>
          <w:tcPr>
            <w:tcW w:w="3314" w:type="pct"/>
            <w:vAlign w:val="center"/>
          </w:tcPr>
          <w:p w14:paraId="4B2EB4C2">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color w:val="auto"/>
                <w:sz w:val="24"/>
                <w:szCs w:val="24"/>
                <w:highlight w:val="none"/>
              </w:rPr>
            </w:pPr>
          </w:p>
        </w:tc>
      </w:tr>
      <w:tr w14:paraId="79AFD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685" w:type="pct"/>
            <w:vAlign w:val="center"/>
          </w:tcPr>
          <w:p w14:paraId="4AA27E39">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pacing w:val="-3"/>
                <w:sz w:val="24"/>
                <w:szCs w:val="24"/>
                <w:highlight w:val="none"/>
              </w:rPr>
            </w:pPr>
            <w:r>
              <w:rPr>
                <w:rFonts w:hint="eastAsia" w:ascii="仿宋" w:hAnsi="仿宋" w:eastAsia="仿宋" w:cs="仿宋"/>
                <w:color w:val="auto"/>
                <w:spacing w:val="-3"/>
                <w:sz w:val="24"/>
                <w:szCs w:val="24"/>
                <w:highlight w:val="none"/>
              </w:rPr>
              <w:t>合同履约地点</w:t>
            </w:r>
          </w:p>
        </w:tc>
        <w:tc>
          <w:tcPr>
            <w:tcW w:w="3314" w:type="pct"/>
            <w:vAlign w:val="center"/>
          </w:tcPr>
          <w:p w14:paraId="1D38604B">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color w:val="auto"/>
                <w:sz w:val="24"/>
                <w:szCs w:val="24"/>
                <w:highlight w:val="none"/>
              </w:rPr>
            </w:pPr>
          </w:p>
        </w:tc>
      </w:tr>
      <w:tr w14:paraId="46EE1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685" w:type="pct"/>
            <w:vAlign w:val="center"/>
          </w:tcPr>
          <w:p w14:paraId="2DBA472D">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投标有效期</w:t>
            </w:r>
          </w:p>
        </w:tc>
        <w:tc>
          <w:tcPr>
            <w:tcW w:w="3314" w:type="pct"/>
            <w:vAlign w:val="center"/>
          </w:tcPr>
          <w:p w14:paraId="731B30B0">
            <w:pPr>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color w:val="auto"/>
                <w:sz w:val="24"/>
                <w:szCs w:val="24"/>
                <w:highlight w:val="none"/>
              </w:rPr>
            </w:pPr>
          </w:p>
        </w:tc>
      </w:tr>
      <w:tr w14:paraId="05837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685" w:type="pct"/>
            <w:tcBorders>
              <w:right w:val="single" w:color="auto" w:sz="4" w:space="0"/>
            </w:tcBorders>
            <w:vAlign w:val="center"/>
          </w:tcPr>
          <w:p w14:paraId="77F45C72">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备注</w:t>
            </w:r>
          </w:p>
        </w:tc>
        <w:tc>
          <w:tcPr>
            <w:tcW w:w="3314" w:type="pct"/>
            <w:tcBorders>
              <w:left w:val="single" w:color="auto" w:sz="4" w:space="0"/>
            </w:tcBorders>
            <w:vAlign w:val="center"/>
          </w:tcPr>
          <w:p w14:paraId="00E74277">
            <w:pPr>
              <w:pStyle w:val="25"/>
              <w:keepNext w:val="0"/>
              <w:keepLines w:val="0"/>
              <w:pageBreakBefore w:val="0"/>
              <w:widowControl/>
              <w:shd w:val="clea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color w:val="auto"/>
                <w:spacing w:val="-5"/>
                <w:sz w:val="24"/>
                <w:szCs w:val="24"/>
                <w:highlight w:val="none"/>
              </w:rPr>
            </w:pPr>
          </w:p>
        </w:tc>
      </w:tr>
    </w:tbl>
    <w:p w14:paraId="27C00900">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说明：</w:t>
      </w:r>
    </w:p>
    <w:p w14:paraId="5015FD51">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1、投标人严格按照规定的格式填写。投标总报价应包含本项</w:t>
      </w:r>
      <w:r>
        <w:rPr>
          <w:rFonts w:hint="eastAsia" w:ascii="仿宋" w:hAnsi="仿宋" w:eastAsia="仿宋" w:cs="仿宋"/>
          <w:color w:val="auto"/>
          <w:spacing w:val="-3"/>
          <w:sz w:val="24"/>
          <w:szCs w:val="24"/>
          <w:highlight w:val="none"/>
        </w:rPr>
        <w:t>目实施期间的所有含税费用，并作为评标及定标的依据。</w:t>
      </w:r>
    </w:p>
    <w:p w14:paraId="4A3B005C">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2、任何有选择或有条件的投标报价或表中某一包填写多个报</w:t>
      </w:r>
      <w:r>
        <w:rPr>
          <w:rFonts w:hint="eastAsia" w:ascii="仿宋" w:hAnsi="仿宋" w:eastAsia="仿宋" w:cs="仿宋"/>
          <w:color w:val="auto"/>
          <w:spacing w:val="-1"/>
          <w:sz w:val="24"/>
          <w:szCs w:val="24"/>
          <w:highlight w:val="none"/>
        </w:rPr>
        <w:t>价，均将导致投标被拒绝。</w:t>
      </w:r>
    </w:p>
    <w:p w14:paraId="7BF64A87">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z w:val="24"/>
          <w:szCs w:val="24"/>
          <w:highlight w:val="none"/>
        </w:rPr>
      </w:pPr>
    </w:p>
    <w:p w14:paraId="40E1A5C5">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投标人名称（盖章</w:t>
      </w:r>
      <w:r>
        <w:rPr>
          <w:rFonts w:hint="eastAsia" w:ascii="仿宋" w:hAnsi="仿宋" w:eastAsia="仿宋" w:cs="仿宋"/>
          <w:color w:val="auto"/>
          <w:spacing w:val="1"/>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14:paraId="0B6F67CC">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法定代表人或授权委托人（签字或盖章</w:t>
      </w:r>
      <w:r>
        <w:rPr>
          <w:rFonts w:hint="eastAsia" w:ascii="仿宋" w:hAnsi="仿宋" w:eastAsia="仿宋" w:cs="仿宋"/>
          <w:color w:val="auto"/>
          <w:spacing w:val="6"/>
          <w:sz w:val="24"/>
          <w:szCs w:val="24"/>
          <w:highlight w:val="none"/>
        </w:rPr>
        <w:t>）</w:t>
      </w:r>
      <w:r>
        <w:rPr>
          <w:rFonts w:hint="eastAsia" w:ascii="仿宋" w:hAnsi="仿宋" w:eastAsia="仿宋" w:cs="仿宋"/>
          <w:color w:val="auto"/>
          <w:spacing w:val="1"/>
          <w:sz w:val="24"/>
          <w:szCs w:val="24"/>
          <w:highlight w:val="none"/>
        </w:rPr>
        <w:t>：</w:t>
      </w:r>
      <w:r>
        <w:rPr>
          <w:rFonts w:hint="eastAsia" w:ascii="仿宋" w:hAnsi="仿宋" w:eastAsia="仿宋" w:cs="仿宋"/>
          <w:color w:val="auto"/>
          <w:sz w:val="24"/>
          <w:szCs w:val="24"/>
          <w:highlight w:val="none"/>
          <w:u w:val="single" w:color="auto"/>
        </w:rPr>
        <w:t xml:space="preserve">                </w:t>
      </w:r>
    </w:p>
    <w:p w14:paraId="70EF5630">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0"/>
          <w:sz w:val="24"/>
          <w:szCs w:val="24"/>
          <w:highlight w:val="none"/>
        </w:rPr>
        <w:t>日期：</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20"/>
          <w:sz w:val="24"/>
          <w:szCs w:val="24"/>
          <w:highlight w:val="none"/>
        </w:rPr>
        <w:t>年</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20"/>
          <w:sz w:val="24"/>
          <w:szCs w:val="24"/>
          <w:highlight w:val="none"/>
        </w:rPr>
        <w:t>月</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23"/>
          <w:sz w:val="24"/>
          <w:szCs w:val="24"/>
          <w:highlight w:val="none"/>
          <w:u w:val="single" w:color="auto"/>
          <w:lang w:val="en-US" w:eastAsia="zh-CN"/>
        </w:rPr>
        <w:t xml:space="preserve"> </w:t>
      </w:r>
      <w:r>
        <w:rPr>
          <w:rFonts w:hint="eastAsia" w:ascii="仿宋" w:hAnsi="仿宋" w:eastAsia="仿宋" w:cs="仿宋"/>
          <w:color w:val="auto"/>
          <w:spacing w:val="-20"/>
          <w:sz w:val="24"/>
          <w:szCs w:val="24"/>
          <w:highlight w:val="none"/>
        </w:rPr>
        <w:t>日</w:t>
      </w:r>
    </w:p>
    <w:p w14:paraId="7767DC0B">
      <w:pPr>
        <w:pageBreakBefore w:val="0"/>
        <w:shd w:val="clear"/>
        <w:wordWrap/>
        <w:overflowPunct/>
        <w:topLinePunct w:val="0"/>
        <w:bidi w:val="0"/>
        <w:spacing w:line="25" w:lineRule="atLeast"/>
        <w:rPr>
          <w:color w:val="auto"/>
          <w:sz w:val="28"/>
          <w:szCs w:val="28"/>
          <w:highlight w:val="none"/>
        </w:rPr>
        <w:sectPr>
          <w:headerReference r:id="rId48" w:type="default"/>
          <w:footerReference r:id="rId49" w:type="default"/>
          <w:pgSz w:w="11906" w:h="16839"/>
          <w:pgMar w:top="1440" w:right="1800" w:bottom="1440" w:left="1800" w:header="1090" w:footer="1253" w:gutter="0"/>
          <w:pgNumType w:fmt="decimal"/>
          <w:cols w:space="720" w:num="1"/>
        </w:sectPr>
      </w:pPr>
    </w:p>
    <w:p w14:paraId="7493ADFE">
      <w:pPr>
        <w:pStyle w:val="11"/>
        <w:pageBreakBefore w:val="0"/>
        <w:shd w:val="clear"/>
        <w:wordWrap/>
        <w:overflowPunct/>
        <w:topLinePunct w:val="0"/>
        <w:bidi w:val="0"/>
        <w:spacing w:before="101" w:line="360" w:lineRule="auto"/>
        <w:ind w:left="2203"/>
        <w:outlineLvl w:val="1"/>
        <w:rPr>
          <w:rFonts w:ascii="Arial"/>
          <w:color w:val="auto"/>
          <w:sz w:val="32"/>
          <w:szCs w:val="32"/>
          <w:highlight w:val="none"/>
        </w:rPr>
      </w:pPr>
      <w:r>
        <w:rPr>
          <w:b/>
          <w:bCs/>
          <w:color w:val="auto"/>
          <w:spacing w:val="6"/>
          <w:sz w:val="32"/>
          <w:szCs w:val="32"/>
          <w:highlight w:val="none"/>
        </w:rPr>
        <w:t>投标分项报价明细表（统一格式）</w:t>
      </w:r>
    </w:p>
    <w:p w14:paraId="448EBDB3">
      <w:pPr>
        <w:pStyle w:val="11"/>
        <w:pageBreakBefore w:val="0"/>
        <w:shd w:val="clear"/>
        <w:wordWrap/>
        <w:overflowPunct/>
        <w:topLinePunct w:val="0"/>
        <w:bidi w:val="0"/>
        <w:spacing w:before="91" w:line="240" w:lineRule="auto"/>
        <w:ind w:left="45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采购项目编号：</w:t>
      </w:r>
      <w:r>
        <w:rPr>
          <w:rFonts w:hint="eastAsia" w:ascii="仿宋" w:hAnsi="仿宋" w:eastAsia="仿宋" w:cs="仿宋"/>
          <w:color w:val="auto"/>
          <w:sz w:val="24"/>
          <w:szCs w:val="24"/>
          <w:highlight w:val="none"/>
          <w:u w:val="single" w:color="auto"/>
        </w:rPr>
        <w:t xml:space="preserve">                          </w:t>
      </w:r>
    </w:p>
    <w:p w14:paraId="557E72D8">
      <w:pPr>
        <w:pStyle w:val="11"/>
        <w:pageBreakBefore w:val="0"/>
        <w:shd w:val="clear"/>
        <w:wordWrap/>
        <w:overflowPunct/>
        <w:topLinePunct w:val="0"/>
        <w:bidi w:val="0"/>
        <w:spacing w:before="291" w:line="240" w:lineRule="auto"/>
        <w:ind w:left="45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采购项目名称：</w:t>
      </w:r>
      <w:r>
        <w:rPr>
          <w:rFonts w:hint="eastAsia" w:ascii="仿宋" w:hAnsi="仿宋" w:eastAsia="仿宋" w:cs="仿宋"/>
          <w:color w:val="auto"/>
          <w:sz w:val="24"/>
          <w:szCs w:val="24"/>
          <w:highlight w:val="none"/>
          <w:u w:val="single" w:color="auto"/>
        </w:rPr>
        <w:t xml:space="preserve">                        </w:t>
      </w:r>
    </w:p>
    <w:tbl>
      <w:tblPr>
        <w:tblStyle w:val="24"/>
        <w:tblW w:w="84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0"/>
        <w:gridCol w:w="933"/>
        <w:gridCol w:w="1684"/>
        <w:gridCol w:w="1247"/>
        <w:gridCol w:w="1084"/>
        <w:gridCol w:w="597"/>
        <w:gridCol w:w="525"/>
        <w:gridCol w:w="796"/>
        <w:gridCol w:w="631"/>
        <w:gridCol w:w="499"/>
      </w:tblGrid>
      <w:tr w14:paraId="3D32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20" w:type="dxa"/>
            <w:vAlign w:val="center"/>
          </w:tcPr>
          <w:p w14:paraId="078B8CC1">
            <w:pPr>
              <w:pStyle w:val="25"/>
              <w:pageBreakBefore w:val="0"/>
              <w:shd w:val="clear"/>
              <w:wordWrap/>
              <w:overflowPunct/>
              <w:topLinePunct w:val="0"/>
              <w:bidi w:val="0"/>
              <w:spacing w:before="164"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序号</w:t>
            </w:r>
          </w:p>
        </w:tc>
        <w:tc>
          <w:tcPr>
            <w:tcW w:w="933" w:type="dxa"/>
            <w:vAlign w:val="center"/>
          </w:tcPr>
          <w:p w14:paraId="09CBD7FF">
            <w:pPr>
              <w:pStyle w:val="25"/>
              <w:pageBreakBefore w:val="0"/>
              <w:shd w:val="clear"/>
              <w:wordWrap/>
              <w:overflowPunct/>
              <w:topLinePunct w:val="0"/>
              <w:bidi w:val="0"/>
              <w:spacing w:before="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标的名称</w:t>
            </w:r>
          </w:p>
        </w:tc>
        <w:tc>
          <w:tcPr>
            <w:tcW w:w="1684" w:type="dxa"/>
            <w:vAlign w:val="center"/>
          </w:tcPr>
          <w:p w14:paraId="3ADE602F">
            <w:pPr>
              <w:pStyle w:val="25"/>
              <w:pageBreakBefore w:val="0"/>
              <w:shd w:val="clear"/>
              <w:wordWrap/>
              <w:overflowPunct/>
              <w:topLinePunct w:val="0"/>
              <w:bidi w:val="0"/>
              <w:spacing w:before="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服务范围</w:t>
            </w:r>
          </w:p>
        </w:tc>
        <w:tc>
          <w:tcPr>
            <w:tcW w:w="1247" w:type="dxa"/>
            <w:vAlign w:val="center"/>
          </w:tcPr>
          <w:p w14:paraId="15A5D516">
            <w:pPr>
              <w:pStyle w:val="25"/>
              <w:pageBreakBefore w:val="0"/>
              <w:shd w:val="clear"/>
              <w:wordWrap/>
              <w:overflowPunct/>
              <w:topLinePunct w:val="0"/>
              <w:bidi w:val="0"/>
              <w:spacing w:before="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服务时间</w:t>
            </w:r>
          </w:p>
        </w:tc>
        <w:tc>
          <w:tcPr>
            <w:tcW w:w="1084" w:type="dxa"/>
            <w:vAlign w:val="center"/>
          </w:tcPr>
          <w:p w14:paraId="1FBA07E1">
            <w:pPr>
              <w:pStyle w:val="25"/>
              <w:pageBreakBefore w:val="0"/>
              <w:shd w:val="clear"/>
              <w:wordWrap/>
              <w:overflowPunct/>
              <w:topLinePunct w:val="0"/>
              <w:bidi w:val="0"/>
              <w:spacing w:before="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服务标准</w:t>
            </w:r>
          </w:p>
        </w:tc>
        <w:tc>
          <w:tcPr>
            <w:tcW w:w="597" w:type="dxa"/>
            <w:vAlign w:val="center"/>
          </w:tcPr>
          <w:p w14:paraId="6DEEE75C">
            <w:pPr>
              <w:pStyle w:val="25"/>
              <w:pageBreakBefore w:val="0"/>
              <w:shd w:val="clear"/>
              <w:wordWrap/>
              <w:overflowPunct/>
              <w:topLinePunct w:val="0"/>
              <w:bidi w:val="0"/>
              <w:spacing w:before="1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单位</w:t>
            </w:r>
          </w:p>
        </w:tc>
        <w:tc>
          <w:tcPr>
            <w:tcW w:w="525" w:type="dxa"/>
            <w:vAlign w:val="center"/>
          </w:tcPr>
          <w:p w14:paraId="43CB06AE">
            <w:pPr>
              <w:pStyle w:val="25"/>
              <w:pageBreakBefore w:val="0"/>
              <w:shd w:val="clear"/>
              <w:wordWrap/>
              <w:overflowPunct/>
              <w:topLinePunct w:val="0"/>
              <w:bidi w:val="0"/>
              <w:spacing w:before="136"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数量</w:t>
            </w:r>
          </w:p>
        </w:tc>
        <w:tc>
          <w:tcPr>
            <w:tcW w:w="796" w:type="dxa"/>
            <w:vAlign w:val="center"/>
          </w:tcPr>
          <w:p w14:paraId="4470D1A1">
            <w:pPr>
              <w:pStyle w:val="25"/>
              <w:pageBreakBefore w:val="0"/>
              <w:shd w:val="clear"/>
              <w:wordWrap/>
              <w:overflowPunct/>
              <w:topLinePunct w:val="0"/>
              <w:bidi w:val="0"/>
              <w:spacing w:before="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单价</w:t>
            </w:r>
          </w:p>
        </w:tc>
        <w:tc>
          <w:tcPr>
            <w:tcW w:w="631" w:type="dxa"/>
            <w:vAlign w:val="center"/>
          </w:tcPr>
          <w:p w14:paraId="5503AE58">
            <w:pPr>
              <w:pStyle w:val="25"/>
              <w:pageBreakBefore w:val="0"/>
              <w:shd w:val="clear"/>
              <w:wordWrap/>
              <w:overflowPunct/>
              <w:topLinePunct w:val="0"/>
              <w:bidi w:val="0"/>
              <w:spacing w:before="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总价</w:t>
            </w:r>
          </w:p>
        </w:tc>
        <w:tc>
          <w:tcPr>
            <w:tcW w:w="499" w:type="dxa"/>
            <w:vAlign w:val="center"/>
          </w:tcPr>
          <w:p w14:paraId="55ECBDEF">
            <w:pPr>
              <w:pStyle w:val="25"/>
              <w:pageBreakBefore w:val="0"/>
              <w:shd w:val="clear"/>
              <w:wordWrap/>
              <w:overflowPunct/>
              <w:topLinePunct w:val="0"/>
              <w:bidi w:val="0"/>
              <w:spacing w:before="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备注</w:t>
            </w:r>
          </w:p>
        </w:tc>
      </w:tr>
      <w:tr w14:paraId="1C4A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20" w:type="dxa"/>
            <w:vAlign w:val="center"/>
          </w:tcPr>
          <w:p w14:paraId="5CC3CE5A">
            <w:pPr>
              <w:pStyle w:val="25"/>
              <w:pageBreakBefore w:val="0"/>
              <w:shd w:val="clear"/>
              <w:wordWrap/>
              <w:overflowPunct/>
              <w:topLinePunct w:val="0"/>
              <w:bidi w:val="0"/>
              <w:spacing w:before="220"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1</w:t>
            </w:r>
          </w:p>
        </w:tc>
        <w:tc>
          <w:tcPr>
            <w:tcW w:w="933" w:type="dxa"/>
            <w:vAlign w:val="center"/>
          </w:tcPr>
          <w:p w14:paraId="257A25E0">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684" w:type="dxa"/>
            <w:vAlign w:val="center"/>
          </w:tcPr>
          <w:p w14:paraId="263535E5">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247" w:type="dxa"/>
            <w:vAlign w:val="center"/>
          </w:tcPr>
          <w:p w14:paraId="0F3DB493">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084" w:type="dxa"/>
            <w:vAlign w:val="center"/>
          </w:tcPr>
          <w:p w14:paraId="15F98C45">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597" w:type="dxa"/>
            <w:vAlign w:val="center"/>
          </w:tcPr>
          <w:p w14:paraId="29E833FF">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525" w:type="dxa"/>
            <w:vAlign w:val="center"/>
          </w:tcPr>
          <w:p w14:paraId="14360DD9">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796" w:type="dxa"/>
            <w:vAlign w:val="center"/>
          </w:tcPr>
          <w:p w14:paraId="671A9193">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631" w:type="dxa"/>
            <w:vAlign w:val="center"/>
          </w:tcPr>
          <w:p w14:paraId="64AE10ED">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499" w:type="dxa"/>
            <w:vAlign w:val="center"/>
          </w:tcPr>
          <w:p w14:paraId="3818659D">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r>
      <w:tr w14:paraId="6732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20" w:type="dxa"/>
            <w:vAlign w:val="center"/>
          </w:tcPr>
          <w:p w14:paraId="4F359005">
            <w:pPr>
              <w:pStyle w:val="25"/>
              <w:pageBreakBefore w:val="0"/>
              <w:shd w:val="clear"/>
              <w:wordWrap/>
              <w:overflowPunct/>
              <w:topLinePunct w:val="0"/>
              <w:bidi w:val="0"/>
              <w:spacing w:before="220"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2</w:t>
            </w:r>
          </w:p>
        </w:tc>
        <w:tc>
          <w:tcPr>
            <w:tcW w:w="933" w:type="dxa"/>
            <w:vAlign w:val="center"/>
          </w:tcPr>
          <w:p w14:paraId="55666D67">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684" w:type="dxa"/>
            <w:vAlign w:val="center"/>
          </w:tcPr>
          <w:p w14:paraId="70533383">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247" w:type="dxa"/>
            <w:vAlign w:val="center"/>
          </w:tcPr>
          <w:p w14:paraId="76AC3DAF">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084" w:type="dxa"/>
            <w:vAlign w:val="center"/>
          </w:tcPr>
          <w:p w14:paraId="063CCE1C">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597" w:type="dxa"/>
            <w:vAlign w:val="center"/>
          </w:tcPr>
          <w:p w14:paraId="1FFECB55">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525" w:type="dxa"/>
            <w:vAlign w:val="center"/>
          </w:tcPr>
          <w:p w14:paraId="4FF561C9">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796" w:type="dxa"/>
            <w:vAlign w:val="center"/>
          </w:tcPr>
          <w:p w14:paraId="270ADC01">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631" w:type="dxa"/>
            <w:vAlign w:val="center"/>
          </w:tcPr>
          <w:p w14:paraId="6C4D72B8">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499" w:type="dxa"/>
            <w:vAlign w:val="center"/>
          </w:tcPr>
          <w:p w14:paraId="03535FCA">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r>
      <w:tr w14:paraId="5FCA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20" w:type="dxa"/>
            <w:vAlign w:val="center"/>
          </w:tcPr>
          <w:p w14:paraId="51EA9A1C">
            <w:pPr>
              <w:pStyle w:val="25"/>
              <w:pageBreakBefore w:val="0"/>
              <w:shd w:val="clear"/>
              <w:wordWrap/>
              <w:overflowPunct/>
              <w:topLinePunct w:val="0"/>
              <w:bidi w:val="0"/>
              <w:spacing w:before="222"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position w:val="1"/>
                <w:sz w:val="24"/>
                <w:szCs w:val="24"/>
                <w:highlight w:val="none"/>
              </w:rPr>
              <w:t>3</w:t>
            </w:r>
          </w:p>
        </w:tc>
        <w:tc>
          <w:tcPr>
            <w:tcW w:w="933" w:type="dxa"/>
            <w:vAlign w:val="center"/>
          </w:tcPr>
          <w:p w14:paraId="326C35E4">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684" w:type="dxa"/>
            <w:vAlign w:val="center"/>
          </w:tcPr>
          <w:p w14:paraId="51D96568">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247" w:type="dxa"/>
            <w:vAlign w:val="center"/>
          </w:tcPr>
          <w:p w14:paraId="27343001">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084" w:type="dxa"/>
            <w:vAlign w:val="center"/>
          </w:tcPr>
          <w:p w14:paraId="0BC2531A">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597" w:type="dxa"/>
            <w:vAlign w:val="center"/>
          </w:tcPr>
          <w:p w14:paraId="189F6676">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525" w:type="dxa"/>
            <w:vAlign w:val="center"/>
          </w:tcPr>
          <w:p w14:paraId="6747F702">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796" w:type="dxa"/>
            <w:vAlign w:val="center"/>
          </w:tcPr>
          <w:p w14:paraId="21851A2E">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631" w:type="dxa"/>
            <w:vAlign w:val="center"/>
          </w:tcPr>
          <w:p w14:paraId="7B8709A6">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499" w:type="dxa"/>
            <w:vAlign w:val="center"/>
          </w:tcPr>
          <w:p w14:paraId="42C5FE9C">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r>
      <w:tr w14:paraId="5E7C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20" w:type="dxa"/>
            <w:vAlign w:val="center"/>
          </w:tcPr>
          <w:p w14:paraId="757ABC95">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p w14:paraId="3F62EE23">
            <w:pPr>
              <w:pStyle w:val="25"/>
              <w:pageBreakBefore w:val="0"/>
              <w:shd w:val="clear"/>
              <w:wordWrap/>
              <w:overflowPunct/>
              <w:topLinePunct w:val="0"/>
              <w:bidi w:val="0"/>
              <w:spacing w:before="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position w:val="-8"/>
                <w:sz w:val="24"/>
                <w:szCs w:val="24"/>
                <w:highlight w:val="none"/>
              </w:rPr>
              <w:t>…</w:t>
            </w:r>
          </w:p>
        </w:tc>
        <w:tc>
          <w:tcPr>
            <w:tcW w:w="933" w:type="dxa"/>
            <w:vAlign w:val="center"/>
          </w:tcPr>
          <w:p w14:paraId="5A98111D">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p w14:paraId="6B7FDE84">
            <w:pPr>
              <w:pStyle w:val="25"/>
              <w:pageBreakBefore w:val="0"/>
              <w:shd w:val="clear"/>
              <w:wordWrap/>
              <w:overflowPunct/>
              <w:topLinePunct w:val="0"/>
              <w:bidi w:val="0"/>
              <w:spacing w:before="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position w:val="-8"/>
                <w:sz w:val="24"/>
                <w:szCs w:val="24"/>
                <w:highlight w:val="none"/>
              </w:rPr>
              <w:t>…</w:t>
            </w:r>
          </w:p>
        </w:tc>
        <w:tc>
          <w:tcPr>
            <w:tcW w:w="1684" w:type="dxa"/>
            <w:vAlign w:val="center"/>
          </w:tcPr>
          <w:p w14:paraId="23EA4948">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247" w:type="dxa"/>
            <w:vAlign w:val="center"/>
          </w:tcPr>
          <w:p w14:paraId="640F5CBC">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084" w:type="dxa"/>
            <w:vAlign w:val="center"/>
          </w:tcPr>
          <w:p w14:paraId="581057AA">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597" w:type="dxa"/>
            <w:vAlign w:val="center"/>
          </w:tcPr>
          <w:p w14:paraId="12BAF3E5">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525" w:type="dxa"/>
            <w:vAlign w:val="center"/>
          </w:tcPr>
          <w:p w14:paraId="1E681C07">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796" w:type="dxa"/>
            <w:vAlign w:val="center"/>
          </w:tcPr>
          <w:p w14:paraId="385C9509">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631" w:type="dxa"/>
            <w:vAlign w:val="center"/>
          </w:tcPr>
          <w:p w14:paraId="5E3E46FE">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499" w:type="dxa"/>
            <w:vAlign w:val="center"/>
          </w:tcPr>
          <w:p w14:paraId="0F70DEC9">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r>
      <w:tr w14:paraId="0ADF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20" w:type="dxa"/>
            <w:vAlign w:val="center"/>
          </w:tcPr>
          <w:p w14:paraId="07F6E3BA">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933" w:type="dxa"/>
            <w:vAlign w:val="center"/>
          </w:tcPr>
          <w:p w14:paraId="306196E5">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684" w:type="dxa"/>
            <w:vAlign w:val="center"/>
          </w:tcPr>
          <w:p w14:paraId="4ACAB1BD">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247" w:type="dxa"/>
            <w:vAlign w:val="center"/>
          </w:tcPr>
          <w:p w14:paraId="78BF2783">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084" w:type="dxa"/>
            <w:vAlign w:val="center"/>
          </w:tcPr>
          <w:p w14:paraId="69CF5113">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597" w:type="dxa"/>
            <w:vAlign w:val="center"/>
          </w:tcPr>
          <w:p w14:paraId="3762F6BE">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525" w:type="dxa"/>
            <w:vAlign w:val="center"/>
          </w:tcPr>
          <w:p w14:paraId="7AC4F4BF">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796" w:type="dxa"/>
            <w:vAlign w:val="center"/>
          </w:tcPr>
          <w:p w14:paraId="027A0620">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631" w:type="dxa"/>
            <w:vAlign w:val="center"/>
          </w:tcPr>
          <w:p w14:paraId="030E7967">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p w14:paraId="1CC85890">
            <w:pPr>
              <w:pStyle w:val="25"/>
              <w:pageBreakBefore w:val="0"/>
              <w:shd w:val="clear"/>
              <w:wordWrap/>
              <w:overflowPunct/>
              <w:topLinePunct w:val="0"/>
              <w:bidi w:val="0"/>
              <w:spacing w:before="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w:t>
            </w:r>
          </w:p>
        </w:tc>
        <w:tc>
          <w:tcPr>
            <w:tcW w:w="499" w:type="dxa"/>
            <w:vAlign w:val="center"/>
          </w:tcPr>
          <w:p w14:paraId="33131B13">
            <w:pPr>
              <w:pageBreakBefore w:val="0"/>
              <w:shd w:val="clear"/>
              <w:wordWrap/>
              <w:overflowPunct/>
              <w:topLinePunct w:val="0"/>
              <w:bidi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p w14:paraId="21A6046C">
            <w:pPr>
              <w:pStyle w:val="25"/>
              <w:pageBreakBefore w:val="0"/>
              <w:shd w:val="clear"/>
              <w:wordWrap/>
              <w:overflowPunct/>
              <w:topLinePunct w:val="0"/>
              <w:bidi w:val="0"/>
              <w:spacing w:before="6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r>
    </w:tbl>
    <w:p w14:paraId="5DC437D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说明：1．所有价格均用人民币表示，单位为元。</w:t>
      </w:r>
    </w:p>
    <w:p w14:paraId="369C994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4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rPr>
        <w:t>2.分项报价总计价格必须与《开启投标文件一览表》报价一致。</w:t>
      </w:r>
    </w:p>
    <w:p w14:paraId="44E8859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3.如果不提供详细的分项报价表将被视为</w:t>
      </w:r>
      <w:r>
        <w:rPr>
          <w:rFonts w:hint="eastAsia" w:ascii="仿宋" w:hAnsi="仿宋" w:eastAsia="仿宋" w:cs="仿宋"/>
          <w:color w:val="auto"/>
          <w:spacing w:val="-2"/>
          <w:sz w:val="24"/>
          <w:szCs w:val="24"/>
          <w:highlight w:val="none"/>
        </w:rPr>
        <w:t>没有实质性投标招</w:t>
      </w:r>
      <w:r>
        <w:rPr>
          <w:rFonts w:hint="eastAsia" w:ascii="仿宋" w:hAnsi="仿宋" w:eastAsia="仿宋" w:cs="仿宋"/>
          <w:color w:val="auto"/>
          <w:spacing w:val="-3"/>
          <w:sz w:val="24"/>
          <w:szCs w:val="24"/>
          <w:highlight w:val="none"/>
        </w:rPr>
        <w:t>标文件。</w:t>
      </w:r>
    </w:p>
    <w:p w14:paraId="028B694A">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4.投标人必须按此表格式中的对应栏目内容填写，若需增加栏</w:t>
      </w:r>
      <w:r>
        <w:rPr>
          <w:rFonts w:hint="eastAsia" w:ascii="仿宋" w:hAnsi="仿宋" w:eastAsia="仿宋" w:cs="仿宋"/>
          <w:color w:val="auto"/>
          <w:spacing w:val="-7"/>
          <w:sz w:val="24"/>
          <w:szCs w:val="24"/>
          <w:highlight w:val="none"/>
        </w:rPr>
        <w:t>目，请在栏目“</w:t>
      </w:r>
      <w:r>
        <w:rPr>
          <w:rFonts w:hint="eastAsia" w:cs="仿宋"/>
          <w:color w:val="auto"/>
          <w:spacing w:val="-7"/>
          <w:sz w:val="24"/>
          <w:szCs w:val="24"/>
          <w:highlight w:val="none"/>
          <w:lang w:eastAsia="zh-CN"/>
        </w:rPr>
        <w:t>其他</w:t>
      </w:r>
      <w:r>
        <w:rPr>
          <w:rFonts w:hint="eastAsia" w:ascii="仿宋" w:hAnsi="仿宋" w:eastAsia="仿宋" w:cs="仿宋"/>
          <w:color w:val="auto"/>
          <w:spacing w:val="-7"/>
          <w:sz w:val="24"/>
          <w:szCs w:val="24"/>
          <w:highlight w:val="none"/>
        </w:rPr>
        <w:t>”中填写，并作详细说明。</w:t>
      </w:r>
    </w:p>
    <w:p w14:paraId="5CFB24F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5.投标人需严格按照分项报价表格式内容进行报价，将</w:t>
      </w:r>
      <w:r>
        <w:rPr>
          <w:rFonts w:hint="eastAsia" w:ascii="仿宋" w:hAnsi="仿宋" w:eastAsia="仿宋" w:cs="仿宋"/>
          <w:color w:val="auto"/>
          <w:spacing w:val="-5"/>
          <w:sz w:val="24"/>
          <w:szCs w:val="24"/>
          <w:highlight w:val="none"/>
        </w:rPr>
        <w:t>服务的</w:t>
      </w:r>
      <w:r>
        <w:rPr>
          <w:rFonts w:hint="eastAsia" w:ascii="仿宋" w:hAnsi="仿宋" w:eastAsia="仿宋" w:cs="仿宋"/>
          <w:color w:val="auto"/>
          <w:spacing w:val="-4"/>
          <w:sz w:val="24"/>
          <w:szCs w:val="24"/>
          <w:highlight w:val="none"/>
        </w:rPr>
        <w:t>服务内容、服务要求等在分项报价表中、参数偏离表中明确并规范填写，严禁填写“定制”、“按实际情况制作”等模糊内</w:t>
      </w:r>
      <w:r>
        <w:rPr>
          <w:rFonts w:hint="eastAsia" w:ascii="仿宋" w:hAnsi="仿宋" w:eastAsia="仿宋" w:cs="仿宋"/>
          <w:color w:val="auto"/>
          <w:spacing w:val="-5"/>
          <w:sz w:val="24"/>
          <w:szCs w:val="24"/>
          <w:highlight w:val="none"/>
        </w:rPr>
        <w:t>容，否则将视</w:t>
      </w:r>
      <w:r>
        <w:rPr>
          <w:rFonts w:hint="eastAsia" w:ascii="仿宋" w:hAnsi="仿宋" w:eastAsia="仿宋" w:cs="仿宋"/>
          <w:color w:val="auto"/>
          <w:spacing w:val="-3"/>
          <w:sz w:val="24"/>
          <w:szCs w:val="24"/>
          <w:highlight w:val="none"/>
        </w:rPr>
        <w:t>为投标无效。</w:t>
      </w:r>
    </w:p>
    <w:p w14:paraId="21E33E51">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投标人名称（盖章</w:t>
      </w:r>
      <w:r>
        <w:rPr>
          <w:rFonts w:hint="eastAsia" w:ascii="仿宋" w:hAnsi="仿宋" w:eastAsia="仿宋" w:cs="仿宋"/>
          <w:color w:val="auto"/>
          <w:spacing w:val="1"/>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14:paraId="4159BD56">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法定代表人或授权委托人（签字或盖章</w:t>
      </w:r>
      <w:r>
        <w:rPr>
          <w:rFonts w:hint="eastAsia" w:ascii="仿宋" w:hAnsi="仿宋" w:eastAsia="仿宋" w:cs="仿宋"/>
          <w:color w:val="auto"/>
          <w:spacing w:val="6"/>
          <w:sz w:val="24"/>
          <w:szCs w:val="24"/>
          <w:highlight w:val="none"/>
        </w:rPr>
        <w:t>）</w:t>
      </w:r>
      <w:r>
        <w:rPr>
          <w:rFonts w:hint="eastAsia" w:ascii="仿宋" w:hAnsi="仿宋" w:eastAsia="仿宋" w:cs="仿宋"/>
          <w:color w:val="auto"/>
          <w:spacing w:val="1"/>
          <w:sz w:val="24"/>
          <w:szCs w:val="24"/>
          <w:highlight w:val="none"/>
        </w:rPr>
        <w:t>：</w:t>
      </w:r>
      <w:r>
        <w:rPr>
          <w:rFonts w:hint="eastAsia" w:ascii="仿宋" w:hAnsi="仿宋" w:eastAsia="仿宋" w:cs="仿宋"/>
          <w:color w:val="auto"/>
          <w:sz w:val="24"/>
          <w:szCs w:val="24"/>
          <w:highlight w:val="none"/>
          <w:u w:val="single" w:color="auto"/>
        </w:rPr>
        <w:t xml:space="preserve">                </w:t>
      </w:r>
    </w:p>
    <w:p w14:paraId="138D9B6D">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0"/>
          <w:sz w:val="24"/>
          <w:szCs w:val="24"/>
          <w:highlight w:val="none"/>
        </w:rPr>
        <w:t>日期：</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20"/>
          <w:sz w:val="24"/>
          <w:szCs w:val="24"/>
          <w:highlight w:val="none"/>
        </w:rPr>
        <w:t>年</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20"/>
          <w:sz w:val="24"/>
          <w:szCs w:val="24"/>
          <w:highlight w:val="none"/>
        </w:rPr>
        <w:t>月</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23"/>
          <w:sz w:val="24"/>
          <w:szCs w:val="24"/>
          <w:highlight w:val="none"/>
          <w:u w:val="single" w:color="auto"/>
          <w:lang w:val="en-US" w:eastAsia="zh-CN"/>
        </w:rPr>
        <w:t xml:space="preserve"> </w:t>
      </w:r>
      <w:r>
        <w:rPr>
          <w:rFonts w:hint="eastAsia" w:ascii="仿宋" w:hAnsi="仿宋" w:eastAsia="仿宋" w:cs="仿宋"/>
          <w:color w:val="auto"/>
          <w:spacing w:val="-20"/>
          <w:sz w:val="24"/>
          <w:szCs w:val="24"/>
          <w:highlight w:val="none"/>
        </w:rPr>
        <w:t>日</w:t>
      </w:r>
    </w:p>
    <w:p w14:paraId="67B86E35">
      <w:pPr>
        <w:pageBreakBefore w:val="0"/>
        <w:shd w:val="clear"/>
        <w:wordWrap/>
        <w:overflowPunct/>
        <w:topLinePunct w:val="0"/>
        <w:bidi w:val="0"/>
        <w:spacing w:line="25" w:lineRule="atLeast"/>
        <w:rPr>
          <w:color w:val="auto"/>
          <w:sz w:val="28"/>
          <w:szCs w:val="28"/>
          <w:highlight w:val="none"/>
        </w:rPr>
      </w:pPr>
    </w:p>
    <w:p w14:paraId="50FC1819">
      <w:pPr>
        <w:pageBreakBefore w:val="0"/>
        <w:shd w:val="clear"/>
        <w:wordWrap/>
        <w:overflowPunct/>
        <w:topLinePunct w:val="0"/>
        <w:bidi w:val="0"/>
        <w:spacing w:line="25" w:lineRule="atLeast"/>
        <w:rPr>
          <w:color w:val="auto"/>
          <w:sz w:val="28"/>
          <w:szCs w:val="28"/>
          <w:highlight w:val="none"/>
        </w:rPr>
        <w:sectPr>
          <w:headerReference r:id="rId50" w:type="default"/>
          <w:footerReference r:id="rId51" w:type="default"/>
          <w:pgSz w:w="11906" w:h="16839"/>
          <w:pgMar w:top="1440" w:right="1800" w:bottom="1440" w:left="1800" w:header="1090" w:footer="1253" w:gutter="0"/>
          <w:pgNumType w:fmt="decimal"/>
          <w:cols w:space="720" w:num="1"/>
        </w:sectPr>
      </w:pPr>
    </w:p>
    <w:p w14:paraId="726AA503">
      <w:pPr>
        <w:pStyle w:val="11"/>
        <w:pageBreakBefore w:val="0"/>
        <w:shd w:val="clear"/>
        <w:wordWrap/>
        <w:overflowPunct/>
        <w:topLinePunct w:val="0"/>
        <w:bidi w:val="0"/>
        <w:spacing w:before="91" w:line="25" w:lineRule="atLeast"/>
        <w:ind w:left="43"/>
        <w:rPr>
          <w:color w:val="auto"/>
          <w:sz w:val="28"/>
          <w:szCs w:val="28"/>
          <w:highlight w:val="none"/>
        </w:rPr>
      </w:pPr>
      <w:r>
        <w:rPr>
          <w:b/>
          <w:bCs/>
          <w:color w:val="auto"/>
          <w:spacing w:val="-17"/>
          <w:sz w:val="28"/>
          <w:szCs w:val="28"/>
          <w:highlight w:val="none"/>
        </w:rPr>
        <w:t>附件9：</w:t>
      </w:r>
    </w:p>
    <w:p w14:paraId="21570017">
      <w:pPr>
        <w:pStyle w:val="11"/>
        <w:pageBreakBefore w:val="0"/>
        <w:shd w:val="clear"/>
        <w:wordWrap/>
        <w:overflowPunct/>
        <w:topLinePunct w:val="0"/>
        <w:bidi w:val="0"/>
        <w:spacing w:before="144" w:line="25" w:lineRule="atLeast"/>
        <w:ind w:left="1131"/>
        <w:outlineLvl w:val="1"/>
        <w:rPr>
          <w:color w:val="auto"/>
          <w:sz w:val="32"/>
          <w:szCs w:val="32"/>
          <w:highlight w:val="none"/>
        </w:rPr>
      </w:pPr>
      <w:r>
        <w:rPr>
          <w:b/>
          <w:bCs/>
          <w:color w:val="auto"/>
          <w:spacing w:val="6"/>
          <w:sz w:val="32"/>
          <w:szCs w:val="32"/>
          <w:highlight w:val="none"/>
        </w:rPr>
        <w:t>投标文件中的附加条件（如有、格式自拟）</w:t>
      </w:r>
    </w:p>
    <w:p w14:paraId="2B8FCBC7">
      <w:pPr>
        <w:pageBreakBefore w:val="0"/>
        <w:shd w:val="clear"/>
        <w:wordWrap/>
        <w:overflowPunct/>
        <w:topLinePunct w:val="0"/>
        <w:bidi w:val="0"/>
        <w:spacing w:line="25" w:lineRule="atLeast"/>
        <w:rPr>
          <w:color w:val="auto"/>
          <w:highlight w:val="none"/>
        </w:rPr>
      </w:pPr>
    </w:p>
    <w:p w14:paraId="2D322EF5">
      <w:pPr>
        <w:pageBreakBefore w:val="0"/>
        <w:shd w:val="clear"/>
        <w:wordWrap/>
        <w:overflowPunct/>
        <w:topLinePunct w:val="0"/>
        <w:bidi w:val="0"/>
        <w:spacing w:line="25" w:lineRule="atLeast"/>
        <w:rPr>
          <w:color w:val="auto"/>
          <w:highlight w:val="none"/>
        </w:rPr>
        <w:sectPr>
          <w:footerReference r:id="rId52" w:type="default"/>
          <w:pgSz w:w="11906" w:h="16839"/>
          <w:pgMar w:top="1440" w:right="1800" w:bottom="1440" w:left="1800" w:header="0" w:footer="1253" w:gutter="0"/>
          <w:pgNumType w:fmt="decimal"/>
          <w:cols w:space="720" w:num="1"/>
        </w:sectPr>
      </w:pPr>
    </w:p>
    <w:p w14:paraId="59AD16C4">
      <w:pPr>
        <w:pStyle w:val="11"/>
        <w:pageBreakBefore w:val="0"/>
        <w:shd w:val="clear"/>
        <w:wordWrap/>
        <w:overflowPunct/>
        <w:topLinePunct w:val="0"/>
        <w:bidi w:val="0"/>
        <w:spacing w:before="91" w:line="360" w:lineRule="auto"/>
        <w:ind w:left="43"/>
        <w:rPr>
          <w:color w:val="auto"/>
          <w:sz w:val="28"/>
          <w:szCs w:val="28"/>
          <w:highlight w:val="none"/>
        </w:rPr>
      </w:pPr>
      <w:r>
        <w:rPr>
          <w:b/>
          <w:bCs/>
          <w:color w:val="auto"/>
          <w:spacing w:val="-15"/>
          <w:sz w:val="28"/>
          <w:szCs w:val="28"/>
          <w:highlight w:val="none"/>
        </w:rPr>
        <w:t>附件10：</w:t>
      </w:r>
    </w:p>
    <w:p w14:paraId="31486FD6">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color w:val="auto"/>
          <w:sz w:val="32"/>
          <w:szCs w:val="32"/>
          <w:highlight w:val="none"/>
        </w:rPr>
      </w:pPr>
      <w:r>
        <w:rPr>
          <w:b/>
          <w:bCs/>
          <w:color w:val="auto"/>
          <w:spacing w:val="7"/>
          <w:sz w:val="32"/>
          <w:szCs w:val="32"/>
          <w:highlight w:val="none"/>
        </w:rPr>
        <w:t>所供服务（货物）完全符合本项目采购需求</w:t>
      </w:r>
      <w:r>
        <w:rPr>
          <w:b/>
          <w:bCs/>
          <w:color w:val="auto"/>
          <w:spacing w:val="3"/>
          <w:sz w:val="32"/>
          <w:szCs w:val="32"/>
          <w:highlight w:val="none"/>
        </w:rPr>
        <w:t>的承诺函（统一格式）</w:t>
      </w:r>
    </w:p>
    <w:p w14:paraId="25FF7E9B">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512" w:firstLineChars="200"/>
        <w:textAlignment w:val="baseline"/>
        <w:rPr>
          <w:color w:val="auto"/>
          <w:sz w:val="24"/>
          <w:szCs w:val="24"/>
          <w:highlight w:val="none"/>
        </w:rPr>
      </w:pPr>
      <w:r>
        <w:rPr>
          <w:color w:val="auto"/>
          <w:spacing w:val="8"/>
          <w:sz w:val="24"/>
          <w:szCs w:val="24"/>
          <w:highlight w:val="none"/>
        </w:rPr>
        <w:t>致</w:t>
      </w:r>
      <w:r>
        <w:rPr>
          <w:color w:val="auto"/>
          <w:spacing w:val="-31"/>
          <w:sz w:val="24"/>
          <w:szCs w:val="24"/>
          <w:highlight w:val="none"/>
        </w:rPr>
        <w:t>：</w:t>
      </w:r>
      <w:r>
        <w:rPr>
          <w:color w:val="auto"/>
          <w:spacing w:val="-19"/>
          <w:sz w:val="24"/>
          <w:szCs w:val="24"/>
          <w:highlight w:val="none"/>
          <w:u w:val="single" w:color="auto"/>
        </w:rPr>
        <w:t xml:space="preserve"> </w:t>
      </w:r>
      <w:r>
        <w:rPr>
          <w:color w:val="auto"/>
          <w:spacing w:val="-31"/>
          <w:sz w:val="24"/>
          <w:szCs w:val="24"/>
          <w:highlight w:val="none"/>
          <w:u w:val="single" w:color="auto"/>
        </w:rPr>
        <w:t>（</w:t>
      </w:r>
      <w:r>
        <w:rPr>
          <w:color w:val="auto"/>
          <w:spacing w:val="8"/>
          <w:sz w:val="24"/>
          <w:szCs w:val="24"/>
          <w:highlight w:val="none"/>
          <w:u w:val="single" w:color="auto"/>
        </w:rPr>
        <w:t>采购人名称）</w:t>
      </w:r>
    </w:p>
    <w:p w14:paraId="0E9D0365">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rPr>
          <w:color w:val="auto"/>
          <w:sz w:val="24"/>
          <w:szCs w:val="24"/>
          <w:highlight w:val="none"/>
        </w:rPr>
      </w:pPr>
      <w:r>
        <w:rPr>
          <w:color w:val="auto"/>
          <w:spacing w:val="-4"/>
          <w:sz w:val="24"/>
          <w:szCs w:val="24"/>
          <w:highlight w:val="none"/>
        </w:rPr>
        <w:t>项目名称：</w:t>
      </w:r>
      <w:r>
        <w:rPr>
          <w:color w:val="auto"/>
          <w:sz w:val="24"/>
          <w:szCs w:val="24"/>
          <w:highlight w:val="none"/>
          <w:u w:val="single" w:color="auto"/>
        </w:rPr>
        <w:t xml:space="preserve">                                 </w:t>
      </w:r>
    </w:p>
    <w:p w14:paraId="391342AD">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rPr>
          <w:color w:val="auto"/>
          <w:sz w:val="24"/>
          <w:szCs w:val="24"/>
          <w:highlight w:val="none"/>
        </w:rPr>
      </w:pPr>
      <w:r>
        <w:rPr>
          <w:color w:val="auto"/>
          <w:spacing w:val="-4"/>
          <w:sz w:val="24"/>
          <w:szCs w:val="24"/>
          <w:highlight w:val="none"/>
        </w:rPr>
        <w:t>项目编号：</w:t>
      </w:r>
      <w:r>
        <w:rPr>
          <w:color w:val="auto"/>
          <w:sz w:val="24"/>
          <w:szCs w:val="24"/>
          <w:highlight w:val="none"/>
          <w:u w:val="single" w:color="auto"/>
        </w:rPr>
        <w:t xml:space="preserve">                                 </w:t>
      </w:r>
    </w:p>
    <w:p w14:paraId="7D144166">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rPr>
          <w:color w:val="auto"/>
          <w:sz w:val="24"/>
          <w:szCs w:val="24"/>
          <w:highlight w:val="none"/>
        </w:rPr>
      </w:pPr>
      <w:r>
        <w:rPr>
          <w:color w:val="auto"/>
          <w:spacing w:val="-4"/>
          <w:sz w:val="24"/>
          <w:szCs w:val="24"/>
          <w:highlight w:val="none"/>
        </w:rPr>
        <w:t>我方已详细审查全部招标文件，同意招标文件的各项要</w:t>
      </w:r>
      <w:r>
        <w:rPr>
          <w:color w:val="auto"/>
          <w:spacing w:val="-5"/>
          <w:sz w:val="24"/>
          <w:szCs w:val="24"/>
          <w:highlight w:val="none"/>
        </w:rPr>
        <w:t>求，我公</w:t>
      </w:r>
      <w:r>
        <w:rPr>
          <w:color w:val="auto"/>
          <w:spacing w:val="-3"/>
          <w:sz w:val="24"/>
          <w:szCs w:val="24"/>
          <w:highlight w:val="none"/>
        </w:rPr>
        <w:t>司承诺为本项目提供服务（货物）完全符合招标</w:t>
      </w:r>
      <w:r>
        <w:rPr>
          <w:color w:val="auto"/>
          <w:spacing w:val="-4"/>
          <w:sz w:val="24"/>
          <w:szCs w:val="24"/>
          <w:highlight w:val="none"/>
        </w:rPr>
        <w:t>文件要求，且向贵方</w:t>
      </w:r>
      <w:r>
        <w:rPr>
          <w:color w:val="auto"/>
          <w:spacing w:val="-3"/>
          <w:sz w:val="24"/>
          <w:szCs w:val="24"/>
          <w:highlight w:val="none"/>
        </w:rPr>
        <w:t>提交的所有投标文件、资料都是准确的和真实的</w:t>
      </w:r>
      <w:r>
        <w:rPr>
          <w:color w:val="auto"/>
          <w:spacing w:val="-4"/>
          <w:sz w:val="24"/>
          <w:szCs w:val="24"/>
          <w:highlight w:val="none"/>
        </w:rPr>
        <w:t>，若不符合招标文件</w:t>
      </w:r>
      <w:r>
        <w:rPr>
          <w:color w:val="auto"/>
          <w:spacing w:val="-1"/>
          <w:sz w:val="24"/>
          <w:szCs w:val="24"/>
          <w:highlight w:val="none"/>
        </w:rPr>
        <w:t>要求、存在虚假或者隐瞒，我方愿承担一切后果。</w:t>
      </w:r>
    </w:p>
    <w:p w14:paraId="642A75F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Arial"/>
          <w:color w:val="auto"/>
          <w:sz w:val="24"/>
          <w:szCs w:val="24"/>
          <w:highlight w:val="none"/>
        </w:rPr>
      </w:pPr>
    </w:p>
    <w:p w14:paraId="7A00368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Arial"/>
          <w:color w:val="auto"/>
          <w:sz w:val="24"/>
          <w:szCs w:val="24"/>
          <w:highlight w:val="none"/>
        </w:rPr>
      </w:pPr>
    </w:p>
    <w:p w14:paraId="5CAD648B">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投标人名称（盖章</w:t>
      </w:r>
      <w:r>
        <w:rPr>
          <w:rFonts w:hint="eastAsia" w:ascii="仿宋" w:hAnsi="仿宋" w:eastAsia="仿宋" w:cs="仿宋"/>
          <w:color w:val="auto"/>
          <w:spacing w:val="1"/>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14:paraId="798C0953">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法定代表人或授权委托人（签字或盖章</w:t>
      </w:r>
      <w:r>
        <w:rPr>
          <w:rFonts w:hint="eastAsia" w:ascii="仿宋" w:hAnsi="仿宋" w:eastAsia="仿宋" w:cs="仿宋"/>
          <w:color w:val="auto"/>
          <w:spacing w:val="6"/>
          <w:sz w:val="24"/>
          <w:szCs w:val="24"/>
          <w:highlight w:val="none"/>
        </w:rPr>
        <w:t>）</w:t>
      </w:r>
      <w:r>
        <w:rPr>
          <w:rFonts w:hint="eastAsia" w:ascii="仿宋" w:hAnsi="仿宋" w:eastAsia="仿宋" w:cs="仿宋"/>
          <w:color w:val="auto"/>
          <w:spacing w:val="1"/>
          <w:sz w:val="24"/>
          <w:szCs w:val="24"/>
          <w:highlight w:val="none"/>
        </w:rPr>
        <w:t>：</w:t>
      </w:r>
      <w:r>
        <w:rPr>
          <w:rFonts w:hint="eastAsia" w:ascii="仿宋" w:hAnsi="仿宋" w:eastAsia="仿宋" w:cs="仿宋"/>
          <w:color w:val="auto"/>
          <w:sz w:val="24"/>
          <w:szCs w:val="24"/>
          <w:highlight w:val="none"/>
          <w:u w:val="single" w:color="auto"/>
        </w:rPr>
        <w:t xml:space="preserve">                </w:t>
      </w:r>
    </w:p>
    <w:p w14:paraId="2BA0A79C">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0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0"/>
          <w:sz w:val="24"/>
          <w:szCs w:val="24"/>
          <w:highlight w:val="none"/>
        </w:rPr>
        <w:t>日期：</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20"/>
          <w:sz w:val="24"/>
          <w:szCs w:val="24"/>
          <w:highlight w:val="none"/>
        </w:rPr>
        <w:t>年</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20"/>
          <w:sz w:val="24"/>
          <w:szCs w:val="24"/>
          <w:highlight w:val="none"/>
        </w:rPr>
        <w:t>月</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23"/>
          <w:sz w:val="24"/>
          <w:szCs w:val="24"/>
          <w:highlight w:val="none"/>
          <w:u w:val="single" w:color="auto"/>
          <w:lang w:val="en-US" w:eastAsia="zh-CN"/>
        </w:rPr>
        <w:t xml:space="preserve"> </w:t>
      </w:r>
      <w:r>
        <w:rPr>
          <w:rFonts w:hint="eastAsia" w:ascii="仿宋" w:hAnsi="仿宋" w:eastAsia="仿宋" w:cs="仿宋"/>
          <w:color w:val="auto"/>
          <w:spacing w:val="-20"/>
          <w:sz w:val="24"/>
          <w:szCs w:val="24"/>
          <w:highlight w:val="none"/>
        </w:rPr>
        <w:t>日</w:t>
      </w:r>
    </w:p>
    <w:p w14:paraId="6B8596DE">
      <w:pPr>
        <w:pageBreakBefore w:val="0"/>
        <w:shd w:val="clear"/>
        <w:wordWrap/>
        <w:overflowPunct/>
        <w:topLinePunct w:val="0"/>
        <w:bidi w:val="0"/>
        <w:spacing w:line="25" w:lineRule="atLeast"/>
        <w:rPr>
          <w:color w:val="auto"/>
          <w:sz w:val="28"/>
          <w:szCs w:val="28"/>
          <w:highlight w:val="none"/>
        </w:rPr>
      </w:pPr>
    </w:p>
    <w:p w14:paraId="09C8DF56">
      <w:pPr>
        <w:pageBreakBefore w:val="0"/>
        <w:shd w:val="clear"/>
        <w:wordWrap/>
        <w:overflowPunct/>
        <w:topLinePunct w:val="0"/>
        <w:bidi w:val="0"/>
        <w:spacing w:line="25" w:lineRule="atLeast"/>
        <w:rPr>
          <w:color w:val="auto"/>
          <w:sz w:val="28"/>
          <w:szCs w:val="28"/>
          <w:highlight w:val="none"/>
        </w:rPr>
        <w:sectPr>
          <w:headerReference r:id="rId53" w:type="default"/>
          <w:footerReference r:id="rId54" w:type="default"/>
          <w:pgSz w:w="11906" w:h="16839"/>
          <w:pgMar w:top="1440" w:right="1800" w:bottom="1440" w:left="1800" w:header="1090" w:footer="1253" w:gutter="0"/>
          <w:pgNumType w:fmt="decimal"/>
          <w:cols w:space="720" w:num="1"/>
        </w:sectPr>
      </w:pPr>
    </w:p>
    <w:p w14:paraId="06FD5621">
      <w:pPr>
        <w:pStyle w:val="11"/>
        <w:pageBreakBefore w:val="0"/>
        <w:shd w:val="clear"/>
        <w:wordWrap/>
        <w:overflowPunct/>
        <w:topLinePunct w:val="0"/>
        <w:bidi w:val="0"/>
        <w:spacing w:before="101" w:line="25" w:lineRule="atLeast"/>
        <w:ind w:left="256"/>
        <w:outlineLvl w:val="1"/>
        <w:rPr>
          <w:color w:val="auto"/>
          <w:sz w:val="32"/>
          <w:szCs w:val="32"/>
          <w:highlight w:val="none"/>
        </w:rPr>
      </w:pPr>
      <w:r>
        <w:rPr>
          <w:b/>
          <w:bCs/>
          <w:color w:val="auto"/>
          <w:spacing w:val="6"/>
          <w:sz w:val="32"/>
          <w:szCs w:val="32"/>
          <w:highlight w:val="none"/>
        </w:rPr>
        <w:t>满足采购需求服务（货物)内容的相关资料（格式自拟）</w:t>
      </w:r>
    </w:p>
    <w:p w14:paraId="266D9DED">
      <w:pPr>
        <w:pageBreakBefore w:val="0"/>
        <w:shd w:val="clear"/>
        <w:wordWrap/>
        <w:overflowPunct/>
        <w:topLinePunct w:val="0"/>
        <w:bidi w:val="0"/>
        <w:spacing w:line="25" w:lineRule="atLeast"/>
        <w:rPr>
          <w:color w:val="auto"/>
          <w:highlight w:val="none"/>
        </w:rPr>
      </w:pPr>
    </w:p>
    <w:p w14:paraId="13488DC6">
      <w:pPr>
        <w:pageBreakBefore w:val="0"/>
        <w:shd w:val="clear"/>
        <w:wordWrap/>
        <w:overflowPunct/>
        <w:topLinePunct w:val="0"/>
        <w:bidi w:val="0"/>
        <w:spacing w:line="25" w:lineRule="atLeast"/>
        <w:rPr>
          <w:color w:val="auto"/>
          <w:highlight w:val="none"/>
        </w:rPr>
        <w:sectPr>
          <w:footerReference r:id="rId55" w:type="default"/>
          <w:pgSz w:w="11906" w:h="16839"/>
          <w:pgMar w:top="1440" w:right="1800" w:bottom="1440" w:left="1800" w:header="0" w:footer="1253" w:gutter="0"/>
          <w:pgNumType w:fmt="decimal"/>
          <w:cols w:space="720" w:num="1"/>
        </w:sectPr>
      </w:pPr>
    </w:p>
    <w:p w14:paraId="66907AC7">
      <w:pPr>
        <w:pStyle w:val="11"/>
        <w:pageBreakBefore w:val="0"/>
        <w:shd w:val="clear"/>
        <w:wordWrap/>
        <w:overflowPunct/>
        <w:topLinePunct w:val="0"/>
        <w:bidi w:val="0"/>
        <w:spacing w:before="101" w:line="25" w:lineRule="atLeast"/>
        <w:ind w:left="47"/>
        <w:rPr>
          <w:color w:val="auto"/>
          <w:highlight w:val="none"/>
        </w:rPr>
      </w:pPr>
      <w:r>
        <w:rPr>
          <w:b/>
          <w:bCs/>
          <w:color w:val="auto"/>
          <w:spacing w:val="-11"/>
          <w:highlight w:val="none"/>
        </w:rPr>
        <w:t>附件11：</w:t>
      </w:r>
    </w:p>
    <w:p w14:paraId="41AD8594">
      <w:pPr>
        <w:pStyle w:val="11"/>
        <w:pageBreakBefore w:val="0"/>
        <w:shd w:val="clear"/>
        <w:wordWrap/>
        <w:overflowPunct/>
        <w:topLinePunct w:val="0"/>
        <w:bidi w:val="0"/>
        <w:spacing w:before="265" w:line="25" w:lineRule="atLeast"/>
        <w:ind w:left="2415"/>
        <w:outlineLvl w:val="1"/>
        <w:rPr>
          <w:color w:val="auto"/>
          <w:sz w:val="32"/>
          <w:szCs w:val="32"/>
          <w:highlight w:val="none"/>
        </w:rPr>
      </w:pPr>
      <w:r>
        <w:rPr>
          <w:b/>
          <w:bCs/>
          <w:color w:val="auto"/>
          <w:spacing w:val="5"/>
          <w:sz w:val="32"/>
          <w:szCs w:val="32"/>
          <w:highlight w:val="none"/>
        </w:rPr>
        <w:t>投标承诺函（统一格式）</w:t>
      </w:r>
    </w:p>
    <w:p w14:paraId="5255A015">
      <w:pPr>
        <w:pStyle w:val="11"/>
        <w:keepNext w:val="0"/>
        <w:keepLines w:val="0"/>
        <w:pageBreakBefore w:val="0"/>
        <w:widowControl/>
        <w:shd w:val="clear"/>
        <w:tabs>
          <w:tab w:val="left" w:pos="3371"/>
        </w:tabs>
        <w:kinsoku/>
        <w:wordWrap w:val="0"/>
        <w:overflowPunct/>
        <w:topLinePunct w:val="0"/>
        <w:autoSpaceDE w:val="0"/>
        <w:autoSpaceDN w:val="0"/>
        <w:bidi w:val="0"/>
        <w:adjustRightInd w:val="0"/>
        <w:snapToGrid w:val="0"/>
        <w:spacing w:line="360" w:lineRule="auto"/>
        <w:ind w:right="0"/>
        <w:textAlignment w:val="baseline"/>
        <w:rPr>
          <w:color w:val="auto"/>
          <w:sz w:val="24"/>
          <w:szCs w:val="24"/>
          <w:highlight w:val="none"/>
        </w:rPr>
      </w:pPr>
      <w:r>
        <w:rPr>
          <w:color w:val="auto"/>
          <w:spacing w:val="-1"/>
          <w:sz w:val="24"/>
          <w:szCs w:val="24"/>
          <w:highlight w:val="none"/>
          <w:u w:val="single" w:color="auto"/>
        </w:rPr>
        <w:t xml:space="preserve">              </w:t>
      </w:r>
      <w:r>
        <w:rPr>
          <w:color w:val="auto"/>
          <w:sz w:val="24"/>
          <w:szCs w:val="24"/>
          <w:highlight w:val="none"/>
        </w:rPr>
        <w:t>（采购人）：</w:t>
      </w:r>
    </w:p>
    <w:p w14:paraId="57BBF3A8">
      <w:pPr>
        <w:pStyle w:val="11"/>
        <w:keepNext w:val="0"/>
        <w:keepLines w:val="0"/>
        <w:pageBreakBefore w:val="0"/>
        <w:widowControl/>
        <w:shd w:val="clear"/>
        <w:tabs>
          <w:tab w:val="left" w:pos="4770"/>
        </w:tabs>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color w:val="auto"/>
          <w:sz w:val="24"/>
          <w:szCs w:val="24"/>
          <w:highlight w:val="none"/>
        </w:rPr>
      </w:pPr>
      <w:r>
        <w:rPr>
          <w:color w:val="auto"/>
          <w:spacing w:val="-1"/>
          <w:sz w:val="24"/>
          <w:szCs w:val="24"/>
          <w:highlight w:val="none"/>
          <w:u w:val="single" w:color="auto"/>
        </w:rPr>
        <w:t xml:space="preserve">              </w:t>
      </w:r>
      <w:r>
        <w:rPr>
          <w:color w:val="auto"/>
          <w:spacing w:val="-17"/>
          <w:sz w:val="24"/>
          <w:szCs w:val="24"/>
          <w:highlight w:val="none"/>
        </w:rPr>
        <w:t>(投标人名称)授权</w:t>
      </w:r>
      <w:r>
        <w:rPr>
          <w:color w:val="auto"/>
          <w:spacing w:val="-1"/>
          <w:sz w:val="24"/>
          <w:szCs w:val="24"/>
          <w:highlight w:val="none"/>
        </w:rPr>
        <w:t>(投标人授权委托人姓名)</w:t>
      </w:r>
      <w:r>
        <w:rPr>
          <w:color w:val="auto"/>
          <w:spacing w:val="-1"/>
          <w:sz w:val="24"/>
          <w:szCs w:val="24"/>
          <w:highlight w:val="none"/>
          <w:u w:val="single" w:color="auto"/>
        </w:rPr>
        <w:t xml:space="preserve">                   </w:t>
      </w:r>
      <w:r>
        <w:rPr>
          <w:color w:val="auto"/>
          <w:spacing w:val="-1"/>
          <w:sz w:val="24"/>
          <w:szCs w:val="24"/>
          <w:highlight w:val="none"/>
        </w:rPr>
        <w:t>(职务/职称)为我方代表，参加贵方组织的</w:t>
      </w:r>
      <w:r>
        <w:rPr>
          <w:color w:val="auto"/>
          <w:spacing w:val="-1"/>
          <w:sz w:val="24"/>
          <w:szCs w:val="24"/>
          <w:highlight w:val="none"/>
          <w:u w:val="single" w:color="auto"/>
        </w:rPr>
        <w:t xml:space="preserve">                      </w:t>
      </w:r>
      <w:r>
        <w:rPr>
          <w:color w:val="auto"/>
          <w:spacing w:val="-1"/>
          <w:sz w:val="24"/>
          <w:szCs w:val="24"/>
          <w:highlight w:val="none"/>
        </w:rPr>
        <w:t>(项目名称、项目编号)招标的有关活动，并对此项目进行投标。为此：</w:t>
      </w:r>
    </w:p>
    <w:p w14:paraId="10D3919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color w:val="auto"/>
          <w:sz w:val="24"/>
          <w:szCs w:val="24"/>
          <w:highlight w:val="none"/>
        </w:rPr>
      </w:pPr>
      <w:r>
        <w:rPr>
          <w:color w:val="auto"/>
          <w:spacing w:val="-2"/>
          <w:sz w:val="24"/>
          <w:szCs w:val="24"/>
          <w:highlight w:val="none"/>
        </w:rPr>
        <w:t>1、我方承诺：已经具备《中华人民共和国政府采购法》中规定</w:t>
      </w:r>
      <w:r>
        <w:rPr>
          <w:color w:val="auto"/>
          <w:spacing w:val="5"/>
          <w:sz w:val="24"/>
          <w:szCs w:val="24"/>
          <w:highlight w:val="none"/>
        </w:rPr>
        <w:t>的参加政府采购活动的投标人应当具备的条件和本招标文件中规定</w:t>
      </w:r>
      <w:r>
        <w:rPr>
          <w:color w:val="auto"/>
          <w:spacing w:val="-9"/>
          <w:sz w:val="24"/>
          <w:szCs w:val="24"/>
          <w:highlight w:val="none"/>
        </w:rPr>
        <w:t>的条件。</w:t>
      </w:r>
    </w:p>
    <w:p w14:paraId="6144668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color w:val="auto"/>
          <w:sz w:val="24"/>
          <w:szCs w:val="24"/>
          <w:highlight w:val="none"/>
        </w:rPr>
      </w:pPr>
      <w:r>
        <w:rPr>
          <w:color w:val="auto"/>
          <w:spacing w:val="1"/>
          <w:sz w:val="24"/>
          <w:szCs w:val="24"/>
          <w:highlight w:val="none"/>
        </w:rPr>
        <w:t>2、我方同意在本项目招标文件中规定的投标有效期内遵守本投</w:t>
      </w:r>
      <w:r>
        <w:rPr>
          <w:color w:val="auto"/>
          <w:spacing w:val="-3"/>
          <w:sz w:val="24"/>
          <w:szCs w:val="24"/>
          <w:highlight w:val="none"/>
        </w:rPr>
        <w:t>标文件中的承诺且在此期限期满之前均具有约束</w:t>
      </w:r>
      <w:r>
        <w:rPr>
          <w:color w:val="auto"/>
          <w:spacing w:val="-4"/>
          <w:sz w:val="24"/>
          <w:szCs w:val="24"/>
          <w:highlight w:val="none"/>
        </w:rPr>
        <w:t>力。如果在开启投标</w:t>
      </w:r>
      <w:r>
        <w:rPr>
          <w:color w:val="auto"/>
          <w:spacing w:val="-3"/>
          <w:sz w:val="24"/>
          <w:szCs w:val="24"/>
          <w:highlight w:val="none"/>
        </w:rPr>
        <w:t>文件后规定的投标有效期内撤回投标，我方的投标保证</w:t>
      </w:r>
      <w:r>
        <w:rPr>
          <w:color w:val="auto"/>
          <w:spacing w:val="-4"/>
          <w:sz w:val="24"/>
          <w:szCs w:val="24"/>
          <w:highlight w:val="none"/>
        </w:rPr>
        <w:t>金可被贵方没收。</w:t>
      </w:r>
    </w:p>
    <w:p w14:paraId="1C85495F">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color w:val="auto"/>
          <w:sz w:val="24"/>
          <w:szCs w:val="24"/>
          <w:highlight w:val="none"/>
        </w:rPr>
      </w:pPr>
      <w:r>
        <w:rPr>
          <w:color w:val="auto"/>
          <w:sz w:val="24"/>
          <w:szCs w:val="24"/>
          <w:highlight w:val="none"/>
        </w:rPr>
        <w:t>3、按照招标文件规定提供全部投标文件，按照招标文件要求提</w:t>
      </w:r>
      <w:r>
        <w:rPr>
          <w:color w:val="auto"/>
          <w:spacing w:val="-1"/>
          <w:sz w:val="24"/>
          <w:szCs w:val="24"/>
          <w:highlight w:val="none"/>
        </w:rPr>
        <w:t>供的报价见开启投标文件一览表。</w:t>
      </w:r>
    </w:p>
    <w:p w14:paraId="607EEA98">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color w:val="auto"/>
          <w:sz w:val="24"/>
          <w:szCs w:val="24"/>
          <w:highlight w:val="none"/>
        </w:rPr>
      </w:pPr>
      <w:r>
        <w:rPr>
          <w:color w:val="auto"/>
          <w:spacing w:val="1"/>
          <w:sz w:val="24"/>
          <w:szCs w:val="24"/>
          <w:highlight w:val="none"/>
        </w:rPr>
        <w:t>4、我方承诺：接受招标文件中的全部条款且无任何异议，保证</w:t>
      </w:r>
      <w:r>
        <w:rPr>
          <w:color w:val="auto"/>
          <w:spacing w:val="-2"/>
          <w:sz w:val="24"/>
          <w:szCs w:val="24"/>
          <w:highlight w:val="none"/>
        </w:rPr>
        <w:t>遵守招标文件的规定。</w:t>
      </w:r>
    </w:p>
    <w:p w14:paraId="749F1EB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color w:val="auto"/>
          <w:sz w:val="24"/>
          <w:szCs w:val="24"/>
          <w:highlight w:val="none"/>
        </w:rPr>
      </w:pPr>
      <w:r>
        <w:rPr>
          <w:color w:val="auto"/>
          <w:spacing w:val="1"/>
          <w:sz w:val="24"/>
          <w:szCs w:val="24"/>
          <w:highlight w:val="none"/>
        </w:rPr>
        <w:t>5、我方承诺：完全满足和投标招标文件中的各项技术和</w:t>
      </w:r>
      <w:r>
        <w:rPr>
          <w:color w:val="auto"/>
          <w:sz w:val="24"/>
          <w:szCs w:val="24"/>
          <w:highlight w:val="none"/>
        </w:rPr>
        <w:t>服务要</w:t>
      </w:r>
      <w:r>
        <w:rPr>
          <w:color w:val="auto"/>
          <w:spacing w:val="-4"/>
          <w:sz w:val="24"/>
          <w:szCs w:val="24"/>
          <w:highlight w:val="none"/>
        </w:rPr>
        <w:t>求，若有偏差，已在偏离表中予以明确特别说明。</w:t>
      </w:r>
    </w:p>
    <w:p w14:paraId="43AA39E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color w:val="auto"/>
          <w:sz w:val="24"/>
          <w:szCs w:val="24"/>
          <w:highlight w:val="none"/>
        </w:rPr>
      </w:pPr>
      <w:r>
        <w:rPr>
          <w:color w:val="auto"/>
          <w:spacing w:val="1"/>
          <w:sz w:val="24"/>
          <w:szCs w:val="24"/>
          <w:highlight w:val="none"/>
        </w:rPr>
        <w:t>6、我方完全理解贵方不一定接受最低价的投标或收到的任何投</w:t>
      </w:r>
      <w:r>
        <w:rPr>
          <w:color w:val="auto"/>
          <w:spacing w:val="-1"/>
          <w:sz w:val="24"/>
          <w:szCs w:val="24"/>
          <w:highlight w:val="none"/>
        </w:rPr>
        <w:t>标，以及投标报价若超过项目预算时投标将被拒绝。</w:t>
      </w:r>
    </w:p>
    <w:p w14:paraId="300EBF6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color w:val="auto"/>
          <w:sz w:val="24"/>
          <w:szCs w:val="24"/>
          <w:highlight w:val="none"/>
        </w:rPr>
      </w:pPr>
      <w:r>
        <w:rPr>
          <w:color w:val="auto"/>
          <w:spacing w:val="1"/>
          <w:sz w:val="24"/>
          <w:szCs w:val="24"/>
          <w:highlight w:val="none"/>
        </w:rPr>
        <w:t>7、我方已详细审核全部投标文件，包括投标文件修改书（</w:t>
      </w:r>
      <w:r>
        <w:rPr>
          <w:color w:val="auto"/>
          <w:sz w:val="24"/>
          <w:szCs w:val="24"/>
          <w:highlight w:val="none"/>
        </w:rPr>
        <w:t>如有</w:t>
      </w:r>
      <w:r>
        <w:rPr>
          <w:color w:val="auto"/>
          <w:spacing w:val="-2"/>
          <w:sz w:val="24"/>
          <w:szCs w:val="24"/>
          <w:highlight w:val="none"/>
        </w:rPr>
        <w:t>的话）、参考资料及有关附件，确认无误。</w:t>
      </w:r>
    </w:p>
    <w:p w14:paraId="0F4747C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color w:val="auto"/>
          <w:sz w:val="24"/>
          <w:szCs w:val="24"/>
          <w:highlight w:val="none"/>
        </w:rPr>
      </w:pPr>
      <w:r>
        <w:rPr>
          <w:color w:val="auto"/>
          <w:spacing w:val="1"/>
          <w:sz w:val="24"/>
          <w:szCs w:val="24"/>
          <w:highlight w:val="none"/>
        </w:rPr>
        <w:t>8、我方承诺：与在本项目中设计编制技术规格的机构及其</w:t>
      </w:r>
      <w:r>
        <w:rPr>
          <w:color w:val="auto"/>
          <w:sz w:val="24"/>
          <w:szCs w:val="24"/>
          <w:highlight w:val="none"/>
        </w:rPr>
        <w:t>附属</w:t>
      </w:r>
      <w:r>
        <w:rPr>
          <w:color w:val="auto"/>
          <w:spacing w:val="-1"/>
          <w:sz w:val="24"/>
          <w:szCs w:val="24"/>
          <w:highlight w:val="none"/>
        </w:rPr>
        <w:t>机构无任何直接隶属关系和利益关联。</w:t>
      </w:r>
    </w:p>
    <w:p w14:paraId="3C4FC5E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4" w:firstLineChars="200"/>
        <w:textAlignment w:val="baseline"/>
        <w:rPr>
          <w:color w:val="auto"/>
          <w:sz w:val="24"/>
          <w:szCs w:val="24"/>
          <w:highlight w:val="none"/>
        </w:rPr>
      </w:pPr>
      <w:r>
        <w:rPr>
          <w:color w:val="auto"/>
          <w:spacing w:val="1"/>
          <w:sz w:val="24"/>
          <w:szCs w:val="24"/>
          <w:highlight w:val="none"/>
        </w:rPr>
        <w:t>9、保证忠实地执行双方所签订的合同，并承担合同规定的</w:t>
      </w:r>
      <w:r>
        <w:rPr>
          <w:color w:val="auto"/>
          <w:sz w:val="24"/>
          <w:szCs w:val="24"/>
          <w:highlight w:val="none"/>
        </w:rPr>
        <w:t>责任</w:t>
      </w:r>
      <w:r>
        <w:rPr>
          <w:color w:val="auto"/>
          <w:spacing w:val="-5"/>
          <w:sz w:val="24"/>
          <w:szCs w:val="24"/>
          <w:highlight w:val="none"/>
        </w:rPr>
        <w:t>和义务。</w:t>
      </w:r>
    </w:p>
    <w:p w14:paraId="7D2D8257">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color w:val="auto"/>
          <w:sz w:val="24"/>
          <w:szCs w:val="24"/>
          <w:highlight w:val="none"/>
        </w:rPr>
      </w:pPr>
      <w:r>
        <w:rPr>
          <w:color w:val="auto"/>
          <w:spacing w:val="-4"/>
          <w:sz w:val="24"/>
          <w:szCs w:val="24"/>
          <w:highlight w:val="none"/>
        </w:rPr>
        <w:t>10、我方承诺：投标文件所提供的一切资料及新疆政府采购</w:t>
      </w:r>
      <w:r>
        <w:rPr>
          <w:color w:val="auto"/>
          <w:spacing w:val="-5"/>
          <w:sz w:val="24"/>
          <w:szCs w:val="24"/>
          <w:highlight w:val="none"/>
        </w:rPr>
        <w:t>网政</w:t>
      </w:r>
      <w:r>
        <w:rPr>
          <w:color w:val="auto"/>
          <w:spacing w:val="-3"/>
          <w:sz w:val="24"/>
          <w:szCs w:val="24"/>
          <w:highlight w:val="none"/>
        </w:rPr>
        <w:t>采云平台提报资料均真实、及时、有效。由于我</w:t>
      </w:r>
      <w:r>
        <w:rPr>
          <w:color w:val="auto"/>
          <w:spacing w:val="-4"/>
          <w:sz w:val="24"/>
          <w:szCs w:val="24"/>
          <w:highlight w:val="none"/>
        </w:rPr>
        <w:t>方提供资料不实而造</w:t>
      </w:r>
      <w:r>
        <w:rPr>
          <w:color w:val="auto"/>
          <w:spacing w:val="-3"/>
          <w:sz w:val="24"/>
          <w:szCs w:val="24"/>
          <w:highlight w:val="none"/>
        </w:rPr>
        <w:t>成的责任和后果由我方承担。我方同意按照贵方</w:t>
      </w:r>
      <w:r>
        <w:rPr>
          <w:color w:val="auto"/>
          <w:spacing w:val="-4"/>
          <w:sz w:val="24"/>
          <w:szCs w:val="24"/>
          <w:highlight w:val="none"/>
        </w:rPr>
        <w:t>提出的要求，向贵方</w:t>
      </w:r>
      <w:r>
        <w:rPr>
          <w:color w:val="auto"/>
          <w:spacing w:val="-3"/>
          <w:sz w:val="24"/>
          <w:szCs w:val="24"/>
          <w:highlight w:val="none"/>
        </w:rPr>
        <w:t>提供任何与本项投标有关的数据、情况和技术资</w:t>
      </w:r>
      <w:r>
        <w:rPr>
          <w:color w:val="auto"/>
          <w:spacing w:val="-4"/>
          <w:sz w:val="24"/>
          <w:szCs w:val="24"/>
          <w:highlight w:val="none"/>
        </w:rPr>
        <w:t>料。若贵方需要，我</w:t>
      </w:r>
      <w:r>
        <w:rPr>
          <w:color w:val="auto"/>
          <w:spacing w:val="-1"/>
          <w:sz w:val="24"/>
          <w:szCs w:val="24"/>
          <w:highlight w:val="none"/>
        </w:rPr>
        <w:t>方愿意提供我方作出的一切承诺的证明材料。</w:t>
      </w:r>
    </w:p>
    <w:p w14:paraId="394449B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36" w:firstLineChars="200"/>
        <w:jc w:val="both"/>
        <w:textAlignment w:val="baseline"/>
        <w:rPr>
          <w:color w:val="auto"/>
          <w:sz w:val="24"/>
          <w:szCs w:val="24"/>
          <w:highlight w:val="none"/>
        </w:rPr>
      </w:pPr>
      <w:r>
        <w:rPr>
          <w:color w:val="auto"/>
          <w:spacing w:val="-11"/>
          <w:sz w:val="24"/>
          <w:szCs w:val="24"/>
          <w:highlight w:val="none"/>
        </w:rPr>
        <w:t>11、我方将严格遵守《中华人民共和国政府采购法》的有关规定，</w:t>
      </w:r>
      <w:r>
        <w:rPr>
          <w:color w:val="auto"/>
          <w:spacing w:val="-3"/>
          <w:sz w:val="24"/>
          <w:szCs w:val="24"/>
          <w:highlight w:val="none"/>
        </w:rPr>
        <w:t>若有下列情形之一的，将被处以采购金额千</w:t>
      </w:r>
      <w:r>
        <w:rPr>
          <w:color w:val="auto"/>
          <w:spacing w:val="-4"/>
          <w:sz w:val="24"/>
          <w:szCs w:val="24"/>
          <w:highlight w:val="none"/>
        </w:rPr>
        <w:t>分之五以上千分之十以下的罚款，列入不良行为记录名单，在一至三年内禁止参加政府采购活动；有违法所得的，并处没收违法所得；情节严重的，由工商行政管</w:t>
      </w:r>
      <w:r>
        <w:rPr>
          <w:color w:val="auto"/>
          <w:spacing w:val="-1"/>
          <w:sz w:val="24"/>
          <w:szCs w:val="24"/>
          <w:highlight w:val="none"/>
        </w:rPr>
        <w:t>理机关吊销营业执照；构成犯罪的，依法追究刑事责任：</w:t>
      </w:r>
    </w:p>
    <w:p w14:paraId="0CCEB44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color w:val="auto"/>
          <w:sz w:val="24"/>
          <w:szCs w:val="24"/>
          <w:highlight w:val="none"/>
        </w:rPr>
      </w:pPr>
      <w:r>
        <w:rPr>
          <w:color w:val="auto"/>
          <w:spacing w:val="-2"/>
          <w:sz w:val="24"/>
          <w:szCs w:val="24"/>
          <w:highlight w:val="none"/>
        </w:rPr>
        <w:t>1）提供虚假材料谋取中标、成交的；</w:t>
      </w:r>
    </w:p>
    <w:p w14:paraId="7E6BAFCC">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color w:val="auto"/>
          <w:sz w:val="24"/>
          <w:szCs w:val="24"/>
          <w:highlight w:val="none"/>
        </w:rPr>
      </w:pPr>
      <w:r>
        <w:rPr>
          <w:color w:val="auto"/>
          <w:spacing w:val="-1"/>
          <w:sz w:val="24"/>
          <w:szCs w:val="24"/>
          <w:highlight w:val="none"/>
        </w:rPr>
        <w:t>2）采取不正当手段诋毁、排挤其他投标人</w:t>
      </w:r>
      <w:r>
        <w:rPr>
          <w:color w:val="auto"/>
          <w:spacing w:val="-2"/>
          <w:sz w:val="24"/>
          <w:szCs w:val="24"/>
          <w:highlight w:val="none"/>
        </w:rPr>
        <w:t>的；</w:t>
      </w:r>
    </w:p>
    <w:p w14:paraId="1A69FE8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color w:val="auto"/>
          <w:sz w:val="24"/>
          <w:szCs w:val="24"/>
          <w:highlight w:val="none"/>
        </w:rPr>
      </w:pPr>
      <w:r>
        <w:rPr>
          <w:color w:val="auto"/>
          <w:spacing w:val="-1"/>
          <w:sz w:val="24"/>
          <w:szCs w:val="24"/>
          <w:highlight w:val="none"/>
        </w:rPr>
        <w:t>3）与采购人、其他投标人或者采购代理机</w:t>
      </w:r>
      <w:r>
        <w:rPr>
          <w:color w:val="auto"/>
          <w:spacing w:val="-2"/>
          <w:sz w:val="24"/>
          <w:szCs w:val="24"/>
          <w:highlight w:val="none"/>
        </w:rPr>
        <w:t>构恶意串通的；</w:t>
      </w:r>
    </w:p>
    <w:p w14:paraId="2AF44661">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color w:val="auto"/>
          <w:sz w:val="24"/>
          <w:szCs w:val="24"/>
          <w:highlight w:val="none"/>
        </w:rPr>
      </w:pPr>
      <w:r>
        <w:rPr>
          <w:color w:val="auto"/>
          <w:spacing w:val="-1"/>
          <w:sz w:val="24"/>
          <w:szCs w:val="24"/>
          <w:highlight w:val="none"/>
        </w:rPr>
        <w:t>4）向采购人、采购代理机构行贿或者提供其他不正当利益的；</w:t>
      </w:r>
    </w:p>
    <w:p w14:paraId="355103C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color w:val="auto"/>
          <w:sz w:val="24"/>
          <w:szCs w:val="24"/>
          <w:highlight w:val="none"/>
        </w:rPr>
      </w:pPr>
      <w:r>
        <w:rPr>
          <w:color w:val="auto"/>
          <w:spacing w:val="-2"/>
          <w:sz w:val="24"/>
          <w:szCs w:val="24"/>
          <w:highlight w:val="none"/>
        </w:rPr>
        <w:t>5）在招标采购过程中与采购人进行协商的；</w:t>
      </w:r>
    </w:p>
    <w:p w14:paraId="258FD0E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color w:val="auto"/>
          <w:sz w:val="24"/>
          <w:szCs w:val="24"/>
          <w:highlight w:val="none"/>
        </w:rPr>
      </w:pPr>
      <w:r>
        <w:rPr>
          <w:color w:val="auto"/>
          <w:spacing w:val="-2"/>
          <w:sz w:val="24"/>
          <w:szCs w:val="24"/>
          <w:highlight w:val="none"/>
        </w:rPr>
        <w:t>6）拒绝有关部门监督检查或提供虚假情况的。</w:t>
      </w:r>
    </w:p>
    <w:p w14:paraId="49F1642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4" w:firstLineChars="200"/>
        <w:textAlignment w:val="baseline"/>
        <w:rPr>
          <w:color w:val="auto"/>
          <w:sz w:val="24"/>
          <w:szCs w:val="24"/>
          <w:highlight w:val="none"/>
        </w:rPr>
      </w:pPr>
      <w:r>
        <w:rPr>
          <w:color w:val="auto"/>
          <w:spacing w:val="-4"/>
          <w:sz w:val="24"/>
          <w:szCs w:val="24"/>
          <w:highlight w:val="none"/>
        </w:rPr>
        <w:t>12、我方承诺：参加此项目</w:t>
      </w:r>
      <w:r>
        <w:rPr>
          <w:rFonts w:hint="eastAsia"/>
          <w:color w:val="auto"/>
          <w:spacing w:val="-4"/>
          <w:sz w:val="24"/>
          <w:szCs w:val="24"/>
          <w:highlight w:val="none"/>
          <w:lang w:eastAsia="zh-CN"/>
        </w:rPr>
        <w:t>招</w:t>
      </w:r>
      <w:r>
        <w:rPr>
          <w:color w:val="auto"/>
          <w:spacing w:val="-4"/>
          <w:sz w:val="24"/>
          <w:szCs w:val="24"/>
          <w:highlight w:val="none"/>
        </w:rPr>
        <w:t>标活动的一切费用，均由我方自</w:t>
      </w:r>
      <w:r>
        <w:rPr>
          <w:color w:val="auto"/>
          <w:spacing w:val="-3"/>
          <w:sz w:val="24"/>
          <w:szCs w:val="24"/>
          <w:highlight w:val="none"/>
        </w:rPr>
        <w:t>行承担。</w:t>
      </w:r>
    </w:p>
    <w:p w14:paraId="727EBEBD">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color w:val="auto"/>
          <w:sz w:val="24"/>
          <w:szCs w:val="24"/>
          <w:highlight w:val="none"/>
        </w:rPr>
      </w:pPr>
      <w:r>
        <w:rPr>
          <w:color w:val="auto"/>
          <w:spacing w:val="-2"/>
          <w:sz w:val="24"/>
          <w:szCs w:val="24"/>
          <w:highlight w:val="none"/>
        </w:rPr>
        <w:t>与本投标有关的一切往来通讯请寄：</w:t>
      </w:r>
    </w:p>
    <w:p w14:paraId="0499630A">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48"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地址：</w:t>
      </w:r>
      <w:r>
        <w:rPr>
          <w:rFonts w:hint="eastAsia" w:ascii="仿宋" w:hAnsi="仿宋" w:eastAsia="仿宋" w:cs="仿宋"/>
          <w:color w:val="auto"/>
          <w:sz w:val="24"/>
          <w:szCs w:val="24"/>
          <w:highlight w:val="none"/>
          <w:u w:val="single" w:color="auto"/>
        </w:rPr>
        <w:t xml:space="preserve">                         </w:t>
      </w:r>
    </w:p>
    <w:p w14:paraId="7815333E">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04"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9"/>
          <w:sz w:val="24"/>
          <w:szCs w:val="24"/>
          <w:highlight w:val="none"/>
        </w:rPr>
        <w:t>电话：</w:t>
      </w:r>
      <w:r>
        <w:rPr>
          <w:rFonts w:hint="eastAsia" w:ascii="仿宋" w:hAnsi="仿宋" w:eastAsia="仿宋" w:cs="仿宋"/>
          <w:color w:val="auto"/>
          <w:sz w:val="24"/>
          <w:szCs w:val="24"/>
          <w:highlight w:val="none"/>
          <w:u w:val="single" w:color="auto"/>
        </w:rPr>
        <w:t xml:space="preserve">           </w:t>
      </w:r>
    </w:p>
    <w:p w14:paraId="4080E342">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5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传真：</w:t>
      </w:r>
      <w:r>
        <w:rPr>
          <w:rFonts w:hint="eastAsia" w:ascii="仿宋" w:hAnsi="仿宋" w:eastAsia="仿宋" w:cs="仿宋"/>
          <w:color w:val="auto"/>
          <w:sz w:val="24"/>
          <w:szCs w:val="24"/>
          <w:highlight w:val="none"/>
          <w:u w:val="single" w:color="auto"/>
        </w:rPr>
        <w:t xml:space="preserve">           </w:t>
      </w:r>
    </w:p>
    <w:p w14:paraId="369B35DC">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3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1"/>
          <w:sz w:val="24"/>
          <w:szCs w:val="24"/>
          <w:highlight w:val="none"/>
        </w:rPr>
        <w:t>电子邮箱：</w:t>
      </w:r>
      <w:r>
        <w:rPr>
          <w:rFonts w:hint="eastAsia" w:ascii="仿宋" w:hAnsi="仿宋" w:eastAsia="仿宋" w:cs="仿宋"/>
          <w:color w:val="auto"/>
          <w:sz w:val="24"/>
          <w:szCs w:val="24"/>
          <w:highlight w:val="none"/>
          <w:u w:val="single" w:color="auto"/>
        </w:rPr>
        <w:t xml:space="preserve">           </w:t>
      </w:r>
    </w:p>
    <w:p w14:paraId="1532EFAA">
      <w:pPr>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2D711D74">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投标人名称（盖章</w:t>
      </w:r>
      <w:r>
        <w:rPr>
          <w:rFonts w:hint="eastAsia" w:ascii="仿宋" w:hAnsi="仿宋" w:eastAsia="仿宋" w:cs="仿宋"/>
          <w:color w:val="auto"/>
          <w:spacing w:val="1"/>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14:paraId="53EA9950">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投标人法定代表人或其授权委托人（签字或盖章</w:t>
      </w:r>
      <w:r>
        <w:rPr>
          <w:rFonts w:hint="eastAsia" w:ascii="仿宋" w:hAnsi="仿宋" w:eastAsia="仿宋" w:cs="仿宋"/>
          <w:color w:val="auto"/>
          <w:spacing w:val="2"/>
          <w:sz w:val="24"/>
          <w:szCs w:val="24"/>
          <w:highlight w:val="none"/>
        </w:rPr>
        <w:t>）：</w:t>
      </w:r>
      <w:r>
        <w:rPr>
          <w:rFonts w:hint="eastAsia" w:ascii="仿宋" w:hAnsi="仿宋" w:eastAsia="仿宋" w:cs="仿宋"/>
          <w:color w:val="auto"/>
          <w:sz w:val="24"/>
          <w:szCs w:val="24"/>
          <w:highlight w:val="none"/>
          <w:u w:val="single" w:color="auto"/>
        </w:rPr>
        <w:t xml:space="preserve">           </w:t>
      </w:r>
    </w:p>
    <w:p w14:paraId="45BFBBEE">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u w:val="single" w:color="auto"/>
          <w:lang w:val="en-US" w:eastAsia="zh-CN"/>
        </w:rPr>
      </w:pPr>
      <w:r>
        <w:rPr>
          <w:rFonts w:hint="eastAsia" w:ascii="仿宋" w:hAnsi="仿宋" w:eastAsia="仿宋" w:cs="仿宋"/>
          <w:color w:val="auto"/>
          <w:spacing w:val="-1"/>
          <w:sz w:val="24"/>
          <w:szCs w:val="24"/>
          <w:highlight w:val="none"/>
        </w:rPr>
        <w:t>投标人法定代表人或其授权委托人联系电话：</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p>
    <w:p w14:paraId="2BEF50F1">
      <w:pPr>
        <w:pStyle w:val="11"/>
        <w:keepNext w:val="0"/>
        <w:keepLines w:val="0"/>
        <w:pageBreakBefore w:val="0"/>
        <w:widowControl/>
        <w:shd w:val="clear"/>
        <w:kinsoku w:val="0"/>
        <w:wordWrap w:val="0"/>
        <w:overflowPunct/>
        <w:topLinePunct w:val="0"/>
        <w:autoSpaceDE w:val="0"/>
        <w:autoSpaceDN w:val="0"/>
        <w:bidi w:val="0"/>
        <w:adjustRightInd w:val="0"/>
        <w:snapToGrid w:val="0"/>
        <w:spacing w:line="360" w:lineRule="auto"/>
        <w:ind w:left="0" w:right="0" w:firstLine="400" w:firstLineChars="200"/>
        <w:textAlignment w:val="baseline"/>
        <w:rPr>
          <w:rFonts w:hint="eastAsia" w:ascii="仿宋" w:hAnsi="仿宋" w:eastAsia="仿宋" w:cs="仿宋"/>
          <w:color w:val="auto"/>
          <w:spacing w:val="-20"/>
          <w:sz w:val="24"/>
          <w:szCs w:val="24"/>
          <w:highlight w:val="none"/>
        </w:rPr>
      </w:pPr>
      <w:r>
        <w:rPr>
          <w:rFonts w:hint="eastAsia" w:ascii="仿宋" w:hAnsi="仿宋" w:eastAsia="仿宋" w:cs="仿宋"/>
          <w:color w:val="auto"/>
          <w:spacing w:val="-20"/>
          <w:sz w:val="24"/>
          <w:szCs w:val="24"/>
          <w:highlight w:val="none"/>
        </w:rPr>
        <w:t>日期：</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20"/>
          <w:sz w:val="24"/>
          <w:szCs w:val="24"/>
          <w:highlight w:val="none"/>
        </w:rPr>
        <w:t>年</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20"/>
          <w:sz w:val="24"/>
          <w:szCs w:val="24"/>
          <w:highlight w:val="none"/>
        </w:rPr>
        <w:t>月</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23"/>
          <w:sz w:val="24"/>
          <w:szCs w:val="24"/>
          <w:highlight w:val="none"/>
          <w:u w:val="single" w:color="auto"/>
          <w:lang w:val="en-US" w:eastAsia="zh-CN"/>
        </w:rPr>
        <w:t xml:space="preserve"> </w:t>
      </w:r>
      <w:r>
        <w:rPr>
          <w:rFonts w:hint="eastAsia" w:ascii="仿宋" w:hAnsi="仿宋" w:eastAsia="仿宋" w:cs="仿宋"/>
          <w:color w:val="auto"/>
          <w:spacing w:val="-20"/>
          <w:sz w:val="24"/>
          <w:szCs w:val="24"/>
          <w:highlight w:val="none"/>
        </w:rPr>
        <w:t>日</w:t>
      </w:r>
    </w:p>
    <w:p w14:paraId="4EF3B3C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58" w:firstLineChars="200"/>
        <w:textAlignment w:val="baseline"/>
        <w:rPr>
          <w:color w:val="auto"/>
          <w:sz w:val="24"/>
          <w:szCs w:val="24"/>
          <w:highlight w:val="none"/>
        </w:rPr>
      </w:pPr>
      <w:r>
        <w:rPr>
          <w:b/>
          <w:bCs/>
          <w:color w:val="auto"/>
          <w:spacing w:val="-6"/>
          <w:sz w:val="24"/>
          <w:szCs w:val="24"/>
          <w:highlight w:val="none"/>
        </w:rPr>
        <w:t>说明：除可填报项目外，对本投标函的任何修改</w:t>
      </w:r>
      <w:r>
        <w:rPr>
          <w:b/>
          <w:bCs/>
          <w:color w:val="auto"/>
          <w:spacing w:val="-7"/>
          <w:sz w:val="24"/>
          <w:szCs w:val="24"/>
          <w:highlight w:val="none"/>
        </w:rPr>
        <w:t>将被视为非实质性</w:t>
      </w:r>
      <w:r>
        <w:rPr>
          <w:rFonts w:hint="eastAsia"/>
          <w:b/>
          <w:bCs/>
          <w:color w:val="auto"/>
          <w:spacing w:val="-7"/>
          <w:sz w:val="24"/>
          <w:szCs w:val="24"/>
          <w:highlight w:val="none"/>
          <w:lang w:eastAsia="zh-CN"/>
        </w:rPr>
        <w:t>投标</w:t>
      </w:r>
      <w:r>
        <w:rPr>
          <w:b/>
          <w:bCs/>
          <w:color w:val="auto"/>
          <w:spacing w:val="-3"/>
          <w:sz w:val="24"/>
          <w:szCs w:val="24"/>
          <w:highlight w:val="none"/>
        </w:rPr>
        <w:t>，从而导致该投标被拒绝。</w:t>
      </w:r>
    </w:p>
    <w:p w14:paraId="040BC75C">
      <w:pPr>
        <w:pageBreakBefore w:val="0"/>
        <w:shd w:val="clear"/>
        <w:wordWrap/>
        <w:overflowPunct/>
        <w:topLinePunct w:val="0"/>
        <w:bidi w:val="0"/>
        <w:spacing w:line="25" w:lineRule="atLeast"/>
        <w:rPr>
          <w:color w:val="auto"/>
          <w:sz w:val="28"/>
          <w:szCs w:val="28"/>
          <w:highlight w:val="none"/>
        </w:rPr>
      </w:pPr>
    </w:p>
    <w:p w14:paraId="74E04C64">
      <w:pPr>
        <w:pageBreakBefore w:val="0"/>
        <w:shd w:val="clear"/>
        <w:wordWrap/>
        <w:overflowPunct/>
        <w:topLinePunct w:val="0"/>
        <w:bidi w:val="0"/>
        <w:spacing w:line="25" w:lineRule="atLeast"/>
        <w:rPr>
          <w:color w:val="auto"/>
          <w:sz w:val="28"/>
          <w:szCs w:val="28"/>
          <w:highlight w:val="none"/>
        </w:rPr>
        <w:sectPr>
          <w:headerReference r:id="rId56" w:type="default"/>
          <w:footerReference r:id="rId57" w:type="default"/>
          <w:pgSz w:w="11906" w:h="16839"/>
          <w:pgMar w:top="1440" w:right="1800" w:bottom="1440" w:left="1800" w:header="1090" w:footer="1253" w:gutter="0"/>
          <w:pgNumType w:fmt="decimal"/>
          <w:cols w:space="720" w:num="1"/>
        </w:sectPr>
      </w:pPr>
    </w:p>
    <w:p w14:paraId="1A1D65AB">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ascii="Arial"/>
          <w:color w:val="auto"/>
          <w:sz w:val="30"/>
          <w:szCs w:val="30"/>
          <w:highlight w:val="none"/>
        </w:rPr>
      </w:pPr>
      <w:r>
        <w:rPr>
          <w:b/>
          <w:bCs/>
          <w:color w:val="auto"/>
          <w:spacing w:val="-4"/>
          <w:sz w:val="30"/>
          <w:szCs w:val="30"/>
          <w:highlight w:val="none"/>
        </w:rPr>
        <w:t>商务条款投标及偏离说明表</w:t>
      </w:r>
    </w:p>
    <w:p w14:paraId="07470B14">
      <w:pPr>
        <w:pStyle w:val="11"/>
        <w:pageBreakBefore w:val="0"/>
        <w:shd w:val="clear"/>
        <w:wordWrap/>
        <w:overflowPunct/>
        <w:topLinePunct w:val="0"/>
        <w:bidi w:val="0"/>
        <w:spacing w:before="91" w:line="25" w:lineRule="atLeast"/>
        <w:rPr>
          <w:color w:val="auto"/>
          <w:sz w:val="28"/>
          <w:szCs w:val="28"/>
          <w:highlight w:val="none"/>
        </w:rPr>
      </w:pPr>
      <w:r>
        <w:rPr>
          <w:color w:val="auto"/>
          <w:spacing w:val="-4"/>
          <w:sz w:val="28"/>
          <w:szCs w:val="28"/>
          <w:highlight w:val="none"/>
        </w:rPr>
        <w:t>项目名称：</w:t>
      </w:r>
      <w:r>
        <w:rPr>
          <w:color w:val="auto"/>
          <w:sz w:val="28"/>
          <w:szCs w:val="28"/>
          <w:highlight w:val="none"/>
          <w:u w:val="single" w:color="auto"/>
        </w:rPr>
        <w:t xml:space="preserve">                     </w:t>
      </w:r>
    </w:p>
    <w:p w14:paraId="41FDFE33">
      <w:pPr>
        <w:pStyle w:val="11"/>
        <w:pageBreakBefore w:val="0"/>
        <w:shd w:val="clear"/>
        <w:wordWrap/>
        <w:overflowPunct/>
        <w:topLinePunct w:val="0"/>
        <w:bidi w:val="0"/>
        <w:spacing w:before="34" w:line="25" w:lineRule="atLeast"/>
        <w:rPr>
          <w:color w:val="auto"/>
          <w:sz w:val="28"/>
          <w:szCs w:val="28"/>
          <w:highlight w:val="none"/>
        </w:rPr>
      </w:pPr>
      <w:r>
        <w:rPr>
          <w:color w:val="auto"/>
          <w:spacing w:val="-4"/>
          <w:sz w:val="28"/>
          <w:szCs w:val="28"/>
          <w:highlight w:val="none"/>
        </w:rPr>
        <w:t>项目编号：</w:t>
      </w:r>
      <w:r>
        <w:rPr>
          <w:color w:val="auto"/>
          <w:sz w:val="28"/>
          <w:szCs w:val="28"/>
          <w:highlight w:val="none"/>
          <w:u w:val="single" w:color="auto"/>
        </w:rPr>
        <w:t xml:space="preserve">                     </w:t>
      </w:r>
    </w:p>
    <w:tbl>
      <w:tblPr>
        <w:tblStyle w:val="24"/>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12"/>
        <w:gridCol w:w="875"/>
        <w:gridCol w:w="1393"/>
        <w:gridCol w:w="1941"/>
        <w:gridCol w:w="1247"/>
        <w:gridCol w:w="1070"/>
        <w:gridCol w:w="1079"/>
      </w:tblGrid>
      <w:tr w14:paraId="41E7E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0" w:hRule="atLeast"/>
        </w:trPr>
        <w:tc>
          <w:tcPr>
            <w:tcW w:w="428" w:type="pct"/>
            <w:tcBorders>
              <w:top w:val="single" w:color="000000" w:sz="6" w:space="0"/>
              <w:left w:val="single" w:color="000000" w:sz="6" w:space="0"/>
            </w:tcBorders>
            <w:vAlign w:val="center"/>
          </w:tcPr>
          <w:p w14:paraId="3E1A27E7">
            <w:pPr>
              <w:pStyle w:val="25"/>
              <w:pageBreakBefore w:val="0"/>
              <w:shd w:val="clear"/>
              <w:wordWrap/>
              <w:overflowPunct/>
              <w:topLinePunct w:val="0"/>
              <w:bidi w:val="0"/>
              <w:spacing w:before="65" w:line="25" w:lineRule="atLeast"/>
              <w:ind w:left="0" w:leftChars="0" w:right="0" w:rightChars="0" w:firstLine="0" w:firstLineChars="0"/>
              <w:jc w:val="center"/>
              <w:rPr>
                <w:color w:val="auto"/>
                <w:sz w:val="20"/>
                <w:szCs w:val="20"/>
                <w:highlight w:val="none"/>
              </w:rPr>
            </w:pPr>
            <w:r>
              <w:rPr>
                <w:b/>
                <w:bCs/>
                <w:color w:val="auto"/>
                <w:spacing w:val="4"/>
                <w:sz w:val="20"/>
                <w:szCs w:val="20"/>
                <w:highlight w:val="none"/>
              </w:rPr>
              <w:t>序号</w:t>
            </w:r>
          </w:p>
        </w:tc>
        <w:tc>
          <w:tcPr>
            <w:tcW w:w="526" w:type="pct"/>
            <w:tcBorders>
              <w:top w:val="single" w:color="000000" w:sz="6" w:space="0"/>
            </w:tcBorders>
            <w:vAlign w:val="center"/>
          </w:tcPr>
          <w:p w14:paraId="6992F448">
            <w:pPr>
              <w:pStyle w:val="25"/>
              <w:pageBreakBefore w:val="0"/>
              <w:shd w:val="clear"/>
              <w:wordWrap/>
              <w:overflowPunct/>
              <w:topLinePunct w:val="0"/>
              <w:bidi w:val="0"/>
              <w:spacing w:before="65" w:line="25" w:lineRule="atLeast"/>
              <w:ind w:left="0" w:leftChars="0" w:right="0" w:rightChars="0" w:firstLine="0" w:firstLineChars="0"/>
              <w:jc w:val="center"/>
              <w:rPr>
                <w:color w:val="auto"/>
                <w:sz w:val="20"/>
                <w:szCs w:val="20"/>
                <w:highlight w:val="none"/>
              </w:rPr>
            </w:pPr>
            <w:r>
              <w:rPr>
                <w:b/>
                <w:bCs/>
                <w:color w:val="auto"/>
                <w:spacing w:val="5"/>
                <w:sz w:val="20"/>
                <w:szCs w:val="20"/>
                <w:highlight w:val="none"/>
              </w:rPr>
              <w:t>名称</w:t>
            </w:r>
          </w:p>
        </w:tc>
        <w:tc>
          <w:tcPr>
            <w:tcW w:w="837" w:type="pct"/>
            <w:tcBorders>
              <w:top w:val="single" w:color="000000" w:sz="6" w:space="0"/>
            </w:tcBorders>
            <w:vAlign w:val="center"/>
          </w:tcPr>
          <w:p w14:paraId="54A70EA6">
            <w:pPr>
              <w:pStyle w:val="25"/>
              <w:pageBreakBefore w:val="0"/>
              <w:shd w:val="clear"/>
              <w:wordWrap/>
              <w:overflowPunct/>
              <w:topLinePunct w:val="0"/>
              <w:bidi w:val="0"/>
              <w:spacing w:before="65" w:line="25" w:lineRule="atLeast"/>
              <w:ind w:left="0" w:leftChars="0" w:right="0" w:rightChars="0" w:firstLine="0" w:firstLineChars="0"/>
              <w:jc w:val="center"/>
              <w:rPr>
                <w:color w:val="auto"/>
                <w:sz w:val="20"/>
                <w:szCs w:val="20"/>
                <w:highlight w:val="none"/>
              </w:rPr>
            </w:pPr>
            <w:r>
              <w:rPr>
                <w:rFonts w:hint="eastAsia"/>
                <w:b/>
                <w:bCs/>
                <w:color w:val="auto"/>
                <w:spacing w:val="6"/>
                <w:sz w:val="20"/>
                <w:szCs w:val="20"/>
                <w:highlight w:val="none"/>
                <w:lang w:val="en-US" w:eastAsia="zh-CN"/>
              </w:rPr>
              <w:t>招标</w:t>
            </w:r>
            <w:r>
              <w:rPr>
                <w:b/>
                <w:bCs/>
                <w:color w:val="auto"/>
                <w:spacing w:val="6"/>
                <w:sz w:val="20"/>
                <w:szCs w:val="20"/>
                <w:highlight w:val="none"/>
              </w:rPr>
              <w:t>文件要求</w:t>
            </w:r>
          </w:p>
        </w:tc>
        <w:tc>
          <w:tcPr>
            <w:tcW w:w="1166" w:type="pct"/>
            <w:tcBorders>
              <w:top w:val="single" w:color="000000" w:sz="6" w:space="0"/>
            </w:tcBorders>
            <w:vAlign w:val="center"/>
          </w:tcPr>
          <w:p w14:paraId="7BF4391B">
            <w:pPr>
              <w:pStyle w:val="25"/>
              <w:pageBreakBefore w:val="0"/>
              <w:shd w:val="clear"/>
              <w:wordWrap/>
              <w:overflowPunct/>
              <w:topLinePunct w:val="0"/>
              <w:bidi w:val="0"/>
              <w:spacing w:before="162" w:line="25" w:lineRule="atLeast"/>
              <w:ind w:left="0" w:leftChars="0" w:right="0" w:rightChars="0" w:firstLine="0" w:firstLineChars="0"/>
              <w:jc w:val="center"/>
              <w:rPr>
                <w:color w:val="auto"/>
                <w:sz w:val="20"/>
                <w:szCs w:val="20"/>
                <w:highlight w:val="none"/>
              </w:rPr>
            </w:pPr>
            <w:r>
              <w:rPr>
                <w:b/>
                <w:bCs/>
                <w:color w:val="auto"/>
                <w:spacing w:val="6"/>
                <w:sz w:val="20"/>
                <w:szCs w:val="20"/>
                <w:highlight w:val="none"/>
              </w:rPr>
              <w:t>投标文件响</w:t>
            </w:r>
            <w:r>
              <w:rPr>
                <w:b/>
                <w:bCs/>
                <w:color w:val="auto"/>
                <w:spacing w:val="3"/>
                <w:sz w:val="20"/>
                <w:szCs w:val="20"/>
                <w:highlight w:val="none"/>
              </w:rPr>
              <w:t>应情况</w:t>
            </w:r>
          </w:p>
        </w:tc>
        <w:tc>
          <w:tcPr>
            <w:tcW w:w="749" w:type="pct"/>
            <w:tcBorders>
              <w:top w:val="single" w:color="000000" w:sz="6" w:space="0"/>
            </w:tcBorders>
            <w:vAlign w:val="center"/>
          </w:tcPr>
          <w:p w14:paraId="33F450F9">
            <w:pPr>
              <w:pStyle w:val="25"/>
              <w:pageBreakBefore w:val="0"/>
              <w:shd w:val="clear"/>
              <w:wordWrap/>
              <w:overflowPunct/>
              <w:topLinePunct w:val="0"/>
              <w:bidi w:val="0"/>
              <w:spacing w:before="65" w:line="25" w:lineRule="atLeast"/>
              <w:ind w:left="0" w:leftChars="0" w:right="0" w:rightChars="0" w:firstLine="0" w:firstLineChars="0"/>
              <w:jc w:val="center"/>
              <w:rPr>
                <w:color w:val="auto"/>
                <w:sz w:val="20"/>
                <w:szCs w:val="20"/>
                <w:highlight w:val="none"/>
              </w:rPr>
            </w:pPr>
            <w:r>
              <w:rPr>
                <w:b/>
                <w:bCs/>
                <w:color w:val="auto"/>
                <w:spacing w:val="6"/>
                <w:sz w:val="20"/>
                <w:szCs w:val="20"/>
                <w:highlight w:val="none"/>
              </w:rPr>
              <w:t>偏离情况</w:t>
            </w:r>
          </w:p>
        </w:tc>
        <w:tc>
          <w:tcPr>
            <w:tcW w:w="643" w:type="pct"/>
            <w:tcBorders>
              <w:top w:val="single" w:color="000000" w:sz="6" w:space="0"/>
            </w:tcBorders>
            <w:vAlign w:val="center"/>
          </w:tcPr>
          <w:p w14:paraId="0CF039C2">
            <w:pPr>
              <w:pStyle w:val="25"/>
              <w:pageBreakBefore w:val="0"/>
              <w:shd w:val="clear"/>
              <w:wordWrap/>
              <w:overflowPunct/>
              <w:topLinePunct w:val="0"/>
              <w:bidi w:val="0"/>
              <w:spacing w:before="162" w:line="25" w:lineRule="atLeast"/>
              <w:ind w:left="0" w:leftChars="0" w:right="0" w:rightChars="0" w:firstLine="0" w:firstLineChars="0"/>
              <w:jc w:val="center"/>
              <w:rPr>
                <w:color w:val="auto"/>
                <w:sz w:val="20"/>
                <w:szCs w:val="20"/>
                <w:highlight w:val="none"/>
              </w:rPr>
            </w:pPr>
            <w:r>
              <w:rPr>
                <w:b/>
                <w:bCs/>
                <w:color w:val="auto"/>
                <w:spacing w:val="7"/>
                <w:sz w:val="20"/>
                <w:szCs w:val="20"/>
                <w:highlight w:val="none"/>
              </w:rPr>
              <w:t>供应商说明</w:t>
            </w:r>
            <w:r>
              <w:rPr>
                <w:b/>
                <w:bCs/>
                <w:color w:val="auto"/>
                <w:spacing w:val="5"/>
                <w:sz w:val="20"/>
                <w:szCs w:val="20"/>
                <w:highlight w:val="none"/>
              </w:rPr>
              <w:t>或原因</w:t>
            </w:r>
          </w:p>
        </w:tc>
        <w:tc>
          <w:tcPr>
            <w:tcW w:w="648" w:type="pct"/>
            <w:tcBorders>
              <w:top w:val="single" w:color="000000" w:sz="6" w:space="0"/>
              <w:right w:val="single" w:color="000000" w:sz="6" w:space="0"/>
            </w:tcBorders>
            <w:vAlign w:val="center"/>
          </w:tcPr>
          <w:p w14:paraId="493B7BF8">
            <w:pPr>
              <w:pStyle w:val="25"/>
              <w:pageBreakBefore w:val="0"/>
              <w:shd w:val="clear"/>
              <w:wordWrap/>
              <w:overflowPunct/>
              <w:topLinePunct w:val="0"/>
              <w:bidi w:val="0"/>
              <w:spacing w:before="162" w:line="25" w:lineRule="atLeast"/>
              <w:ind w:left="0" w:leftChars="0" w:right="0" w:rightChars="0" w:firstLine="0" w:firstLineChars="0"/>
              <w:jc w:val="center"/>
              <w:rPr>
                <w:color w:val="auto"/>
                <w:sz w:val="20"/>
                <w:szCs w:val="20"/>
                <w:highlight w:val="none"/>
              </w:rPr>
            </w:pPr>
            <w:r>
              <w:rPr>
                <w:rFonts w:hint="eastAsia"/>
                <w:b/>
                <w:bCs/>
                <w:color w:val="auto"/>
                <w:spacing w:val="5"/>
                <w:sz w:val="20"/>
                <w:szCs w:val="20"/>
                <w:highlight w:val="none"/>
                <w:lang w:val="en-US" w:eastAsia="zh-CN"/>
              </w:rPr>
              <w:t>投标</w:t>
            </w:r>
            <w:r>
              <w:rPr>
                <w:b/>
                <w:bCs/>
                <w:color w:val="auto"/>
                <w:spacing w:val="5"/>
                <w:sz w:val="20"/>
                <w:szCs w:val="20"/>
                <w:highlight w:val="none"/>
              </w:rPr>
              <w:t>文件对</w:t>
            </w:r>
            <w:r>
              <w:rPr>
                <w:b/>
                <w:bCs/>
                <w:color w:val="auto"/>
                <w:spacing w:val="3"/>
                <w:sz w:val="20"/>
                <w:szCs w:val="20"/>
                <w:highlight w:val="none"/>
              </w:rPr>
              <w:t>应页码</w:t>
            </w:r>
          </w:p>
        </w:tc>
      </w:tr>
      <w:tr w14:paraId="00ED3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428" w:type="pct"/>
            <w:tcBorders>
              <w:left w:val="single" w:color="000000" w:sz="6" w:space="0"/>
            </w:tcBorders>
            <w:vAlign w:val="center"/>
          </w:tcPr>
          <w:p w14:paraId="2D5E47D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26" w:type="pct"/>
            <w:vAlign w:val="center"/>
          </w:tcPr>
          <w:p w14:paraId="57B91EE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669EE307">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66" w:type="pct"/>
            <w:vAlign w:val="center"/>
          </w:tcPr>
          <w:p w14:paraId="5076992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49" w:type="pct"/>
            <w:vAlign w:val="center"/>
          </w:tcPr>
          <w:p w14:paraId="34F0882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3" w:type="pct"/>
            <w:vAlign w:val="center"/>
          </w:tcPr>
          <w:p w14:paraId="3E19232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8" w:type="pct"/>
            <w:tcBorders>
              <w:right w:val="single" w:color="000000" w:sz="6" w:space="0"/>
            </w:tcBorders>
            <w:vAlign w:val="center"/>
          </w:tcPr>
          <w:p w14:paraId="1FE11F1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5C202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428" w:type="pct"/>
            <w:tcBorders>
              <w:left w:val="single" w:color="000000" w:sz="6" w:space="0"/>
            </w:tcBorders>
            <w:vAlign w:val="center"/>
          </w:tcPr>
          <w:p w14:paraId="439EECB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26" w:type="pct"/>
            <w:vAlign w:val="center"/>
          </w:tcPr>
          <w:p w14:paraId="304FAED8">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434DE1D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66" w:type="pct"/>
            <w:vAlign w:val="center"/>
          </w:tcPr>
          <w:p w14:paraId="6DD69F5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49" w:type="pct"/>
            <w:vAlign w:val="center"/>
          </w:tcPr>
          <w:p w14:paraId="0E155EB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3" w:type="pct"/>
            <w:vAlign w:val="center"/>
          </w:tcPr>
          <w:p w14:paraId="22003AC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8" w:type="pct"/>
            <w:tcBorders>
              <w:right w:val="single" w:color="000000" w:sz="6" w:space="0"/>
            </w:tcBorders>
            <w:vAlign w:val="center"/>
          </w:tcPr>
          <w:p w14:paraId="6EABECDE">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78EC7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428" w:type="pct"/>
            <w:tcBorders>
              <w:left w:val="single" w:color="000000" w:sz="6" w:space="0"/>
            </w:tcBorders>
            <w:vAlign w:val="center"/>
          </w:tcPr>
          <w:p w14:paraId="04ED65A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26" w:type="pct"/>
            <w:vAlign w:val="center"/>
          </w:tcPr>
          <w:p w14:paraId="65C8D57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7F67001E">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66" w:type="pct"/>
            <w:vAlign w:val="center"/>
          </w:tcPr>
          <w:p w14:paraId="76847CE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49" w:type="pct"/>
            <w:vAlign w:val="center"/>
          </w:tcPr>
          <w:p w14:paraId="039F7D4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3" w:type="pct"/>
            <w:vAlign w:val="center"/>
          </w:tcPr>
          <w:p w14:paraId="5FA083A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8" w:type="pct"/>
            <w:tcBorders>
              <w:right w:val="single" w:color="000000" w:sz="6" w:space="0"/>
            </w:tcBorders>
            <w:vAlign w:val="center"/>
          </w:tcPr>
          <w:p w14:paraId="7F7C115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77763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428" w:type="pct"/>
            <w:tcBorders>
              <w:left w:val="single" w:color="000000" w:sz="6" w:space="0"/>
            </w:tcBorders>
            <w:vAlign w:val="center"/>
          </w:tcPr>
          <w:p w14:paraId="2E9F06D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26" w:type="pct"/>
            <w:vAlign w:val="center"/>
          </w:tcPr>
          <w:p w14:paraId="42953E0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174EAA14">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66" w:type="pct"/>
            <w:vAlign w:val="center"/>
          </w:tcPr>
          <w:p w14:paraId="005EFB62">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49" w:type="pct"/>
            <w:vAlign w:val="center"/>
          </w:tcPr>
          <w:p w14:paraId="73CD59C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3" w:type="pct"/>
            <w:vAlign w:val="center"/>
          </w:tcPr>
          <w:p w14:paraId="6DFD686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8" w:type="pct"/>
            <w:tcBorders>
              <w:right w:val="single" w:color="000000" w:sz="6" w:space="0"/>
            </w:tcBorders>
            <w:vAlign w:val="center"/>
          </w:tcPr>
          <w:p w14:paraId="79EA682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1A717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428" w:type="pct"/>
            <w:tcBorders>
              <w:left w:val="single" w:color="000000" w:sz="6" w:space="0"/>
            </w:tcBorders>
            <w:vAlign w:val="center"/>
          </w:tcPr>
          <w:p w14:paraId="72C43BB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26" w:type="pct"/>
            <w:vAlign w:val="center"/>
          </w:tcPr>
          <w:p w14:paraId="0C89323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04D09CD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66" w:type="pct"/>
            <w:vAlign w:val="center"/>
          </w:tcPr>
          <w:p w14:paraId="2F9619E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49" w:type="pct"/>
            <w:vAlign w:val="center"/>
          </w:tcPr>
          <w:p w14:paraId="76E61B68">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3" w:type="pct"/>
            <w:vAlign w:val="center"/>
          </w:tcPr>
          <w:p w14:paraId="200DC267">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8" w:type="pct"/>
            <w:tcBorders>
              <w:right w:val="single" w:color="000000" w:sz="6" w:space="0"/>
            </w:tcBorders>
            <w:vAlign w:val="center"/>
          </w:tcPr>
          <w:p w14:paraId="05D02B7E">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51149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428" w:type="pct"/>
            <w:tcBorders>
              <w:left w:val="single" w:color="000000" w:sz="6" w:space="0"/>
            </w:tcBorders>
            <w:vAlign w:val="center"/>
          </w:tcPr>
          <w:p w14:paraId="28C4388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26" w:type="pct"/>
            <w:vAlign w:val="center"/>
          </w:tcPr>
          <w:p w14:paraId="2B247D75">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48AC2A0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66" w:type="pct"/>
            <w:vAlign w:val="center"/>
          </w:tcPr>
          <w:p w14:paraId="77EA242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49" w:type="pct"/>
            <w:vAlign w:val="center"/>
          </w:tcPr>
          <w:p w14:paraId="7CDD0CE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3" w:type="pct"/>
            <w:vAlign w:val="center"/>
          </w:tcPr>
          <w:p w14:paraId="0966BEDE">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8" w:type="pct"/>
            <w:tcBorders>
              <w:right w:val="single" w:color="000000" w:sz="6" w:space="0"/>
            </w:tcBorders>
            <w:vAlign w:val="center"/>
          </w:tcPr>
          <w:p w14:paraId="6A2A160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0FE4B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428" w:type="pct"/>
            <w:tcBorders>
              <w:left w:val="single" w:color="000000" w:sz="6" w:space="0"/>
            </w:tcBorders>
            <w:vAlign w:val="center"/>
          </w:tcPr>
          <w:p w14:paraId="638FFC3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26" w:type="pct"/>
            <w:vAlign w:val="center"/>
          </w:tcPr>
          <w:p w14:paraId="495AE8F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05A8D42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66" w:type="pct"/>
            <w:vAlign w:val="center"/>
          </w:tcPr>
          <w:p w14:paraId="31A8C5D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49" w:type="pct"/>
            <w:vAlign w:val="center"/>
          </w:tcPr>
          <w:p w14:paraId="537E5D04">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3" w:type="pct"/>
            <w:vAlign w:val="center"/>
          </w:tcPr>
          <w:p w14:paraId="5EA84B3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8" w:type="pct"/>
            <w:tcBorders>
              <w:right w:val="single" w:color="000000" w:sz="6" w:space="0"/>
            </w:tcBorders>
            <w:vAlign w:val="center"/>
          </w:tcPr>
          <w:p w14:paraId="175BAB55">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702BB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428" w:type="pct"/>
            <w:tcBorders>
              <w:left w:val="single" w:color="000000" w:sz="6" w:space="0"/>
            </w:tcBorders>
            <w:vAlign w:val="center"/>
          </w:tcPr>
          <w:p w14:paraId="5E6C642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26" w:type="pct"/>
            <w:vAlign w:val="center"/>
          </w:tcPr>
          <w:p w14:paraId="7F7077B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0FDC29F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66" w:type="pct"/>
            <w:vAlign w:val="center"/>
          </w:tcPr>
          <w:p w14:paraId="32ACE362">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49" w:type="pct"/>
            <w:vAlign w:val="center"/>
          </w:tcPr>
          <w:p w14:paraId="0FE3782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3" w:type="pct"/>
            <w:vAlign w:val="center"/>
          </w:tcPr>
          <w:p w14:paraId="6667F47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8" w:type="pct"/>
            <w:tcBorders>
              <w:right w:val="single" w:color="000000" w:sz="6" w:space="0"/>
            </w:tcBorders>
            <w:vAlign w:val="center"/>
          </w:tcPr>
          <w:p w14:paraId="6CAD905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61D60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428" w:type="pct"/>
            <w:tcBorders>
              <w:left w:val="single" w:color="000000" w:sz="6" w:space="0"/>
            </w:tcBorders>
            <w:vAlign w:val="center"/>
          </w:tcPr>
          <w:p w14:paraId="61135BC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26" w:type="pct"/>
            <w:vAlign w:val="center"/>
          </w:tcPr>
          <w:p w14:paraId="6B7ECB3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045CE0C2">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66" w:type="pct"/>
            <w:vAlign w:val="center"/>
          </w:tcPr>
          <w:p w14:paraId="64C6D8C4">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49" w:type="pct"/>
            <w:vAlign w:val="center"/>
          </w:tcPr>
          <w:p w14:paraId="56816924">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3" w:type="pct"/>
            <w:vAlign w:val="center"/>
          </w:tcPr>
          <w:p w14:paraId="7136656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8" w:type="pct"/>
            <w:tcBorders>
              <w:right w:val="single" w:color="000000" w:sz="6" w:space="0"/>
            </w:tcBorders>
            <w:vAlign w:val="center"/>
          </w:tcPr>
          <w:p w14:paraId="7BAD1B15">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273CA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428" w:type="pct"/>
            <w:tcBorders>
              <w:left w:val="single" w:color="000000" w:sz="6" w:space="0"/>
              <w:bottom w:val="single" w:color="000000" w:sz="6" w:space="0"/>
            </w:tcBorders>
            <w:vAlign w:val="center"/>
          </w:tcPr>
          <w:p w14:paraId="079089DE">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26" w:type="pct"/>
            <w:tcBorders>
              <w:bottom w:val="single" w:color="000000" w:sz="6" w:space="0"/>
            </w:tcBorders>
            <w:vAlign w:val="center"/>
          </w:tcPr>
          <w:p w14:paraId="298955C7">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tcBorders>
              <w:bottom w:val="single" w:color="000000" w:sz="6" w:space="0"/>
            </w:tcBorders>
            <w:vAlign w:val="center"/>
          </w:tcPr>
          <w:p w14:paraId="2F25E8B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66" w:type="pct"/>
            <w:tcBorders>
              <w:bottom w:val="single" w:color="000000" w:sz="6" w:space="0"/>
            </w:tcBorders>
            <w:vAlign w:val="center"/>
          </w:tcPr>
          <w:p w14:paraId="1F2C25D5">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49" w:type="pct"/>
            <w:tcBorders>
              <w:bottom w:val="single" w:color="000000" w:sz="6" w:space="0"/>
            </w:tcBorders>
            <w:vAlign w:val="center"/>
          </w:tcPr>
          <w:p w14:paraId="18EC8AB8">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3" w:type="pct"/>
            <w:tcBorders>
              <w:bottom w:val="single" w:color="000000" w:sz="6" w:space="0"/>
            </w:tcBorders>
            <w:vAlign w:val="center"/>
          </w:tcPr>
          <w:p w14:paraId="73C8EC2E">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48" w:type="pct"/>
            <w:tcBorders>
              <w:bottom w:val="single" w:color="000000" w:sz="6" w:space="0"/>
              <w:right w:val="single" w:color="000000" w:sz="6" w:space="0"/>
            </w:tcBorders>
            <w:vAlign w:val="center"/>
          </w:tcPr>
          <w:p w14:paraId="178755A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bl>
    <w:p w14:paraId="01D3190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456" w:firstLineChars="200"/>
        <w:textAlignment w:val="baseline"/>
        <w:rPr>
          <w:color w:val="auto"/>
          <w:sz w:val="24"/>
          <w:szCs w:val="24"/>
          <w:highlight w:val="none"/>
        </w:rPr>
      </w:pPr>
      <w:r>
        <w:rPr>
          <w:color w:val="auto"/>
          <w:spacing w:val="-6"/>
          <w:sz w:val="24"/>
          <w:szCs w:val="24"/>
          <w:highlight w:val="none"/>
        </w:rPr>
        <w:t>说明：1、如投标人提交的商务条款与招标文件的要求存在偏离，需逐项</w:t>
      </w:r>
      <w:r>
        <w:rPr>
          <w:color w:val="auto"/>
          <w:spacing w:val="-7"/>
          <w:sz w:val="24"/>
          <w:szCs w:val="24"/>
          <w:highlight w:val="none"/>
        </w:rPr>
        <w:t>填写《商</w:t>
      </w:r>
      <w:r>
        <w:rPr>
          <w:color w:val="auto"/>
          <w:spacing w:val="-2"/>
          <w:sz w:val="24"/>
          <w:szCs w:val="24"/>
          <w:highlight w:val="none"/>
        </w:rPr>
        <w:t>务条款偏离说明表》。</w:t>
      </w:r>
    </w:p>
    <w:p w14:paraId="0E61221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476" w:firstLineChars="200"/>
        <w:textAlignment w:val="baseline"/>
        <w:rPr>
          <w:color w:val="auto"/>
          <w:sz w:val="24"/>
          <w:szCs w:val="24"/>
          <w:highlight w:val="none"/>
        </w:rPr>
      </w:pPr>
      <w:r>
        <w:rPr>
          <w:color w:val="auto"/>
          <w:spacing w:val="-1"/>
          <w:sz w:val="24"/>
          <w:szCs w:val="24"/>
          <w:highlight w:val="none"/>
        </w:rPr>
        <w:t>2、偏离情况填写正偏离或负偏离或无偏离。</w:t>
      </w:r>
    </w:p>
    <w:p w14:paraId="58929CDC">
      <w:pPr>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420" w:firstLineChars="200"/>
        <w:textAlignment w:val="baseline"/>
        <w:rPr>
          <w:rFonts w:ascii="Arial"/>
          <w:color w:val="auto"/>
          <w:sz w:val="21"/>
          <w:highlight w:val="none"/>
        </w:rPr>
      </w:pPr>
    </w:p>
    <w:p w14:paraId="561AFD1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552" w:firstLineChars="200"/>
        <w:textAlignment w:val="baseline"/>
        <w:rPr>
          <w:color w:val="auto"/>
          <w:sz w:val="28"/>
          <w:szCs w:val="28"/>
          <w:highlight w:val="none"/>
        </w:rPr>
      </w:pPr>
      <w:r>
        <w:rPr>
          <w:color w:val="auto"/>
          <w:spacing w:val="-2"/>
          <w:sz w:val="28"/>
          <w:szCs w:val="28"/>
          <w:highlight w:val="none"/>
        </w:rPr>
        <w:t>投标人名称（盖章</w:t>
      </w:r>
      <w:r>
        <w:rPr>
          <w:color w:val="auto"/>
          <w:spacing w:val="-1"/>
          <w:sz w:val="28"/>
          <w:szCs w:val="28"/>
          <w:highlight w:val="none"/>
        </w:rPr>
        <w:t>）：</w:t>
      </w:r>
      <w:r>
        <w:rPr>
          <w:color w:val="auto"/>
          <w:sz w:val="28"/>
          <w:szCs w:val="28"/>
          <w:highlight w:val="none"/>
          <w:u w:val="single" w:color="auto"/>
        </w:rPr>
        <w:t xml:space="preserve">                 </w:t>
      </w:r>
    </w:p>
    <w:p w14:paraId="5D5F699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556" w:firstLineChars="200"/>
        <w:textAlignment w:val="baseline"/>
        <w:rPr>
          <w:color w:val="auto"/>
          <w:sz w:val="28"/>
          <w:szCs w:val="28"/>
          <w:highlight w:val="none"/>
        </w:rPr>
      </w:pPr>
      <w:r>
        <w:rPr>
          <w:color w:val="auto"/>
          <w:spacing w:val="-1"/>
          <w:sz w:val="28"/>
          <w:szCs w:val="28"/>
          <w:highlight w:val="none"/>
        </w:rPr>
        <w:t>投标人法定代表人或其授权委托人（签字或盖章</w:t>
      </w:r>
      <w:r>
        <w:rPr>
          <w:color w:val="auto"/>
          <w:spacing w:val="2"/>
          <w:sz w:val="28"/>
          <w:szCs w:val="28"/>
          <w:highlight w:val="none"/>
        </w:rPr>
        <w:t>）：</w:t>
      </w:r>
      <w:r>
        <w:rPr>
          <w:color w:val="auto"/>
          <w:sz w:val="28"/>
          <w:szCs w:val="28"/>
          <w:highlight w:val="none"/>
          <w:u w:val="single" w:color="auto"/>
        </w:rPr>
        <w:t xml:space="preserve">      </w:t>
      </w:r>
    </w:p>
    <w:p w14:paraId="25BEA09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right="0" w:firstLine="488" w:firstLineChars="200"/>
        <w:textAlignment w:val="baseline"/>
        <w:rPr>
          <w:color w:val="auto"/>
          <w:sz w:val="28"/>
          <w:szCs w:val="28"/>
          <w:highlight w:val="none"/>
        </w:rPr>
      </w:pPr>
      <w:r>
        <w:rPr>
          <w:color w:val="auto"/>
          <w:spacing w:val="-18"/>
          <w:sz w:val="28"/>
          <w:szCs w:val="28"/>
          <w:highlight w:val="none"/>
        </w:rPr>
        <w:t>日期：</w:t>
      </w:r>
      <w:r>
        <w:rPr>
          <w:color w:val="auto"/>
          <w:sz w:val="28"/>
          <w:szCs w:val="28"/>
          <w:highlight w:val="none"/>
          <w:u w:val="single" w:color="auto"/>
        </w:rPr>
        <w:t xml:space="preserve">    </w:t>
      </w:r>
      <w:r>
        <w:rPr>
          <w:color w:val="auto"/>
          <w:spacing w:val="-18"/>
          <w:sz w:val="28"/>
          <w:szCs w:val="28"/>
          <w:highlight w:val="none"/>
        </w:rPr>
        <w:t>年</w:t>
      </w:r>
      <w:r>
        <w:rPr>
          <w:color w:val="auto"/>
          <w:spacing w:val="46"/>
          <w:sz w:val="28"/>
          <w:szCs w:val="28"/>
          <w:highlight w:val="none"/>
          <w:u w:val="single" w:color="auto"/>
        </w:rPr>
        <w:t xml:space="preserve">   </w:t>
      </w:r>
      <w:r>
        <w:rPr>
          <w:color w:val="auto"/>
          <w:spacing w:val="-18"/>
          <w:sz w:val="28"/>
          <w:szCs w:val="28"/>
          <w:highlight w:val="none"/>
        </w:rPr>
        <w:t>月</w:t>
      </w:r>
      <w:r>
        <w:rPr>
          <w:color w:val="auto"/>
          <w:spacing w:val="46"/>
          <w:sz w:val="28"/>
          <w:szCs w:val="28"/>
          <w:highlight w:val="none"/>
          <w:u w:val="single" w:color="auto"/>
        </w:rPr>
        <w:t xml:space="preserve">   </w:t>
      </w:r>
      <w:r>
        <w:rPr>
          <w:color w:val="auto"/>
          <w:spacing w:val="-18"/>
          <w:sz w:val="28"/>
          <w:szCs w:val="28"/>
          <w:highlight w:val="none"/>
        </w:rPr>
        <w:t>日</w:t>
      </w:r>
    </w:p>
    <w:p w14:paraId="63FBF846">
      <w:pPr>
        <w:pageBreakBefore w:val="0"/>
        <w:shd w:val="clear"/>
        <w:wordWrap/>
        <w:overflowPunct/>
        <w:topLinePunct w:val="0"/>
        <w:bidi w:val="0"/>
        <w:spacing w:line="25" w:lineRule="atLeast"/>
        <w:rPr>
          <w:color w:val="auto"/>
          <w:sz w:val="28"/>
          <w:szCs w:val="28"/>
          <w:highlight w:val="none"/>
        </w:rPr>
      </w:pPr>
    </w:p>
    <w:p w14:paraId="5B35BD1C">
      <w:pPr>
        <w:pageBreakBefore w:val="0"/>
        <w:shd w:val="clear"/>
        <w:wordWrap/>
        <w:overflowPunct/>
        <w:topLinePunct w:val="0"/>
        <w:bidi w:val="0"/>
        <w:spacing w:line="25" w:lineRule="atLeast"/>
        <w:rPr>
          <w:color w:val="auto"/>
          <w:sz w:val="28"/>
          <w:szCs w:val="28"/>
          <w:highlight w:val="none"/>
        </w:rPr>
        <w:sectPr>
          <w:headerReference r:id="rId58" w:type="default"/>
          <w:footerReference r:id="rId59" w:type="default"/>
          <w:pgSz w:w="11906" w:h="16839"/>
          <w:pgMar w:top="1440" w:right="1800" w:bottom="1440" w:left="1800" w:header="1090" w:footer="1253" w:gutter="0"/>
          <w:pgNumType w:fmt="decimal"/>
          <w:cols w:space="720" w:num="1"/>
        </w:sectPr>
      </w:pPr>
    </w:p>
    <w:p w14:paraId="2A87187A">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color w:val="auto"/>
          <w:sz w:val="32"/>
          <w:szCs w:val="32"/>
          <w:highlight w:val="none"/>
        </w:rPr>
      </w:pPr>
      <w:r>
        <w:rPr>
          <w:b/>
          <w:bCs/>
          <w:color w:val="auto"/>
          <w:spacing w:val="-3"/>
          <w:sz w:val="32"/>
          <w:szCs w:val="32"/>
          <w:highlight w:val="none"/>
        </w:rPr>
        <w:t>技术参数投标及偏离说明表</w:t>
      </w:r>
    </w:p>
    <w:p w14:paraId="3FDDE350">
      <w:pPr>
        <w:pStyle w:val="11"/>
        <w:pageBreakBefore w:val="0"/>
        <w:shd w:val="clear"/>
        <w:wordWrap/>
        <w:overflowPunct/>
        <w:topLinePunct w:val="0"/>
        <w:bidi w:val="0"/>
        <w:spacing w:before="91" w:line="25" w:lineRule="atLeast"/>
        <w:ind w:left="127"/>
        <w:rPr>
          <w:color w:val="auto"/>
          <w:sz w:val="28"/>
          <w:szCs w:val="28"/>
          <w:highlight w:val="none"/>
        </w:rPr>
      </w:pPr>
      <w:r>
        <w:rPr>
          <w:color w:val="auto"/>
          <w:spacing w:val="-4"/>
          <w:sz w:val="28"/>
          <w:szCs w:val="28"/>
          <w:highlight w:val="none"/>
        </w:rPr>
        <w:t>项目名称：</w:t>
      </w:r>
      <w:r>
        <w:rPr>
          <w:color w:val="auto"/>
          <w:sz w:val="28"/>
          <w:szCs w:val="28"/>
          <w:highlight w:val="none"/>
          <w:u w:val="single" w:color="auto"/>
        </w:rPr>
        <w:t xml:space="preserve">                     </w:t>
      </w:r>
    </w:p>
    <w:p w14:paraId="187A75EE">
      <w:pPr>
        <w:pStyle w:val="11"/>
        <w:pageBreakBefore w:val="0"/>
        <w:shd w:val="clear"/>
        <w:wordWrap/>
        <w:overflowPunct/>
        <w:topLinePunct w:val="0"/>
        <w:bidi w:val="0"/>
        <w:spacing w:before="33" w:line="25" w:lineRule="atLeast"/>
        <w:ind w:left="127"/>
        <w:rPr>
          <w:color w:val="auto"/>
          <w:sz w:val="28"/>
          <w:szCs w:val="28"/>
          <w:highlight w:val="none"/>
        </w:rPr>
      </w:pPr>
      <w:r>
        <w:rPr>
          <w:color w:val="auto"/>
          <w:spacing w:val="-4"/>
          <w:sz w:val="28"/>
          <w:szCs w:val="28"/>
          <w:highlight w:val="none"/>
        </w:rPr>
        <w:t>项目编号：</w:t>
      </w:r>
      <w:r>
        <w:rPr>
          <w:color w:val="auto"/>
          <w:sz w:val="28"/>
          <w:szCs w:val="28"/>
          <w:highlight w:val="none"/>
          <w:u w:val="single" w:color="auto"/>
        </w:rPr>
        <w:t xml:space="preserve">                     </w:t>
      </w:r>
    </w:p>
    <w:tbl>
      <w:tblPr>
        <w:tblStyle w:val="2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93"/>
        <w:gridCol w:w="1450"/>
        <w:gridCol w:w="1831"/>
        <w:gridCol w:w="1090"/>
        <w:gridCol w:w="1452"/>
        <w:gridCol w:w="1694"/>
      </w:tblGrid>
      <w:tr w14:paraId="37B87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477" w:type="pct"/>
            <w:vAlign w:val="center"/>
          </w:tcPr>
          <w:p w14:paraId="1D1F3D13">
            <w:pPr>
              <w:pStyle w:val="25"/>
              <w:pageBreakBefore w:val="0"/>
              <w:shd w:val="clear"/>
              <w:wordWrap/>
              <w:overflowPunct/>
              <w:topLinePunct w:val="0"/>
              <w:bidi w:val="0"/>
              <w:spacing w:before="220" w:line="25" w:lineRule="atLeast"/>
              <w:ind w:left="0" w:leftChars="0" w:right="0" w:rightChars="0" w:firstLine="0" w:firstLineChars="0"/>
              <w:jc w:val="center"/>
              <w:rPr>
                <w:color w:val="auto"/>
                <w:sz w:val="20"/>
                <w:szCs w:val="20"/>
                <w:highlight w:val="none"/>
              </w:rPr>
            </w:pPr>
            <w:r>
              <w:rPr>
                <w:b/>
                <w:bCs/>
                <w:color w:val="auto"/>
                <w:spacing w:val="4"/>
                <w:sz w:val="20"/>
                <w:szCs w:val="20"/>
                <w:highlight w:val="none"/>
              </w:rPr>
              <w:t>序号</w:t>
            </w:r>
          </w:p>
        </w:tc>
        <w:tc>
          <w:tcPr>
            <w:tcW w:w="872" w:type="pct"/>
            <w:vAlign w:val="center"/>
          </w:tcPr>
          <w:p w14:paraId="69984AF6">
            <w:pPr>
              <w:pStyle w:val="25"/>
              <w:pageBreakBefore w:val="0"/>
              <w:shd w:val="clear"/>
              <w:wordWrap/>
              <w:overflowPunct/>
              <w:topLinePunct w:val="0"/>
              <w:bidi w:val="0"/>
              <w:spacing w:before="220" w:line="25" w:lineRule="atLeast"/>
              <w:ind w:left="0" w:leftChars="0" w:right="0" w:rightChars="0" w:firstLine="0" w:firstLineChars="0"/>
              <w:jc w:val="center"/>
              <w:rPr>
                <w:color w:val="auto"/>
                <w:sz w:val="20"/>
                <w:szCs w:val="20"/>
                <w:highlight w:val="none"/>
              </w:rPr>
            </w:pPr>
            <w:r>
              <w:rPr>
                <w:rFonts w:hint="eastAsia"/>
                <w:b/>
                <w:bCs/>
                <w:color w:val="auto"/>
                <w:spacing w:val="6"/>
                <w:sz w:val="20"/>
                <w:szCs w:val="20"/>
                <w:highlight w:val="none"/>
                <w:lang w:val="en-US" w:eastAsia="zh-CN"/>
              </w:rPr>
              <w:t>招标</w:t>
            </w:r>
            <w:r>
              <w:rPr>
                <w:b/>
                <w:bCs/>
                <w:color w:val="auto"/>
                <w:spacing w:val="6"/>
                <w:sz w:val="20"/>
                <w:szCs w:val="20"/>
                <w:highlight w:val="none"/>
              </w:rPr>
              <w:t>文件要求</w:t>
            </w:r>
          </w:p>
        </w:tc>
        <w:tc>
          <w:tcPr>
            <w:tcW w:w="1101" w:type="pct"/>
            <w:vAlign w:val="center"/>
          </w:tcPr>
          <w:p w14:paraId="4F6389DA">
            <w:pPr>
              <w:pStyle w:val="25"/>
              <w:pageBreakBefore w:val="0"/>
              <w:shd w:val="clear"/>
              <w:wordWrap/>
              <w:overflowPunct/>
              <w:topLinePunct w:val="0"/>
              <w:bidi w:val="0"/>
              <w:spacing w:before="220" w:line="25" w:lineRule="atLeast"/>
              <w:ind w:left="0" w:leftChars="0" w:right="0" w:rightChars="0" w:firstLine="0" w:firstLineChars="0"/>
              <w:jc w:val="center"/>
              <w:rPr>
                <w:color w:val="auto"/>
                <w:sz w:val="20"/>
                <w:szCs w:val="20"/>
                <w:highlight w:val="none"/>
              </w:rPr>
            </w:pPr>
            <w:r>
              <w:rPr>
                <w:rFonts w:hint="eastAsia"/>
                <w:b/>
                <w:bCs/>
                <w:color w:val="auto"/>
                <w:spacing w:val="6"/>
                <w:sz w:val="20"/>
                <w:szCs w:val="20"/>
                <w:highlight w:val="none"/>
                <w:lang w:val="en-US" w:eastAsia="zh-CN"/>
              </w:rPr>
              <w:t>投标</w:t>
            </w:r>
            <w:r>
              <w:rPr>
                <w:b/>
                <w:bCs/>
                <w:color w:val="auto"/>
                <w:spacing w:val="6"/>
                <w:sz w:val="20"/>
                <w:szCs w:val="20"/>
                <w:highlight w:val="none"/>
              </w:rPr>
              <w:t>文件响应情况</w:t>
            </w:r>
          </w:p>
        </w:tc>
        <w:tc>
          <w:tcPr>
            <w:tcW w:w="655" w:type="pct"/>
            <w:vAlign w:val="center"/>
          </w:tcPr>
          <w:p w14:paraId="472742B4">
            <w:pPr>
              <w:pStyle w:val="25"/>
              <w:pageBreakBefore w:val="0"/>
              <w:shd w:val="clear"/>
              <w:wordWrap/>
              <w:overflowPunct/>
              <w:topLinePunct w:val="0"/>
              <w:bidi w:val="0"/>
              <w:spacing w:before="220" w:line="25" w:lineRule="atLeast"/>
              <w:ind w:left="0" w:leftChars="0" w:right="0" w:rightChars="0" w:firstLine="0" w:firstLineChars="0"/>
              <w:jc w:val="center"/>
              <w:rPr>
                <w:color w:val="auto"/>
                <w:sz w:val="20"/>
                <w:szCs w:val="20"/>
                <w:highlight w:val="none"/>
              </w:rPr>
            </w:pPr>
            <w:r>
              <w:rPr>
                <w:b/>
                <w:bCs/>
                <w:color w:val="auto"/>
                <w:spacing w:val="6"/>
                <w:sz w:val="20"/>
                <w:szCs w:val="20"/>
                <w:highlight w:val="none"/>
              </w:rPr>
              <w:t>偏离情况</w:t>
            </w:r>
          </w:p>
        </w:tc>
        <w:tc>
          <w:tcPr>
            <w:tcW w:w="873" w:type="pct"/>
            <w:vAlign w:val="center"/>
          </w:tcPr>
          <w:p w14:paraId="104CD893">
            <w:pPr>
              <w:pStyle w:val="25"/>
              <w:pageBreakBefore w:val="0"/>
              <w:shd w:val="clear"/>
              <w:wordWrap/>
              <w:overflowPunct/>
              <w:topLinePunct w:val="0"/>
              <w:bidi w:val="0"/>
              <w:spacing w:before="59" w:line="25" w:lineRule="atLeast"/>
              <w:ind w:left="0" w:leftChars="0" w:right="0" w:rightChars="0" w:firstLine="0" w:firstLineChars="0"/>
              <w:jc w:val="center"/>
              <w:rPr>
                <w:color w:val="auto"/>
                <w:sz w:val="20"/>
                <w:szCs w:val="20"/>
                <w:highlight w:val="none"/>
              </w:rPr>
            </w:pPr>
            <w:r>
              <w:rPr>
                <w:b/>
                <w:bCs/>
                <w:color w:val="auto"/>
                <w:spacing w:val="7"/>
                <w:sz w:val="20"/>
                <w:szCs w:val="20"/>
                <w:highlight w:val="none"/>
              </w:rPr>
              <w:t>供应商说</w:t>
            </w:r>
            <w:r>
              <w:rPr>
                <w:b/>
                <w:bCs/>
                <w:color w:val="auto"/>
                <w:spacing w:val="1"/>
                <w:sz w:val="20"/>
                <w:szCs w:val="20"/>
                <w:highlight w:val="none"/>
              </w:rPr>
              <w:t>明或原因</w:t>
            </w:r>
          </w:p>
        </w:tc>
        <w:tc>
          <w:tcPr>
            <w:tcW w:w="1018" w:type="pct"/>
            <w:vAlign w:val="center"/>
          </w:tcPr>
          <w:p w14:paraId="242E5E29">
            <w:pPr>
              <w:pStyle w:val="25"/>
              <w:pageBreakBefore w:val="0"/>
              <w:shd w:val="clear"/>
              <w:wordWrap/>
              <w:overflowPunct/>
              <w:topLinePunct w:val="0"/>
              <w:bidi w:val="0"/>
              <w:spacing w:before="59" w:line="25" w:lineRule="atLeast"/>
              <w:ind w:left="0" w:leftChars="0" w:right="0" w:rightChars="0" w:firstLine="0" w:firstLineChars="0"/>
              <w:jc w:val="center"/>
              <w:rPr>
                <w:color w:val="auto"/>
                <w:sz w:val="20"/>
                <w:szCs w:val="20"/>
                <w:highlight w:val="none"/>
              </w:rPr>
            </w:pPr>
            <w:r>
              <w:rPr>
                <w:rFonts w:hint="eastAsia"/>
                <w:b/>
                <w:bCs/>
                <w:color w:val="auto"/>
                <w:spacing w:val="4"/>
                <w:sz w:val="20"/>
                <w:szCs w:val="20"/>
                <w:highlight w:val="none"/>
                <w:lang w:val="en-US" w:eastAsia="zh-CN"/>
              </w:rPr>
              <w:t>投标</w:t>
            </w:r>
            <w:r>
              <w:rPr>
                <w:b/>
                <w:bCs/>
                <w:color w:val="auto"/>
                <w:spacing w:val="4"/>
                <w:sz w:val="20"/>
                <w:szCs w:val="20"/>
                <w:highlight w:val="none"/>
              </w:rPr>
              <w:t>文件</w:t>
            </w:r>
            <w:r>
              <w:rPr>
                <w:b/>
                <w:bCs/>
                <w:color w:val="auto"/>
                <w:spacing w:val="5"/>
                <w:sz w:val="20"/>
                <w:szCs w:val="20"/>
                <w:highlight w:val="none"/>
              </w:rPr>
              <w:t>对应页码</w:t>
            </w:r>
          </w:p>
        </w:tc>
      </w:tr>
      <w:tr w14:paraId="21A05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477" w:type="pct"/>
            <w:vAlign w:val="center"/>
          </w:tcPr>
          <w:p w14:paraId="516E71F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2" w:type="pct"/>
            <w:vAlign w:val="center"/>
          </w:tcPr>
          <w:p w14:paraId="5318FD7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01" w:type="pct"/>
            <w:vAlign w:val="center"/>
          </w:tcPr>
          <w:p w14:paraId="3FB84BB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55" w:type="pct"/>
            <w:vAlign w:val="center"/>
          </w:tcPr>
          <w:p w14:paraId="4FFE42C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3" w:type="pct"/>
            <w:vAlign w:val="center"/>
          </w:tcPr>
          <w:p w14:paraId="3B3DA05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018" w:type="pct"/>
            <w:vAlign w:val="center"/>
          </w:tcPr>
          <w:p w14:paraId="734769C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055AC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477" w:type="pct"/>
            <w:vAlign w:val="center"/>
          </w:tcPr>
          <w:p w14:paraId="49A7D92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2" w:type="pct"/>
            <w:vAlign w:val="center"/>
          </w:tcPr>
          <w:p w14:paraId="2B4EC44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01" w:type="pct"/>
            <w:vAlign w:val="center"/>
          </w:tcPr>
          <w:p w14:paraId="367DABF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55" w:type="pct"/>
            <w:vAlign w:val="center"/>
          </w:tcPr>
          <w:p w14:paraId="67FB2AE4">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3" w:type="pct"/>
            <w:vAlign w:val="center"/>
          </w:tcPr>
          <w:p w14:paraId="473681B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018" w:type="pct"/>
            <w:vAlign w:val="center"/>
          </w:tcPr>
          <w:p w14:paraId="0C73AD5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445C4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477" w:type="pct"/>
            <w:vAlign w:val="center"/>
          </w:tcPr>
          <w:p w14:paraId="08F0C8C4">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2" w:type="pct"/>
            <w:vAlign w:val="center"/>
          </w:tcPr>
          <w:p w14:paraId="7EFB141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01" w:type="pct"/>
            <w:vAlign w:val="center"/>
          </w:tcPr>
          <w:p w14:paraId="172C08B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55" w:type="pct"/>
            <w:vAlign w:val="center"/>
          </w:tcPr>
          <w:p w14:paraId="6B503D1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3" w:type="pct"/>
            <w:vAlign w:val="center"/>
          </w:tcPr>
          <w:p w14:paraId="3DC26A3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018" w:type="pct"/>
            <w:vAlign w:val="center"/>
          </w:tcPr>
          <w:p w14:paraId="058D393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36450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477" w:type="pct"/>
            <w:vAlign w:val="center"/>
          </w:tcPr>
          <w:p w14:paraId="6D170EF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2" w:type="pct"/>
            <w:vAlign w:val="center"/>
          </w:tcPr>
          <w:p w14:paraId="594EAD2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01" w:type="pct"/>
            <w:vAlign w:val="center"/>
          </w:tcPr>
          <w:p w14:paraId="46CCB1C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55" w:type="pct"/>
            <w:vAlign w:val="center"/>
          </w:tcPr>
          <w:p w14:paraId="609F531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3" w:type="pct"/>
            <w:vAlign w:val="center"/>
          </w:tcPr>
          <w:p w14:paraId="472C4D5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018" w:type="pct"/>
            <w:vAlign w:val="center"/>
          </w:tcPr>
          <w:p w14:paraId="3ECDA8A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74212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477" w:type="pct"/>
            <w:vAlign w:val="center"/>
          </w:tcPr>
          <w:p w14:paraId="6F278AD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2" w:type="pct"/>
            <w:vAlign w:val="center"/>
          </w:tcPr>
          <w:p w14:paraId="292621F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01" w:type="pct"/>
            <w:vAlign w:val="center"/>
          </w:tcPr>
          <w:p w14:paraId="22C2891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55" w:type="pct"/>
            <w:vAlign w:val="center"/>
          </w:tcPr>
          <w:p w14:paraId="51EA385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3" w:type="pct"/>
            <w:vAlign w:val="center"/>
          </w:tcPr>
          <w:p w14:paraId="662A7B1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018" w:type="pct"/>
            <w:vAlign w:val="center"/>
          </w:tcPr>
          <w:p w14:paraId="4AA04D1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6CE04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5" w:hRule="atLeast"/>
        </w:trPr>
        <w:tc>
          <w:tcPr>
            <w:tcW w:w="477" w:type="pct"/>
            <w:vAlign w:val="center"/>
          </w:tcPr>
          <w:p w14:paraId="310287D7">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2" w:type="pct"/>
            <w:vAlign w:val="center"/>
          </w:tcPr>
          <w:p w14:paraId="6931794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01" w:type="pct"/>
            <w:vAlign w:val="center"/>
          </w:tcPr>
          <w:p w14:paraId="56BD321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55" w:type="pct"/>
            <w:vAlign w:val="center"/>
          </w:tcPr>
          <w:p w14:paraId="6A6C269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3" w:type="pct"/>
            <w:vAlign w:val="center"/>
          </w:tcPr>
          <w:p w14:paraId="1FA639E8">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018" w:type="pct"/>
            <w:vAlign w:val="center"/>
          </w:tcPr>
          <w:p w14:paraId="5B339304">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391B2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477" w:type="pct"/>
            <w:vAlign w:val="center"/>
          </w:tcPr>
          <w:p w14:paraId="1E8CA06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2" w:type="pct"/>
            <w:vAlign w:val="center"/>
          </w:tcPr>
          <w:p w14:paraId="1F1DB25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01" w:type="pct"/>
            <w:vAlign w:val="center"/>
          </w:tcPr>
          <w:p w14:paraId="5A5A3C5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55" w:type="pct"/>
            <w:vAlign w:val="center"/>
          </w:tcPr>
          <w:p w14:paraId="00C51667">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3" w:type="pct"/>
            <w:vAlign w:val="center"/>
          </w:tcPr>
          <w:p w14:paraId="522E6B64">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018" w:type="pct"/>
            <w:vAlign w:val="center"/>
          </w:tcPr>
          <w:p w14:paraId="0F3636D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58283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477" w:type="pct"/>
            <w:vAlign w:val="center"/>
          </w:tcPr>
          <w:p w14:paraId="4D3AB9D5">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2" w:type="pct"/>
            <w:vAlign w:val="center"/>
          </w:tcPr>
          <w:p w14:paraId="1130E90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01" w:type="pct"/>
            <w:vAlign w:val="center"/>
          </w:tcPr>
          <w:p w14:paraId="7075AFA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655" w:type="pct"/>
            <w:vAlign w:val="center"/>
          </w:tcPr>
          <w:p w14:paraId="75DCC4A8">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73" w:type="pct"/>
            <w:vAlign w:val="center"/>
          </w:tcPr>
          <w:p w14:paraId="351E70B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018" w:type="pct"/>
            <w:vAlign w:val="center"/>
          </w:tcPr>
          <w:p w14:paraId="477937A2">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bl>
    <w:p w14:paraId="50EF17C9">
      <w:pPr>
        <w:pStyle w:val="11"/>
        <w:keepNext w:val="0"/>
        <w:keepLines w:val="0"/>
        <w:pageBreakBefore w:val="0"/>
        <w:widowControl/>
        <w:shd w:val="clear"/>
        <w:tabs>
          <w:tab w:val="left" w:pos="6930"/>
          <w:tab w:val="left" w:pos="8400"/>
        </w:tabs>
        <w:kinsoku w:val="0"/>
        <w:wordWrap/>
        <w:overflowPunct/>
        <w:topLinePunct w:val="0"/>
        <w:autoSpaceDE w:val="0"/>
        <w:autoSpaceDN w:val="0"/>
        <w:bidi w:val="0"/>
        <w:adjustRightInd w:val="0"/>
        <w:snapToGrid w:val="0"/>
        <w:spacing w:line="360" w:lineRule="auto"/>
        <w:ind w:left="0" w:leftChars="0" w:right="0" w:rightChars="0" w:firstLine="456" w:firstLineChars="200"/>
        <w:textAlignment w:val="baseline"/>
        <w:rPr>
          <w:color w:val="auto"/>
          <w:sz w:val="24"/>
          <w:szCs w:val="24"/>
          <w:highlight w:val="none"/>
        </w:rPr>
      </w:pPr>
      <w:r>
        <w:rPr>
          <w:color w:val="auto"/>
          <w:spacing w:val="-6"/>
          <w:sz w:val="24"/>
          <w:szCs w:val="24"/>
          <w:highlight w:val="none"/>
        </w:rPr>
        <w:t>说明：1、如投标人提交的商务条款与招标文件的要求存在偏离，需逐项</w:t>
      </w:r>
      <w:r>
        <w:rPr>
          <w:color w:val="auto"/>
          <w:spacing w:val="-7"/>
          <w:sz w:val="24"/>
          <w:szCs w:val="24"/>
          <w:highlight w:val="none"/>
        </w:rPr>
        <w:t>填写《技</w:t>
      </w:r>
      <w:r>
        <w:rPr>
          <w:color w:val="auto"/>
          <w:spacing w:val="-1"/>
          <w:sz w:val="24"/>
          <w:szCs w:val="24"/>
          <w:highlight w:val="none"/>
        </w:rPr>
        <w:t>术参数投标及偏离说明表》。</w:t>
      </w:r>
    </w:p>
    <w:p w14:paraId="36621C22">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leftChars="0" w:right="0" w:firstLine="476" w:firstLineChars="200"/>
        <w:textAlignment w:val="baseline"/>
        <w:rPr>
          <w:color w:val="auto"/>
          <w:sz w:val="24"/>
          <w:szCs w:val="24"/>
          <w:highlight w:val="none"/>
        </w:rPr>
      </w:pPr>
      <w:r>
        <w:rPr>
          <w:color w:val="auto"/>
          <w:spacing w:val="-1"/>
          <w:sz w:val="24"/>
          <w:szCs w:val="24"/>
          <w:highlight w:val="none"/>
        </w:rPr>
        <w:t>2、偏离情况填写正偏离或负偏离或无偏离。</w:t>
      </w:r>
    </w:p>
    <w:p w14:paraId="42CCAAED">
      <w:pPr>
        <w:pageBreakBefore w:val="0"/>
        <w:shd w:val="clear"/>
        <w:wordWrap/>
        <w:overflowPunct/>
        <w:topLinePunct w:val="0"/>
        <w:bidi w:val="0"/>
        <w:spacing w:line="25" w:lineRule="atLeast"/>
        <w:rPr>
          <w:rFonts w:ascii="Arial"/>
          <w:color w:val="auto"/>
          <w:sz w:val="21"/>
          <w:highlight w:val="none"/>
        </w:rPr>
      </w:pPr>
    </w:p>
    <w:p w14:paraId="2FF934F9">
      <w:pPr>
        <w:pStyle w:val="11"/>
        <w:pageBreakBefore w:val="0"/>
        <w:shd w:val="clear"/>
        <w:wordWrap/>
        <w:overflowPunct/>
        <w:topLinePunct w:val="0"/>
        <w:bidi w:val="0"/>
        <w:spacing w:before="92" w:line="25" w:lineRule="atLeast"/>
        <w:ind w:left="127"/>
        <w:rPr>
          <w:color w:val="auto"/>
          <w:sz w:val="28"/>
          <w:szCs w:val="28"/>
          <w:highlight w:val="none"/>
        </w:rPr>
      </w:pPr>
      <w:r>
        <w:rPr>
          <w:color w:val="auto"/>
          <w:spacing w:val="-2"/>
          <w:sz w:val="28"/>
          <w:szCs w:val="28"/>
          <w:highlight w:val="none"/>
        </w:rPr>
        <w:t>投标人名称（盖章</w:t>
      </w:r>
      <w:r>
        <w:rPr>
          <w:color w:val="auto"/>
          <w:spacing w:val="-1"/>
          <w:sz w:val="28"/>
          <w:szCs w:val="28"/>
          <w:highlight w:val="none"/>
        </w:rPr>
        <w:t>）：</w:t>
      </w:r>
      <w:r>
        <w:rPr>
          <w:color w:val="auto"/>
          <w:sz w:val="28"/>
          <w:szCs w:val="28"/>
          <w:highlight w:val="none"/>
          <w:u w:val="single" w:color="auto"/>
        </w:rPr>
        <w:t xml:space="preserve">                 </w:t>
      </w:r>
    </w:p>
    <w:p w14:paraId="39BA78C7">
      <w:pPr>
        <w:pStyle w:val="11"/>
        <w:pageBreakBefore w:val="0"/>
        <w:shd w:val="clear"/>
        <w:wordWrap/>
        <w:overflowPunct/>
        <w:topLinePunct w:val="0"/>
        <w:bidi w:val="0"/>
        <w:spacing w:before="72" w:line="25" w:lineRule="atLeast"/>
        <w:ind w:left="127"/>
        <w:rPr>
          <w:color w:val="auto"/>
          <w:sz w:val="28"/>
          <w:szCs w:val="28"/>
          <w:highlight w:val="none"/>
        </w:rPr>
      </w:pPr>
      <w:r>
        <w:rPr>
          <w:color w:val="auto"/>
          <w:spacing w:val="-1"/>
          <w:sz w:val="28"/>
          <w:szCs w:val="28"/>
          <w:highlight w:val="none"/>
        </w:rPr>
        <w:t>投标人法定代表人或其授权委托人（签字或盖章</w:t>
      </w:r>
      <w:r>
        <w:rPr>
          <w:color w:val="auto"/>
          <w:spacing w:val="2"/>
          <w:sz w:val="28"/>
          <w:szCs w:val="28"/>
          <w:highlight w:val="none"/>
        </w:rPr>
        <w:t>）：</w:t>
      </w:r>
      <w:r>
        <w:rPr>
          <w:color w:val="auto"/>
          <w:sz w:val="28"/>
          <w:szCs w:val="28"/>
          <w:highlight w:val="none"/>
          <w:u w:val="single" w:color="auto"/>
        </w:rPr>
        <w:t xml:space="preserve">      </w:t>
      </w:r>
    </w:p>
    <w:p w14:paraId="2BB0DD65">
      <w:pPr>
        <w:pStyle w:val="11"/>
        <w:pageBreakBefore w:val="0"/>
        <w:shd w:val="clear"/>
        <w:wordWrap/>
        <w:overflowPunct/>
        <w:topLinePunct w:val="0"/>
        <w:bidi w:val="0"/>
        <w:spacing w:before="68" w:line="25" w:lineRule="atLeast"/>
        <w:ind w:left="177"/>
        <w:rPr>
          <w:color w:val="auto"/>
          <w:sz w:val="28"/>
          <w:szCs w:val="28"/>
          <w:highlight w:val="none"/>
        </w:rPr>
      </w:pPr>
      <w:r>
        <w:rPr>
          <w:color w:val="auto"/>
          <w:spacing w:val="-18"/>
          <w:sz w:val="28"/>
          <w:szCs w:val="28"/>
          <w:highlight w:val="none"/>
        </w:rPr>
        <w:t>日期：</w:t>
      </w:r>
      <w:r>
        <w:rPr>
          <w:color w:val="auto"/>
          <w:sz w:val="28"/>
          <w:szCs w:val="28"/>
          <w:highlight w:val="none"/>
          <w:u w:val="single" w:color="auto"/>
        </w:rPr>
        <w:t xml:space="preserve">    </w:t>
      </w:r>
      <w:r>
        <w:rPr>
          <w:color w:val="auto"/>
          <w:spacing w:val="-18"/>
          <w:sz w:val="28"/>
          <w:szCs w:val="28"/>
          <w:highlight w:val="none"/>
        </w:rPr>
        <w:t>年</w:t>
      </w:r>
      <w:r>
        <w:rPr>
          <w:color w:val="auto"/>
          <w:spacing w:val="46"/>
          <w:sz w:val="28"/>
          <w:szCs w:val="28"/>
          <w:highlight w:val="none"/>
          <w:u w:val="single" w:color="auto"/>
        </w:rPr>
        <w:t xml:space="preserve">   </w:t>
      </w:r>
      <w:r>
        <w:rPr>
          <w:color w:val="auto"/>
          <w:spacing w:val="-18"/>
          <w:sz w:val="28"/>
          <w:szCs w:val="28"/>
          <w:highlight w:val="none"/>
        </w:rPr>
        <w:t>月</w:t>
      </w:r>
      <w:r>
        <w:rPr>
          <w:color w:val="auto"/>
          <w:spacing w:val="46"/>
          <w:sz w:val="28"/>
          <w:szCs w:val="28"/>
          <w:highlight w:val="none"/>
          <w:u w:val="single" w:color="auto"/>
        </w:rPr>
        <w:t xml:space="preserve">   </w:t>
      </w:r>
      <w:r>
        <w:rPr>
          <w:color w:val="auto"/>
          <w:spacing w:val="-18"/>
          <w:sz w:val="28"/>
          <w:szCs w:val="28"/>
          <w:highlight w:val="none"/>
        </w:rPr>
        <w:t>日</w:t>
      </w:r>
    </w:p>
    <w:p w14:paraId="5A65A35B">
      <w:pPr>
        <w:pageBreakBefore w:val="0"/>
        <w:shd w:val="clear"/>
        <w:wordWrap/>
        <w:overflowPunct/>
        <w:topLinePunct w:val="0"/>
        <w:bidi w:val="0"/>
        <w:spacing w:line="25" w:lineRule="atLeast"/>
        <w:rPr>
          <w:color w:val="auto"/>
          <w:sz w:val="28"/>
          <w:szCs w:val="28"/>
          <w:highlight w:val="none"/>
        </w:rPr>
      </w:pPr>
    </w:p>
    <w:p w14:paraId="2D025DBD">
      <w:pPr>
        <w:pageBreakBefore w:val="0"/>
        <w:shd w:val="clear"/>
        <w:wordWrap/>
        <w:overflowPunct/>
        <w:topLinePunct w:val="0"/>
        <w:bidi w:val="0"/>
        <w:spacing w:line="25" w:lineRule="atLeast"/>
        <w:rPr>
          <w:color w:val="auto"/>
          <w:sz w:val="28"/>
          <w:szCs w:val="28"/>
          <w:highlight w:val="none"/>
        </w:rPr>
        <w:sectPr>
          <w:headerReference r:id="rId60" w:type="default"/>
          <w:footerReference r:id="rId61" w:type="default"/>
          <w:pgSz w:w="11906" w:h="16839"/>
          <w:pgMar w:top="1440" w:right="1800" w:bottom="1440" w:left="1800" w:header="1090" w:footer="1253" w:gutter="0"/>
          <w:pgNumType w:fmt="decimal"/>
          <w:cols w:space="720" w:num="1"/>
        </w:sectPr>
      </w:pPr>
    </w:p>
    <w:p w14:paraId="446AA216">
      <w:pPr>
        <w:pStyle w:val="11"/>
        <w:pageBreakBefore w:val="0"/>
        <w:shd w:val="clear"/>
        <w:wordWrap/>
        <w:overflowPunct/>
        <w:topLinePunct w:val="0"/>
        <w:bidi w:val="0"/>
        <w:spacing w:before="101" w:line="360" w:lineRule="auto"/>
        <w:ind w:left="47"/>
        <w:rPr>
          <w:color w:val="auto"/>
          <w:highlight w:val="none"/>
        </w:rPr>
      </w:pPr>
      <w:r>
        <w:rPr>
          <w:b/>
          <w:bCs/>
          <w:color w:val="auto"/>
          <w:spacing w:val="-11"/>
          <w:highlight w:val="none"/>
        </w:rPr>
        <w:t>附件12：</w:t>
      </w:r>
    </w:p>
    <w:p w14:paraId="5FE384A3">
      <w:pPr>
        <w:pStyle w:val="11"/>
        <w:pageBreakBefore w:val="0"/>
        <w:shd w:val="clear"/>
        <w:wordWrap/>
        <w:overflowPunct/>
        <w:topLinePunct w:val="0"/>
        <w:bidi w:val="0"/>
        <w:spacing w:before="264" w:line="360" w:lineRule="auto"/>
        <w:ind w:left="1616"/>
        <w:outlineLvl w:val="1"/>
        <w:rPr>
          <w:color w:val="auto"/>
          <w:sz w:val="32"/>
          <w:szCs w:val="32"/>
          <w:highlight w:val="none"/>
        </w:rPr>
      </w:pPr>
      <w:r>
        <w:rPr>
          <w:b/>
          <w:bCs/>
          <w:color w:val="auto"/>
          <w:spacing w:val="6"/>
          <w:sz w:val="32"/>
          <w:szCs w:val="32"/>
          <w:highlight w:val="none"/>
        </w:rPr>
        <w:t>不参与围标串标承诺书（统一格式）</w:t>
      </w:r>
    </w:p>
    <w:p w14:paraId="3E1C40D3">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8" w:firstLine="464" w:firstLineChars="200"/>
        <w:jc w:val="both"/>
        <w:textAlignment w:val="baseline"/>
        <w:rPr>
          <w:color w:val="auto"/>
          <w:sz w:val="24"/>
          <w:szCs w:val="24"/>
          <w:highlight w:val="none"/>
        </w:rPr>
      </w:pPr>
      <w:r>
        <w:rPr>
          <w:color w:val="auto"/>
          <w:spacing w:val="-4"/>
          <w:sz w:val="24"/>
          <w:szCs w:val="24"/>
          <w:highlight w:val="none"/>
        </w:rPr>
        <w:t>本人作为</w:t>
      </w:r>
      <w:r>
        <w:rPr>
          <w:color w:val="auto"/>
          <w:spacing w:val="-4"/>
          <w:sz w:val="24"/>
          <w:szCs w:val="24"/>
          <w:highlight w:val="none"/>
          <w:u w:val="single" w:color="auto"/>
        </w:rPr>
        <w:t xml:space="preserve">（单位名称）               </w:t>
      </w:r>
      <w:r>
        <w:rPr>
          <w:color w:val="auto"/>
          <w:spacing w:val="-4"/>
          <w:sz w:val="24"/>
          <w:szCs w:val="24"/>
          <w:highlight w:val="none"/>
        </w:rPr>
        <w:t>的法人，清楚知晓</w:t>
      </w:r>
      <w:r>
        <w:rPr>
          <w:color w:val="auto"/>
          <w:spacing w:val="-3"/>
          <w:sz w:val="24"/>
          <w:szCs w:val="24"/>
          <w:highlight w:val="none"/>
        </w:rPr>
        <w:t>我公司参加</w:t>
      </w:r>
      <w:r>
        <w:rPr>
          <w:color w:val="auto"/>
          <w:spacing w:val="-3"/>
          <w:sz w:val="24"/>
          <w:szCs w:val="24"/>
          <w:highlight w:val="none"/>
          <w:u w:val="single" w:color="auto"/>
        </w:rPr>
        <w:t xml:space="preserve">                      </w:t>
      </w:r>
      <w:r>
        <w:rPr>
          <w:color w:val="auto"/>
          <w:spacing w:val="-3"/>
          <w:sz w:val="24"/>
          <w:szCs w:val="24"/>
          <w:highlight w:val="none"/>
        </w:rPr>
        <w:t>（项目名称）招标活动，特对以下事项作出承诺：</w:t>
      </w:r>
    </w:p>
    <w:p w14:paraId="61E40FBE">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11" w:firstLine="464" w:firstLineChars="200"/>
        <w:textAlignment w:val="baseline"/>
        <w:rPr>
          <w:color w:val="auto"/>
          <w:sz w:val="24"/>
          <w:szCs w:val="24"/>
          <w:highlight w:val="none"/>
        </w:rPr>
      </w:pPr>
      <w:r>
        <w:rPr>
          <w:color w:val="auto"/>
          <w:spacing w:val="-4"/>
          <w:sz w:val="24"/>
          <w:szCs w:val="24"/>
          <w:highlight w:val="none"/>
        </w:rPr>
        <w:t>一、我单位遵循公开、公平、公正、诚实守信的原</w:t>
      </w:r>
      <w:r>
        <w:rPr>
          <w:color w:val="auto"/>
          <w:spacing w:val="-5"/>
          <w:sz w:val="24"/>
          <w:szCs w:val="24"/>
          <w:highlight w:val="none"/>
        </w:rPr>
        <w:t>则，依法依规</w:t>
      </w:r>
      <w:r>
        <w:rPr>
          <w:color w:val="auto"/>
          <w:spacing w:val="-2"/>
          <w:sz w:val="24"/>
          <w:szCs w:val="24"/>
          <w:highlight w:val="none"/>
        </w:rPr>
        <w:t>参与本项目投标。</w:t>
      </w:r>
    </w:p>
    <w:p w14:paraId="1F99D34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firstLine="476" w:firstLineChars="200"/>
        <w:textAlignment w:val="baseline"/>
        <w:rPr>
          <w:color w:val="auto"/>
          <w:sz w:val="24"/>
          <w:szCs w:val="24"/>
          <w:highlight w:val="none"/>
        </w:rPr>
      </w:pPr>
      <w:r>
        <w:rPr>
          <w:color w:val="auto"/>
          <w:spacing w:val="-1"/>
          <w:sz w:val="24"/>
          <w:szCs w:val="24"/>
          <w:highlight w:val="none"/>
        </w:rPr>
        <w:t>二、我单位在本项目</w:t>
      </w:r>
      <w:r>
        <w:rPr>
          <w:rFonts w:hint="eastAsia"/>
          <w:color w:val="auto"/>
          <w:spacing w:val="-1"/>
          <w:sz w:val="24"/>
          <w:szCs w:val="24"/>
          <w:highlight w:val="none"/>
          <w:lang w:eastAsia="zh-CN"/>
        </w:rPr>
        <w:t>招标</w:t>
      </w:r>
      <w:r>
        <w:rPr>
          <w:color w:val="auto"/>
          <w:spacing w:val="-1"/>
          <w:sz w:val="24"/>
          <w:szCs w:val="24"/>
          <w:highlight w:val="none"/>
        </w:rPr>
        <w:t>活动中，未参与围标</w:t>
      </w:r>
      <w:r>
        <w:rPr>
          <w:color w:val="auto"/>
          <w:spacing w:val="-2"/>
          <w:sz w:val="24"/>
          <w:szCs w:val="24"/>
          <w:highlight w:val="none"/>
        </w:rPr>
        <w:t>串标。</w:t>
      </w:r>
    </w:p>
    <w:p w14:paraId="5040B27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8" w:firstLine="464" w:firstLineChars="200"/>
        <w:textAlignment w:val="baseline"/>
        <w:rPr>
          <w:color w:val="auto"/>
          <w:sz w:val="24"/>
          <w:szCs w:val="24"/>
          <w:highlight w:val="none"/>
        </w:rPr>
      </w:pPr>
      <w:r>
        <w:rPr>
          <w:color w:val="auto"/>
          <w:spacing w:val="-4"/>
          <w:sz w:val="24"/>
          <w:szCs w:val="24"/>
          <w:highlight w:val="none"/>
        </w:rPr>
        <w:t>三、我单位如被查实在本项目招标活动中存在围</w:t>
      </w:r>
      <w:r>
        <w:rPr>
          <w:color w:val="auto"/>
          <w:spacing w:val="-5"/>
          <w:sz w:val="24"/>
          <w:szCs w:val="24"/>
          <w:highlight w:val="none"/>
        </w:rPr>
        <w:t>标串标的</w:t>
      </w:r>
      <w:r>
        <w:rPr>
          <w:rFonts w:hint="eastAsia"/>
          <w:color w:val="auto"/>
          <w:spacing w:val="-5"/>
          <w:sz w:val="24"/>
          <w:szCs w:val="24"/>
          <w:highlight w:val="none"/>
          <w:lang w:eastAsia="zh-CN"/>
        </w:rPr>
        <w:t>，将</w:t>
      </w:r>
      <w:r>
        <w:rPr>
          <w:color w:val="auto"/>
          <w:spacing w:val="-5"/>
          <w:sz w:val="24"/>
          <w:szCs w:val="24"/>
          <w:highlight w:val="none"/>
        </w:rPr>
        <w:t>递交</w:t>
      </w:r>
      <w:r>
        <w:rPr>
          <w:color w:val="auto"/>
          <w:spacing w:val="-3"/>
          <w:sz w:val="24"/>
          <w:szCs w:val="24"/>
          <w:highlight w:val="none"/>
        </w:rPr>
        <w:t>投标文件行为作为实施串通投标违法行为的</w:t>
      </w:r>
      <w:r>
        <w:rPr>
          <w:color w:val="auto"/>
          <w:spacing w:val="-4"/>
          <w:sz w:val="24"/>
          <w:szCs w:val="24"/>
          <w:highlight w:val="none"/>
        </w:rPr>
        <w:t>关键环节，本人愿承担直</w:t>
      </w:r>
      <w:r>
        <w:rPr>
          <w:color w:val="auto"/>
          <w:spacing w:val="-1"/>
          <w:sz w:val="24"/>
          <w:szCs w:val="24"/>
          <w:highlight w:val="none"/>
        </w:rPr>
        <w:t>接责任人员的一切法律责任</w:t>
      </w:r>
      <w:r>
        <w:rPr>
          <w:rFonts w:hint="eastAsia"/>
          <w:color w:val="auto"/>
          <w:spacing w:val="-1"/>
          <w:sz w:val="24"/>
          <w:szCs w:val="24"/>
          <w:highlight w:val="none"/>
          <w:lang w:eastAsia="zh-CN"/>
        </w:rPr>
        <w:t>，并</w:t>
      </w:r>
      <w:r>
        <w:rPr>
          <w:color w:val="auto"/>
          <w:spacing w:val="-1"/>
          <w:sz w:val="24"/>
          <w:szCs w:val="24"/>
          <w:highlight w:val="none"/>
        </w:rPr>
        <w:t>接受相应行政处罚和失信惩戒。</w:t>
      </w:r>
    </w:p>
    <w:p w14:paraId="57E4E6E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3"/>
          <w:sz w:val="24"/>
          <w:szCs w:val="24"/>
          <w:highlight w:val="none"/>
        </w:rPr>
        <w:t>项目编号：</w:t>
      </w:r>
      <w:r>
        <w:rPr>
          <w:rFonts w:hint="eastAsia" w:ascii="仿宋" w:hAnsi="仿宋" w:eastAsia="仿宋" w:cs="仿宋"/>
          <w:color w:val="auto"/>
          <w:spacing w:val="-3"/>
          <w:sz w:val="24"/>
          <w:szCs w:val="24"/>
          <w:highlight w:val="none"/>
          <w:u w:val="single"/>
          <w:lang w:val="en-US" w:eastAsia="zh-CN"/>
        </w:rPr>
        <w:t xml:space="preserve">                                </w:t>
      </w:r>
    </w:p>
    <w:p w14:paraId="79CE2BC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68" w:firstLineChars="200"/>
        <w:textAlignment w:val="baseline"/>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pacing w:val="-3"/>
          <w:sz w:val="24"/>
          <w:szCs w:val="24"/>
          <w:highlight w:val="none"/>
        </w:rPr>
        <w:t>投标人名称：</w:t>
      </w:r>
      <w:r>
        <w:rPr>
          <w:rFonts w:hint="eastAsia" w:ascii="仿宋" w:hAnsi="仿宋" w:eastAsia="仿宋" w:cs="仿宋"/>
          <w:color w:val="auto"/>
          <w:spacing w:val="-3"/>
          <w:sz w:val="24"/>
          <w:szCs w:val="24"/>
          <w:highlight w:val="none"/>
          <w:u w:val="single"/>
          <w:lang w:val="en-US" w:eastAsia="zh-CN"/>
        </w:rPr>
        <w:t xml:space="preserve">                              </w:t>
      </w:r>
    </w:p>
    <w:p w14:paraId="6EED029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1"/>
          <w:sz w:val="24"/>
          <w:szCs w:val="24"/>
          <w:highlight w:val="none"/>
        </w:rPr>
        <w:t>投标人法定代表人或其授权委托人（签字或盖章</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2"/>
          <w:sz w:val="24"/>
          <w:szCs w:val="24"/>
          <w:highlight w:val="none"/>
          <w:u w:val="single"/>
          <w:lang w:val="en-US" w:eastAsia="zh-CN"/>
        </w:rPr>
        <w:t xml:space="preserve">        </w:t>
      </w:r>
    </w:p>
    <w:p w14:paraId="01978BB0">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362517B8">
      <w:pPr>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rPr>
      </w:pPr>
    </w:p>
    <w:p w14:paraId="6011D9C6">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投标人名称（盖章</w:t>
      </w:r>
      <w:r>
        <w:rPr>
          <w:rFonts w:hint="eastAsia" w:ascii="仿宋" w:hAnsi="仿宋" w:eastAsia="仿宋" w:cs="仿宋"/>
          <w:color w:val="auto"/>
          <w:spacing w:val="1"/>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14:paraId="145BA545">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400" w:firstLineChars="200"/>
        <w:textAlignment w:val="baseline"/>
        <w:rPr>
          <w:rFonts w:hint="eastAsia" w:ascii="仿宋" w:hAnsi="仿宋" w:eastAsia="仿宋" w:cs="仿宋"/>
          <w:color w:val="auto"/>
          <w:spacing w:val="-20"/>
          <w:sz w:val="24"/>
          <w:szCs w:val="24"/>
          <w:highlight w:val="none"/>
        </w:rPr>
      </w:pPr>
      <w:r>
        <w:rPr>
          <w:rFonts w:hint="eastAsia" w:ascii="仿宋" w:hAnsi="仿宋" w:eastAsia="仿宋" w:cs="仿宋"/>
          <w:color w:val="auto"/>
          <w:spacing w:val="-20"/>
          <w:sz w:val="24"/>
          <w:szCs w:val="24"/>
          <w:highlight w:val="none"/>
        </w:rPr>
        <w:t>日期：</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20"/>
          <w:sz w:val="24"/>
          <w:szCs w:val="24"/>
          <w:highlight w:val="none"/>
        </w:rPr>
        <w:t>年</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20"/>
          <w:sz w:val="24"/>
          <w:szCs w:val="24"/>
          <w:highlight w:val="none"/>
        </w:rPr>
        <w:t>月</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23"/>
          <w:sz w:val="24"/>
          <w:szCs w:val="24"/>
          <w:highlight w:val="none"/>
          <w:u w:val="single" w:color="auto"/>
          <w:lang w:val="en-US" w:eastAsia="zh-CN"/>
        </w:rPr>
        <w:t xml:space="preserve"> </w:t>
      </w:r>
      <w:r>
        <w:rPr>
          <w:rFonts w:hint="eastAsia" w:ascii="仿宋" w:hAnsi="仿宋" w:eastAsia="仿宋" w:cs="仿宋"/>
          <w:color w:val="auto"/>
          <w:spacing w:val="-20"/>
          <w:sz w:val="24"/>
          <w:szCs w:val="24"/>
          <w:highlight w:val="none"/>
        </w:rPr>
        <w:t>日</w:t>
      </w:r>
    </w:p>
    <w:p w14:paraId="78FCF507">
      <w:pPr>
        <w:shd w:val="clear"/>
        <w:rPr>
          <w:color w:val="auto"/>
          <w:highlight w:val="none"/>
        </w:rPr>
      </w:pPr>
    </w:p>
    <w:p w14:paraId="0A081EF0">
      <w:pPr>
        <w:pageBreakBefore w:val="0"/>
        <w:shd w:val="clear"/>
        <w:wordWrap/>
        <w:overflowPunct/>
        <w:topLinePunct w:val="0"/>
        <w:bidi w:val="0"/>
        <w:spacing w:line="25" w:lineRule="atLeast"/>
        <w:rPr>
          <w:color w:val="auto"/>
          <w:sz w:val="28"/>
          <w:szCs w:val="28"/>
          <w:highlight w:val="none"/>
        </w:rPr>
        <w:sectPr>
          <w:headerReference r:id="rId62" w:type="default"/>
          <w:footerReference r:id="rId63" w:type="default"/>
          <w:pgSz w:w="11906" w:h="16839"/>
          <w:pgMar w:top="1440" w:right="1800" w:bottom="1440" w:left="1800" w:header="1090" w:footer="1253" w:gutter="0"/>
          <w:pgNumType w:fmt="decimal"/>
          <w:cols w:space="720" w:num="1"/>
        </w:sectPr>
      </w:pPr>
    </w:p>
    <w:p w14:paraId="322035FA">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56DC6C53">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6528876B">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62E65E95">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7A274FCE">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52BFCCE8">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2952A3AE">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70CB37AB">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648AD4AC">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527BC569">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2F8083CC">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6E7F5352">
      <w:pPr>
        <w:keepNext w:val="0"/>
        <w:keepLines w:val="0"/>
        <w:pageBreakBefore w:val="0"/>
        <w:widowControl/>
        <w:shd w:val="clear"/>
        <w:kinsoku w:val="0"/>
        <w:wordWrap w:val="0"/>
        <w:overflowPunct/>
        <w:topLinePunct w:val="0"/>
        <w:autoSpaceDE w:val="0"/>
        <w:autoSpaceDN w:val="0"/>
        <w:bidi w:val="0"/>
        <w:adjustRightInd w:val="0"/>
        <w:snapToGrid w:val="0"/>
        <w:spacing w:before="231" w:line="218" w:lineRule="auto"/>
        <w:ind w:left="2985"/>
        <w:textAlignment w:val="baseline"/>
        <w:rPr>
          <w:rFonts w:ascii="宋体" w:hAnsi="宋体" w:eastAsia="宋体" w:cs="宋体"/>
          <w:color w:val="auto"/>
          <w:sz w:val="71"/>
          <w:szCs w:val="71"/>
          <w:highlight w:val="none"/>
        </w:rPr>
      </w:pPr>
      <w:r>
        <w:rPr>
          <w:rFonts w:ascii="宋体" w:hAnsi="宋体" w:eastAsia="宋体" w:cs="宋体"/>
          <w:b/>
          <w:bCs/>
          <w:color w:val="auto"/>
          <w:spacing w:val="-2"/>
          <w:sz w:val="71"/>
          <w:szCs w:val="71"/>
          <w:highlight w:val="none"/>
        </w:rPr>
        <w:t>投标文件</w:t>
      </w:r>
    </w:p>
    <w:p w14:paraId="631D7331">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5581657B">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0DF7ABA3">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17BEC649">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2F758B9D">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5163C69E">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2B7F6833">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365EF7D1">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704E05FF">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6439776A">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6E43DB0D">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57735BD2">
      <w:pPr>
        <w:keepNext w:val="0"/>
        <w:keepLines w:val="0"/>
        <w:pageBreakBefore w:val="0"/>
        <w:widowControl/>
        <w:shd w:val="clear"/>
        <w:kinsoku w:val="0"/>
        <w:wordWrap w:val="0"/>
        <w:overflowPunct/>
        <w:topLinePunct w:val="0"/>
        <w:autoSpaceDE w:val="0"/>
        <w:autoSpaceDN w:val="0"/>
        <w:bidi w:val="0"/>
        <w:adjustRightInd w:val="0"/>
        <w:snapToGrid w:val="0"/>
        <w:spacing w:before="169" w:line="241" w:lineRule="auto"/>
        <w:ind w:left="3403"/>
        <w:textAlignment w:val="baseline"/>
        <w:outlineLvl w:val="0"/>
        <w:rPr>
          <w:rFonts w:ascii="黑体" w:hAnsi="黑体" w:eastAsia="黑体" w:cs="黑体"/>
          <w:color w:val="auto"/>
          <w:sz w:val="52"/>
          <w:szCs w:val="52"/>
          <w:highlight w:val="none"/>
        </w:rPr>
      </w:pPr>
      <w:bookmarkStart w:id="28" w:name="_Toc5773"/>
      <w:bookmarkStart w:id="29" w:name="_Toc11765"/>
      <w:r>
        <w:rPr>
          <w:rFonts w:ascii="黑体" w:hAnsi="黑体" w:eastAsia="黑体" w:cs="黑体"/>
          <w:color w:val="auto"/>
          <w:spacing w:val="-9"/>
          <w:sz w:val="52"/>
          <w:szCs w:val="52"/>
          <w:highlight w:val="none"/>
        </w:rPr>
        <w:t>商务部分</w:t>
      </w:r>
      <w:bookmarkEnd w:id="28"/>
      <w:bookmarkEnd w:id="29"/>
    </w:p>
    <w:p w14:paraId="136A55A2">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10112933">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3EFD469F">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3F0D44F5">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0038FEE2">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32CC7641">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55FF7925">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04C4FC20">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3DEDAD1A">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5EA4CD7B">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7BA0EBC6">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49FF0BBF">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395045BC">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68DFE922">
      <w:pPr>
        <w:pStyle w:val="11"/>
        <w:keepNext w:val="0"/>
        <w:keepLines w:val="0"/>
        <w:pageBreakBefore w:val="0"/>
        <w:widowControl/>
        <w:shd w:val="clear"/>
        <w:kinsoku w:val="0"/>
        <w:wordWrap w:val="0"/>
        <w:overflowPunct/>
        <w:topLinePunct w:val="0"/>
        <w:autoSpaceDE w:val="0"/>
        <w:autoSpaceDN w:val="0"/>
        <w:bidi w:val="0"/>
        <w:adjustRightInd w:val="0"/>
        <w:snapToGrid w:val="0"/>
        <w:spacing w:before="100" w:line="221" w:lineRule="auto"/>
        <w:textAlignment w:val="baseline"/>
        <w:rPr>
          <w:color w:val="auto"/>
          <w:highlight w:val="none"/>
        </w:rPr>
      </w:pPr>
      <w:r>
        <w:rPr>
          <w:color w:val="auto"/>
          <w:spacing w:val="4"/>
          <w:highlight w:val="none"/>
        </w:rPr>
        <w:t>项目名称：</w:t>
      </w:r>
    </w:p>
    <w:p w14:paraId="2C7166A9">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7" w:line="224" w:lineRule="auto"/>
        <w:textAlignment w:val="baseline"/>
        <w:rPr>
          <w:color w:val="auto"/>
          <w:highlight w:val="none"/>
        </w:rPr>
      </w:pPr>
      <w:r>
        <w:rPr>
          <w:color w:val="auto"/>
          <w:spacing w:val="4"/>
          <w:highlight w:val="none"/>
        </w:rPr>
        <w:t>项目编号：</w:t>
      </w:r>
    </w:p>
    <w:p w14:paraId="04F982F5">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2" w:line="221" w:lineRule="auto"/>
        <w:textAlignment w:val="baseline"/>
        <w:rPr>
          <w:color w:val="auto"/>
          <w:highlight w:val="none"/>
        </w:rPr>
      </w:pPr>
      <w:r>
        <w:rPr>
          <w:color w:val="auto"/>
          <w:spacing w:val="7"/>
          <w:highlight w:val="none"/>
        </w:rPr>
        <w:t>投标人名称（公章</w:t>
      </w:r>
      <w:r>
        <w:rPr>
          <w:color w:val="auto"/>
          <w:spacing w:val="2"/>
          <w:highlight w:val="none"/>
        </w:rPr>
        <w:t>）：</w:t>
      </w:r>
    </w:p>
    <w:p w14:paraId="45AF8B16">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8" w:line="222" w:lineRule="auto"/>
        <w:ind w:left="3546"/>
        <w:textAlignment w:val="baseline"/>
        <w:rPr>
          <w:color w:val="auto"/>
          <w:highlight w:val="none"/>
        </w:rPr>
      </w:pPr>
      <w:r>
        <w:rPr>
          <w:color w:val="auto"/>
          <w:spacing w:val="-9"/>
          <w:highlight w:val="none"/>
        </w:rPr>
        <w:t>年</w:t>
      </w:r>
      <w:r>
        <w:rPr>
          <w:color w:val="auto"/>
          <w:spacing w:val="20"/>
          <w:highlight w:val="none"/>
        </w:rPr>
        <w:t xml:space="preserve">  </w:t>
      </w:r>
      <w:r>
        <w:rPr>
          <w:color w:val="auto"/>
          <w:spacing w:val="-9"/>
          <w:highlight w:val="none"/>
        </w:rPr>
        <w:t>月</w:t>
      </w:r>
      <w:r>
        <w:rPr>
          <w:color w:val="auto"/>
          <w:spacing w:val="42"/>
          <w:highlight w:val="none"/>
        </w:rPr>
        <w:t xml:space="preserve">  </w:t>
      </w:r>
      <w:r>
        <w:rPr>
          <w:color w:val="auto"/>
          <w:spacing w:val="-9"/>
          <w:highlight w:val="none"/>
        </w:rPr>
        <w:t>日</w:t>
      </w:r>
    </w:p>
    <w:p w14:paraId="5C3E9A03">
      <w:pPr>
        <w:pageBreakBefore w:val="0"/>
        <w:shd w:val="clear"/>
        <w:wordWrap/>
        <w:overflowPunct/>
        <w:topLinePunct w:val="0"/>
        <w:bidi w:val="0"/>
        <w:spacing w:line="25" w:lineRule="atLeast"/>
        <w:rPr>
          <w:color w:val="auto"/>
          <w:highlight w:val="none"/>
        </w:rPr>
        <w:sectPr>
          <w:footerReference r:id="rId64" w:type="default"/>
          <w:pgSz w:w="11906" w:h="16839"/>
          <w:pgMar w:top="1440" w:right="1800" w:bottom="1440" w:left="1800" w:header="1090" w:footer="1253" w:gutter="0"/>
          <w:pgNumType w:fmt="decimal"/>
          <w:cols w:space="720" w:num="1"/>
        </w:sectPr>
      </w:pPr>
    </w:p>
    <w:p w14:paraId="085C1A35">
      <w:pPr>
        <w:pStyle w:val="11"/>
        <w:pageBreakBefore w:val="0"/>
        <w:shd w:val="clear"/>
        <w:wordWrap/>
        <w:overflowPunct/>
        <w:topLinePunct w:val="0"/>
        <w:bidi w:val="0"/>
        <w:spacing w:before="91" w:line="360" w:lineRule="auto"/>
        <w:ind w:left="43"/>
        <w:rPr>
          <w:color w:val="auto"/>
          <w:sz w:val="28"/>
          <w:szCs w:val="28"/>
          <w:highlight w:val="none"/>
        </w:rPr>
      </w:pPr>
      <w:r>
        <w:rPr>
          <w:b/>
          <w:bCs/>
          <w:color w:val="auto"/>
          <w:spacing w:val="-14"/>
          <w:sz w:val="28"/>
          <w:szCs w:val="28"/>
          <w:highlight w:val="none"/>
        </w:rPr>
        <w:t>附件13:</w:t>
      </w:r>
    </w:p>
    <w:p w14:paraId="3C042C4D">
      <w:pPr>
        <w:pStyle w:val="11"/>
        <w:pageBreakBefore w:val="0"/>
        <w:shd w:val="clear"/>
        <w:wordWrap/>
        <w:overflowPunct/>
        <w:topLinePunct w:val="0"/>
        <w:bidi w:val="0"/>
        <w:spacing w:before="305" w:line="360" w:lineRule="auto"/>
        <w:ind w:left="3065"/>
        <w:rPr>
          <w:color w:val="auto"/>
          <w:sz w:val="32"/>
          <w:szCs w:val="32"/>
          <w:highlight w:val="none"/>
        </w:rPr>
      </w:pPr>
      <w:r>
        <w:rPr>
          <w:b/>
          <w:bCs/>
          <w:color w:val="auto"/>
          <w:spacing w:val="-5"/>
          <w:sz w:val="32"/>
          <w:szCs w:val="32"/>
          <w:highlight w:val="none"/>
        </w:rPr>
        <w:t>商务部分资料清单</w:t>
      </w:r>
    </w:p>
    <w:p w14:paraId="6930DD4F">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540" w:firstLineChars="200"/>
        <w:textAlignment w:val="baseline"/>
        <w:rPr>
          <w:color w:val="auto"/>
          <w:sz w:val="28"/>
          <w:szCs w:val="28"/>
          <w:highlight w:val="none"/>
        </w:rPr>
      </w:pPr>
      <w:r>
        <w:rPr>
          <w:color w:val="auto"/>
          <w:spacing w:val="-5"/>
          <w:sz w:val="28"/>
          <w:szCs w:val="28"/>
          <w:highlight w:val="none"/>
        </w:rPr>
        <w:t>由各投标人根据实际需求自行编写。目录清晰、内容详尽、易于</w:t>
      </w:r>
      <w:r>
        <w:rPr>
          <w:color w:val="auto"/>
          <w:spacing w:val="-1"/>
          <w:sz w:val="28"/>
          <w:szCs w:val="28"/>
          <w:highlight w:val="none"/>
        </w:rPr>
        <w:t>理解和评标。具体内容应包括但不限于：</w:t>
      </w:r>
    </w:p>
    <w:p w14:paraId="30F8506B">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572" w:firstLineChars="200"/>
        <w:textAlignment w:val="baseline"/>
        <w:rPr>
          <w:color w:val="auto"/>
          <w:sz w:val="28"/>
          <w:szCs w:val="28"/>
          <w:highlight w:val="none"/>
        </w:rPr>
      </w:pPr>
      <w:r>
        <w:rPr>
          <w:color w:val="auto"/>
          <w:spacing w:val="3"/>
          <w:sz w:val="28"/>
          <w:szCs w:val="28"/>
          <w:highlight w:val="none"/>
        </w:rPr>
        <w:t>1.投标人根据采购文件相关商务要求提供资料及认为</w:t>
      </w:r>
      <w:r>
        <w:rPr>
          <w:color w:val="auto"/>
          <w:spacing w:val="2"/>
          <w:sz w:val="28"/>
          <w:szCs w:val="28"/>
          <w:highlight w:val="none"/>
        </w:rPr>
        <w:t>需要提供的其</w:t>
      </w:r>
      <w:r>
        <w:rPr>
          <w:color w:val="auto"/>
          <w:spacing w:val="-1"/>
          <w:sz w:val="28"/>
          <w:szCs w:val="28"/>
          <w:highlight w:val="none"/>
        </w:rPr>
        <w:t>他商务材料。</w:t>
      </w:r>
    </w:p>
    <w:p w14:paraId="71A1308E">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572" w:firstLineChars="200"/>
        <w:textAlignment w:val="baseline"/>
        <w:rPr>
          <w:color w:val="auto"/>
          <w:spacing w:val="-1"/>
          <w:sz w:val="28"/>
          <w:szCs w:val="28"/>
          <w:highlight w:val="none"/>
        </w:rPr>
      </w:pPr>
      <w:r>
        <w:rPr>
          <w:color w:val="auto"/>
          <w:spacing w:val="3"/>
          <w:sz w:val="28"/>
          <w:szCs w:val="28"/>
          <w:highlight w:val="none"/>
        </w:rPr>
        <w:t>2.招标文件</w:t>
      </w:r>
      <w:r>
        <w:rPr>
          <w:rFonts w:hint="eastAsia"/>
          <w:color w:val="auto"/>
          <w:spacing w:val="3"/>
          <w:sz w:val="28"/>
          <w:szCs w:val="28"/>
          <w:highlight w:val="none"/>
          <w:lang w:eastAsia="zh-CN"/>
        </w:rPr>
        <w:t>其他</w:t>
      </w:r>
      <w:r>
        <w:rPr>
          <w:color w:val="auto"/>
          <w:spacing w:val="3"/>
          <w:sz w:val="28"/>
          <w:szCs w:val="28"/>
          <w:highlight w:val="none"/>
        </w:rPr>
        <w:t>规定或者投标人认为应介绍或者提交的其他商务文</w:t>
      </w:r>
      <w:r>
        <w:rPr>
          <w:color w:val="auto"/>
          <w:spacing w:val="-1"/>
          <w:sz w:val="28"/>
          <w:szCs w:val="28"/>
          <w:highlight w:val="none"/>
        </w:rPr>
        <w:t>件资料、文件和说明（若有，格式自拟）。</w:t>
      </w:r>
    </w:p>
    <w:p w14:paraId="4D27CBC0">
      <w:pPr>
        <w:shd w:val="clear"/>
        <w:rPr>
          <w:color w:val="auto"/>
          <w:highlight w:val="none"/>
        </w:rPr>
      </w:pPr>
    </w:p>
    <w:p w14:paraId="597F97E2">
      <w:pPr>
        <w:pageBreakBefore w:val="0"/>
        <w:shd w:val="clear"/>
        <w:wordWrap/>
        <w:overflowPunct/>
        <w:topLinePunct w:val="0"/>
        <w:bidi w:val="0"/>
        <w:spacing w:line="25" w:lineRule="atLeast"/>
        <w:rPr>
          <w:color w:val="auto"/>
          <w:sz w:val="28"/>
          <w:szCs w:val="28"/>
          <w:highlight w:val="none"/>
        </w:rPr>
        <w:sectPr>
          <w:headerReference r:id="rId65" w:type="default"/>
          <w:footerReference r:id="rId66" w:type="default"/>
          <w:pgSz w:w="11906" w:h="16839"/>
          <w:pgMar w:top="1440" w:right="1800" w:bottom="1440" w:left="1800" w:header="1090" w:footer="1253" w:gutter="0"/>
          <w:pgNumType w:fmt="decimal"/>
          <w:cols w:space="720" w:num="1"/>
        </w:sectPr>
      </w:pPr>
    </w:p>
    <w:p w14:paraId="18674FA3">
      <w:pPr>
        <w:pStyle w:val="11"/>
        <w:pageBreakBefore w:val="0"/>
        <w:shd w:val="clear"/>
        <w:wordWrap/>
        <w:overflowPunct/>
        <w:topLinePunct w:val="0"/>
        <w:bidi w:val="0"/>
        <w:spacing w:before="91" w:line="25" w:lineRule="atLeast"/>
        <w:jc w:val="center"/>
        <w:rPr>
          <w:color w:val="auto"/>
          <w:sz w:val="28"/>
          <w:szCs w:val="28"/>
          <w:highlight w:val="none"/>
        </w:rPr>
      </w:pPr>
      <w:r>
        <w:rPr>
          <w:b/>
          <w:bCs/>
          <w:color w:val="auto"/>
          <w:spacing w:val="-5"/>
          <w:sz w:val="28"/>
          <w:szCs w:val="28"/>
          <w:highlight w:val="none"/>
        </w:rPr>
        <w:t>业绩一览表（若有）</w:t>
      </w:r>
    </w:p>
    <w:p w14:paraId="4359B223">
      <w:pPr>
        <w:pStyle w:val="11"/>
        <w:pageBreakBefore w:val="0"/>
        <w:shd w:val="clear"/>
        <w:wordWrap/>
        <w:overflowPunct/>
        <w:topLinePunct w:val="0"/>
        <w:bidi w:val="0"/>
        <w:spacing w:before="91" w:line="25" w:lineRule="atLeast"/>
        <w:ind w:left="700"/>
        <w:rPr>
          <w:color w:val="auto"/>
          <w:sz w:val="28"/>
          <w:szCs w:val="28"/>
          <w:highlight w:val="none"/>
        </w:rPr>
      </w:pPr>
      <w:r>
        <w:rPr>
          <w:color w:val="auto"/>
          <w:spacing w:val="-4"/>
          <w:sz w:val="28"/>
          <w:szCs w:val="28"/>
          <w:highlight w:val="none"/>
        </w:rPr>
        <w:t>项目名称：</w:t>
      </w:r>
      <w:r>
        <w:rPr>
          <w:color w:val="auto"/>
          <w:sz w:val="28"/>
          <w:szCs w:val="28"/>
          <w:highlight w:val="none"/>
          <w:u w:val="single" w:color="auto"/>
        </w:rPr>
        <w:t xml:space="preserve">                     </w:t>
      </w:r>
    </w:p>
    <w:p w14:paraId="7DA9D82B">
      <w:pPr>
        <w:pStyle w:val="11"/>
        <w:pageBreakBefore w:val="0"/>
        <w:shd w:val="clear"/>
        <w:wordWrap/>
        <w:overflowPunct/>
        <w:topLinePunct w:val="0"/>
        <w:bidi w:val="0"/>
        <w:spacing w:before="32" w:line="25" w:lineRule="atLeast"/>
        <w:ind w:left="700"/>
        <w:rPr>
          <w:color w:val="auto"/>
          <w:sz w:val="28"/>
          <w:szCs w:val="28"/>
          <w:highlight w:val="none"/>
        </w:rPr>
      </w:pPr>
      <w:r>
        <w:rPr>
          <w:color w:val="auto"/>
          <w:spacing w:val="-4"/>
          <w:sz w:val="28"/>
          <w:szCs w:val="28"/>
          <w:highlight w:val="none"/>
        </w:rPr>
        <w:t>项目编号：</w:t>
      </w:r>
      <w:r>
        <w:rPr>
          <w:color w:val="auto"/>
          <w:sz w:val="28"/>
          <w:szCs w:val="28"/>
          <w:highlight w:val="none"/>
          <w:u w:val="single" w:color="auto"/>
        </w:rPr>
        <w:t xml:space="preserve">                     </w:t>
      </w:r>
    </w:p>
    <w:tbl>
      <w:tblPr>
        <w:tblStyle w:val="2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33"/>
        <w:gridCol w:w="968"/>
        <w:gridCol w:w="1164"/>
        <w:gridCol w:w="1403"/>
        <w:gridCol w:w="800"/>
        <w:gridCol w:w="1391"/>
        <w:gridCol w:w="1950"/>
      </w:tblGrid>
      <w:tr w14:paraId="46606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381" w:type="pct"/>
            <w:vAlign w:val="center"/>
          </w:tcPr>
          <w:p w14:paraId="5AEE4FA7">
            <w:pPr>
              <w:pStyle w:val="25"/>
              <w:pageBreakBefore w:val="0"/>
              <w:shd w:val="clear"/>
              <w:wordWrap/>
              <w:overflowPunct/>
              <w:topLinePunct w:val="0"/>
              <w:bidi w:val="0"/>
              <w:spacing w:before="78" w:line="25" w:lineRule="atLeast"/>
              <w:ind w:left="0" w:leftChars="0" w:right="0" w:rightChars="0" w:firstLine="0" w:firstLineChars="0"/>
              <w:jc w:val="center"/>
              <w:rPr>
                <w:color w:val="auto"/>
                <w:highlight w:val="none"/>
              </w:rPr>
            </w:pPr>
            <w:r>
              <w:rPr>
                <w:color w:val="auto"/>
                <w:spacing w:val="-4"/>
                <w:highlight w:val="none"/>
              </w:rPr>
              <w:t>序号</w:t>
            </w:r>
          </w:p>
        </w:tc>
        <w:tc>
          <w:tcPr>
            <w:tcW w:w="582" w:type="pct"/>
            <w:vAlign w:val="center"/>
          </w:tcPr>
          <w:p w14:paraId="4E6DAA03">
            <w:pPr>
              <w:pStyle w:val="25"/>
              <w:pageBreakBefore w:val="0"/>
              <w:shd w:val="clear"/>
              <w:wordWrap/>
              <w:overflowPunct/>
              <w:topLinePunct w:val="0"/>
              <w:bidi w:val="0"/>
              <w:spacing w:before="78" w:line="25" w:lineRule="atLeast"/>
              <w:ind w:left="0" w:leftChars="0" w:right="0" w:rightChars="0" w:firstLine="0" w:firstLineChars="0"/>
              <w:jc w:val="center"/>
              <w:rPr>
                <w:color w:val="auto"/>
                <w:highlight w:val="none"/>
              </w:rPr>
            </w:pPr>
            <w:r>
              <w:rPr>
                <w:color w:val="auto"/>
                <w:spacing w:val="-4"/>
                <w:highlight w:val="none"/>
              </w:rPr>
              <w:t>用户单</w:t>
            </w:r>
            <w:r>
              <w:rPr>
                <w:color w:val="auto"/>
                <w:spacing w:val="-2"/>
                <w:highlight w:val="none"/>
              </w:rPr>
              <w:t>位名称</w:t>
            </w:r>
          </w:p>
        </w:tc>
        <w:tc>
          <w:tcPr>
            <w:tcW w:w="700" w:type="pct"/>
            <w:vAlign w:val="center"/>
          </w:tcPr>
          <w:p w14:paraId="7BCC3E2A">
            <w:pPr>
              <w:pStyle w:val="25"/>
              <w:pageBreakBefore w:val="0"/>
              <w:shd w:val="clear"/>
              <w:wordWrap/>
              <w:overflowPunct/>
              <w:topLinePunct w:val="0"/>
              <w:bidi w:val="0"/>
              <w:spacing w:before="78" w:line="25" w:lineRule="atLeast"/>
              <w:ind w:left="0" w:leftChars="0" w:right="0" w:rightChars="0" w:firstLine="0" w:firstLineChars="0"/>
              <w:jc w:val="center"/>
              <w:rPr>
                <w:color w:val="auto"/>
                <w:highlight w:val="none"/>
              </w:rPr>
            </w:pPr>
            <w:r>
              <w:rPr>
                <w:color w:val="auto"/>
                <w:spacing w:val="-4"/>
                <w:highlight w:val="none"/>
              </w:rPr>
              <w:t>项目名称</w:t>
            </w:r>
          </w:p>
        </w:tc>
        <w:tc>
          <w:tcPr>
            <w:tcW w:w="844" w:type="pct"/>
            <w:vAlign w:val="center"/>
          </w:tcPr>
          <w:p w14:paraId="3190A79F">
            <w:pPr>
              <w:pStyle w:val="25"/>
              <w:pageBreakBefore w:val="0"/>
              <w:shd w:val="clear"/>
              <w:wordWrap/>
              <w:overflowPunct/>
              <w:topLinePunct w:val="0"/>
              <w:bidi w:val="0"/>
              <w:spacing w:before="78" w:line="25" w:lineRule="atLeast"/>
              <w:ind w:left="0" w:leftChars="0" w:right="0" w:rightChars="0" w:firstLine="0" w:firstLineChars="0"/>
              <w:jc w:val="center"/>
              <w:rPr>
                <w:color w:val="auto"/>
                <w:highlight w:val="none"/>
              </w:rPr>
            </w:pPr>
            <w:r>
              <w:rPr>
                <w:color w:val="auto"/>
                <w:spacing w:val="-2"/>
                <w:highlight w:val="none"/>
              </w:rPr>
              <w:t>用户联系人及联系方式</w:t>
            </w:r>
          </w:p>
        </w:tc>
        <w:tc>
          <w:tcPr>
            <w:tcW w:w="481" w:type="pct"/>
            <w:vAlign w:val="center"/>
          </w:tcPr>
          <w:p w14:paraId="678578E1">
            <w:pPr>
              <w:pStyle w:val="25"/>
              <w:pageBreakBefore w:val="0"/>
              <w:shd w:val="clear"/>
              <w:wordWrap/>
              <w:overflowPunct/>
              <w:topLinePunct w:val="0"/>
              <w:bidi w:val="0"/>
              <w:spacing w:before="78" w:line="25" w:lineRule="atLeast"/>
              <w:ind w:left="0" w:leftChars="0" w:right="0" w:rightChars="0" w:firstLine="0" w:firstLineChars="0"/>
              <w:jc w:val="center"/>
              <w:rPr>
                <w:color w:val="auto"/>
                <w:highlight w:val="none"/>
              </w:rPr>
            </w:pPr>
            <w:r>
              <w:rPr>
                <w:color w:val="auto"/>
                <w:spacing w:val="-7"/>
                <w:highlight w:val="none"/>
              </w:rPr>
              <w:t>合同</w:t>
            </w:r>
            <w:r>
              <w:rPr>
                <w:color w:val="auto"/>
                <w:spacing w:val="-6"/>
                <w:highlight w:val="none"/>
              </w:rPr>
              <w:t>金额</w:t>
            </w:r>
          </w:p>
        </w:tc>
        <w:tc>
          <w:tcPr>
            <w:tcW w:w="837" w:type="pct"/>
            <w:vAlign w:val="center"/>
          </w:tcPr>
          <w:p w14:paraId="43D2F6A8">
            <w:pPr>
              <w:pStyle w:val="25"/>
              <w:pageBreakBefore w:val="0"/>
              <w:shd w:val="clear"/>
              <w:wordWrap/>
              <w:overflowPunct/>
              <w:topLinePunct w:val="0"/>
              <w:bidi w:val="0"/>
              <w:spacing w:before="78" w:line="25" w:lineRule="atLeast"/>
              <w:ind w:left="0" w:leftChars="0" w:right="0" w:rightChars="0" w:firstLine="0" w:firstLineChars="0"/>
              <w:jc w:val="center"/>
              <w:rPr>
                <w:color w:val="auto"/>
                <w:highlight w:val="none"/>
              </w:rPr>
            </w:pPr>
            <w:r>
              <w:rPr>
                <w:color w:val="auto"/>
                <w:spacing w:val="-4"/>
                <w:highlight w:val="none"/>
              </w:rPr>
              <w:t>项目内容</w:t>
            </w:r>
          </w:p>
        </w:tc>
        <w:tc>
          <w:tcPr>
            <w:tcW w:w="1173" w:type="pct"/>
            <w:vAlign w:val="center"/>
          </w:tcPr>
          <w:p w14:paraId="4DE29F7F">
            <w:pPr>
              <w:pStyle w:val="25"/>
              <w:pageBreakBefore w:val="0"/>
              <w:shd w:val="clear"/>
              <w:wordWrap/>
              <w:overflowPunct/>
              <w:topLinePunct w:val="0"/>
              <w:bidi w:val="0"/>
              <w:spacing w:before="89" w:line="25" w:lineRule="atLeast"/>
              <w:ind w:left="0" w:leftChars="0" w:right="0" w:rightChars="0" w:firstLine="0" w:firstLineChars="0"/>
              <w:jc w:val="center"/>
              <w:rPr>
                <w:color w:val="auto"/>
                <w:highlight w:val="none"/>
              </w:rPr>
            </w:pPr>
            <w:r>
              <w:rPr>
                <w:color w:val="auto"/>
                <w:spacing w:val="-2"/>
                <w:highlight w:val="none"/>
              </w:rPr>
              <w:t>用户盖章的</w:t>
            </w:r>
            <w:r>
              <w:rPr>
                <w:color w:val="auto"/>
                <w:spacing w:val="-4"/>
                <w:highlight w:val="none"/>
              </w:rPr>
              <w:t>成功履行合</w:t>
            </w:r>
            <w:r>
              <w:rPr>
                <w:color w:val="auto"/>
                <w:spacing w:val="-7"/>
                <w:highlight w:val="none"/>
              </w:rPr>
              <w:t>同的相关证明材料页码</w:t>
            </w:r>
          </w:p>
        </w:tc>
      </w:tr>
      <w:tr w14:paraId="3BF74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81" w:type="pct"/>
            <w:vAlign w:val="center"/>
          </w:tcPr>
          <w:p w14:paraId="06C2C6A8">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82" w:type="pct"/>
            <w:vAlign w:val="center"/>
          </w:tcPr>
          <w:p w14:paraId="04BD1BB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00" w:type="pct"/>
            <w:vAlign w:val="center"/>
          </w:tcPr>
          <w:p w14:paraId="4375B152">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44" w:type="pct"/>
            <w:vAlign w:val="center"/>
          </w:tcPr>
          <w:p w14:paraId="5611EAE5">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481" w:type="pct"/>
            <w:vAlign w:val="center"/>
          </w:tcPr>
          <w:p w14:paraId="5F76E87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1360C87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73" w:type="pct"/>
            <w:vAlign w:val="center"/>
          </w:tcPr>
          <w:p w14:paraId="36C6C18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0E031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81" w:type="pct"/>
            <w:vAlign w:val="center"/>
          </w:tcPr>
          <w:p w14:paraId="52700A5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82" w:type="pct"/>
            <w:vAlign w:val="center"/>
          </w:tcPr>
          <w:p w14:paraId="19C6A68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00" w:type="pct"/>
            <w:vAlign w:val="center"/>
          </w:tcPr>
          <w:p w14:paraId="513B82D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44" w:type="pct"/>
            <w:vAlign w:val="center"/>
          </w:tcPr>
          <w:p w14:paraId="47449E1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481" w:type="pct"/>
            <w:vAlign w:val="center"/>
          </w:tcPr>
          <w:p w14:paraId="5C71E95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6C0859E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73" w:type="pct"/>
            <w:vAlign w:val="center"/>
          </w:tcPr>
          <w:p w14:paraId="7D097F7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4D677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81" w:type="pct"/>
            <w:vAlign w:val="center"/>
          </w:tcPr>
          <w:p w14:paraId="37856D9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82" w:type="pct"/>
            <w:vAlign w:val="center"/>
          </w:tcPr>
          <w:p w14:paraId="38FB40D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00" w:type="pct"/>
            <w:vAlign w:val="center"/>
          </w:tcPr>
          <w:p w14:paraId="438CFD5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44" w:type="pct"/>
            <w:vAlign w:val="center"/>
          </w:tcPr>
          <w:p w14:paraId="7DDCEEB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481" w:type="pct"/>
            <w:vAlign w:val="center"/>
          </w:tcPr>
          <w:p w14:paraId="283A5005">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46025254">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73" w:type="pct"/>
            <w:vAlign w:val="center"/>
          </w:tcPr>
          <w:p w14:paraId="308AA224">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63940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381" w:type="pct"/>
            <w:vAlign w:val="center"/>
          </w:tcPr>
          <w:p w14:paraId="3CEACF4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82" w:type="pct"/>
            <w:vAlign w:val="center"/>
          </w:tcPr>
          <w:p w14:paraId="7B2D8D02">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00" w:type="pct"/>
            <w:vAlign w:val="center"/>
          </w:tcPr>
          <w:p w14:paraId="688DC6F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44" w:type="pct"/>
            <w:vAlign w:val="center"/>
          </w:tcPr>
          <w:p w14:paraId="3FEB94F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481" w:type="pct"/>
            <w:vAlign w:val="center"/>
          </w:tcPr>
          <w:p w14:paraId="0E6A1257">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02D54FB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73" w:type="pct"/>
            <w:vAlign w:val="center"/>
          </w:tcPr>
          <w:p w14:paraId="00BA570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7AB8F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381" w:type="pct"/>
            <w:vAlign w:val="center"/>
          </w:tcPr>
          <w:p w14:paraId="27846185">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82" w:type="pct"/>
            <w:vAlign w:val="center"/>
          </w:tcPr>
          <w:p w14:paraId="6CA92E2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00" w:type="pct"/>
            <w:vAlign w:val="center"/>
          </w:tcPr>
          <w:p w14:paraId="2E76CE6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44" w:type="pct"/>
            <w:vAlign w:val="center"/>
          </w:tcPr>
          <w:p w14:paraId="59B4AE1E">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481" w:type="pct"/>
            <w:vAlign w:val="center"/>
          </w:tcPr>
          <w:p w14:paraId="56E44505">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3088540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73" w:type="pct"/>
            <w:vAlign w:val="center"/>
          </w:tcPr>
          <w:p w14:paraId="1B77764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70047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381" w:type="pct"/>
            <w:vAlign w:val="center"/>
          </w:tcPr>
          <w:p w14:paraId="1C943D7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82" w:type="pct"/>
            <w:vAlign w:val="center"/>
          </w:tcPr>
          <w:p w14:paraId="69ABFA75">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00" w:type="pct"/>
            <w:vAlign w:val="center"/>
          </w:tcPr>
          <w:p w14:paraId="3760C43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44" w:type="pct"/>
            <w:vAlign w:val="center"/>
          </w:tcPr>
          <w:p w14:paraId="400E023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481" w:type="pct"/>
            <w:vAlign w:val="center"/>
          </w:tcPr>
          <w:p w14:paraId="37334C5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1EE40CC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73" w:type="pct"/>
            <w:vAlign w:val="center"/>
          </w:tcPr>
          <w:p w14:paraId="6CE942C7">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4CD55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381" w:type="pct"/>
            <w:vAlign w:val="center"/>
          </w:tcPr>
          <w:p w14:paraId="49B75134">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82" w:type="pct"/>
            <w:vAlign w:val="center"/>
          </w:tcPr>
          <w:p w14:paraId="67BC03D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00" w:type="pct"/>
            <w:vAlign w:val="center"/>
          </w:tcPr>
          <w:p w14:paraId="1D2E7ED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44" w:type="pct"/>
            <w:vAlign w:val="center"/>
          </w:tcPr>
          <w:p w14:paraId="5E40EC8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481" w:type="pct"/>
            <w:vAlign w:val="center"/>
          </w:tcPr>
          <w:p w14:paraId="691DF878">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717A2438">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73" w:type="pct"/>
            <w:vAlign w:val="center"/>
          </w:tcPr>
          <w:p w14:paraId="5ED6053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419E0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381" w:type="pct"/>
            <w:vAlign w:val="center"/>
          </w:tcPr>
          <w:p w14:paraId="73B91A7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82" w:type="pct"/>
            <w:vAlign w:val="center"/>
          </w:tcPr>
          <w:p w14:paraId="0A4EF82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00" w:type="pct"/>
            <w:vAlign w:val="center"/>
          </w:tcPr>
          <w:p w14:paraId="7D7B31A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44" w:type="pct"/>
            <w:vAlign w:val="center"/>
          </w:tcPr>
          <w:p w14:paraId="38AF8F4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481" w:type="pct"/>
            <w:vAlign w:val="center"/>
          </w:tcPr>
          <w:p w14:paraId="5C927A5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3D80B56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73" w:type="pct"/>
            <w:vAlign w:val="center"/>
          </w:tcPr>
          <w:p w14:paraId="0B69004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082F6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381" w:type="pct"/>
            <w:vAlign w:val="center"/>
          </w:tcPr>
          <w:p w14:paraId="26DAC221">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82" w:type="pct"/>
            <w:vAlign w:val="center"/>
          </w:tcPr>
          <w:p w14:paraId="052CD78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00" w:type="pct"/>
            <w:vAlign w:val="center"/>
          </w:tcPr>
          <w:p w14:paraId="457EE9F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44" w:type="pct"/>
            <w:vAlign w:val="center"/>
          </w:tcPr>
          <w:p w14:paraId="1F2546BE">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481" w:type="pct"/>
            <w:vAlign w:val="center"/>
          </w:tcPr>
          <w:p w14:paraId="22D5772B">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2C55077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73" w:type="pct"/>
            <w:vAlign w:val="center"/>
          </w:tcPr>
          <w:p w14:paraId="586F9C70">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28024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381" w:type="pct"/>
            <w:vAlign w:val="center"/>
          </w:tcPr>
          <w:p w14:paraId="50895C6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82" w:type="pct"/>
            <w:vAlign w:val="center"/>
          </w:tcPr>
          <w:p w14:paraId="7F5C4F57">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00" w:type="pct"/>
            <w:vAlign w:val="center"/>
          </w:tcPr>
          <w:p w14:paraId="1A048A9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44" w:type="pct"/>
            <w:vAlign w:val="center"/>
          </w:tcPr>
          <w:p w14:paraId="1432F84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481" w:type="pct"/>
            <w:vAlign w:val="center"/>
          </w:tcPr>
          <w:p w14:paraId="70AACEF3">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5C860829">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73" w:type="pct"/>
            <w:vAlign w:val="center"/>
          </w:tcPr>
          <w:p w14:paraId="53422586">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r w14:paraId="12D2B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381" w:type="pct"/>
            <w:vAlign w:val="center"/>
          </w:tcPr>
          <w:p w14:paraId="16CCE39F">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582" w:type="pct"/>
            <w:vAlign w:val="center"/>
          </w:tcPr>
          <w:p w14:paraId="2F70636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700" w:type="pct"/>
            <w:vAlign w:val="center"/>
          </w:tcPr>
          <w:p w14:paraId="0FF1FE2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44" w:type="pct"/>
            <w:vAlign w:val="center"/>
          </w:tcPr>
          <w:p w14:paraId="6D8A5308">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481" w:type="pct"/>
            <w:vAlign w:val="center"/>
          </w:tcPr>
          <w:p w14:paraId="79570D9A">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837" w:type="pct"/>
            <w:vAlign w:val="center"/>
          </w:tcPr>
          <w:p w14:paraId="747DB15D">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c>
          <w:tcPr>
            <w:tcW w:w="1173" w:type="pct"/>
            <w:vAlign w:val="center"/>
          </w:tcPr>
          <w:p w14:paraId="4A7196AC">
            <w:pPr>
              <w:pageBreakBefore w:val="0"/>
              <w:shd w:val="clear"/>
              <w:wordWrap/>
              <w:overflowPunct/>
              <w:topLinePunct w:val="0"/>
              <w:bidi w:val="0"/>
              <w:spacing w:line="25" w:lineRule="atLeast"/>
              <w:ind w:left="0" w:leftChars="0" w:right="0" w:rightChars="0" w:firstLine="0" w:firstLineChars="0"/>
              <w:jc w:val="center"/>
              <w:rPr>
                <w:rFonts w:ascii="Arial"/>
                <w:color w:val="auto"/>
                <w:sz w:val="21"/>
                <w:highlight w:val="none"/>
              </w:rPr>
            </w:pPr>
          </w:p>
        </w:tc>
      </w:tr>
    </w:tbl>
    <w:p w14:paraId="0F0B8FB1">
      <w:pPr>
        <w:pStyle w:val="11"/>
        <w:keepNext w:val="0"/>
        <w:keepLines w:val="0"/>
        <w:pageBreakBefore w:val="0"/>
        <w:widowControl/>
        <w:shd w:val="clear"/>
        <w:tabs>
          <w:tab w:val="left" w:pos="8400"/>
        </w:tabs>
        <w:kinsoku w:val="0"/>
        <w:wordWrap/>
        <w:overflowPunct/>
        <w:topLinePunct w:val="0"/>
        <w:autoSpaceDE w:val="0"/>
        <w:autoSpaceDN w:val="0"/>
        <w:bidi w:val="0"/>
        <w:adjustRightInd w:val="0"/>
        <w:snapToGrid w:val="0"/>
        <w:spacing w:line="360" w:lineRule="auto"/>
        <w:ind w:right="0" w:rightChars="0"/>
        <w:textAlignment w:val="baseline"/>
        <w:rPr>
          <w:color w:val="auto"/>
          <w:sz w:val="24"/>
          <w:szCs w:val="24"/>
          <w:highlight w:val="none"/>
        </w:rPr>
      </w:pPr>
      <w:r>
        <w:rPr>
          <w:color w:val="auto"/>
          <w:spacing w:val="-3"/>
          <w:sz w:val="24"/>
          <w:szCs w:val="24"/>
          <w:highlight w:val="none"/>
        </w:rPr>
        <w:t>备注：若招标文件第四章评分因素及评标标准中要求提供业绩的，</w:t>
      </w:r>
      <w:r>
        <w:rPr>
          <w:color w:val="auto"/>
          <w:spacing w:val="-4"/>
          <w:sz w:val="24"/>
          <w:szCs w:val="24"/>
          <w:highlight w:val="none"/>
        </w:rPr>
        <w:t>投标人所</w:t>
      </w:r>
      <w:r>
        <w:rPr>
          <w:color w:val="auto"/>
          <w:spacing w:val="-2"/>
          <w:sz w:val="24"/>
          <w:szCs w:val="24"/>
          <w:highlight w:val="none"/>
        </w:rPr>
        <w:t>列业绩应按其要求将证明材料按顺序附后。</w:t>
      </w:r>
    </w:p>
    <w:p w14:paraId="31E1E1B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rPr>
          <w:rFonts w:ascii="Arial"/>
          <w:color w:val="auto"/>
          <w:sz w:val="21"/>
          <w:highlight w:val="none"/>
        </w:rPr>
      </w:pPr>
    </w:p>
    <w:p w14:paraId="4460AD0E">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rPr>
          <w:color w:val="auto"/>
          <w:sz w:val="28"/>
          <w:szCs w:val="28"/>
          <w:highlight w:val="none"/>
        </w:rPr>
      </w:pPr>
      <w:r>
        <w:rPr>
          <w:color w:val="auto"/>
          <w:spacing w:val="-2"/>
          <w:sz w:val="28"/>
          <w:szCs w:val="28"/>
          <w:highlight w:val="none"/>
        </w:rPr>
        <w:t>投标人名称（盖章</w:t>
      </w:r>
      <w:r>
        <w:rPr>
          <w:color w:val="auto"/>
          <w:spacing w:val="-1"/>
          <w:sz w:val="28"/>
          <w:szCs w:val="28"/>
          <w:highlight w:val="none"/>
        </w:rPr>
        <w:t>）：</w:t>
      </w:r>
      <w:r>
        <w:rPr>
          <w:color w:val="auto"/>
          <w:sz w:val="28"/>
          <w:szCs w:val="28"/>
          <w:highlight w:val="none"/>
          <w:u w:val="single" w:color="auto"/>
        </w:rPr>
        <w:t xml:space="preserve">                 </w:t>
      </w:r>
    </w:p>
    <w:p w14:paraId="331E0A74">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rPr>
          <w:color w:val="auto"/>
          <w:sz w:val="28"/>
          <w:szCs w:val="28"/>
          <w:highlight w:val="none"/>
        </w:rPr>
      </w:pPr>
      <w:r>
        <w:rPr>
          <w:color w:val="auto"/>
          <w:spacing w:val="-1"/>
          <w:sz w:val="28"/>
          <w:szCs w:val="28"/>
          <w:highlight w:val="none"/>
        </w:rPr>
        <w:t>投标人法定代表人或其授权委托人（签字或盖章</w:t>
      </w:r>
      <w:r>
        <w:rPr>
          <w:color w:val="auto"/>
          <w:spacing w:val="2"/>
          <w:sz w:val="28"/>
          <w:szCs w:val="28"/>
          <w:highlight w:val="none"/>
        </w:rPr>
        <w:t>）：</w:t>
      </w:r>
      <w:r>
        <w:rPr>
          <w:color w:val="auto"/>
          <w:sz w:val="28"/>
          <w:szCs w:val="28"/>
          <w:highlight w:val="none"/>
          <w:u w:val="single" w:color="auto"/>
        </w:rPr>
        <w:t xml:space="preserve">      </w:t>
      </w:r>
    </w:p>
    <w:p w14:paraId="00A6EC69">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rPr>
          <w:color w:val="auto"/>
          <w:sz w:val="28"/>
          <w:szCs w:val="28"/>
          <w:highlight w:val="none"/>
        </w:rPr>
      </w:pPr>
      <w:r>
        <w:rPr>
          <w:color w:val="auto"/>
          <w:spacing w:val="-18"/>
          <w:sz w:val="28"/>
          <w:szCs w:val="28"/>
          <w:highlight w:val="none"/>
        </w:rPr>
        <w:t>日期：</w:t>
      </w:r>
      <w:r>
        <w:rPr>
          <w:color w:val="auto"/>
          <w:sz w:val="28"/>
          <w:szCs w:val="28"/>
          <w:highlight w:val="none"/>
          <w:u w:val="single" w:color="auto"/>
        </w:rPr>
        <w:t xml:space="preserve">    </w:t>
      </w:r>
      <w:r>
        <w:rPr>
          <w:color w:val="auto"/>
          <w:spacing w:val="-18"/>
          <w:sz w:val="28"/>
          <w:szCs w:val="28"/>
          <w:highlight w:val="none"/>
        </w:rPr>
        <w:t>年</w:t>
      </w:r>
      <w:r>
        <w:rPr>
          <w:color w:val="auto"/>
          <w:spacing w:val="46"/>
          <w:sz w:val="28"/>
          <w:szCs w:val="28"/>
          <w:highlight w:val="none"/>
          <w:u w:val="single" w:color="auto"/>
        </w:rPr>
        <w:t xml:space="preserve">   </w:t>
      </w:r>
      <w:r>
        <w:rPr>
          <w:color w:val="auto"/>
          <w:spacing w:val="-18"/>
          <w:sz w:val="28"/>
          <w:szCs w:val="28"/>
          <w:highlight w:val="none"/>
        </w:rPr>
        <w:t>月</w:t>
      </w:r>
      <w:r>
        <w:rPr>
          <w:color w:val="auto"/>
          <w:spacing w:val="46"/>
          <w:sz w:val="28"/>
          <w:szCs w:val="28"/>
          <w:highlight w:val="none"/>
          <w:u w:val="single" w:color="auto"/>
        </w:rPr>
        <w:t xml:space="preserve">   </w:t>
      </w:r>
      <w:r>
        <w:rPr>
          <w:color w:val="auto"/>
          <w:spacing w:val="-18"/>
          <w:sz w:val="28"/>
          <w:szCs w:val="28"/>
          <w:highlight w:val="none"/>
        </w:rPr>
        <w:t>日</w:t>
      </w:r>
    </w:p>
    <w:p w14:paraId="3DE50D6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rPr>
          <w:rFonts w:ascii="Arial"/>
          <w:color w:val="auto"/>
          <w:sz w:val="21"/>
          <w:highlight w:val="none"/>
        </w:rPr>
      </w:pPr>
    </w:p>
    <w:p w14:paraId="4AEC306E">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rPr>
          <w:color w:val="auto"/>
          <w:sz w:val="24"/>
          <w:szCs w:val="24"/>
          <w:highlight w:val="none"/>
        </w:rPr>
      </w:pPr>
      <w:r>
        <w:rPr>
          <w:color w:val="auto"/>
          <w:spacing w:val="-4"/>
          <w:sz w:val="24"/>
          <w:szCs w:val="24"/>
          <w:highlight w:val="none"/>
        </w:rPr>
        <w:t>说明：</w:t>
      </w:r>
    </w:p>
    <w:p w14:paraId="568A1985">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rPr>
          <w:color w:val="auto"/>
          <w:sz w:val="24"/>
          <w:szCs w:val="24"/>
          <w:highlight w:val="none"/>
        </w:rPr>
      </w:pPr>
      <w:r>
        <w:rPr>
          <w:color w:val="auto"/>
          <w:sz w:val="24"/>
          <w:szCs w:val="24"/>
          <w:highlight w:val="none"/>
        </w:rPr>
        <w:t>1.应提供投标人商务部分要求的其他商务证明文件,具体要求详见本招标文</w:t>
      </w:r>
      <w:r>
        <w:rPr>
          <w:color w:val="auto"/>
          <w:spacing w:val="-4"/>
          <w:sz w:val="24"/>
          <w:szCs w:val="24"/>
          <w:highlight w:val="none"/>
        </w:rPr>
        <w:t>件第四章，“综合评分表”。</w:t>
      </w:r>
    </w:p>
    <w:p w14:paraId="723A3A8C">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rPr>
          <w:color w:val="auto"/>
          <w:sz w:val="24"/>
          <w:szCs w:val="24"/>
          <w:highlight w:val="none"/>
        </w:rPr>
      </w:pPr>
      <w:r>
        <w:rPr>
          <w:color w:val="auto"/>
          <w:spacing w:val="-4"/>
          <w:sz w:val="24"/>
          <w:szCs w:val="24"/>
          <w:highlight w:val="none"/>
        </w:rPr>
        <w:t>2.原件、扫描件上均应电子签章（单位</w:t>
      </w:r>
      <w:r>
        <w:rPr>
          <w:color w:val="auto"/>
          <w:spacing w:val="9"/>
          <w:sz w:val="24"/>
          <w:szCs w:val="24"/>
          <w:highlight w:val="none"/>
        </w:rPr>
        <w:t>），</w:t>
      </w:r>
      <w:r>
        <w:rPr>
          <w:color w:val="auto"/>
          <w:spacing w:val="-4"/>
          <w:sz w:val="24"/>
          <w:szCs w:val="24"/>
          <w:highlight w:val="none"/>
        </w:rPr>
        <w:t>自然人投标的无需电子签章，需</w:t>
      </w:r>
      <w:r>
        <w:rPr>
          <w:color w:val="auto"/>
          <w:spacing w:val="-3"/>
          <w:sz w:val="24"/>
          <w:szCs w:val="24"/>
          <w:highlight w:val="none"/>
        </w:rPr>
        <w:t>要扫描签字上传。</w:t>
      </w:r>
    </w:p>
    <w:p w14:paraId="1AE13145">
      <w:pPr>
        <w:pStyle w:val="11"/>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rPr>
          <w:color w:val="auto"/>
          <w:sz w:val="24"/>
          <w:szCs w:val="24"/>
          <w:highlight w:val="none"/>
        </w:rPr>
      </w:pPr>
      <w:r>
        <w:rPr>
          <w:color w:val="auto"/>
          <w:spacing w:val="-4"/>
          <w:sz w:val="24"/>
          <w:szCs w:val="24"/>
          <w:highlight w:val="none"/>
        </w:rPr>
        <w:t>3.如果是联合体投标，联合体各方需提供的满足招标文件要求的其他资格证</w:t>
      </w:r>
      <w:r>
        <w:rPr>
          <w:color w:val="auto"/>
          <w:spacing w:val="-8"/>
          <w:sz w:val="24"/>
          <w:szCs w:val="24"/>
          <w:highlight w:val="none"/>
        </w:rPr>
        <w:t>明文件。</w:t>
      </w:r>
    </w:p>
    <w:p w14:paraId="4A443069">
      <w:pPr>
        <w:pageBreakBefore w:val="0"/>
        <w:shd w:val="clear"/>
        <w:wordWrap/>
        <w:overflowPunct/>
        <w:topLinePunct w:val="0"/>
        <w:bidi w:val="0"/>
        <w:spacing w:line="25" w:lineRule="atLeast"/>
        <w:rPr>
          <w:color w:val="auto"/>
          <w:sz w:val="24"/>
          <w:szCs w:val="24"/>
          <w:highlight w:val="none"/>
        </w:rPr>
      </w:pPr>
    </w:p>
    <w:p w14:paraId="03FE7EB7">
      <w:pPr>
        <w:pageBreakBefore w:val="0"/>
        <w:shd w:val="clear"/>
        <w:wordWrap/>
        <w:overflowPunct/>
        <w:topLinePunct w:val="0"/>
        <w:bidi w:val="0"/>
        <w:spacing w:line="25" w:lineRule="atLeast"/>
        <w:rPr>
          <w:color w:val="auto"/>
          <w:sz w:val="24"/>
          <w:szCs w:val="24"/>
          <w:highlight w:val="none"/>
        </w:rPr>
        <w:sectPr>
          <w:headerReference r:id="rId67" w:type="default"/>
          <w:footerReference r:id="rId68" w:type="default"/>
          <w:pgSz w:w="11906" w:h="16839"/>
          <w:pgMar w:top="1440" w:right="1800" w:bottom="1440" w:left="1800" w:header="1090" w:footer="1253" w:gutter="0"/>
          <w:pgNumType w:fmt="decimal"/>
          <w:cols w:space="720" w:num="1"/>
        </w:sectPr>
      </w:pPr>
    </w:p>
    <w:p w14:paraId="11E51F32">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491AF3C8">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58494CD2">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345B7C3A">
      <w:pPr>
        <w:keepNext w:val="0"/>
        <w:keepLines w:val="0"/>
        <w:pageBreakBefore w:val="0"/>
        <w:widowControl/>
        <w:shd w:val="clear"/>
        <w:kinsoku w:val="0"/>
        <w:wordWrap w:val="0"/>
        <w:overflowPunct/>
        <w:topLinePunct w:val="0"/>
        <w:autoSpaceDE w:val="0"/>
        <w:autoSpaceDN w:val="0"/>
        <w:bidi w:val="0"/>
        <w:adjustRightInd w:val="0"/>
        <w:snapToGrid w:val="0"/>
        <w:spacing w:line="260" w:lineRule="auto"/>
        <w:textAlignment w:val="baseline"/>
        <w:rPr>
          <w:rFonts w:ascii="Arial"/>
          <w:color w:val="auto"/>
          <w:sz w:val="21"/>
          <w:highlight w:val="none"/>
        </w:rPr>
      </w:pPr>
    </w:p>
    <w:p w14:paraId="0CE8B52A">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4F2E36F8">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12D2549F">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2788A6F5">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62B8901D">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35011403">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7E7E104E">
      <w:pPr>
        <w:keepNext w:val="0"/>
        <w:keepLines w:val="0"/>
        <w:pageBreakBefore w:val="0"/>
        <w:widowControl/>
        <w:shd w:val="clear"/>
        <w:kinsoku w:val="0"/>
        <w:wordWrap w:val="0"/>
        <w:overflowPunct/>
        <w:topLinePunct w:val="0"/>
        <w:autoSpaceDE w:val="0"/>
        <w:autoSpaceDN w:val="0"/>
        <w:bidi w:val="0"/>
        <w:adjustRightInd w:val="0"/>
        <w:snapToGrid w:val="0"/>
        <w:spacing w:line="261" w:lineRule="auto"/>
        <w:textAlignment w:val="baseline"/>
        <w:rPr>
          <w:rFonts w:ascii="Arial"/>
          <w:color w:val="auto"/>
          <w:sz w:val="21"/>
          <w:highlight w:val="none"/>
        </w:rPr>
      </w:pPr>
    </w:p>
    <w:p w14:paraId="71AFBAA5">
      <w:pPr>
        <w:keepNext w:val="0"/>
        <w:keepLines w:val="0"/>
        <w:pageBreakBefore w:val="0"/>
        <w:widowControl/>
        <w:shd w:val="clear"/>
        <w:kinsoku w:val="0"/>
        <w:wordWrap w:val="0"/>
        <w:overflowPunct/>
        <w:topLinePunct w:val="0"/>
        <w:autoSpaceDE w:val="0"/>
        <w:autoSpaceDN w:val="0"/>
        <w:bidi w:val="0"/>
        <w:adjustRightInd w:val="0"/>
        <w:snapToGrid w:val="0"/>
        <w:spacing w:before="231" w:line="218" w:lineRule="auto"/>
        <w:ind w:left="2985"/>
        <w:textAlignment w:val="baseline"/>
        <w:rPr>
          <w:rFonts w:ascii="宋体" w:hAnsi="宋体" w:eastAsia="宋体" w:cs="宋体"/>
          <w:color w:val="auto"/>
          <w:sz w:val="71"/>
          <w:szCs w:val="71"/>
          <w:highlight w:val="none"/>
        </w:rPr>
      </w:pPr>
      <w:r>
        <w:rPr>
          <w:rFonts w:ascii="宋体" w:hAnsi="宋体" w:eastAsia="宋体" w:cs="宋体"/>
          <w:b/>
          <w:bCs/>
          <w:color w:val="auto"/>
          <w:spacing w:val="-2"/>
          <w:sz w:val="71"/>
          <w:szCs w:val="71"/>
          <w:highlight w:val="none"/>
        </w:rPr>
        <w:t>投标文件</w:t>
      </w:r>
    </w:p>
    <w:p w14:paraId="7DB3903F">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12DC3B2D">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698020BB">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7FD83E9D">
      <w:pPr>
        <w:keepNext w:val="0"/>
        <w:keepLines w:val="0"/>
        <w:pageBreakBefore w:val="0"/>
        <w:widowControl/>
        <w:shd w:val="clear"/>
        <w:kinsoku w:val="0"/>
        <w:wordWrap w:val="0"/>
        <w:overflowPunct/>
        <w:topLinePunct w:val="0"/>
        <w:autoSpaceDE w:val="0"/>
        <w:autoSpaceDN w:val="0"/>
        <w:bidi w:val="0"/>
        <w:adjustRightInd w:val="0"/>
        <w:snapToGrid w:val="0"/>
        <w:spacing w:line="252" w:lineRule="auto"/>
        <w:textAlignment w:val="baseline"/>
        <w:rPr>
          <w:rFonts w:ascii="Arial"/>
          <w:color w:val="auto"/>
          <w:sz w:val="21"/>
          <w:highlight w:val="none"/>
        </w:rPr>
      </w:pPr>
    </w:p>
    <w:p w14:paraId="4A4CC5BA">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420CFA46">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121A6DA2">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4A4292CA">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29DB9463">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0D804848">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59A3D519">
      <w:pPr>
        <w:keepNext w:val="0"/>
        <w:keepLines w:val="0"/>
        <w:pageBreakBefore w:val="0"/>
        <w:widowControl/>
        <w:shd w:val="clear"/>
        <w:kinsoku w:val="0"/>
        <w:wordWrap w:val="0"/>
        <w:overflowPunct/>
        <w:topLinePunct w:val="0"/>
        <w:autoSpaceDE w:val="0"/>
        <w:autoSpaceDN w:val="0"/>
        <w:bidi w:val="0"/>
        <w:adjustRightInd w:val="0"/>
        <w:snapToGrid w:val="0"/>
        <w:spacing w:line="253" w:lineRule="auto"/>
        <w:textAlignment w:val="baseline"/>
        <w:rPr>
          <w:rFonts w:ascii="Arial"/>
          <w:color w:val="auto"/>
          <w:sz w:val="21"/>
          <w:highlight w:val="none"/>
        </w:rPr>
      </w:pPr>
    </w:p>
    <w:p w14:paraId="6FE396B8">
      <w:pPr>
        <w:keepNext w:val="0"/>
        <w:keepLines w:val="0"/>
        <w:pageBreakBefore w:val="0"/>
        <w:widowControl/>
        <w:shd w:val="clear"/>
        <w:kinsoku w:val="0"/>
        <w:wordWrap w:val="0"/>
        <w:overflowPunct/>
        <w:topLinePunct w:val="0"/>
        <w:autoSpaceDE w:val="0"/>
        <w:autoSpaceDN w:val="0"/>
        <w:bidi w:val="0"/>
        <w:adjustRightInd w:val="0"/>
        <w:snapToGrid w:val="0"/>
        <w:spacing w:before="169" w:line="242" w:lineRule="auto"/>
        <w:ind w:left="3389"/>
        <w:textAlignment w:val="baseline"/>
        <w:outlineLvl w:val="0"/>
        <w:rPr>
          <w:rFonts w:ascii="黑体" w:hAnsi="黑体" w:eastAsia="黑体" w:cs="黑体"/>
          <w:color w:val="auto"/>
          <w:sz w:val="52"/>
          <w:szCs w:val="52"/>
          <w:highlight w:val="none"/>
        </w:rPr>
      </w:pPr>
      <w:bookmarkStart w:id="30" w:name="_Toc15370"/>
      <w:bookmarkStart w:id="31" w:name="_Toc22354"/>
      <w:r>
        <w:rPr>
          <w:rFonts w:ascii="黑体" w:hAnsi="黑体" w:eastAsia="黑体" w:cs="黑体"/>
          <w:color w:val="auto"/>
          <w:spacing w:val="-6"/>
          <w:sz w:val="52"/>
          <w:szCs w:val="52"/>
          <w:highlight w:val="none"/>
        </w:rPr>
        <w:t>技术部分</w:t>
      </w:r>
      <w:bookmarkEnd w:id="30"/>
      <w:bookmarkEnd w:id="31"/>
    </w:p>
    <w:p w14:paraId="43D107A7">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36C16AEA">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526F8026">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3F370334">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5A9CA7C1">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787E44F8">
      <w:pPr>
        <w:keepNext w:val="0"/>
        <w:keepLines w:val="0"/>
        <w:pageBreakBefore w:val="0"/>
        <w:widowControl/>
        <w:shd w:val="clear"/>
        <w:kinsoku w:val="0"/>
        <w:wordWrap w:val="0"/>
        <w:overflowPunct/>
        <w:topLinePunct w:val="0"/>
        <w:autoSpaceDE w:val="0"/>
        <w:autoSpaceDN w:val="0"/>
        <w:bidi w:val="0"/>
        <w:adjustRightInd w:val="0"/>
        <w:snapToGrid w:val="0"/>
        <w:spacing w:line="256" w:lineRule="auto"/>
        <w:textAlignment w:val="baseline"/>
        <w:rPr>
          <w:rFonts w:ascii="Arial"/>
          <w:color w:val="auto"/>
          <w:sz w:val="21"/>
          <w:highlight w:val="none"/>
        </w:rPr>
      </w:pPr>
    </w:p>
    <w:p w14:paraId="12360386">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3659812D">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6B611649">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1460F542">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400F36BB">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430C2368">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57EF9838">
      <w:pPr>
        <w:keepNext w:val="0"/>
        <w:keepLines w:val="0"/>
        <w:pageBreakBefore w:val="0"/>
        <w:widowControl/>
        <w:shd w:val="clear"/>
        <w:kinsoku w:val="0"/>
        <w:wordWrap w:val="0"/>
        <w:overflowPunct/>
        <w:topLinePunct w:val="0"/>
        <w:autoSpaceDE w:val="0"/>
        <w:autoSpaceDN w:val="0"/>
        <w:bidi w:val="0"/>
        <w:adjustRightInd w:val="0"/>
        <w:snapToGrid w:val="0"/>
        <w:spacing w:line="257" w:lineRule="auto"/>
        <w:textAlignment w:val="baseline"/>
        <w:rPr>
          <w:rFonts w:ascii="Arial"/>
          <w:color w:val="auto"/>
          <w:sz w:val="21"/>
          <w:highlight w:val="none"/>
        </w:rPr>
      </w:pPr>
    </w:p>
    <w:p w14:paraId="4B7E7A0E">
      <w:pPr>
        <w:pStyle w:val="11"/>
        <w:keepNext w:val="0"/>
        <w:keepLines w:val="0"/>
        <w:pageBreakBefore w:val="0"/>
        <w:widowControl/>
        <w:shd w:val="clear"/>
        <w:kinsoku w:val="0"/>
        <w:wordWrap w:val="0"/>
        <w:overflowPunct/>
        <w:topLinePunct w:val="0"/>
        <w:autoSpaceDE w:val="0"/>
        <w:autoSpaceDN w:val="0"/>
        <w:bidi w:val="0"/>
        <w:adjustRightInd w:val="0"/>
        <w:snapToGrid w:val="0"/>
        <w:spacing w:before="100" w:line="221" w:lineRule="auto"/>
        <w:textAlignment w:val="baseline"/>
        <w:rPr>
          <w:color w:val="auto"/>
          <w:highlight w:val="none"/>
        </w:rPr>
      </w:pPr>
      <w:r>
        <w:rPr>
          <w:color w:val="auto"/>
          <w:spacing w:val="4"/>
          <w:highlight w:val="none"/>
        </w:rPr>
        <w:t>项目名称：</w:t>
      </w:r>
    </w:p>
    <w:p w14:paraId="773F40FC">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7" w:line="224" w:lineRule="auto"/>
        <w:textAlignment w:val="baseline"/>
        <w:rPr>
          <w:color w:val="auto"/>
          <w:highlight w:val="none"/>
        </w:rPr>
      </w:pPr>
      <w:r>
        <w:rPr>
          <w:color w:val="auto"/>
          <w:spacing w:val="4"/>
          <w:highlight w:val="none"/>
        </w:rPr>
        <w:t>项目编号：</w:t>
      </w:r>
    </w:p>
    <w:p w14:paraId="0634BFE9">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2" w:line="221" w:lineRule="auto"/>
        <w:textAlignment w:val="baseline"/>
        <w:rPr>
          <w:color w:val="auto"/>
          <w:highlight w:val="none"/>
        </w:rPr>
      </w:pPr>
      <w:r>
        <w:rPr>
          <w:color w:val="auto"/>
          <w:spacing w:val="7"/>
          <w:highlight w:val="none"/>
        </w:rPr>
        <w:t>投标人名称（公章</w:t>
      </w:r>
      <w:r>
        <w:rPr>
          <w:color w:val="auto"/>
          <w:spacing w:val="2"/>
          <w:highlight w:val="none"/>
        </w:rPr>
        <w:t>）：</w:t>
      </w:r>
    </w:p>
    <w:p w14:paraId="16013935">
      <w:pPr>
        <w:pStyle w:val="11"/>
        <w:keepNext w:val="0"/>
        <w:keepLines w:val="0"/>
        <w:pageBreakBefore w:val="0"/>
        <w:widowControl/>
        <w:shd w:val="clear"/>
        <w:kinsoku w:val="0"/>
        <w:wordWrap w:val="0"/>
        <w:overflowPunct/>
        <w:topLinePunct w:val="0"/>
        <w:autoSpaceDE w:val="0"/>
        <w:autoSpaceDN w:val="0"/>
        <w:bidi w:val="0"/>
        <w:adjustRightInd w:val="0"/>
        <w:snapToGrid w:val="0"/>
        <w:spacing w:before="268" w:line="222" w:lineRule="auto"/>
        <w:ind w:left="3546"/>
        <w:textAlignment w:val="baseline"/>
        <w:rPr>
          <w:color w:val="auto"/>
          <w:highlight w:val="none"/>
        </w:rPr>
      </w:pPr>
      <w:r>
        <w:rPr>
          <w:color w:val="auto"/>
          <w:spacing w:val="-9"/>
          <w:highlight w:val="none"/>
        </w:rPr>
        <w:t>年</w:t>
      </w:r>
      <w:r>
        <w:rPr>
          <w:color w:val="auto"/>
          <w:spacing w:val="20"/>
          <w:highlight w:val="none"/>
        </w:rPr>
        <w:t xml:space="preserve">  </w:t>
      </w:r>
      <w:r>
        <w:rPr>
          <w:color w:val="auto"/>
          <w:spacing w:val="-9"/>
          <w:highlight w:val="none"/>
        </w:rPr>
        <w:t>月</w:t>
      </w:r>
      <w:r>
        <w:rPr>
          <w:color w:val="auto"/>
          <w:spacing w:val="42"/>
          <w:highlight w:val="none"/>
        </w:rPr>
        <w:t xml:space="preserve">  </w:t>
      </w:r>
      <w:r>
        <w:rPr>
          <w:color w:val="auto"/>
          <w:spacing w:val="-9"/>
          <w:highlight w:val="none"/>
        </w:rPr>
        <w:t>日</w:t>
      </w:r>
    </w:p>
    <w:p w14:paraId="1E0E6942">
      <w:pPr>
        <w:pageBreakBefore w:val="0"/>
        <w:shd w:val="clear"/>
        <w:wordWrap/>
        <w:overflowPunct/>
        <w:topLinePunct w:val="0"/>
        <w:bidi w:val="0"/>
        <w:spacing w:line="25" w:lineRule="atLeast"/>
        <w:rPr>
          <w:color w:val="auto"/>
          <w:highlight w:val="none"/>
        </w:rPr>
        <w:sectPr>
          <w:headerReference r:id="rId69" w:type="default"/>
          <w:footerReference r:id="rId70" w:type="default"/>
          <w:pgSz w:w="11906" w:h="16839"/>
          <w:pgMar w:top="1440" w:right="1800" w:bottom="1440" w:left="1800" w:header="1090" w:footer="1253" w:gutter="0"/>
          <w:pgNumType w:fmt="decimal"/>
          <w:cols w:space="720" w:num="1"/>
        </w:sectPr>
      </w:pPr>
    </w:p>
    <w:p w14:paraId="366AE26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0" w:firstLineChars="0"/>
        <w:textAlignment w:val="baseline"/>
        <w:rPr>
          <w:color w:val="auto"/>
          <w:highlight w:val="none"/>
        </w:rPr>
      </w:pPr>
      <w:r>
        <w:rPr>
          <w:b/>
          <w:bCs/>
          <w:color w:val="auto"/>
          <w:spacing w:val="-4"/>
          <w:highlight w:val="none"/>
        </w:rPr>
        <w:t>附件14：</w:t>
      </w:r>
    </w:p>
    <w:p w14:paraId="45C6A920">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ascii="Arial"/>
          <w:color w:val="auto"/>
          <w:sz w:val="21"/>
          <w:highlight w:val="none"/>
        </w:rPr>
      </w:pPr>
      <w:r>
        <w:rPr>
          <w:b/>
          <w:bCs/>
          <w:color w:val="auto"/>
          <w:spacing w:val="5"/>
          <w:sz w:val="32"/>
          <w:szCs w:val="32"/>
          <w:highlight w:val="none"/>
        </w:rPr>
        <w:t>技术部分资料清单</w:t>
      </w:r>
    </w:p>
    <w:p w14:paraId="572D8559">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40" w:firstLineChars="200"/>
        <w:textAlignment w:val="baseline"/>
        <w:rPr>
          <w:color w:val="auto"/>
          <w:sz w:val="28"/>
          <w:szCs w:val="28"/>
          <w:highlight w:val="none"/>
        </w:rPr>
      </w:pPr>
      <w:r>
        <w:rPr>
          <w:color w:val="auto"/>
          <w:spacing w:val="-5"/>
          <w:sz w:val="28"/>
          <w:szCs w:val="28"/>
          <w:highlight w:val="none"/>
        </w:rPr>
        <w:t>由各投标人根据实际需求自行编写。目录清晰、内容详尽、易于</w:t>
      </w:r>
      <w:r>
        <w:rPr>
          <w:color w:val="auto"/>
          <w:spacing w:val="-1"/>
          <w:sz w:val="28"/>
          <w:szCs w:val="28"/>
          <w:highlight w:val="none"/>
        </w:rPr>
        <w:t>理解和评标。具体内容应包括但不限于：</w:t>
      </w:r>
    </w:p>
    <w:p w14:paraId="0D152372">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84" w:firstLineChars="200"/>
        <w:textAlignment w:val="baseline"/>
        <w:rPr>
          <w:color w:val="auto"/>
          <w:sz w:val="28"/>
          <w:szCs w:val="28"/>
          <w:highlight w:val="none"/>
        </w:rPr>
      </w:pPr>
      <w:r>
        <w:rPr>
          <w:color w:val="auto"/>
          <w:spacing w:val="6"/>
          <w:sz w:val="28"/>
          <w:szCs w:val="28"/>
          <w:highlight w:val="none"/>
        </w:rPr>
        <w:t>1.投标人根据采购文件相关技术要求提供资料及认为</w:t>
      </w:r>
      <w:r>
        <w:rPr>
          <w:color w:val="auto"/>
          <w:spacing w:val="5"/>
          <w:sz w:val="28"/>
          <w:szCs w:val="28"/>
          <w:highlight w:val="none"/>
        </w:rPr>
        <w:t>需要提供</w:t>
      </w:r>
      <w:r>
        <w:rPr>
          <w:color w:val="auto"/>
          <w:spacing w:val="-5"/>
          <w:sz w:val="28"/>
          <w:szCs w:val="28"/>
          <w:highlight w:val="none"/>
        </w:rPr>
        <w:t>的其他技术材料。</w:t>
      </w:r>
    </w:p>
    <w:p w14:paraId="6EEEE96B">
      <w:pPr>
        <w:pStyle w:val="11"/>
        <w:keepNext w:val="0"/>
        <w:keepLines w:val="0"/>
        <w:pageBreakBefore w:val="0"/>
        <w:widowControl/>
        <w:shd w:val="clear"/>
        <w:kinsoku/>
        <w:wordWrap w:val="0"/>
        <w:overflowPunct/>
        <w:topLinePunct w:val="0"/>
        <w:autoSpaceDE w:val="0"/>
        <w:autoSpaceDN w:val="0"/>
        <w:bidi w:val="0"/>
        <w:adjustRightInd w:val="0"/>
        <w:snapToGrid w:val="0"/>
        <w:spacing w:line="360" w:lineRule="auto"/>
        <w:ind w:left="0" w:right="0" w:firstLine="572" w:firstLineChars="200"/>
        <w:textAlignment w:val="baseline"/>
        <w:rPr>
          <w:color w:val="auto"/>
          <w:sz w:val="28"/>
          <w:szCs w:val="28"/>
          <w:highlight w:val="none"/>
        </w:rPr>
      </w:pPr>
      <w:r>
        <w:rPr>
          <w:color w:val="auto"/>
          <w:spacing w:val="3"/>
          <w:sz w:val="28"/>
          <w:szCs w:val="28"/>
          <w:highlight w:val="none"/>
        </w:rPr>
        <w:t>2.招标文件</w:t>
      </w:r>
      <w:r>
        <w:rPr>
          <w:rFonts w:hint="eastAsia"/>
          <w:color w:val="auto"/>
          <w:spacing w:val="3"/>
          <w:sz w:val="28"/>
          <w:szCs w:val="28"/>
          <w:highlight w:val="none"/>
          <w:lang w:eastAsia="zh-CN"/>
        </w:rPr>
        <w:t>其他</w:t>
      </w:r>
      <w:r>
        <w:rPr>
          <w:color w:val="auto"/>
          <w:spacing w:val="3"/>
          <w:sz w:val="28"/>
          <w:szCs w:val="28"/>
          <w:highlight w:val="none"/>
        </w:rPr>
        <w:t>规定或者投标人认为应介绍或者提交的其他技术文</w:t>
      </w:r>
      <w:r>
        <w:rPr>
          <w:color w:val="auto"/>
          <w:spacing w:val="-1"/>
          <w:sz w:val="28"/>
          <w:szCs w:val="28"/>
          <w:highlight w:val="none"/>
        </w:rPr>
        <w:t>件资料、文件和说明（若有，格式自拟）。</w:t>
      </w:r>
    </w:p>
    <w:sectPr>
      <w:headerReference r:id="rId71" w:type="default"/>
      <w:footerReference r:id="rId72" w:type="default"/>
      <w:pgSz w:w="11906" w:h="16839"/>
      <w:pgMar w:top="1440" w:right="1800" w:bottom="1440" w:left="1800" w:header="1090" w:footer="125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A00002BF" w:usb1="78CF7CFB" w:usb2="00000016" w:usb3="00000000" w:csb0="6006009F" w:csb1="DFD70000"/>
  </w:font>
  <w:font w:name="MS UI Gothic">
    <w:panose1 w:val="020B0600070205080204"/>
    <w:charset w:val="86"/>
    <w:family w:val="auto"/>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E5459">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EB2C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5FEB2CB">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A0018">
    <w:pPr>
      <w:spacing w:line="176" w:lineRule="auto"/>
      <w:ind w:left="473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288307">
                          <w:pPr>
                            <w:pStyle w:val="1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F288307">
                    <w:pPr>
                      <w:pStyle w:val="1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EAC02">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014B75">
                          <w:pPr>
                            <w:pStyle w:val="14"/>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5014B75">
                    <w:pPr>
                      <w:pStyle w:val="1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13BBE">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8BC43F">
                          <w:pPr>
                            <w:pStyle w:val="14"/>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F8BC43F">
                    <w:pPr>
                      <w:pStyle w:val="14"/>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7C261">
    <w:pPr>
      <w:spacing w:line="169" w:lineRule="auto"/>
      <w:rPr>
        <w:rFonts w:ascii="Calibri" w:hAnsi="Calibri" w:eastAsia="Calibri" w:cs="Calibri"/>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1084B">
                          <w:pPr>
                            <w:pStyle w:val="14"/>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991084B">
                    <w:pPr>
                      <w:pStyle w:val="14"/>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7BAC3">
    <w:pPr>
      <w:spacing w:line="173"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A2A64B">
                          <w:pPr>
                            <w:pStyle w:val="14"/>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3A2A64B">
                    <w:pPr>
                      <w:pStyle w:val="14"/>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ED43E">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2AC06D">
                          <w:pPr>
                            <w:pStyle w:val="14"/>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C2AC06D">
                    <w:pPr>
                      <w:pStyle w:val="14"/>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B4D9E">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281AE">
                          <w:pPr>
                            <w:pStyle w:val="14"/>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3A281AE">
                    <w:pPr>
                      <w:pStyle w:val="14"/>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38651">
    <w:pPr>
      <w:spacing w:line="173"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005B03">
                          <w:pPr>
                            <w:pStyle w:val="14"/>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1005B03">
                    <w:pPr>
                      <w:pStyle w:val="14"/>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8D96D">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C63647">
                          <w:pPr>
                            <w:pStyle w:val="14"/>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5C63647">
                    <w:pPr>
                      <w:pStyle w:val="14"/>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F3315">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D34C58">
                          <w:pPr>
                            <w:pStyle w:val="14"/>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4D34C58">
                    <w:pPr>
                      <w:pStyle w:val="14"/>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19DCA">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623927">
                          <w:pPr>
                            <w:pStyle w:val="14"/>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24623927">
                    <w:pPr>
                      <w:pStyle w:val="14"/>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E457A">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EC9224">
                          <w:pPr>
                            <w:pStyle w:val="14"/>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35EC9224">
                    <w:pPr>
                      <w:pStyle w:val="14"/>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16AAA">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3F3C6">
                          <w:pPr>
                            <w:pStyle w:val="14"/>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5373F3C6">
                    <w:pPr>
                      <w:pStyle w:val="14"/>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FBDF7">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FD6FE8">
                          <w:pPr>
                            <w:pStyle w:val="14"/>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28FD6FE8">
                    <w:pPr>
                      <w:pStyle w:val="14"/>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50E73">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01BE5">
                          <w:pPr>
                            <w:pStyle w:val="14"/>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20C01BE5">
                    <w:pPr>
                      <w:pStyle w:val="14"/>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9B6E2">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2AF90">
                          <w:pPr>
                            <w:pStyle w:val="14"/>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1822AF90">
                    <w:pPr>
                      <w:pStyle w:val="14"/>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C75A8">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3EA4D3">
                          <w:pPr>
                            <w:pStyle w:val="14"/>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3F3EA4D3">
                    <w:pPr>
                      <w:pStyle w:val="14"/>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2024D">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558CEF">
                          <w:pPr>
                            <w:pStyle w:val="14"/>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4558CEF">
                    <w:pPr>
                      <w:pStyle w:val="14"/>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06F80">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600E27">
                          <w:pPr>
                            <w:pStyle w:val="14"/>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76600E27">
                    <w:pPr>
                      <w:pStyle w:val="14"/>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E38BF">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4F9F73">
                          <w:pPr>
                            <w:pStyle w:val="14"/>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674F9F73">
                    <w:pPr>
                      <w:pStyle w:val="14"/>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201D3">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58A764">
                          <w:pPr>
                            <w:pStyle w:val="14"/>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6D58A764">
                    <w:pPr>
                      <w:pStyle w:val="14"/>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967A0">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87F73">
                          <w:pPr>
                            <w:pStyle w:val="14"/>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10487F73">
                    <w:pPr>
                      <w:pStyle w:val="14"/>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59FEC">
    <w:pPr>
      <w:spacing w:line="173"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CE3490">
                          <w:pPr>
                            <w:pStyle w:val="14"/>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30CE3490">
                    <w:pPr>
                      <w:pStyle w:val="14"/>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E2E02">
    <w:pPr>
      <w:spacing w:line="176" w:lineRule="auto"/>
      <w:ind w:left="45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32D8F6">
                          <w:pPr>
                            <w:pStyle w:val="14"/>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5D32D8F6">
                    <w:pPr>
                      <w:pStyle w:val="14"/>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DA5B1">
    <w:pPr>
      <w:spacing w:line="176" w:lineRule="auto"/>
      <w:ind w:left="451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DE1D4">
                          <w:pPr>
                            <w:pStyle w:val="14"/>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5DE1D4">
                    <w:pPr>
                      <w:pStyle w:val="14"/>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90EE6">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8B625B">
                          <w:pPr>
                            <w:pStyle w:val="14"/>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7F8B625B">
                    <w:pPr>
                      <w:pStyle w:val="14"/>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6104A">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78C0D">
                          <w:pPr>
                            <w:pStyle w:val="14"/>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43778C0D">
                    <w:pPr>
                      <w:pStyle w:val="14"/>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95EB7">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E98D71">
                          <w:pPr>
                            <w:pStyle w:val="14"/>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51E98D71">
                    <w:pPr>
                      <w:pStyle w:val="14"/>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C17C6">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BF6AE6">
                          <w:pPr>
                            <w:pStyle w:val="14"/>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0CBF6AE6">
                    <w:pPr>
                      <w:pStyle w:val="14"/>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E4E94">
    <w:pPr>
      <w:spacing w:line="176" w:lineRule="auto"/>
      <w:ind w:left="496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74A80">
                          <w:pPr>
                            <w:pStyle w:val="14"/>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1DD74A80">
                    <w:pPr>
                      <w:pStyle w:val="14"/>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6ED13">
    <w:pPr>
      <w:spacing w:line="176" w:lineRule="auto"/>
      <w:ind w:left="418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B3416B">
                          <w:pPr>
                            <w:pStyle w:val="14"/>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0BB3416B">
                    <w:pPr>
                      <w:pStyle w:val="14"/>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6328C">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448B1B">
                          <w:pPr>
                            <w:pStyle w:val="14"/>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68448B1B">
                    <w:pPr>
                      <w:pStyle w:val="14"/>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17ABF">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A51CB9">
                          <w:pPr>
                            <w:pStyle w:val="14"/>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35A51CB9">
                    <w:pPr>
                      <w:pStyle w:val="14"/>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963D0">
    <w:pPr>
      <w:spacing w:line="176" w:lineRule="auto"/>
      <w:ind w:left="40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AA2858">
                          <w:pPr>
                            <w:pStyle w:val="14"/>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18AA2858">
                    <w:pPr>
                      <w:pStyle w:val="14"/>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4F675">
    <w:pPr>
      <w:spacing w:line="176" w:lineRule="auto"/>
      <w:ind w:left="475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DD0E02">
                          <w:pPr>
                            <w:pStyle w:val="14"/>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45DD0E02">
                    <w:pPr>
                      <w:pStyle w:val="14"/>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DE610">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D1B48">
                          <w:pPr>
                            <w:pStyle w:val="14"/>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323D1B48">
                    <w:pPr>
                      <w:pStyle w:val="14"/>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ACAC7">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FD6A08">
                          <w:pPr>
                            <w:pStyle w:val="14"/>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2DFD6A08">
                    <w:pPr>
                      <w:pStyle w:val="14"/>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DACD9">
    <w:pPr>
      <w:spacing w:line="46" w:lineRule="auto"/>
      <w:rPr>
        <w:rFonts w:ascii="Arial"/>
        <w:sz w:val="2"/>
      </w:rPr>
    </w:pPr>
    <w:r>
      <mc:AlternateContent>
        <mc:Choice Requires="wps">
          <w:drawing>
            <wp:anchor distT="0" distB="0" distL="114300" distR="114300" simplePos="0" relativeHeight="251664384" behindDoc="0" locked="0" layoutInCell="0" allowOverlap="1">
              <wp:simplePos x="0" y="0"/>
              <wp:positionH relativeFrom="page">
                <wp:posOffset>1143000</wp:posOffset>
              </wp:positionH>
              <wp:positionV relativeFrom="page">
                <wp:posOffset>692150</wp:posOffset>
              </wp:positionV>
              <wp:extent cx="5274310" cy="9525"/>
              <wp:effectExtent l="0" t="0" r="0" b="0"/>
              <wp:wrapNone/>
              <wp:docPr id="3" name="任意多边形 3"/>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4.5pt;height:0.75pt;width:415.3pt;mso-position-horizontal-relative:page;mso-position-vertical-relative:page;z-index:251664384;mso-width-relative:page;mso-height-relative:page;" fillcolor="#000000" filled="t" stroked="f" coordsize="8305,15" o:allowincell="f" o:gfxdata="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AJLJj1wAAAAwBAAAPAAAAAAAA&#10;AAEAIAAAACIAAABkcnMvZG93bnJldi54bWxQSwECFAAUAAAACACHTuJA11TLBhMCAAB7BAAADgAA&#10;AAAAAAABACAAAAAmAQAAZHJzL2Uyb0RvYy54bWxQSwUGAAAAAAYABgBZAQAAqwUAAAAA&#10;" path="m0,0l8305,0,8305,14,0,14,0,0xe">
              <v:fill on="t" focussize="0,0"/>
              <v:stroke on="f"/>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FD20D">
    <w:pPr>
      <w:spacing w:line="46" w:lineRule="auto"/>
      <w:rPr>
        <w:rFonts w:ascii="Arial"/>
        <w:sz w:val="2"/>
      </w:rPr>
    </w:pPr>
    <w:r>
      <w:pict>
        <v:shape id="_x0000_s2052" o:spid="_x0000_s2052" style="position:absolute;left:0pt;margin-left:90pt;margin-top:54.5pt;height:0.75pt;width:415.3pt;mso-position-horizontal-relative:page;mso-position-vertical-relative:page;z-index:251659264;mso-width-relative:page;mso-height-relative:page;" fillcolor="#000000" filled="t" stroked="f" coordsize="8305,15" o:allowincell="f" path="m0,0l8305,0,8305,14,0,14,0,0xe">
          <v:path/>
          <v:fill on="t" focussize="0,0"/>
          <v:stroke on="f"/>
          <v:imagedata o:title=""/>
          <o:lock v:ext="edi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A6AC5">
    <w:pPr>
      <w:spacing w:line="46" w:lineRule="auto"/>
      <w:rPr>
        <w:rFonts w:ascii="Arial"/>
        <w:sz w:val="2"/>
      </w:rPr>
    </w:pPr>
    <w:r>
      <w:pict>
        <v:shape id="_x0000_s2063" o:spid="_x0000_s2063" style="position:absolute;left:0pt;margin-left:90pt;margin-top:54.5pt;height:0.75pt;width:415.3pt;mso-position-horizontal-relative:page;mso-position-vertical-relative:page;z-index:251660288;mso-width-relative:page;mso-height-relative:page;" fillcolor="#000000" filled="t" stroked="f" coordsize="8305,15" o:allowincell="f" path="m0,0l8305,0,8305,14,0,14,0,0xe">
          <v:path/>
          <v:fill on="t" focussize="0,0"/>
          <v:stroke on="f"/>
          <v:imagedata o:title=""/>
          <o:lock v:ext="edi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0425E">
    <w:pPr>
      <w:spacing w:line="46" w:lineRule="auto"/>
      <w:rPr>
        <w:rFonts w:ascii="Arial"/>
        <w:sz w:val="2"/>
      </w:rPr>
    </w:pPr>
    <w:r>
      <w:pict>
        <v:shape id="_x0000_s2068" o:spid="_x0000_s2068" style="position:absolute;left:0pt;margin-left:89.85pt;margin-top:54.5pt;height:0.75pt;width:415.65pt;mso-position-horizontal-relative:page;mso-position-vertical-relative:page;z-index:251661312;mso-width-relative:page;mso-height-relative:page;" fillcolor="#000000" filled="t" stroked="f" coordsize="8312,15" o:allowincell="f" path="m0,0l8312,0,8312,14,0,14,0,0xe">
          <v:path/>
          <v:fill on="t" focussize="0,0"/>
          <v:stroke on="f"/>
          <v:imagedata o:title=""/>
          <o:lock v:ext="edi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D0D40">
    <w:pPr>
      <w:spacing w:line="46" w:lineRule="auto"/>
      <w:rPr>
        <w:rFonts w:ascii="Arial"/>
        <w:sz w:val="2"/>
      </w:rPr>
    </w:pPr>
    <w:r>
      <w:pict>
        <v:shape id="_x0000_s2069" o:spid="_x0000_s2069" style="position:absolute;left:0pt;margin-left:89.85pt;margin-top:54.5pt;height:0.75pt;width:415.65pt;mso-position-horizontal-relative:page;mso-position-vertical-relative:page;z-index:251662336;mso-width-relative:page;mso-height-relative:page;" fillcolor="#000000" filled="t" stroked="f" coordsize="8312,15" o:allowincell="f" path="m0,0l8312,0,8312,14,0,14,0,0xe">
          <v:path/>
          <v:fill on="t" focussize="0,0"/>
          <v:stroke on="f"/>
          <v:imagedata o:title=""/>
          <o:lock v:ext="edi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81B7E">
    <w:pPr>
      <w:spacing w:line="46" w:lineRule="auto"/>
      <w:rPr>
        <w:rFonts w:ascii="Arial"/>
        <w:sz w:val="2"/>
      </w:rPr>
    </w:pPr>
    <w:r>
      <mc:AlternateContent>
        <mc:Choice Requires="wps">
          <w:drawing>
            <wp:anchor distT="0" distB="0" distL="114300" distR="114300" simplePos="0" relativeHeight="251674624" behindDoc="0" locked="0" layoutInCell="0" allowOverlap="1">
              <wp:simplePos x="0" y="0"/>
              <wp:positionH relativeFrom="page">
                <wp:posOffset>1141095</wp:posOffset>
              </wp:positionH>
              <wp:positionV relativeFrom="page">
                <wp:posOffset>692150</wp:posOffset>
              </wp:positionV>
              <wp:extent cx="5278755" cy="9525"/>
              <wp:effectExtent l="0" t="0" r="0" b="0"/>
              <wp:wrapNone/>
              <wp:docPr id="55" name="任意多边形 55"/>
              <wp:cNvGraphicFramePr/>
              <a:graphic xmlns:a="http://schemas.openxmlformats.org/drawingml/2006/main">
                <a:graphicData uri="http://schemas.microsoft.com/office/word/2010/wordprocessingShape">
                  <wps:wsp>
                    <wps:cNvSpPr/>
                    <wps:spPr>
                      <a:xfrm>
                        <a:off x="0" y="0"/>
                        <a:ext cx="5278755" cy="9525"/>
                      </a:xfrm>
                      <a:custGeom>
                        <a:avLst/>
                        <a:gdLst/>
                        <a:ahLst/>
                        <a:cxnLst/>
                        <a:pathLst>
                          <a:path w="8312" h="15">
                            <a:moveTo>
                              <a:pt x="0" y="0"/>
                            </a:moveTo>
                            <a:lnTo>
                              <a:pt x="8312" y="0"/>
                            </a:lnTo>
                            <a:lnTo>
                              <a:pt x="831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4.5pt;height:0.75pt;width:415.65pt;mso-position-horizontal-relative:page;mso-position-vertical-relative:page;z-index:251674624;mso-width-relative:page;mso-height-relative:page;" fillcolor="#000000" filled="t" stroked="f" coordsize="8312,15" o:allowincell="f" o:gfxdata="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ycCj42AAAAAwBAAAPAAAAAAAAAAEA&#10;IAAAACIAAABkcnMvZG93bnJldi54bWxQSwECFAAUAAAACACHTuJARBAmhg8CAAB9BAAADgAAAAAA&#10;AAABACAAAAAnAQAAZHJzL2Uyb0RvYy54bWxQSwUGAAAAAAYABgBZAQAAqAUAAAAA&#10;" path="m0,0l8312,0,8312,14,0,14,0,0xe">
              <v:fill on="t" focussize="0,0"/>
              <v:stroke on="f"/>
              <v:imagedata o:title=""/>
              <o:lock v:ext="edit" aspectratio="f"/>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6FB60">
    <w:pPr>
      <w:spacing w:line="46" w:lineRule="auto"/>
      <w:rPr>
        <w:rFonts w:ascii="Arial"/>
        <w:sz w:val="2"/>
      </w:rPr>
    </w:pPr>
    <w:r>
      <mc:AlternateContent>
        <mc:Choice Requires="wps">
          <w:drawing>
            <wp:anchor distT="0" distB="0" distL="114300" distR="114300" simplePos="0" relativeHeight="251675648" behindDoc="0" locked="0" layoutInCell="0" allowOverlap="1">
              <wp:simplePos x="0" y="0"/>
              <wp:positionH relativeFrom="page">
                <wp:posOffset>1141095</wp:posOffset>
              </wp:positionH>
              <wp:positionV relativeFrom="page">
                <wp:posOffset>692150</wp:posOffset>
              </wp:positionV>
              <wp:extent cx="5278755" cy="9525"/>
              <wp:effectExtent l="0" t="0" r="0" b="0"/>
              <wp:wrapNone/>
              <wp:docPr id="53" name="任意多边形 53"/>
              <wp:cNvGraphicFramePr/>
              <a:graphic xmlns:a="http://schemas.openxmlformats.org/drawingml/2006/main">
                <a:graphicData uri="http://schemas.microsoft.com/office/word/2010/wordprocessingShape">
                  <wps:wsp>
                    <wps:cNvSpPr/>
                    <wps:spPr>
                      <a:xfrm>
                        <a:off x="0" y="0"/>
                        <a:ext cx="5278755" cy="9525"/>
                      </a:xfrm>
                      <a:custGeom>
                        <a:avLst/>
                        <a:gdLst/>
                        <a:ahLst/>
                        <a:cxnLst/>
                        <a:pathLst>
                          <a:path w="8312" h="15">
                            <a:moveTo>
                              <a:pt x="0" y="0"/>
                            </a:moveTo>
                            <a:lnTo>
                              <a:pt x="8312" y="0"/>
                            </a:lnTo>
                            <a:lnTo>
                              <a:pt x="831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4.5pt;height:0.75pt;width:415.65pt;mso-position-horizontal-relative:page;mso-position-vertical-relative:page;z-index:251675648;mso-width-relative:page;mso-height-relative:page;" fillcolor="#000000" filled="t" stroked="f" coordsize="8312,15" o:allowincell="f" o:gfxdata="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cCj42AAAAAwBAAAPAAAA&#10;AAAAAAEAIAAAACIAAABkcnMvZG93bnJldi54bWxQSwECFAAUAAAACACHTuJAF5oBvxUCAAB9BAAA&#10;DgAAAAAAAAABACAAAAAnAQAAZHJzL2Uyb0RvYy54bWxQSwUGAAAAAAYABgBZAQAArgUAAAAA&#10;" path="m0,0l8312,0,8312,14,0,14,0,0xe">
              <v:fill on="t" focussize="0,0"/>
              <v:stroke on="f"/>
              <v:imagedata o:title=""/>
              <o:lock v:ext="edit" aspectratio="f"/>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85B5C">
    <w:pPr>
      <w:spacing w:line="46" w:lineRule="auto"/>
      <w:rPr>
        <w:rFonts w:ascii="Arial"/>
        <w:sz w:val="2"/>
      </w:rPr>
    </w:pPr>
    <w:r>
      <mc:AlternateContent>
        <mc:Choice Requires="wps">
          <w:drawing>
            <wp:anchor distT="0" distB="0" distL="114300" distR="114300" simplePos="0" relativeHeight="251676672" behindDoc="0" locked="0" layoutInCell="0" allowOverlap="1">
              <wp:simplePos x="0" y="0"/>
              <wp:positionH relativeFrom="page">
                <wp:posOffset>1141095</wp:posOffset>
              </wp:positionH>
              <wp:positionV relativeFrom="page">
                <wp:posOffset>692150</wp:posOffset>
              </wp:positionV>
              <wp:extent cx="5278755" cy="9525"/>
              <wp:effectExtent l="0" t="0" r="0" b="0"/>
              <wp:wrapNone/>
              <wp:docPr id="51" name="任意多边形 51"/>
              <wp:cNvGraphicFramePr/>
              <a:graphic xmlns:a="http://schemas.openxmlformats.org/drawingml/2006/main">
                <a:graphicData uri="http://schemas.microsoft.com/office/word/2010/wordprocessingShape">
                  <wps:wsp>
                    <wps:cNvSpPr/>
                    <wps:spPr>
                      <a:xfrm>
                        <a:off x="0" y="0"/>
                        <a:ext cx="5278755" cy="9525"/>
                      </a:xfrm>
                      <a:custGeom>
                        <a:avLst/>
                        <a:gdLst/>
                        <a:ahLst/>
                        <a:cxnLst/>
                        <a:pathLst>
                          <a:path w="8312" h="15">
                            <a:moveTo>
                              <a:pt x="0" y="0"/>
                            </a:moveTo>
                            <a:lnTo>
                              <a:pt x="8312" y="0"/>
                            </a:lnTo>
                            <a:lnTo>
                              <a:pt x="831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4.5pt;height:0.75pt;width:415.65pt;mso-position-horizontal-relative:page;mso-position-vertical-relative:page;z-index:251676672;mso-width-relative:page;mso-height-relative:page;" fillcolor="#000000" filled="t" stroked="f" coordsize="8312,15" o:allowincell="f" o:gfxdata="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nAo+NgAAAAMAQAADwAAAAAA&#10;AAABACAAAAAiAAAAZHJzL2Rvd25yZXYueG1sUEsBAhQAFAAAAAgAh07iQBkezB4TAgAAfQQAAA4A&#10;AAAAAAAAAQAgAAAAJwEAAGRycy9lMm9Eb2MueG1sUEsFBgAAAAAGAAYAWQEAAKwFAAAAAA==&#10;" path="m0,0l8312,0,8312,14,0,14,0,0xe">
              <v:fill on="t" focussize="0,0"/>
              <v:stroke on="f"/>
              <v:imagedata o:title=""/>
              <o:lock v:ext="edit" aspectratio="f"/>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6DCD0">
    <w:pPr>
      <w:spacing w:line="46" w:lineRule="auto"/>
      <w:rPr>
        <w:rFonts w:ascii="Arial"/>
        <w:sz w:val="2"/>
      </w:rPr>
    </w:pPr>
    <w:r>
      <mc:AlternateContent>
        <mc:Choice Requires="wps">
          <w:drawing>
            <wp:anchor distT="0" distB="0" distL="114300" distR="114300" simplePos="0" relativeHeight="251673600" behindDoc="0" locked="0" layoutInCell="0" allowOverlap="1">
              <wp:simplePos x="0" y="0"/>
              <wp:positionH relativeFrom="page">
                <wp:posOffset>1141095</wp:posOffset>
              </wp:positionH>
              <wp:positionV relativeFrom="page">
                <wp:posOffset>692150</wp:posOffset>
              </wp:positionV>
              <wp:extent cx="5278755" cy="9525"/>
              <wp:effectExtent l="0" t="0" r="0" b="0"/>
              <wp:wrapNone/>
              <wp:docPr id="54" name="任意多边形 54"/>
              <wp:cNvGraphicFramePr/>
              <a:graphic xmlns:a="http://schemas.openxmlformats.org/drawingml/2006/main">
                <a:graphicData uri="http://schemas.microsoft.com/office/word/2010/wordprocessingShape">
                  <wps:wsp>
                    <wps:cNvSpPr/>
                    <wps:spPr>
                      <a:xfrm>
                        <a:off x="0" y="0"/>
                        <a:ext cx="5278755" cy="9525"/>
                      </a:xfrm>
                      <a:custGeom>
                        <a:avLst/>
                        <a:gdLst/>
                        <a:ahLst/>
                        <a:cxnLst/>
                        <a:pathLst>
                          <a:path w="8312" h="15">
                            <a:moveTo>
                              <a:pt x="0" y="0"/>
                            </a:moveTo>
                            <a:lnTo>
                              <a:pt x="8312" y="0"/>
                            </a:lnTo>
                            <a:lnTo>
                              <a:pt x="831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4.5pt;height:0.75pt;width:415.65pt;mso-position-horizontal-relative:page;mso-position-vertical-relative:page;z-index:251673600;mso-width-relative:page;mso-height-relative:page;" fillcolor="#000000" filled="t" stroked="f" coordsize="8312,15" o:allowincell="f" o:gfxdata="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JwKPjYAAAADAEAAA8AAAAAAAAA&#10;AQAgAAAAIgAAAGRycy9kb3ducmV2LnhtbFBLAQIUABQAAAAIAIdO4kBD0sDWEQIAAH0EAAAOAAAA&#10;AAAAAAEAIAAAACcBAABkcnMvZTJvRG9jLnhtbFBLBQYAAAAABgAGAFkBAACqBQAAAAA=&#10;" path="m0,0l8312,0,8312,14,0,14,0,0xe">
              <v:fill on="t" focussize="0,0"/>
              <v:stroke on="f"/>
              <v:imagedata o:title=""/>
              <o:lock v:ext="edit" aspectratio="f"/>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953BF">
    <w:pPr>
      <w:spacing w:line="46" w:lineRule="auto"/>
      <w:rPr>
        <w:rFonts w:ascii="Arial"/>
        <w:sz w:val="2"/>
      </w:rPr>
    </w:pPr>
    <w:r>
      <mc:AlternateContent>
        <mc:Choice Requires="wps">
          <w:drawing>
            <wp:anchor distT="0" distB="0" distL="114300" distR="114300" simplePos="0" relativeHeight="251677696" behindDoc="0" locked="0" layoutInCell="0" allowOverlap="1">
              <wp:simplePos x="0" y="0"/>
              <wp:positionH relativeFrom="page">
                <wp:posOffset>1141095</wp:posOffset>
              </wp:positionH>
              <wp:positionV relativeFrom="page">
                <wp:posOffset>692150</wp:posOffset>
              </wp:positionV>
              <wp:extent cx="5278755" cy="9525"/>
              <wp:effectExtent l="0" t="0" r="0" b="0"/>
              <wp:wrapNone/>
              <wp:docPr id="50" name="任意多边形 50"/>
              <wp:cNvGraphicFramePr/>
              <a:graphic xmlns:a="http://schemas.openxmlformats.org/drawingml/2006/main">
                <a:graphicData uri="http://schemas.microsoft.com/office/word/2010/wordprocessingShape">
                  <wps:wsp>
                    <wps:cNvSpPr/>
                    <wps:spPr>
                      <a:xfrm>
                        <a:off x="0" y="0"/>
                        <a:ext cx="5278755" cy="9525"/>
                      </a:xfrm>
                      <a:custGeom>
                        <a:avLst/>
                        <a:gdLst/>
                        <a:ahLst/>
                        <a:cxnLst/>
                        <a:pathLst>
                          <a:path w="8312" h="15">
                            <a:moveTo>
                              <a:pt x="0" y="0"/>
                            </a:moveTo>
                            <a:lnTo>
                              <a:pt x="8312" y="0"/>
                            </a:lnTo>
                            <a:lnTo>
                              <a:pt x="831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4.5pt;height:0.75pt;width:415.65pt;mso-position-horizontal-relative:page;mso-position-vertical-relative:page;z-index:251677696;mso-width-relative:page;mso-height-relative:page;" fillcolor="#000000" filled="t" stroked="f" coordsize="8312,15" o:allowincell="f" o:gfxdata="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ycCj42AAAAAwBAAAPAAAAAAAA&#10;AAEAIAAAACIAAABkcnMvZG93bnJldi54bWxQSwECFAAUAAAACACHTuJAHtwqThICAAB9BAAADgAA&#10;AAAAAAABACAAAAAnAQAAZHJzL2Uyb0RvYy54bWxQSwUGAAAAAAYABgBZAQAAqwUAAAAA&#10;" path="m0,0l8312,0,8312,14,0,14,0,0xe">
              <v:fill on="t" focussize="0,0"/>
              <v:stroke on="f"/>
              <v:imagedata o:title=""/>
              <o:lock v:ext="edit" aspectratio="f"/>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5830C">
    <w:pPr>
      <w:spacing w:line="46" w:lineRule="auto"/>
      <w:rPr>
        <w:rFonts w:ascii="Arial"/>
        <w:sz w:val="2"/>
      </w:rPr>
    </w:pPr>
    <w:r>
      <mc:AlternateContent>
        <mc:Choice Requires="wps">
          <w:drawing>
            <wp:anchor distT="0" distB="0" distL="114300" distR="114300" simplePos="0" relativeHeight="251673600" behindDoc="0" locked="0" layoutInCell="0" allowOverlap="1">
              <wp:simplePos x="0" y="0"/>
              <wp:positionH relativeFrom="page">
                <wp:posOffset>1141095</wp:posOffset>
              </wp:positionH>
              <wp:positionV relativeFrom="page">
                <wp:posOffset>692150</wp:posOffset>
              </wp:positionV>
              <wp:extent cx="5278755" cy="9525"/>
              <wp:effectExtent l="0" t="0" r="0" b="0"/>
              <wp:wrapNone/>
              <wp:docPr id="52" name="任意多边形 52"/>
              <wp:cNvGraphicFramePr/>
              <a:graphic xmlns:a="http://schemas.openxmlformats.org/drawingml/2006/main">
                <a:graphicData uri="http://schemas.microsoft.com/office/word/2010/wordprocessingShape">
                  <wps:wsp>
                    <wps:cNvSpPr/>
                    <wps:spPr>
                      <a:xfrm>
                        <a:off x="0" y="0"/>
                        <a:ext cx="5278755" cy="9525"/>
                      </a:xfrm>
                      <a:custGeom>
                        <a:avLst/>
                        <a:gdLst/>
                        <a:ahLst/>
                        <a:cxnLst/>
                        <a:pathLst>
                          <a:path w="8312" h="15">
                            <a:moveTo>
                              <a:pt x="0" y="0"/>
                            </a:moveTo>
                            <a:lnTo>
                              <a:pt x="8312" y="0"/>
                            </a:lnTo>
                            <a:lnTo>
                              <a:pt x="831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4.5pt;height:0.75pt;width:415.65pt;mso-position-horizontal-relative:page;mso-position-vertical-relative:page;z-index:251673600;mso-width-relative:page;mso-height-relative:page;" fillcolor="#000000" filled="t" stroked="f" coordsize="8312,15" o:allowincell="f" o:gfxdata="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nAo+NgAAAAMAQAADwAAAAAA&#10;AAABACAAAAAiAAAAZHJzL2Rvd25yZXYueG1sUEsBAhQAFAAAAAgAh07iQBBY5+8TAgAAfQQAAA4A&#10;AAAAAAAAAQAgAAAAJwEAAGRycy9lMm9Eb2MueG1sUEsFBgAAAAAGAAYAWQEAAKwFAAAAAA==&#10;" path="m0,0l8312,0,8312,14,0,14,0,0xe">
              <v:fill on="t" focussize="0,0"/>
              <v:stroke on="f"/>
              <v:imagedata o:title=""/>
              <o:lock v:ext="edit" aspectratio="f"/>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B0A3A">
    <w:pPr>
      <w:spacing w:line="46" w:lineRule="auto"/>
      <w:rPr>
        <w:rFonts w:ascii="Arial"/>
        <w:sz w:val="2"/>
      </w:rPr>
    </w:pPr>
    <w:r>
      <w:pict>
        <v:shape id="_x0000_s2076" o:spid="_x0000_s2076" style="position:absolute;left:0pt;margin-left:89.85pt;margin-top:54.5pt;height:0.75pt;width:415.65pt;mso-position-horizontal-relative:page;mso-position-vertical-relative:page;z-index:251661312;mso-width-relative:page;mso-height-relative:page;" fillcolor="#000000" filled="t" stroked="f" coordsize="8312,15" o:allowincell="f" path="m0,0l8312,0,8312,14,0,14,0,0xe">
          <v:path/>
          <v:fill on="t" focussize="0,0"/>
          <v:stroke on="f"/>
          <v:imagedata o:title=""/>
          <o:lock v:ext="edi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F888A">
    <w:pPr>
      <w:spacing w:line="46" w:lineRule="auto"/>
      <w:rPr>
        <w:rFonts w:ascii="Arial"/>
        <w:sz w:val="2"/>
      </w:rPr>
    </w:pPr>
    <w:r>
      <w:pict>
        <v:shape id="_x0000_s2077" o:spid="_x0000_s2077" style="position:absolute;left:0pt;margin-left:89.85pt;margin-top:54.5pt;height:0.75pt;width:415.65pt;mso-position-horizontal-relative:page;mso-position-vertical-relative:page;z-index:251666432;mso-width-relative:page;mso-height-relative:page;" fillcolor="#000000" filled="t" stroked="f" coordsize="8312,15" o:allowincell="f" path="m0,0l8312,0,8312,14,0,14,0,0xe">
          <v:path/>
          <v:fill on="t" focussize="0,0"/>
          <v:stroke on="f"/>
          <v:imagedata o:title=""/>
          <o:lock v:ext="edi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4D4E0">
    <w:pPr>
      <w:spacing w:line="46" w:lineRule="auto"/>
      <w:rPr>
        <w:rFonts w:ascii="Arial"/>
        <w:sz w:val="2"/>
      </w:rPr>
    </w:pPr>
    <w:r>
      <w:pict>
        <v:shape id="_x0000_s2079" o:spid="_x0000_s2079" style="position:absolute;left:0pt;margin-left:89.85pt;margin-top:54.5pt;height:0.75pt;width:415.65pt;mso-position-horizontal-relative:page;mso-position-vertical-relative:page;z-index:251661312;mso-width-relative:page;mso-height-relative:page;" fillcolor="#000000" filled="t" stroked="f" coordsize="8312,15" o:allowincell="f" path="m0,0l8312,0,8312,14,0,14,0,0xe">
          <v:path/>
          <v:fill on="t" focussize="0,0"/>
          <v:stroke on="f"/>
          <v:imagedata o:title=""/>
          <o:lock v:ext="edi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F988E">
    <w:pPr>
      <w:spacing w:line="46" w:lineRule="auto"/>
      <w:rPr>
        <w:rFonts w:ascii="Arial"/>
        <w:sz w:val="2"/>
      </w:rPr>
    </w:pPr>
    <w:r>
      <mc:AlternateContent>
        <mc:Choice Requires="wps">
          <w:drawing>
            <wp:anchor distT="0" distB="0" distL="114300" distR="114300" simplePos="0" relativeHeight="251679744" behindDoc="0" locked="0" layoutInCell="0" allowOverlap="1">
              <wp:simplePos x="0" y="0"/>
              <wp:positionH relativeFrom="page">
                <wp:posOffset>1141095</wp:posOffset>
              </wp:positionH>
              <wp:positionV relativeFrom="page">
                <wp:posOffset>692150</wp:posOffset>
              </wp:positionV>
              <wp:extent cx="5278755" cy="9525"/>
              <wp:effectExtent l="0" t="0" r="0" b="0"/>
              <wp:wrapNone/>
              <wp:docPr id="60" name="任意多边形 60"/>
              <wp:cNvGraphicFramePr/>
              <a:graphic xmlns:a="http://schemas.openxmlformats.org/drawingml/2006/main">
                <a:graphicData uri="http://schemas.microsoft.com/office/word/2010/wordprocessingShape">
                  <wps:wsp>
                    <wps:cNvSpPr/>
                    <wps:spPr>
                      <a:xfrm>
                        <a:off x="0" y="0"/>
                        <a:ext cx="5278755" cy="9525"/>
                      </a:xfrm>
                      <a:custGeom>
                        <a:avLst/>
                        <a:gdLst/>
                        <a:ahLst/>
                        <a:cxnLst/>
                        <a:pathLst>
                          <a:path w="8312" h="15">
                            <a:moveTo>
                              <a:pt x="0" y="0"/>
                            </a:moveTo>
                            <a:lnTo>
                              <a:pt x="8312" y="0"/>
                            </a:lnTo>
                            <a:lnTo>
                              <a:pt x="831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4.5pt;height:0.75pt;width:415.65pt;mso-position-horizontal-relative:page;mso-position-vertical-relative:page;z-index:251679744;mso-width-relative:page;mso-height-relative:page;" fillcolor="#000000" filled="t" stroked="f" coordsize="8312,15" o:allowincell="f" o:gfxdata="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JwKPjYAAAADAEAAA8AAAAA&#10;AAAAAQAgAAAAIgAAAGRycy9kb3ducmV2LnhtbFBLAQIUABQAAAAIAIdO4kD8Twc3FAIAAH0EAAAO&#10;AAAAAAAAAAEAIAAAACcBAABkcnMvZTJvRG9jLnhtbFBLBQYAAAAABgAGAFkBAACtBQAAAAA=&#10;" path="m0,0l8312,0,8312,14,0,14,0,0xe">
              <v:fill on="t" focussize="0,0"/>
              <v:stroke on="f"/>
              <v:imagedata o:title=""/>
              <o:lock v:ext="edit" aspectratio="f"/>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EA91E">
    <w:pPr>
      <w:spacing w:line="46" w:lineRule="auto"/>
      <w:rPr>
        <w:rFonts w:ascii="Arial"/>
        <w:sz w:val="2"/>
      </w:rPr>
    </w:pPr>
    <w:r>
      <mc:AlternateContent>
        <mc:Choice Requires="wps">
          <w:drawing>
            <wp:anchor distT="0" distB="0" distL="114300" distR="114300" simplePos="0" relativeHeight="251673600" behindDoc="0" locked="0" layoutInCell="0" allowOverlap="1">
              <wp:simplePos x="0" y="0"/>
              <wp:positionH relativeFrom="page">
                <wp:posOffset>1141095</wp:posOffset>
              </wp:positionH>
              <wp:positionV relativeFrom="page">
                <wp:posOffset>692150</wp:posOffset>
              </wp:positionV>
              <wp:extent cx="5278755" cy="9525"/>
              <wp:effectExtent l="0" t="0" r="0" b="0"/>
              <wp:wrapNone/>
              <wp:docPr id="59" name="任意多边形 59"/>
              <wp:cNvGraphicFramePr/>
              <a:graphic xmlns:a="http://schemas.openxmlformats.org/drawingml/2006/main">
                <a:graphicData uri="http://schemas.microsoft.com/office/word/2010/wordprocessingShape">
                  <wps:wsp>
                    <wps:cNvSpPr/>
                    <wps:spPr>
                      <a:xfrm>
                        <a:off x="0" y="0"/>
                        <a:ext cx="5278755" cy="9525"/>
                      </a:xfrm>
                      <a:custGeom>
                        <a:avLst/>
                        <a:gdLst/>
                        <a:ahLst/>
                        <a:cxnLst/>
                        <a:pathLst>
                          <a:path w="8312" h="15">
                            <a:moveTo>
                              <a:pt x="0" y="0"/>
                            </a:moveTo>
                            <a:lnTo>
                              <a:pt x="8312" y="0"/>
                            </a:lnTo>
                            <a:lnTo>
                              <a:pt x="831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4.5pt;height:0.75pt;width:415.65pt;mso-position-horizontal-relative:page;mso-position-vertical-relative:page;z-index:251673600;mso-width-relative:page;mso-height-relative:page;" fillcolor="#000000" filled="t" stroked="f" coordsize="8312,15" o:allowincell="f" o:gfxdata="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cCj42AAAAAwBAAAPAAAA&#10;AAAAAAEAIAAAACIAAABkcnMvZG93bnJldi54bWxQSwECFAAUAAAACACHTuJA4gRp9BUCAAB9BAAA&#10;DgAAAAAAAAABACAAAAAnAQAAZHJzL2Uyb0RvYy54bWxQSwUGAAAAAAYABgBZAQAArgUAAAAA&#10;" path="m0,0l8312,0,8312,14,0,14,0,0xe">
              <v:fill on="t" focussize="0,0"/>
              <v:stroke on="f"/>
              <v:imagedata o:title=""/>
              <o:lock v:ext="edit" aspectratio="f"/>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05852">
    <w:pPr>
      <w:spacing w:line="46" w:lineRule="auto"/>
      <w:rPr>
        <w:rFonts w:ascii="Arial"/>
        <w:sz w:val="2"/>
      </w:rPr>
    </w:pPr>
    <w:r>
      <mc:AlternateContent>
        <mc:Choice Requires="wps">
          <w:drawing>
            <wp:anchor distT="0" distB="0" distL="114300" distR="114300" simplePos="0" relativeHeight="251678720" behindDoc="0" locked="0" layoutInCell="0" allowOverlap="1">
              <wp:simplePos x="0" y="0"/>
              <wp:positionH relativeFrom="page">
                <wp:posOffset>1141095</wp:posOffset>
              </wp:positionH>
              <wp:positionV relativeFrom="page">
                <wp:posOffset>692150</wp:posOffset>
              </wp:positionV>
              <wp:extent cx="5278755" cy="9525"/>
              <wp:effectExtent l="0" t="0" r="0" b="0"/>
              <wp:wrapNone/>
              <wp:docPr id="61" name="任意多边形 61"/>
              <wp:cNvGraphicFramePr/>
              <a:graphic xmlns:a="http://schemas.openxmlformats.org/drawingml/2006/main">
                <a:graphicData uri="http://schemas.microsoft.com/office/word/2010/wordprocessingShape">
                  <wps:wsp>
                    <wps:cNvSpPr/>
                    <wps:spPr>
                      <a:xfrm>
                        <a:off x="0" y="0"/>
                        <a:ext cx="5278755" cy="9525"/>
                      </a:xfrm>
                      <a:custGeom>
                        <a:avLst/>
                        <a:gdLst/>
                        <a:ahLst/>
                        <a:cxnLst/>
                        <a:pathLst>
                          <a:path w="8312" h="15">
                            <a:moveTo>
                              <a:pt x="0" y="0"/>
                            </a:moveTo>
                            <a:lnTo>
                              <a:pt x="8312" y="0"/>
                            </a:lnTo>
                            <a:lnTo>
                              <a:pt x="831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9.85pt;margin-top:54.5pt;height:0.75pt;width:415.65pt;mso-position-horizontal-relative:page;mso-position-vertical-relative:page;z-index:251678720;mso-width-relative:page;mso-height-relative:page;" fillcolor="#000000" filled="t" stroked="f" coordsize="8312,15" o:allowincell="f" o:gfxdata="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JwKPjYAAAADAEAAA8AAAAA&#10;AAAAAQAgAAAAIgAAAGRycy9kb3ducmV2LnhtbFBLAQIUABQAAAAIAIdO4kD7jeFnFAIAAH0EAAAO&#10;AAAAAAAAAAEAIAAAACcBAABkcnMvZTJvRG9jLnhtbFBLBQYAAAAABgAGAFkBAACtBQAAAAA=&#10;" path="m0,0l8312,0,8312,14,0,14,0,0xe">
              <v:fill on="t" focussize="0,0"/>
              <v:stroke on="f"/>
              <v:imagedata o:title=""/>
              <o:lock v:ext="edit" aspectratio="f"/>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94E5">
    <w:pPr>
      <w:spacing w:line="46" w:lineRule="auto"/>
      <w:rPr>
        <w:rFonts w:ascii="Arial"/>
        <w:sz w:val="2"/>
      </w:rPr>
    </w:pPr>
    <w:r>
      <w:pict>
        <v:shape id="_x0000_s2083" o:spid="_x0000_s2083" style="position:absolute;left:0pt;margin-left:89.85pt;margin-top:54.5pt;height:0.75pt;width:415.65pt;mso-position-horizontal-relative:page;mso-position-vertical-relative:page;z-index:251669504;mso-width-relative:page;mso-height-relative:page;" fillcolor="#000000" filled="t" stroked="f" coordsize="8312,15" o:allowincell="f" path="m0,0l8312,0,8312,14,0,14,0,0xe">
          <v:path/>
          <v:fill on="t" focussize="0,0"/>
          <v:stroke on="f"/>
          <v:imagedata o:title=""/>
          <o:lock v:ext="edi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956CB">
    <w:pPr>
      <w:spacing w:line="46" w:lineRule="auto"/>
      <w:rPr>
        <w:rFonts w:ascii="Arial"/>
        <w:sz w:val="2"/>
      </w:rPr>
    </w:pPr>
    <w:r>
      <w:pict>
        <v:shape id="_x0000_s2084" o:spid="_x0000_s2084" style="position:absolute;left:0pt;margin-left:89.85pt;margin-top:54.5pt;height:0.75pt;width:415.65pt;mso-position-horizontal-relative:page;mso-position-vertical-relative:page;z-index:251661312;mso-width-relative:page;mso-height-relative:page;" fillcolor="#000000" filled="t" stroked="f" coordsize="8312,15" o:allowincell="f" path="m0,0l8312,0,8312,14,0,14,0,0xe">
          <v:path/>
          <v:fill on="t" focussize="0,0"/>
          <v:stroke on="f"/>
          <v:imagedata o:title=""/>
          <o:lock v:ext="edit"/>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D799B">
    <w:pPr>
      <w:spacing w:line="46" w:lineRule="auto"/>
      <w:rPr>
        <w:rFonts w:ascii="Arial"/>
        <w:sz w:val="2"/>
      </w:rPr>
    </w:pPr>
    <w:r>
      <w:pict>
        <v:shape id="_x0000_s2085" o:spid="_x0000_s2085" style="position:absolute;left:0pt;margin-left:89.85pt;margin-top:54.5pt;height:0.75pt;width:415.65pt;mso-position-horizontal-relative:page;mso-position-vertical-relative:page;z-index:251671552;mso-width-relative:page;mso-height-relative:page;" fillcolor="#000000" filled="t" stroked="f" coordsize="8312,15" o:allowincell="f" path="m0,0l8312,0,8312,14,0,14,0,0xe">
          <v:path/>
          <v:fill on="t" focussize="0,0"/>
          <v:stroke on="f"/>
          <v:imagedata o:title=""/>
          <o:lock v:ext="edi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BA1B9">
    <w:pPr>
      <w:spacing w:line="46" w:lineRule="auto"/>
      <w:rPr>
        <w:rFonts w:ascii="Arial"/>
        <w:sz w:val="2"/>
      </w:rPr>
    </w:pPr>
    <w:r>
      <w:pict>
        <v:shape id="_x0000_s2086" o:spid="_x0000_s2086" style="position:absolute;left:0pt;margin-left:89.85pt;margin-top:54.5pt;height:0.75pt;width:415.65pt;mso-position-horizontal-relative:page;mso-position-vertical-relative:page;z-index:251672576;mso-width-relative:page;mso-height-relative:page;" fillcolor="#000000" filled="t" stroked="f" coordsize="8312,15" o:allowincell="f" path="m0,0l8312,0,8312,14,0,14,0,0xe">
          <v:path/>
          <v:fill on="t" focussize="0,0"/>
          <v:stroke on="f"/>
          <v:imagedata o:title=""/>
          <o:lock v:ext="edi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0C288">
    <w:pPr>
      <w:spacing w:line="46" w:lineRule="auto"/>
      <w:rPr>
        <w:rFonts w:ascii="Arial"/>
        <w:sz w:val="2"/>
      </w:rPr>
    </w:pPr>
    <w:r>
      <w:pict>
        <v:shape id="_x0000_s2087" o:spid="_x0000_s2087" style="position:absolute;left:0pt;margin-left:89.85pt;margin-top:54.5pt;height:0.75pt;width:415.65pt;mso-position-horizontal-relative:page;mso-position-vertical-relative:page;z-index:251661312;mso-width-relative:page;mso-height-relative:page;" fillcolor="#000000" filled="t" stroked="f" coordsize="8312,15" o:allowincell="f" path="m0,0l8312,0,8312,14,0,14,0,0xe">
          <v:path/>
          <v:fill on="t" focussize="0,0"/>
          <v:stroke on="f"/>
          <v:imagedata o:title=""/>
          <o:lock v:ext="edit"/>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B1918">
    <w:pPr>
      <w:spacing w:line="46" w:lineRule="auto"/>
      <w:rPr>
        <w:rFonts w:ascii="Arial"/>
        <w:sz w:val="2"/>
      </w:rPr>
    </w:pPr>
    <w:r>
      <w:pict>
        <v:shape id="_x0000_s2089" o:spid="_x0000_s2089" style="position:absolute;left:0pt;margin-left:89.85pt;margin-top:54.5pt;height:0.75pt;width:415.65pt;mso-position-horizontal-relative:page;mso-position-vertical-relative:page;z-index:251663360;mso-width-relative:page;mso-height-relative:page;" fillcolor="#000000" filled="t" stroked="f" coordsize="8312,15" o:allowincell="f" path="m0,0l8312,0,8312,14,0,14,0,0xe">
          <v:path/>
          <v:fill on="t" focussize="0,0"/>
          <v:stroke on="f"/>
          <v:imagedata o:title=""/>
          <o:lock v:ext="edi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18A16">
    <w:pPr>
      <w:spacing w:line="46" w:lineRule="auto"/>
      <w:rPr>
        <w:rFonts w:ascii="Arial"/>
        <w:sz w:val="2"/>
      </w:rPr>
    </w:pPr>
    <w:r>
      <w:pict>
        <v:shape id="_x0000_s2090" o:spid="_x0000_s2090" style="position:absolute;left:0pt;margin-left:89.85pt;margin-top:54.5pt;height:0.75pt;width:415.65pt;mso-position-horizontal-relative:page;mso-position-vertical-relative:page;z-index:251675648;mso-width-relative:page;mso-height-relative:page;" fillcolor="#000000" filled="t" stroked="f" coordsize="8312,15" o:allowincell="f" path="m0,0l8312,0,8312,14,0,14,0,0xe">
          <v:path/>
          <v:fill on="t" focussize="0,0"/>
          <v:stroke on="f"/>
          <v:imagedata o:title=""/>
          <o:lock v:ext="edi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C5037">
    <w:pPr>
      <w:spacing w:line="46" w:lineRule="auto"/>
      <w:rPr>
        <w:rFonts w:ascii="Arial"/>
        <w:sz w:val="2"/>
      </w:rPr>
    </w:pPr>
    <w:r>
      <w:pict>
        <v:shape id="_x0000_s2091" o:spid="_x0000_s2091" style="position:absolute;left:0pt;margin-left:89.85pt;margin-top:54.5pt;height:0.75pt;width:415.65pt;mso-position-horizontal-relative:page;mso-position-vertical-relative:page;z-index:251676672;mso-width-relative:page;mso-height-relative:page;" fillcolor="#000000" filled="t" stroked="f" coordsize="8312,15" o:allowincell="f" path="m0,0l8312,0,8312,14,0,14,0,0xe">
          <v:path/>
          <v:fill on="t" focussize="0,0"/>
          <v:stroke on="f"/>
          <v:imagedata o:title=""/>
          <o:lock v:ext="edit"/>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9A5A8">
    <w:pPr>
      <w:spacing w:line="46" w:lineRule="auto"/>
      <w:rPr>
        <w:rFonts w:ascii="Arial"/>
        <w:sz w:val="2"/>
      </w:rPr>
    </w:pPr>
    <w:r>
      <w:pict>
        <v:shape id="_x0000_s2092" o:spid="_x0000_s2092" style="position:absolute;left:0pt;margin-left:89.85pt;margin-top:54.5pt;height:0.75pt;width:415.65pt;mso-position-horizontal-relative:page;mso-position-vertical-relative:page;z-index:251661312;mso-width-relative:page;mso-height-relative:page;" fillcolor="#000000" filled="t" stroked="f" coordsize="8312,15" o:allowincell="f" path="m0,0l8312,0,8312,14,0,14,0,0xe">
          <v:path/>
          <v:fill on="t" focussize="0,0"/>
          <v:stroke on="f"/>
          <v:imagedata o:title=""/>
          <o:lock v:ext="edi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1BA79">
    <w:pPr>
      <w:spacing w:line="46" w:lineRule="auto"/>
      <w:rPr>
        <w:rFonts w:ascii="Arial"/>
        <w:sz w:val="2"/>
      </w:rPr>
    </w:pPr>
    <w:r>
      <w:pict>
        <v:shape id="_x0000_s2093" o:spid="_x0000_s2093" style="position:absolute;left:0pt;margin-left:89.85pt;margin-top:54.5pt;height:0.75pt;width:415.65pt;mso-position-horizontal-relative:page;mso-position-vertical-relative:page;z-index:251679744;mso-width-relative:page;mso-height-relative:page;" fillcolor="#000000" filled="t" stroked="f" coordsize="8312,15" o:allowincell="f" path="m0,0l8312,0,8312,14,0,14,0,0xe">
          <v:path/>
          <v:fill on="t" focussize="0,0"/>
          <v:stroke on="f"/>
          <v:imagedata o:title=""/>
          <o:lock v:ext="edi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143D1">
    <w:pPr>
      <w:spacing w:line="46" w:lineRule="auto"/>
      <w:rPr>
        <w:rFonts w:ascii="Arial"/>
        <w:sz w:val="2"/>
      </w:rPr>
    </w:pPr>
    <w:r>
      <w:pict>
        <v:shape id="_x0000_s2094" o:spid="_x0000_s2094" style="position:absolute;left:0pt;margin-left:89.85pt;margin-top:54.5pt;height:0.75pt;width:415.65pt;mso-position-horizontal-relative:page;mso-position-vertical-relative:page;z-index:251680768;mso-width-relative:page;mso-height-relative:page;" fillcolor="#000000" filled="t" stroked="f" coordsize="8312,15" o:allowincell="f" path="m0,0l8312,0,8312,14,0,14,0,0xe">
          <v:path/>
          <v:fill on="t" focussize="0,0"/>
          <v:stroke on="f"/>
          <v:imagedata o:title=""/>
          <o:lock v:ext="edit"/>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BFC87">
    <w:pPr>
      <w:spacing w:line="46" w:lineRule="auto"/>
      <w:rPr>
        <w:rFonts w:ascii="Arial"/>
        <w:sz w:val="2"/>
      </w:rPr>
    </w:pPr>
    <w:r>
      <w:pict>
        <v:shape id="_x0000_s2095" o:spid="_x0000_s2095" style="position:absolute;left:0pt;margin-left:89.85pt;margin-top:54.5pt;height:0.75pt;width:415.65pt;mso-position-horizontal-relative:page;mso-position-vertical-relative:page;z-index:251661312;mso-width-relative:page;mso-height-relative:page;" fillcolor="#000000" filled="t" stroked="f" coordsize="8312,15" o:allowincell="f" path="m0,0l8312,0,8312,14,0,14,0,0xe">
          <v:path/>
          <v:fill on="t" focussize="0,0"/>
          <v:stroke on="f"/>
          <v:imagedata o:title=""/>
          <o:lock v:ext="edi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FEE99">
    <w:pPr>
      <w:spacing w:line="46" w:lineRule="auto"/>
      <w:rPr>
        <w:rFonts w:ascii="Arial"/>
        <w:sz w:val="2"/>
      </w:rPr>
    </w:pPr>
    <w:r>
      <w:pict>
        <v:shape id="_x0000_s2096" o:spid="_x0000_s2096" style="position:absolute;left:0pt;margin-left:89.85pt;margin-top:54.5pt;height:0.75pt;width:415.65pt;mso-position-horizontal-relative:page;mso-position-vertical-relative:page;z-index:251682816;mso-width-relative:page;mso-height-relative:page;" fillcolor="#000000" filled="t" stroked="f" coordsize="8312,15" o:allowincell="f" path="m0,0l8312,0,8312,14,0,14,0,0xe">
          <v:path/>
          <v:fill on="t" focussize="0,0"/>
          <v:stroke on="f"/>
          <v:imagedata o:title=""/>
          <o:lock v:ext="edi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165A5"/>
    <w:multiLevelType w:val="singleLevel"/>
    <w:tmpl w:val="108165A5"/>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1416D2"/>
    <w:rsid w:val="001F1D2C"/>
    <w:rsid w:val="00522102"/>
    <w:rsid w:val="00A77BFD"/>
    <w:rsid w:val="01017684"/>
    <w:rsid w:val="010B405F"/>
    <w:rsid w:val="0136732D"/>
    <w:rsid w:val="01396E1E"/>
    <w:rsid w:val="017C6910"/>
    <w:rsid w:val="017F6FD8"/>
    <w:rsid w:val="0183453D"/>
    <w:rsid w:val="018C1643"/>
    <w:rsid w:val="01C87BD5"/>
    <w:rsid w:val="01CC7C92"/>
    <w:rsid w:val="0227311A"/>
    <w:rsid w:val="022E44A8"/>
    <w:rsid w:val="0270686F"/>
    <w:rsid w:val="028D778C"/>
    <w:rsid w:val="02F23728"/>
    <w:rsid w:val="02F72AEC"/>
    <w:rsid w:val="02F94AB6"/>
    <w:rsid w:val="03157416"/>
    <w:rsid w:val="03600692"/>
    <w:rsid w:val="03A013D6"/>
    <w:rsid w:val="040C25C7"/>
    <w:rsid w:val="04423416"/>
    <w:rsid w:val="048B0E5D"/>
    <w:rsid w:val="04AC5B58"/>
    <w:rsid w:val="04E35A1E"/>
    <w:rsid w:val="052F2A11"/>
    <w:rsid w:val="05355B4E"/>
    <w:rsid w:val="054F5054"/>
    <w:rsid w:val="054F783A"/>
    <w:rsid w:val="0560706F"/>
    <w:rsid w:val="05883C21"/>
    <w:rsid w:val="05DB21FA"/>
    <w:rsid w:val="05E5389B"/>
    <w:rsid w:val="06287461"/>
    <w:rsid w:val="063D115E"/>
    <w:rsid w:val="069468A4"/>
    <w:rsid w:val="06FF7300"/>
    <w:rsid w:val="07130CC2"/>
    <w:rsid w:val="074D53D1"/>
    <w:rsid w:val="07F95559"/>
    <w:rsid w:val="086A1FB2"/>
    <w:rsid w:val="08BF22FE"/>
    <w:rsid w:val="09181A0E"/>
    <w:rsid w:val="099B68C7"/>
    <w:rsid w:val="09A03EDE"/>
    <w:rsid w:val="09B90AFC"/>
    <w:rsid w:val="0A4707FD"/>
    <w:rsid w:val="0AA04B24"/>
    <w:rsid w:val="0AB67731"/>
    <w:rsid w:val="0AE31100"/>
    <w:rsid w:val="0AF158CE"/>
    <w:rsid w:val="0B310B66"/>
    <w:rsid w:val="0B470389"/>
    <w:rsid w:val="0B6727D9"/>
    <w:rsid w:val="0B696551"/>
    <w:rsid w:val="0B7B446F"/>
    <w:rsid w:val="0BAA30DE"/>
    <w:rsid w:val="0BD04822"/>
    <w:rsid w:val="0C000C64"/>
    <w:rsid w:val="0C5C7E64"/>
    <w:rsid w:val="0C8278CB"/>
    <w:rsid w:val="0C8E5209"/>
    <w:rsid w:val="0CAF0367"/>
    <w:rsid w:val="0CB35CD6"/>
    <w:rsid w:val="0CD679BD"/>
    <w:rsid w:val="0D0F4ED6"/>
    <w:rsid w:val="0D2A000C"/>
    <w:rsid w:val="0D6C2329"/>
    <w:rsid w:val="0D957AD2"/>
    <w:rsid w:val="0DC363ED"/>
    <w:rsid w:val="0E0013EF"/>
    <w:rsid w:val="0E651252"/>
    <w:rsid w:val="0E9E4764"/>
    <w:rsid w:val="0EC81693"/>
    <w:rsid w:val="0F2E5AE8"/>
    <w:rsid w:val="0F380715"/>
    <w:rsid w:val="0F3876C0"/>
    <w:rsid w:val="0F706100"/>
    <w:rsid w:val="0F8959CB"/>
    <w:rsid w:val="0FB12275"/>
    <w:rsid w:val="0FF56606"/>
    <w:rsid w:val="101420A5"/>
    <w:rsid w:val="103F1D61"/>
    <w:rsid w:val="10956F9D"/>
    <w:rsid w:val="10BE733F"/>
    <w:rsid w:val="10C36704"/>
    <w:rsid w:val="110D06F4"/>
    <w:rsid w:val="11311578"/>
    <w:rsid w:val="113A4C18"/>
    <w:rsid w:val="11421D1E"/>
    <w:rsid w:val="114F7F97"/>
    <w:rsid w:val="11564B24"/>
    <w:rsid w:val="11851C0B"/>
    <w:rsid w:val="11AD363C"/>
    <w:rsid w:val="11D230A2"/>
    <w:rsid w:val="11DB6769"/>
    <w:rsid w:val="11F56D91"/>
    <w:rsid w:val="121A2353"/>
    <w:rsid w:val="126569DC"/>
    <w:rsid w:val="126D4B79"/>
    <w:rsid w:val="127C7827"/>
    <w:rsid w:val="1299771C"/>
    <w:rsid w:val="129C3CE3"/>
    <w:rsid w:val="12EF37E0"/>
    <w:rsid w:val="13021765"/>
    <w:rsid w:val="130A499C"/>
    <w:rsid w:val="133A0160"/>
    <w:rsid w:val="1347361C"/>
    <w:rsid w:val="135D2E40"/>
    <w:rsid w:val="136B6959"/>
    <w:rsid w:val="13767A5D"/>
    <w:rsid w:val="137F4B64"/>
    <w:rsid w:val="137F4D2E"/>
    <w:rsid w:val="13902DD0"/>
    <w:rsid w:val="13AB3BAB"/>
    <w:rsid w:val="13DF5603"/>
    <w:rsid w:val="13F91075"/>
    <w:rsid w:val="141C6857"/>
    <w:rsid w:val="146376B5"/>
    <w:rsid w:val="147C72F5"/>
    <w:rsid w:val="148A250C"/>
    <w:rsid w:val="149C7998"/>
    <w:rsid w:val="14AC211F"/>
    <w:rsid w:val="14BE346A"/>
    <w:rsid w:val="15400323"/>
    <w:rsid w:val="154222ED"/>
    <w:rsid w:val="15475B55"/>
    <w:rsid w:val="15973CBB"/>
    <w:rsid w:val="15D4540B"/>
    <w:rsid w:val="16597E36"/>
    <w:rsid w:val="168662A0"/>
    <w:rsid w:val="16F91E5D"/>
    <w:rsid w:val="1719776F"/>
    <w:rsid w:val="171E4694"/>
    <w:rsid w:val="17B46DA6"/>
    <w:rsid w:val="17BB0135"/>
    <w:rsid w:val="183323C1"/>
    <w:rsid w:val="185760AF"/>
    <w:rsid w:val="185C36C6"/>
    <w:rsid w:val="189E3CDE"/>
    <w:rsid w:val="18AE191B"/>
    <w:rsid w:val="18BD3DC8"/>
    <w:rsid w:val="18D8093F"/>
    <w:rsid w:val="18E50C43"/>
    <w:rsid w:val="190B50EC"/>
    <w:rsid w:val="196A0064"/>
    <w:rsid w:val="19801636"/>
    <w:rsid w:val="199C5DC6"/>
    <w:rsid w:val="19A55097"/>
    <w:rsid w:val="19AB745A"/>
    <w:rsid w:val="19E73463"/>
    <w:rsid w:val="1A1848CA"/>
    <w:rsid w:val="1A22264D"/>
    <w:rsid w:val="1A5149DE"/>
    <w:rsid w:val="1A544563"/>
    <w:rsid w:val="1A914925"/>
    <w:rsid w:val="1ABD5F72"/>
    <w:rsid w:val="1ADC289C"/>
    <w:rsid w:val="1AEB2ADF"/>
    <w:rsid w:val="1AF57E02"/>
    <w:rsid w:val="1B1464DA"/>
    <w:rsid w:val="1B397CEE"/>
    <w:rsid w:val="1B3B1E85"/>
    <w:rsid w:val="1B3C158C"/>
    <w:rsid w:val="1BF43C15"/>
    <w:rsid w:val="1C0E778F"/>
    <w:rsid w:val="1C365FDC"/>
    <w:rsid w:val="1C4050AC"/>
    <w:rsid w:val="1C646FED"/>
    <w:rsid w:val="1CBD494F"/>
    <w:rsid w:val="1CF30371"/>
    <w:rsid w:val="1DF42051"/>
    <w:rsid w:val="1DFB73D1"/>
    <w:rsid w:val="1E3821EF"/>
    <w:rsid w:val="1ED40A8B"/>
    <w:rsid w:val="1F607568"/>
    <w:rsid w:val="1F7F030B"/>
    <w:rsid w:val="200563F1"/>
    <w:rsid w:val="20457135"/>
    <w:rsid w:val="2076109D"/>
    <w:rsid w:val="208453C3"/>
    <w:rsid w:val="20F3093F"/>
    <w:rsid w:val="215D225D"/>
    <w:rsid w:val="215E6E9B"/>
    <w:rsid w:val="21E97519"/>
    <w:rsid w:val="22670013"/>
    <w:rsid w:val="226B6AB9"/>
    <w:rsid w:val="226E2973"/>
    <w:rsid w:val="22DF2CDF"/>
    <w:rsid w:val="22E03145"/>
    <w:rsid w:val="235C2297"/>
    <w:rsid w:val="23A229BA"/>
    <w:rsid w:val="23BC770E"/>
    <w:rsid w:val="23CD191B"/>
    <w:rsid w:val="246102B6"/>
    <w:rsid w:val="24613E12"/>
    <w:rsid w:val="250A6257"/>
    <w:rsid w:val="25A0096A"/>
    <w:rsid w:val="25C15D57"/>
    <w:rsid w:val="25EE4E20"/>
    <w:rsid w:val="2607029E"/>
    <w:rsid w:val="26270419"/>
    <w:rsid w:val="26437C73"/>
    <w:rsid w:val="26681488"/>
    <w:rsid w:val="266B7A3B"/>
    <w:rsid w:val="26A5448A"/>
    <w:rsid w:val="270311B0"/>
    <w:rsid w:val="272E0923"/>
    <w:rsid w:val="2734152C"/>
    <w:rsid w:val="27912C60"/>
    <w:rsid w:val="27AE55C0"/>
    <w:rsid w:val="27B37DF9"/>
    <w:rsid w:val="27D50D9F"/>
    <w:rsid w:val="283C04CC"/>
    <w:rsid w:val="289F1401"/>
    <w:rsid w:val="289F315B"/>
    <w:rsid w:val="2998116B"/>
    <w:rsid w:val="29EB48A9"/>
    <w:rsid w:val="2A104310"/>
    <w:rsid w:val="2A50295E"/>
    <w:rsid w:val="2A7614CF"/>
    <w:rsid w:val="2A954815"/>
    <w:rsid w:val="2AB94FB3"/>
    <w:rsid w:val="2AEA147F"/>
    <w:rsid w:val="2AF2541E"/>
    <w:rsid w:val="2AFC049D"/>
    <w:rsid w:val="2BA80578"/>
    <w:rsid w:val="2BC95556"/>
    <w:rsid w:val="2C02412C"/>
    <w:rsid w:val="2C071743"/>
    <w:rsid w:val="2C3F712F"/>
    <w:rsid w:val="2CB2345D"/>
    <w:rsid w:val="2CC413E2"/>
    <w:rsid w:val="2CF85D39"/>
    <w:rsid w:val="2CFC6DCE"/>
    <w:rsid w:val="2D0D2D89"/>
    <w:rsid w:val="2D1E4F96"/>
    <w:rsid w:val="2D5E35E4"/>
    <w:rsid w:val="2D68440E"/>
    <w:rsid w:val="2D74105A"/>
    <w:rsid w:val="2DB346A7"/>
    <w:rsid w:val="2DD613CD"/>
    <w:rsid w:val="2DFA155F"/>
    <w:rsid w:val="2E06166C"/>
    <w:rsid w:val="2E2F6D2F"/>
    <w:rsid w:val="2E3E1D79"/>
    <w:rsid w:val="2E6F2A7E"/>
    <w:rsid w:val="2E786928"/>
    <w:rsid w:val="2E960B5C"/>
    <w:rsid w:val="2E9C43C4"/>
    <w:rsid w:val="2EB77450"/>
    <w:rsid w:val="2EE87609"/>
    <w:rsid w:val="2EEB3529"/>
    <w:rsid w:val="2EEE0998"/>
    <w:rsid w:val="2F397E65"/>
    <w:rsid w:val="2F3E7D67"/>
    <w:rsid w:val="2FE03ACB"/>
    <w:rsid w:val="2FF41FDE"/>
    <w:rsid w:val="30474804"/>
    <w:rsid w:val="30601421"/>
    <w:rsid w:val="307D0225"/>
    <w:rsid w:val="30A27C8C"/>
    <w:rsid w:val="30D7271D"/>
    <w:rsid w:val="31532D34"/>
    <w:rsid w:val="31553103"/>
    <w:rsid w:val="316F4012"/>
    <w:rsid w:val="31723B02"/>
    <w:rsid w:val="317A6513"/>
    <w:rsid w:val="317F432F"/>
    <w:rsid w:val="31C26FA9"/>
    <w:rsid w:val="32494863"/>
    <w:rsid w:val="325F576F"/>
    <w:rsid w:val="32625925"/>
    <w:rsid w:val="3273031C"/>
    <w:rsid w:val="332605FB"/>
    <w:rsid w:val="33835B53"/>
    <w:rsid w:val="33A855B9"/>
    <w:rsid w:val="33FD6212"/>
    <w:rsid w:val="34AA710F"/>
    <w:rsid w:val="34B63D06"/>
    <w:rsid w:val="34B72C28"/>
    <w:rsid w:val="34F7480D"/>
    <w:rsid w:val="35044A71"/>
    <w:rsid w:val="35187B42"/>
    <w:rsid w:val="35326549"/>
    <w:rsid w:val="35337105"/>
    <w:rsid w:val="35614165"/>
    <w:rsid w:val="356C6B7A"/>
    <w:rsid w:val="358636D8"/>
    <w:rsid w:val="358F4C83"/>
    <w:rsid w:val="35956BF6"/>
    <w:rsid w:val="359738C5"/>
    <w:rsid w:val="35BC0384"/>
    <w:rsid w:val="35CB558F"/>
    <w:rsid w:val="35D2260E"/>
    <w:rsid w:val="35D501BC"/>
    <w:rsid w:val="35F965A0"/>
    <w:rsid w:val="363D4A50"/>
    <w:rsid w:val="36566C1F"/>
    <w:rsid w:val="366B28CE"/>
    <w:rsid w:val="366F0610"/>
    <w:rsid w:val="367B3E03"/>
    <w:rsid w:val="36FD79CA"/>
    <w:rsid w:val="375810A4"/>
    <w:rsid w:val="37D01583"/>
    <w:rsid w:val="38334291"/>
    <w:rsid w:val="38A700C1"/>
    <w:rsid w:val="38AA5930"/>
    <w:rsid w:val="38BD38B5"/>
    <w:rsid w:val="38E84B50"/>
    <w:rsid w:val="39126482"/>
    <w:rsid w:val="391E459E"/>
    <w:rsid w:val="39203E44"/>
    <w:rsid w:val="394C2E8B"/>
    <w:rsid w:val="39C96289"/>
    <w:rsid w:val="39EB26A4"/>
    <w:rsid w:val="3A137505"/>
    <w:rsid w:val="3A261381"/>
    <w:rsid w:val="3A500759"/>
    <w:rsid w:val="3A587704"/>
    <w:rsid w:val="3A7601BF"/>
    <w:rsid w:val="3A90457C"/>
    <w:rsid w:val="3AA27206"/>
    <w:rsid w:val="3AC94BE7"/>
    <w:rsid w:val="3ACF167E"/>
    <w:rsid w:val="3AD06F82"/>
    <w:rsid w:val="3AED5FA8"/>
    <w:rsid w:val="3B1672AC"/>
    <w:rsid w:val="3B20637D"/>
    <w:rsid w:val="3B5901B9"/>
    <w:rsid w:val="3B886B05"/>
    <w:rsid w:val="3BA40D5C"/>
    <w:rsid w:val="3BCE7B87"/>
    <w:rsid w:val="3BF724CE"/>
    <w:rsid w:val="3C137C90"/>
    <w:rsid w:val="3C4B11D8"/>
    <w:rsid w:val="3C771400"/>
    <w:rsid w:val="3C77332A"/>
    <w:rsid w:val="3CC72DC1"/>
    <w:rsid w:val="3CE33B06"/>
    <w:rsid w:val="3D6562C9"/>
    <w:rsid w:val="3D6A1B31"/>
    <w:rsid w:val="3D7B3D3F"/>
    <w:rsid w:val="3DC47494"/>
    <w:rsid w:val="3DEB2C72"/>
    <w:rsid w:val="3E237F26"/>
    <w:rsid w:val="3E55633E"/>
    <w:rsid w:val="3EBB0897"/>
    <w:rsid w:val="3ECD23C9"/>
    <w:rsid w:val="3ED454B4"/>
    <w:rsid w:val="3F367F1D"/>
    <w:rsid w:val="3F836EDA"/>
    <w:rsid w:val="3F91661B"/>
    <w:rsid w:val="3FA45D73"/>
    <w:rsid w:val="3FB922CC"/>
    <w:rsid w:val="3FCC0881"/>
    <w:rsid w:val="3FF34060"/>
    <w:rsid w:val="3FFF6FF9"/>
    <w:rsid w:val="40C31C84"/>
    <w:rsid w:val="40C33B52"/>
    <w:rsid w:val="41524DB6"/>
    <w:rsid w:val="416F7716"/>
    <w:rsid w:val="41C80A7C"/>
    <w:rsid w:val="42366486"/>
    <w:rsid w:val="4259738D"/>
    <w:rsid w:val="42BC2E2F"/>
    <w:rsid w:val="42C41E76"/>
    <w:rsid w:val="43062396"/>
    <w:rsid w:val="432B1D63"/>
    <w:rsid w:val="43370708"/>
    <w:rsid w:val="43456981"/>
    <w:rsid w:val="438D0328"/>
    <w:rsid w:val="43E26547"/>
    <w:rsid w:val="43EF0FE2"/>
    <w:rsid w:val="443E32EE"/>
    <w:rsid w:val="44782D86"/>
    <w:rsid w:val="44817E8C"/>
    <w:rsid w:val="448E25A9"/>
    <w:rsid w:val="4497145E"/>
    <w:rsid w:val="44C91833"/>
    <w:rsid w:val="44D04ECF"/>
    <w:rsid w:val="44E95A32"/>
    <w:rsid w:val="45014B29"/>
    <w:rsid w:val="45156827"/>
    <w:rsid w:val="45431A93"/>
    <w:rsid w:val="455F7AA2"/>
    <w:rsid w:val="45814879"/>
    <w:rsid w:val="459E43BC"/>
    <w:rsid w:val="45EF7078"/>
    <w:rsid w:val="460C7C2A"/>
    <w:rsid w:val="46430DB2"/>
    <w:rsid w:val="464C0026"/>
    <w:rsid w:val="466A4950"/>
    <w:rsid w:val="46E62229"/>
    <w:rsid w:val="46FE3A16"/>
    <w:rsid w:val="470152B5"/>
    <w:rsid w:val="47705F96"/>
    <w:rsid w:val="47745A86"/>
    <w:rsid w:val="480212E4"/>
    <w:rsid w:val="485E6F82"/>
    <w:rsid w:val="48667E96"/>
    <w:rsid w:val="4889130E"/>
    <w:rsid w:val="48BD520B"/>
    <w:rsid w:val="48C12F4D"/>
    <w:rsid w:val="48C22822"/>
    <w:rsid w:val="48FA6149"/>
    <w:rsid w:val="49090450"/>
    <w:rsid w:val="49105C83"/>
    <w:rsid w:val="49255691"/>
    <w:rsid w:val="492D05E3"/>
    <w:rsid w:val="492E6109"/>
    <w:rsid w:val="4981092F"/>
    <w:rsid w:val="499757C4"/>
    <w:rsid w:val="49D722FD"/>
    <w:rsid w:val="49DE7D7D"/>
    <w:rsid w:val="49F1326F"/>
    <w:rsid w:val="4A4365D1"/>
    <w:rsid w:val="4A6240A6"/>
    <w:rsid w:val="4A8835F7"/>
    <w:rsid w:val="4A8A736F"/>
    <w:rsid w:val="4AB3161E"/>
    <w:rsid w:val="4ABA40F8"/>
    <w:rsid w:val="4B4C4BB5"/>
    <w:rsid w:val="4C0F3FD0"/>
    <w:rsid w:val="4C357F8F"/>
    <w:rsid w:val="4C4C5224"/>
    <w:rsid w:val="4C9646F1"/>
    <w:rsid w:val="4CB37051"/>
    <w:rsid w:val="4CE30FB8"/>
    <w:rsid w:val="4D3A65D4"/>
    <w:rsid w:val="4D5A3970"/>
    <w:rsid w:val="4D951248"/>
    <w:rsid w:val="4DA16EA9"/>
    <w:rsid w:val="4DB7491F"/>
    <w:rsid w:val="4DC4528E"/>
    <w:rsid w:val="4DC96400"/>
    <w:rsid w:val="4DD03C33"/>
    <w:rsid w:val="4E4B32B9"/>
    <w:rsid w:val="4E944C60"/>
    <w:rsid w:val="4F06035C"/>
    <w:rsid w:val="4F9B3544"/>
    <w:rsid w:val="4FC74BC1"/>
    <w:rsid w:val="50033E4B"/>
    <w:rsid w:val="50354221"/>
    <w:rsid w:val="50854860"/>
    <w:rsid w:val="50901A58"/>
    <w:rsid w:val="50B138A7"/>
    <w:rsid w:val="50D91050"/>
    <w:rsid w:val="50E21CB3"/>
    <w:rsid w:val="50EA68CF"/>
    <w:rsid w:val="50FE48E4"/>
    <w:rsid w:val="51016347"/>
    <w:rsid w:val="510E1E6E"/>
    <w:rsid w:val="511B51C5"/>
    <w:rsid w:val="5153670D"/>
    <w:rsid w:val="51A925A1"/>
    <w:rsid w:val="51F85506"/>
    <w:rsid w:val="521C3E75"/>
    <w:rsid w:val="525F7333"/>
    <w:rsid w:val="52A116FA"/>
    <w:rsid w:val="52C1379C"/>
    <w:rsid w:val="52EE0A88"/>
    <w:rsid w:val="534D53DE"/>
    <w:rsid w:val="53A25729"/>
    <w:rsid w:val="543E18F6"/>
    <w:rsid w:val="54680721"/>
    <w:rsid w:val="54752C11"/>
    <w:rsid w:val="547E7F44"/>
    <w:rsid w:val="5490050F"/>
    <w:rsid w:val="54931516"/>
    <w:rsid w:val="54D852E2"/>
    <w:rsid w:val="54F509F0"/>
    <w:rsid w:val="54FA65A2"/>
    <w:rsid w:val="55214D74"/>
    <w:rsid w:val="553E1482"/>
    <w:rsid w:val="554027C6"/>
    <w:rsid w:val="5543118E"/>
    <w:rsid w:val="55915A56"/>
    <w:rsid w:val="562A0A72"/>
    <w:rsid w:val="562B40FC"/>
    <w:rsid w:val="564718DC"/>
    <w:rsid w:val="566234A9"/>
    <w:rsid w:val="56633896"/>
    <w:rsid w:val="56796088"/>
    <w:rsid w:val="567D070B"/>
    <w:rsid w:val="56890E23"/>
    <w:rsid w:val="56991314"/>
    <w:rsid w:val="56A47A0A"/>
    <w:rsid w:val="56C836F9"/>
    <w:rsid w:val="56CB4F97"/>
    <w:rsid w:val="571D166C"/>
    <w:rsid w:val="5726041F"/>
    <w:rsid w:val="57376AD1"/>
    <w:rsid w:val="573C5E95"/>
    <w:rsid w:val="578515EA"/>
    <w:rsid w:val="57CA524F"/>
    <w:rsid w:val="57E37782"/>
    <w:rsid w:val="57E91B79"/>
    <w:rsid w:val="57EC4060"/>
    <w:rsid w:val="57F4051E"/>
    <w:rsid w:val="58615BB3"/>
    <w:rsid w:val="587C7C70"/>
    <w:rsid w:val="58D01234"/>
    <w:rsid w:val="58ED1DF3"/>
    <w:rsid w:val="58ED7447"/>
    <w:rsid w:val="58FE79A2"/>
    <w:rsid w:val="595A2602"/>
    <w:rsid w:val="59F34F42"/>
    <w:rsid w:val="5A2C0443"/>
    <w:rsid w:val="5A56726E"/>
    <w:rsid w:val="5A755946"/>
    <w:rsid w:val="5A785436"/>
    <w:rsid w:val="5AAB75B9"/>
    <w:rsid w:val="5AB126F6"/>
    <w:rsid w:val="5B3402E5"/>
    <w:rsid w:val="5B3C6463"/>
    <w:rsid w:val="5B3D3F8A"/>
    <w:rsid w:val="5B5D6045"/>
    <w:rsid w:val="5BA54009"/>
    <w:rsid w:val="5BD90156"/>
    <w:rsid w:val="5C860F84"/>
    <w:rsid w:val="5C8C341B"/>
    <w:rsid w:val="5CC93B2E"/>
    <w:rsid w:val="5CFD1AAD"/>
    <w:rsid w:val="5DC80482"/>
    <w:rsid w:val="5E087174"/>
    <w:rsid w:val="5E1E26DD"/>
    <w:rsid w:val="5E343D6A"/>
    <w:rsid w:val="5E852832"/>
    <w:rsid w:val="5E8F2D4E"/>
    <w:rsid w:val="5E9345EC"/>
    <w:rsid w:val="5E9C5CCD"/>
    <w:rsid w:val="5EE76CAD"/>
    <w:rsid w:val="5F114C06"/>
    <w:rsid w:val="5F182D44"/>
    <w:rsid w:val="5F272D94"/>
    <w:rsid w:val="5F2D3FA5"/>
    <w:rsid w:val="5F381638"/>
    <w:rsid w:val="5FFA069B"/>
    <w:rsid w:val="602C4CF9"/>
    <w:rsid w:val="606326E4"/>
    <w:rsid w:val="60647840"/>
    <w:rsid w:val="606968D4"/>
    <w:rsid w:val="60822B6A"/>
    <w:rsid w:val="60932FCA"/>
    <w:rsid w:val="60C70EC5"/>
    <w:rsid w:val="60EF2E39"/>
    <w:rsid w:val="61167757"/>
    <w:rsid w:val="612A7CEF"/>
    <w:rsid w:val="613D1187"/>
    <w:rsid w:val="6151078F"/>
    <w:rsid w:val="61897F29"/>
    <w:rsid w:val="61DF3FED"/>
    <w:rsid w:val="61E77BD5"/>
    <w:rsid w:val="624C78D4"/>
    <w:rsid w:val="62EA49F7"/>
    <w:rsid w:val="630A373F"/>
    <w:rsid w:val="6311599C"/>
    <w:rsid w:val="63147CC6"/>
    <w:rsid w:val="6320666B"/>
    <w:rsid w:val="63473BF7"/>
    <w:rsid w:val="63575F86"/>
    <w:rsid w:val="63715118"/>
    <w:rsid w:val="63BA086D"/>
    <w:rsid w:val="63BE20DB"/>
    <w:rsid w:val="63D27965"/>
    <w:rsid w:val="63F05DFF"/>
    <w:rsid w:val="63F91396"/>
    <w:rsid w:val="641A7B46"/>
    <w:rsid w:val="64287ECD"/>
    <w:rsid w:val="64462101"/>
    <w:rsid w:val="646156AC"/>
    <w:rsid w:val="6481138B"/>
    <w:rsid w:val="64E21E2A"/>
    <w:rsid w:val="64E42131"/>
    <w:rsid w:val="64EF2799"/>
    <w:rsid w:val="656C3DE9"/>
    <w:rsid w:val="65DD4DDA"/>
    <w:rsid w:val="65EB53FF"/>
    <w:rsid w:val="660776F2"/>
    <w:rsid w:val="666920D7"/>
    <w:rsid w:val="66B548FC"/>
    <w:rsid w:val="66D25ECE"/>
    <w:rsid w:val="66DC57F7"/>
    <w:rsid w:val="66F37E01"/>
    <w:rsid w:val="67452B44"/>
    <w:rsid w:val="67B54DD7"/>
    <w:rsid w:val="680965F3"/>
    <w:rsid w:val="68190258"/>
    <w:rsid w:val="683230C8"/>
    <w:rsid w:val="6834667B"/>
    <w:rsid w:val="688721DA"/>
    <w:rsid w:val="6891082F"/>
    <w:rsid w:val="68E87C2B"/>
    <w:rsid w:val="69205BFF"/>
    <w:rsid w:val="69274C15"/>
    <w:rsid w:val="695E7EED"/>
    <w:rsid w:val="69A578CA"/>
    <w:rsid w:val="69AD1F60"/>
    <w:rsid w:val="69D33990"/>
    <w:rsid w:val="69DA0212"/>
    <w:rsid w:val="69EE301F"/>
    <w:rsid w:val="6A064A13"/>
    <w:rsid w:val="6A1231B1"/>
    <w:rsid w:val="6A39656C"/>
    <w:rsid w:val="6A683BDF"/>
    <w:rsid w:val="6A7115D6"/>
    <w:rsid w:val="6AB129BF"/>
    <w:rsid w:val="6B1940CB"/>
    <w:rsid w:val="6B3C600C"/>
    <w:rsid w:val="6B6615D1"/>
    <w:rsid w:val="6BB42046"/>
    <w:rsid w:val="6BF33F2A"/>
    <w:rsid w:val="6BF40694"/>
    <w:rsid w:val="6C9A56E0"/>
    <w:rsid w:val="6CF03552"/>
    <w:rsid w:val="6CF05300"/>
    <w:rsid w:val="6DDF3EE6"/>
    <w:rsid w:val="6DE31640"/>
    <w:rsid w:val="6DF1359C"/>
    <w:rsid w:val="6E26547D"/>
    <w:rsid w:val="6E3D6323"/>
    <w:rsid w:val="6E646345"/>
    <w:rsid w:val="6EBC193D"/>
    <w:rsid w:val="6ECE1671"/>
    <w:rsid w:val="6ED00F45"/>
    <w:rsid w:val="6ED72028"/>
    <w:rsid w:val="6F011A46"/>
    <w:rsid w:val="6F4479B0"/>
    <w:rsid w:val="6F754AB0"/>
    <w:rsid w:val="6FE27182"/>
    <w:rsid w:val="70357BF9"/>
    <w:rsid w:val="706933FF"/>
    <w:rsid w:val="707C307A"/>
    <w:rsid w:val="70A16044"/>
    <w:rsid w:val="70D94A29"/>
    <w:rsid w:val="714E0847"/>
    <w:rsid w:val="71541EF8"/>
    <w:rsid w:val="717C6248"/>
    <w:rsid w:val="719721EE"/>
    <w:rsid w:val="71F43249"/>
    <w:rsid w:val="722D11AE"/>
    <w:rsid w:val="722E5249"/>
    <w:rsid w:val="723E4F1D"/>
    <w:rsid w:val="72834520"/>
    <w:rsid w:val="72935BA2"/>
    <w:rsid w:val="72952BD1"/>
    <w:rsid w:val="729C460B"/>
    <w:rsid w:val="72C139C6"/>
    <w:rsid w:val="72DF5BFA"/>
    <w:rsid w:val="73552361"/>
    <w:rsid w:val="73E831D5"/>
    <w:rsid w:val="741915E0"/>
    <w:rsid w:val="74836A59"/>
    <w:rsid w:val="74980757"/>
    <w:rsid w:val="750F1273"/>
    <w:rsid w:val="7569700C"/>
    <w:rsid w:val="75792336"/>
    <w:rsid w:val="75B07D22"/>
    <w:rsid w:val="760C25E7"/>
    <w:rsid w:val="762322A2"/>
    <w:rsid w:val="763E70DC"/>
    <w:rsid w:val="76497A7B"/>
    <w:rsid w:val="765A0A92"/>
    <w:rsid w:val="7669212E"/>
    <w:rsid w:val="768E0063"/>
    <w:rsid w:val="76DB492B"/>
    <w:rsid w:val="76E836F7"/>
    <w:rsid w:val="77517D6E"/>
    <w:rsid w:val="7775590E"/>
    <w:rsid w:val="77884AB3"/>
    <w:rsid w:val="778B6351"/>
    <w:rsid w:val="77C101CA"/>
    <w:rsid w:val="77F43EF6"/>
    <w:rsid w:val="782C0851"/>
    <w:rsid w:val="784D7AAA"/>
    <w:rsid w:val="785A4732"/>
    <w:rsid w:val="78C075A5"/>
    <w:rsid w:val="78D13F97"/>
    <w:rsid w:val="78F23DBA"/>
    <w:rsid w:val="79607369"/>
    <w:rsid w:val="7961380D"/>
    <w:rsid w:val="799314ED"/>
    <w:rsid w:val="7A0D4155"/>
    <w:rsid w:val="7A3D7406"/>
    <w:rsid w:val="7A516EFA"/>
    <w:rsid w:val="7A6E6125"/>
    <w:rsid w:val="7AD21D76"/>
    <w:rsid w:val="7AEA5A84"/>
    <w:rsid w:val="7AF4420D"/>
    <w:rsid w:val="7BA61C9C"/>
    <w:rsid w:val="7BBD6A93"/>
    <w:rsid w:val="7BF859D9"/>
    <w:rsid w:val="7C0A3B9C"/>
    <w:rsid w:val="7C70767F"/>
    <w:rsid w:val="7CC320E9"/>
    <w:rsid w:val="7CCF4E57"/>
    <w:rsid w:val="7CCF4F32"/>
    <w:rsid w:val="7D4C6582"/>
    <w:rsid w:val="7D580A83"/>
    <w:rsid w:val="7D7635FF"/>
    <w:rsid w:val="7DA0242A"/>
    <w:rsid w:val="7DD87E16"/>
    <w:rsid w:val="7E1D1CCD"/>
    <w:rsid w:val="7E327526"/>
    <w:rsid w:val="7EBE525E"/>
    <w:rsid w:val="7EC108AA"/>
    <w:rsid w:val="7ED93E46"/>
    <w:rsid w:val="7F196938"/>
    <w:rsid w:val="7F4219EB"/>
    <w:rsid w:val="7F5F07EF"/>
    <w:rsid w:val="7FC95C68"/>
    <w:rsid w:val="7FD65D2F"/>
    <w:rsid w:val="7FF9443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3"/>
    <w:next w:val="4"/>
    <w:qFormat/>
    <w:uiPriority w:val="0"/>
    <w:pPr>
      <w:keepNext/>
      <w:keepLines/>
      <w:kinsoku/>
      <w:wordWrap w:val="0"/>
      <w:spacing w:line="360" w:lineRule="auto"/>
      <w:jc w:val="center"/>
      <w:outlineLvl w:val="0"/>
    </w:pPr>
    <w:rPr>
      <w:rFonts w:ascii="宋体" w:hAnsi="宋体" w:eastAsia="宋体" w:cs="宋体"/>
      <w:b/>
      <w:kern w:val="44"/>
      <w:sz w:val="40"/>
    </w:rPr>
  </w:style>
  <w:style w:type="paragraph" w:styleId="5">
    <w:name w:val="heading 2"/>
    <w:basedOn w:val="1"/>
    <w:next w:val="1"/>
    <w:unhideWhenUsed/>
    <w:qFormat/>
    <w:uiPriority w:val="0"/>
    <w:pPr>
      <w:keepNext/>
      <w:keepLines/>
      <w:kinsoku/>
      <w:wordWrap w:val="0"/>
      <w:autoSpaceDE/>
      <w:autoSpaceDN/>
      <w:adjustRightInd w:val="0"/>
      <w:spacing w:line="360" w:lineRule="auto"/>
      <w:ind w:left="0" w:leftChars="0"/>
      <w:jc w:val="center"/>
      <w:outlineLvl w:val="1"/>
    </w:pPr>
    <w:rPr>
      <w:rFonts w:ascii="Arial" w:hAnsi="Arial" w:eastAsia="宋体"/>
      <w:b/>
      <w:sz w:val="32"/>
      <w:szCs w:val="20"/>
    </w:rPr>
  </w:style>
  <w:style w:type="paragraph" w:styleId="6">
    <w:name w:val="heading 3"/>
    <w:basedOn w:val="1"/>
    <w:next w:val="1"/>
    <w:unhideWhenUsed/>
    <w:qFormat/>
    <w:uiPriority w:val="0"/>
    <w:pPr>
      <w:keepNext/>
      <w:keepLines/>
      <w:kinsoku/>
      <w:wordWrap w:val="0"/>
      <w:spacing w:line="360" w:lineRule="auto"/>
      <w:ind w:firstLine="1688" w:firstLineChars="200"/>
      <w:outlineLvl w:val="2"/>
    </w:pPr>
    <w:rPr>
      <w:rFonts w:eastAsia="仿宋" w:asciiTheme="minorAscii" w:hAnsiTheme="minorAscii"/>
      <w:bCs/>
      <w:sz w:val="24"/>
      <w:szCs w:val="32"/>
    </w:rPr>
  </w:style>
  <w:style w:type="paragraph" w:styleId="7">
    <w:name w:val="heading 4"/>
    <w:basedOn w:val="1"/>
    <w:next w:val="1"/>
    <w:semiHidden/>
    <w:unhideWhenUsed/>
    <w:qFormat/>
    <w:uiPriority w:val="0"/>
    <w:pPr>
      <w:keepNext/>
      <w:keepLines/>
      <w:spacing w:line="360" w:lineRule="auto"/>
      <w:jc w:val="left"/>
      <w:outlineLvl w:val="3"/>
    </w:pPr>
    <w:rPr>
      <w:rFonts w:ascii="Arial" w:hAnsi="Arial" w:eastAsia="仿宋" w:cs="Arial"/>
      <w:b/>
      <w:bCs/>
      <w:sz w:val="24"/>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3">
    <w:name w:val="toc 1"/>
    <w:basedOn w:val="1"/>
    <w:next w:val="1"/>
    <w:qFormat/>
    <w:uiPriority w:val="0"/>
  </w:style>
  <w:style w:type="paragraph" w:styleId="4">
    <w:name w:val="table of authorities"/>
    <w:basedOn w:val="1"/>
    <w:next w:val="1"/>
    <w:qFormat/>
    <w:uiPriority w:val="0"/>
    <w:pPr>
      <w:ind w:left="420" w:leftChars="200"/>
    </w:pPr>
  </w:style>
  <w:style w:type="paragraph" w:styleId="8">
    <w:name w:val="Normal Indent"/>
    <w:basedOn w:val="1"/>
    <w:qFormat/>
    <w:uiPriority w:val="0"/>
    <w:pPr>
      <w:ind w:firstLine="200" w:firstLineChars="200"/>
    </w:pPr>
    <w:rPr>
      <w:rFonts w:ascii="Calibri" w:hAnsi="Calibri"/>
      <w:sz w:val="28"/>
      <w:szCs w:val="20"/>
    </w:rPr>
  </w:style>
  <w:style w:type="paragraph" w:styleId="9">
    <w:name w:val="toa heading"/>
    <w:basedOn w:val="1"/>
    <w:next w:val="1"/>
    <w:qFormat/>
    <w:uiPriority w:val="0"/>
    <w:pPr>
      <w:spacing w:before="120" w:beforeLines="0" w:beforeAutospacing="0"/>
    </w:pPr>
    <w:rPr>
      <w:rFonts w:ascii="Arial" w:hAnsi="Arial"/>
      <w:sz w:val="24"/>
    </w:rPr>
  </w:style>
  <w:style w:type="paragraph" w:styleId="10">
    <w:name w:val="Closing"/>
    <w:basedOn w:val="1"/>
    <w:next w:val="1"/>
    <w:qFormat/>
    <w:uiPriority w:val="0"/>
    <w:pPr>
      <w:spacing w:line="360" w:lineRule="auto"/>
      <w:ind w:left="100"/>
    </w:pPr>
    <w:rPr>
      <w:sz w:val="24"/>
    </w:rPr>
  </w:style>
  <w:style w:type="paragraph" w:styleId="11">
    <w:name w:val="Body Text"/>
    <w:basedOn w:val="1"/>
    <w:next w:val="10"/>
    <w:semiHidden/>
    <w:qFormat/>
    <w:uiPriority w:val="0"/>
    <w:rPr>
      <w:rFonts w:ascii="仿宋" w:hAnsi="仿宋" w:eastAsia="仿宋" w:cs="仿宋"/>
      <w:sz w:val="31"/>
      <w:szCs w:val="31"/>
      <w:lang w:val="en-US" w:eastAsia="en-US" w:bidi="ar-SA"/>
    </w:rPr>
  </w:style>
  <w:style w:type="paragraph" w:styleId="12">
    <w:name w:val="Body Text Indent"/>
    <w:basedOn w:val="1"/>
    <w:next w:val="13"/>
    <w:qFormat/>
    <w:uiPriority w:val="0"/>
    <w:pPr>
      <w:widowControl w:val="0"/>
      <w:spacing w:line="240" w:lineRule="auto"/>
      <w:ind w:left="-360" w:firstLine="360"/>
      <w:jc w:val="both"/>
    </w:pPr>
    <w:rPr>
      <w:rFonts w:ascii="Times New Roman" w:hAnsi="Times New Roman" w:eastAsiaTheme="minorEastAsia" w:cstheme="minorBidi"/>
      <w:kern w:val="0"/>
      <w:sz w:val="21"/>
      <w:szCs w:val="24"/>
      <w:lang w:val="en-US" w:eastAsia="zh-CN" w:bidi="ar-SA"/>
    </w:rPr>
  </w:style>
  <w:style w:type="paragraph" w:styleId="13">
    <w:name w:val="envelope return"/>
    <w:qFormat/>
    <w:uiPriority w:val="0"/>
    <w:pPr>
      <w:widowControl w:val="0"/>
      <w:snapToGrid w:val="0"/>
      <w:jc w:val="both"/>
    </w:pPr>
    <w:rPr>
      <w:rFonts w:ascii="Arial" w:hAnsi="Arial" w:eastAsiaTheme="minorEastAsia" w:cstheme="minorBidi"/>
      <w:kern w:val="2"/>
      <w:sz w:val="21"/>
      <w:szCs w:val="24"/>
      <w:lang w:val="en-US" w:eastAsia="zh-CN" w:bidi="ar-SA"/>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6"/>
    <w:next w:val="1"/>
    <w:unhideWhenUsed/>
    <w:qFormat/>
    <w:uiPriority w:val="39"/>
    <w:pPr>
      <w:widowControl w:val="0"/>
      <w:spacing w:line="240" w:lineRule="auto"/>
      <w:ind w:left="2100" w:leftChars="1000"/>
      <w:jc w:val="both"/>
    </w:pPr>
    <w:rPr>
      <w:rFonts w:asciiTheme="minorHAnsi" w:hAnsiTheme="minorHAnsi" w:eastAsiaTheme="minorEastAsia" w:cstheme="minorBidi"/>
      <w:kern w:val="2"/>
      <w:sz w:val="21"/>
      <w:szCs w:val="22"/>
      <w:lang w:val="en-US" w:eastAsia="zh-CN" w:bidi="ar-SA"/>
    </w:rPr>
  </w:style>
  <w:style w:type="paragraph" w:styleId="17">
    <w:name w:val="Body Text 2"/>
    <w:basedOn w:val="1"/>
    <w:qFormat/>
    <w:uiPriority w:val="99"/>
    <w:rPr>
      <w:sz w:val="28"/>
    </w:r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9">
    <w:name w:val="Body Text First Indent"/>
    <w:basedOn w:val="11"/>
    <w:next w:val="16"/>
    <w:qFormat/>
    <w:uiPriority w:val="0"/>
    <w:pPr>
      <w:widowControl w:val="0"/>
      <w:spacing w:line="360" w:lineRule="auto"/>
      <w:ind w:firstLine="420" w:firstLineChars="100"/>
      <w:jc w:val="both"/>
    </w:pPr>
    <w:rPr>
      <w:rFonts w:ascii="楷体" w:hAnsi="楷体" w:eastAsia="楷体" w:cs="楷体"/>
      <w:kern w:val="2"/>
      <w:sz w:val="21"/>
      <w:szCs w:val="24"/>
      <w:lang w:val="zh-CN" w:eastAsia="zh-CN" w:bidi="zh-CN"/>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Normal Indent1"/>
    <w:next w:val="1"/>
    <w:qFormat/>
    <w:uiPriority w:val="0"/>
    <w:pPr>
      <w:spacing w:afterLines="50" w:line="360" w:lineRule="auto"/>
      <w:ind w:firstLine="420" w:firstLineChars="200"/>
    </w:pPr>
    <w:rPr>
      <w:rFonts w:ascii="Times New Roman" w:hAnsi="Times New Roman" w:eastAsia="宋体" w:cs="Times New Roman"/>
      <w:lang w:val="en-US" w:eastAsia="zh-CN" w:bidi="ar-SA"/>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Table Text"/>
    <w:basedOn w:val="1"/>
    <w:semiHidden/>
    <w:qFormat/>
    <w:uiPriority w:val="0"/>
    <w:rPr>
      <w:rFonts w:ascii="仿宋" w:hAnsi="仿宋" w:eastAsia="仿宋" w:cs="仿宋"/>
      <w:sz w:val="24"/>
      <w:szCs w:val="24"/>
      <w:lang w:val="en-US" w:eastAsia="en-US" w:bidi="ar-SA"/>
    </w:rPr>
  </w:style>
  <w:style w:type="paragraph" w:customStyle="1" w:styleId="2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8" Type="http://schemas.openxmlformats.org/officeDocument/2006/relationships/fontTable" Target="fontTable.xml"/><Relationship Id="rId77" Type="http://schemas.openxmlformats.org/officeDocument/2006/relationships/customXml" Target="../customXml/item2.xml"/><Relationship Id="rId76" Type="http://schemas.openxmlformats.org/officeDocument/2006/relationships/numbering" Target="numbering.xml"/><Relationship Id="rId75" Type="http://schemas.openxmlformats.org/officeDocument/2006/relationships/customXml" Target="../customXml/item1.xml"/><Relationship Id="rId74" Type="http://schemas.openxmlformats.org/officeDocument/2006/relationships/image" Target="media/image1.png"/><Relationship Id="rId73" Type="http://schemas.openxmlformats.org/officeDocument/2006/relationships/theme" Target="theme/theme1.xml"/><Relationship Id="rId72" Type="http://schemas.openxmlformats.org/officeDocument/2006/relationships/footer" Target="footer38.xml"/><Relationship Id="rId71" Type="http://schemas.openxmlformats.org/officeDocument/2006/relationships/header" Target="header30.xml"/><Relationship Id="rId70" Type="http://schemas.openxmlformats.org/officeDocument/2006/relationships/footer" Target="footer37.xml"/><Relationship Id="rId7" Type="http://schemas.openxmlformats.org/officeDocument/2006/relationships/header" Target="header2.xml"/><Relationship Id="rId69" Type="http://schemas.openxmlformats.org/officeDocument/2006/relationships/header" Target="header29.xml"/><Relationship Id="rId68" Type="http://schemas.openxmlformats.org/officeDocument/2006/relationships/footer" Target="footer36.xml"/><Relationship Id="rId67" Type="http://schemas.openxmlformats.org/officeDocument/2006/relationships/header" Target="header28.xml"/><Relationship Id="rId66" Type="http://schemas.openxmlformats.org/officeDocument/2006/relationships/footer" Target="footer35.xml"/><Relationship Id="rId65" Type="http://schemas.openxmlformats.org/officeDocument/2006/relationships/header" Target="header27.xml"/><Relationship Id="rId64" Type="http://schemas.openxmlformats.org/officeDocument/2006/relationships/footer" Target="footer34.xml"/><Relationship Id="rId63" Type="http://schemas.openxmlformats.org/officeDocument/2006/relationships/footer" Target="footer33.xml"/><Relationship Id="rId62" Type="http://schemas.openxmlformats.org/officeDocument/2006/relationships/header" Target="header26.xml"/><Relationship Id="rId61" Type="http://schemas.openxmlformats.org/officeDocument/2006/relationships/footer" Target="footer32.xml"/><Relationship Id="rId60" Type="http://schemas.openxmlformats.org/officeDocument/2006/relationships/header" Target="header25.xml"/><Relationship Id="rId6" Type="http://schemas.openxmlformats.org/officeDocument/2006/relationships/footer" Target="footer1.xml"/><Relationship Id="rId59" Type="http://schemas.openxmlformats.org/officeDocument/2006/relationships/footer" Target="footer31.xml"/><Relationship Id="rId58" Type="http://schemas.openxmlformats.org/officeDocument/2006/relationships/header" Target="header24.xml"/><Relationship Id="rId57" Type="http://schemas.openxmlformats.org/officeDocument/2006/relationships/footer" Target="footer30.xml"/><Relationship Id="rId56" Type="http://schemas.openxmlformats.org/officeDocument/2006/relationships/header" Target="header23.xml"/><Relationship Id="rId55" Type="http://schemas.openxmlformats.org/officeDocument/2006/relationships/footer" Target="footer29.xml"/><Relationship Id="rId54" Type="http://schemas.openxmlformats.org/officeDocument/2006/relationships/footer" Target="footer28.xml"/><Relationship Id="rId53" Type="http://schemas.openxmlformats.org/officeDocument/2006/relationships/header" Target="header22.xml"/><Relationship Id="rId52" Type="http://schemas.openxmlformats.org/officeDocument/2006/relationships/footer" Target="footer27.xml"/><Relationship Id="rId51" Type="http://schemas.openxmlformats.org/officeDocument/2006/relationships/footer" Target="footer26.xml"/><Relationship Id="rId50" Type="http://schemas.openxmlformats.org/officeDocument/2006/relationships/header" Target="header21.xml"/><Relationship Id="rId5" Type="http://schemas.openxmlformats.org/officeDocument/2006/relationships/header" Target="header1.xml"/><Relationship Id="rId49" Type="http://schemas.openxmlformats.org/officeDocument/2006/relationships/footer" Target="footer25.xml"/><Relationship Id="rId48" Type="http://schemas.openxmlformats.org/officeDocument/2006/relationships/header" Target="header20.xml"/><Relationship Id="rId47" Type="http://schemas.openxmlformats.org/officeDocument/2006/relationships/footer" Target="footer24.xml"/><Relationship Id="rId46" Type="http://schemas.openxmlformats.org/officeDocument/2006/relationships/header" Target="header19.xml"/><Relationship Id="rId45" Type="http://schemas.openxmlformats.org/officeDocument/2006/relationships/footer" Target="footer23.xml"/><Relationship Id="rId44" Type="http://schemas.openxmlformats.org/officeDocument/2006/relationships/header" Target="header18.xml"/><Relationship Id="rId43" Type="http://schemas.openxmlformats.org/officeDocument/2006/relationships/footer" Target="footer22.xml"/><Relationship Id="rId42" Type="http://schemas.openxmlformats.org/officeDocument/2006/relationships/header" Target="header17.xml"/><Relationship Id="rId41" Type="http://schemas.openxmlformats.org/officeDocument/2006/relationships/footer" Target="footer21.xml"/><Relationship Id="rId40" Type="http://schemas.openxmlformats.org/officeDocument/2006/relationships/header" Target="header16.xml"/><Relationship Id="rId4" Type="http://schemas.openxmlformats.org/officeDocument/2006/relationships/endnotes" Target="endnotes.xml"/><Relationship Id="rId39" Type="http://schemas.openxmlformats.org/officeDocument/2006/relationships/footer" Target="footer20.xml"/><Relationship Id="rId38" Type="http://schemas.openxmlformats.org/officeDocument/2006/relationships/header" Target="header15.xml"/><Relationship Id="rId37" Type="http://schemas.openxmlformats.org/officeDocument/2006/relationships/footer" Target="footer19.xml"/><Relationship Id="rId36" Type="http://schemas.openxmlformats.org/officeDocument/2006/relationships/header" Target="header14.xml"/><Relationship Id="rId35" Type="http://schemas.openxmlformats.org/officeDocument/2006/relationships/footer" Target="footer18.xml"/><Relationship Id="rId34" Type="http://schemas.openxmlformats.org/officeDocument/2006/relationships/header" Target="header13.xml"/><Relationship Id="rId33" Type="http://schemas.openxmlformats.org/officeDocument/2006/relationships/footer" Target="footer17.xml"/><Relationship Id="rId32" Type="http://schemas.openxmlformats.org/officeDocument/2006/relationships/header" Target="header12.xml"/><Relationship Id="rId31" Type="http://schemas.openxmlformats.org/officeDocument/2006/relationships/footer" Target="footer16.xml"/><Relationship Id="rId30" Type="http://schemas.openxmlformats.org/officeDocument/2006/relationships/header" Target="header11.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0.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9.xml"/><Relationship Id="rId24" Type="http://schemas.openxmlformats.org/officeDocument/2006/relationships/footer" Target="footer12.xml"/><Relationship Id="rId23" Type="http://schemas.openxmlformats.org/officeDocument/2006/relationships/header" Target="header8.xml"/><Relationship Id="rId22" Type="http://schemas.openxmlformats.org/officeDocument/2006/relationships/footer" Target="footer11.xml"/><Relationship Id="rId21" Type="http://schemas.openxmlformats.org/officeDocument/2006/relationships/header" Target="header7.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2"/>
    <customShpInfo spid="_x0000_s2063"/>
    <customShpInfo spid="_x0000_s2068"/>
    <customShpInfo spid="_x0000_s2069"/>
    <customShpInfo spid="_x0000_s2076"/>
    <customShpInfo spid="_x0000_s2077"/>
    <customShpInfo spid="_x0000_s2079"/>
    <customShpInfo spid="_x0000_s2083"/>
    <customShpInfo spid="_x0000_s2084"/>
    <customShpInfo spid="_x0000_s2085"/>
    <customShpInfo spid="_x0000_s2086"/>
    <customShpInfo spid="_x0000_s2087"/>
    <customShpInfo spid="_x0000_s2089"/>
    <customShpInfo spid="_x0000_s2090"/>
    <customShpInfo spid="_x0000_s2091"/>
    <customShpInfo spid="_x0000_s2092"/>
    <customShpInfo spid="_x0000_s2093"/>
    <customShpInfo spid="_x0000_s2094"/>
    <customShpInfo spid="_x0000_s2095"/>
    <customShpInfo spid="_x0000_s2096"/>
  </customShpExts>
</s:customData>
</file>

<file path=customXml/item2.xml><?xml version="1.0" encoding="utf-8"?>
<contractReview xmlns="http://schemas.wps.cn/vas-ai-hub/contract-review">
  <reviewItems>
    <reviewItem>
      <errorID>8a602ce3-bf05-4031-bc49-918ab28da7e6</errorID>
      <errorWord>（</errorWord>
      <group>L1_Punc</group>
      <groupName>标点问题</groupName>
      <ability>L2_Punc_CN</ability>
      <abilityName>标点符号问题</abilityName>
      <candidateList/>
      <explain>同一形式括号套用。</explain>
      <paraID>1551047A</paraID>
      <start>43</start>
      <end>44</end>
      <status>unmodified</status>
      <modifiedWord/>
      <trackRevisions>false</trackRevisions>
    </reviewItem>
    <reviewItem>
      <errorID>eeaca033-aa7c-4143-9314-c705cb898056</errorID>
      <errorWord>）</errorWord>
      <group>L1_Punc</group>
      <groupName>标点问题</groupName>
      <ability>L2_Punc_CN</ability>
      <abilityName>标点符号问题</abilityName>
      <candidateList/>
      <explain>同一形式括号套用。</explain>
      <paraID>1551047A</paraID>
      <start>54</start>
      <end>55</end>
      <status>ignored</status>
      <modifiedWord/>
      <trackRevisions>false</trackRevisions>
    </reviewItem>
    <reviewItem>
      <errorID>5af98722-e5dc-49bc-8c7b-2b2101b7bc96</errorID>
      <errorWord>（</errorWord>
      <group>L1_Punc</group>
      <groupName>标点问题</groupName>
      <ability>L2_Punc_CN</ability>
      <abilityName>标点符号问题</abilityName>
      <candidateList/>
      <explain>同一形式括号套用。</explain>
      <paraID>1D5D6DDF</paraID>
      <start>38</start>
      <end>39</end>
      <status>unmodified</status>
      <modifiedWord/>
      <trackRevisions>false</trackRevisions>
    </reviewItem>
    <reviewItem>
      <errorID>cb4516a3-8e59-4b62-92d8-e456f6033505</errorID>
      <errorWord>）</errorWord>
      <group>L1_Punc</group>
      <groupName>标点问题</groupName>
      <ability>L2_Punc_CN</ability>
      <abilityName>标点符号问题</abilityName>
      <candidateList/>
      <explain>同一形式括号套用。</explain>
      <paraID>1D5D6DDF</paraID>
      <start>49</start>
      <end>50</end>
      <status>ignored</status>
      <modifiedWord/>
      <trackRevisions>false</trackRevisions>
    </reviewItem>
    <reviewItem>
      <errorID>134143c5-c215-492f-8173-8081c2b1498b</errorID>
      <errorWord>（</errorWord>
      <group>L1_Punc</group>
      <groupName>标点问题</groupName>
      <ability>L2_Punc_CN</ability>
      <abilityName>标点符号问题</abilityName>
      <candidateList/>
      <explain>同一形式括号套用。</explain>
      <paraID>71D63BB3</paraID>
      <start>43</start>
      <end>44</end>
      <status>unmodified</status>
      <modifiedWord/>
      <trackRevisions>false</trackRevisions>
    </reviewItem>
    <reviewItem>
      <errorID>3107252d-2093-4cf3-8a4b-2136eabae06c</errorID>
      <errorWord>）</errorWord>
      <group>L1_Punc</group>
      <groupName>标点问题</groupName>
      <ability>L2_Punc_CN</ability>
      <abilityName>标点符号问题</abilityName>
      <candidateList/>
      <explain>同一形式括号套用。</explain>
      <paraID>71D63BB3</paraID>
      <start>54</start>
      <end>55</end>
      <status>ignored</status>
      <modifiedWord/>
      <trackRevisions>false</trackRevisions>
    </reviewItem>
    <reviewItem>
      <errorID>c431cee2-bea3-4614-a96d-6f1a984c5b13</errorID>
      <errorWord>《</errorWord>
      <group>L1_Punc</group>
      <groupName>标点问题</groupName>
      <ability>L2_Punc_CN</ability>
      <abilityName>标点符号问题</abilityName>
      <candidateList/>
      <explain>同一形式括号套用。</explain>
      <paraID> BC1473D</paraID>
      <start>19</start>
      <end>20</end>
      <status>unmodified</status>
      <modifiedWord/>
      <trackRevisions>false</trackRevisions>
    </reviewItem>
    <reviewItem>
      <errorID>a780187f-0a04-4462-bd1e-b9def43bad27</errorID>
      <errorWord>》</errorWord>
      <group>L1_Punc</group>
      <groupName>标点问题</groupName>
      <ability>L2_Punc_CN</ability>
      <abilityName>标点符号问题</abilityName>
      <candidateList/>
      <explain>同一形式括号套用。</explain>
      <paraID> BC1473D</paraID>
      <start>36</start>
      <end>37</end>
      <status>unmodified</status>
      <modifiedWord/>
      <trackRevisions>false</trackRevisions>
    </reviewItem>
    <reviewItem>
      <errorID>c8e2939a-e288-4b73-ad60-906bbce7478f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4D47332D</paraID>
      <start>49</start>
      <end>50</end>
      <status>unmodified</status>
      <modifiedWord/>
      <trackRevisions>false</trackRevisions>
    </reviewItem>
    <reviewItem>
      <errorID>4bac4eb5-a051-4905-b893-9f27f7944453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1E72702B</paraID>
      <start>49</start>
      <end>50</end>
      <status>unmodified</status>
      <modifiedWord/>
      <trackRevisions>false</trackRevisions>
    </reviewItem>
    <reviewItem>
      <errorID>0ac62587-8896-4530-8fab-a8a1324a475e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676EF347</paraID>
      <start>34</start>
      <end>35</end>
      <status>unmodified</status>
      <modifiedWord/>
      <trackRevisions>false</trackRevisions>
    </reviewItem>
    <reviewItem>
      <errorID>bc01a4e2-448a-466b-958d-513239446edd</errorID>
      <errorWord>(</errorWord>
      <group>L1_Format</group>
      <groupName>格式问题</groupName>
      <ability>L2_HalfPunc_CN</ability>
      <abilityName>全半角问题</abilityName>
      <candidateList>
        <item>（</item>
      </candidateList>
      <explain>文本全半角错误。</explain>
      <paraID>780B25FD</paraID>
      <start>17</start>
      <end>18</end>
      <status>unmodified</status>
      <modifiedWord/>
      <trackRevisions>false</trackRevisions>
    </reviewItem>
    <reviewItem>
      <errorID>2d581ae1-c375-445b-97a5-26f85f528724</errorID>
      <errorWord>法律、法规</errorWord>
      <group>L1_Word</group>
      <groupName>字词问题</groupName>
      <ability>L2_Typo</ability>
      <abilityName>字词错误</abilityName>
      <candidateList>
        <item>法律法规</item>
      </candidateList>
      <explain/>
      <paraID>7AF805C8</paraID>
      <start>6</start>
      <end>11</end>
      <status>unmodified</status>
      <modifiedWord/>
      <trackRevisions>false</trackRevisions>
    </reviewItem>
    <reviewItem>
      <errorID>19ed14f9-90db-4f5b-9caf-f01f2142d2a2</errorID>
      <errorWord>约定章</errorWord>
      <group>L1_Word</group>
      <groupName>字词问题</groupName>
      <ability>L2_Typo</ability>
      <abilityName>字词错误</abilityName>
      <candidateList>
        <item>约定</item>
      </candidateList>
      <explain/>
      <paraID>6B0BF40E</paraID>
      <start>11</start>
      <end>14</end>
      <status>unmodified</status>
      <modifiedWord/>
      <trackRevisions>false</trackRevisions>
    </reviewItem>
    <reviewItem>
      <errorID>448142dc-b7d7-4c8e-a97f-ffa0919868a2</errorID>
      <errorWord>7一年</errorWord>
      <group>L1_Knowledge</group>
      <groupName>知识性问题</groupName>
      <ability>L2_Time</ability>
      <abilityName>日期时间</abilityName>
      <candidateList/>
      <explain>数字形式不统一。</explain>
      <paraID> 8F7AA45</paraID>
      <start>3</start>
      <end>6</end>
      <status>ignored</status>
      <modifiedWord/>
      <trackRevisions>false</trackRevisions>
    </reviewItem>
    <reviewItem>
      <errorID>9ad0e74f-dfc4-438f-9ae5-b996a5d48f88</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2CA18C72</paraID>
      <start>13</start>
      <end>17</end>
      <status>ignored</status>
      <modifiedWord/>
      <trackRevisions>false</trackRevisions>
    </reviewItem>
    <reviewItem>
      <errorID>4b6e1b77-9835-4b9a-9c5c-bd9932852e6f</errorID>
      <errorWord>或者应知道</errorWord>
      <group>L1_Knowledge</group>
      <groupName>知识性问题</groupName>
      <ability>L2_Knowledge</ability>
      <abilityName>其他知识</abilityName>
      <candidateList>
        <item>或者应当知道</item>
      </candidateList>
      <explain/>
      <paraID>5F05A36F</paraID>
      <start>51</start>
      <end>56</end>
      <status>ignored</status>
      <modifiedWord/>
      <trackRevisions>false</trackRevisions>
    </reviewItem>
    <reviewItem>
      <errorID>f959ce43-7ba0-471c-b678-24d0344aa4f6</errorID>
      <errorWord>-</errorWord>
      <group>L1_Format</group>
      <groupName>格式问题</groupName>
      <ability>L2_HalfPunc_CN</ability>
      <abilityName>全半角问题</abilityName>
      <candidateList>
        <item>－</item>
      </candidateList>
      <explain>文本全半角错误。</explain>
      <paraID>5F05A36F</paraID>
      <start>88</start>
      <end>89</end>
      <status>ignored</status>
      <modifiedWord/>
      <trackRevisions>false</trackRevisions>
    </reviewItem>
    <reviewItem>
      <errorID>a23c370e-a792-4906-a30e-6fd4af2c182d</errorID>
      <errorWord>法律、法规</errorWord>
      <group>L1_Word</group>
      <groupName>字词问题</groupName>
      <ability>L2_Typo</ability>
      <abilityName>字词错误</abilityName>
      <candidateList>
        <item>法律法规</item>
      </candidateList>
      <explain/>
      <paraID> A9E3908</paraID>
      <start>49</start>
      <end>54</end>
      <status>ignored</status>
      <modifiedWord/>
      <trackRevisions>false</trackRevisions>
    </reviewItem>
    <reviewItem>
      <errorID>61ed3e96-3b64-4247-9c50-11959b5621ab</errorID>
      <errorWord>（</errorWord>
      <group>L1_Punc</group>
      <groupName>标点问题</groupName>
      <ability>L2_Punc_CN</ability>
      <abilityName>标点符号问题</abilityName>
      <candidateList/>
      <explain>同一形式括号套用。</explain>
      <paraID>63B4B4C0</paraID>
      <start>38</start>
      <end>39</end>
      <status>unmodified</status>
      <modifiedWord/>
      <trackRevisions>false</trackRevisions>
    </reviewItem>
    <reviewItem>
      <errorID>4712a6b2-91ac-42d2-8576-7872153b42cc</errorID>
      <errorWord>）</errorWord>
      <group>L1_Punc</group>
      <groupName>标点问题</groupName>
      <ability>L2_Punc_CN</ability>
      <abilityName>标点符号问题</abilityName>
      <candidateList/>
      <explain>同一形式括号套用。</explain>
      <paraID>63B4B4C0</paraID>
      <start>49</start>
      <end>50</end>
      <status>ignored</status>
      <modifiedWord/>
      <trackRevisions>false</trackRevisions>
    </reviewItem>
    <reviewItem>
      <errorID>77c44927-ea62-47cd-b288-25a0f61193ce</errorID>
      <errorWord>)</errorWord>
      <group>L1_Format</group>
      <groupName>格式问题</groupName>
      <ability>L2_HalfPunc_CN</ability>
      <abilityName>全半角问题</abilityName>
      <candidateList>
        <item>）</item>
      </candidateList>
      <explain>文本全半角错误。</explain>
      <paraID>6717D4A1</paraID>
      <start>59</start>
      <end>60</end>
      <status>unmodified</status>
      <modifiedWord/>
      <trackRevisions>false</trackRevisions>
    </reviewItem>
    <reviewItem>
      <errorID>cb610191-8b93-4fad-93d7-05c71a9cc101</errorID>
      <errorWord>）</errorWord>
      <group>L1_Format</group>
      <groupName>格式问题</groupName>
      <ability>L2_HalfPunc_CN</ability>
      <abilityName>全半角问题</abilityName>
      <candidateList>
        <item>)</item>
      </candidateList>
      <explain>文本全半角错误。</explain>
      <paraID>69DD7C28</paraID>
      <start>26</start>
      <end>27</end>
      <status>unmodified</status>
      <modifiedWord/>
      <trackRevisions>false</trackRevisions>
    </reviewItem>
    <reviewItem>
      <errorID>11a2d2b3-331d-4632-86f3-521879a38769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12DEC3E1</paraID>
      <start>0</start>
      <end>2</end>
      <status>unmodified</status>
      <modifiedWord/>
      <trackRevisions>false</trackRevisions>
    </reviewItem>
    <reviewItem>
      <errorID>dcc31aff-cb0b-4e1d-9cab-763f0802785e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5476C83F</paraID>
      <start>0</start>
      <end>2</end>
      <status>unmodified</status>
      <modifiedWord/>
      <trackRevisions>false</trackRevisions>
    </reviewItem>
    <reviewItem>
      <errorID>1936579d-45a8-41cf-9346-42f56b8e6151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3B7AAAD4</paraID>
      <start>0</start>
      <end>2</end>
      <status>unmodified</status>
      <modifiedWord/>
      <trackRevisions>false</trackRevisions>
    </reviewItem>
    <reviewItem>
      <errorID>cc612f81-c33e-47da-b453-ed8dddc281f7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242C9DBE</paraID>
      <start>0</start>
      <end>2</end>
      <status>unmodified</status>
      <modifiedWord/>
      <trackRevisions>false</trackRevisions>
    </reviewItem>
    <reviewItem>
      <errorID>999bef34-2b44-4fdf-aeca-8affb886ed23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51A8C49A</paraID>
      <start>0</start>
      <end>2</end>
      <status>unmodified</status>
      <modifiedWord/>
      <trackRevisions>false</trackRevisions>
    </reviewItem>
    <reviewItem>
      <errorID>1a1c5759-49ee-4467-a404-ada2321edcb0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625CE5C7</paraID>
      <start>0</start>
      <end>2</end>
      <status>unmodified</status>
      <modifiedWord/>
      <trackRevisions>false</trackRevisions>
    </reviewItem>
    <reviewItem>
      <errorID>71ca5049-218b-4348-a8bc-8e010b7fc21a</errorID>
      <errorWord>,</errorWord>
      <group>L1_Format</group>
      <groupName>格式问题</groupName>
      <ability>L2_HalfPunc_CN</ability>
      <abilityName>全半角问题</abilityName>
      <candidateList>
        <item>，</item>
      </candidateList>
      <explain>文本全半角错误。</explain>
      <paraID>5707C9F4</paraID>
      <start>42</start>
      <end>43</end>
      <status>unmodified</status>
      <modifiedWord/>
      <trackRevisions>false</trackRevisions>
    </reviewItem>
    <reviewItem>
      <errorID>6d0503df-6335-4b5a-8d5c-dd82002208b6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60CA0B3D</paraID>
      <start>0</start>
      <end>2</end>
      <status>unmodified</status>
      <modifiedWord/>
      <trackRevisions>false</trackRevisions>
    </reviewItem>
    <reviewItem>
      <errorID>693a7945-8283-43db-a87f-faeb178fd4a0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4F7638CA</paraID>
      <start>0</start>
      <end>2</end>
      <status>unmodified</status>
      <modifiedWord/>
      <trackRevisions>false</trackRevisions>
    </reviewItem>
    <reviewItem>
      <errorID>88b2b66c-1e08-4f33-85f2-c52f2816177c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3ED33A5</paraID>
      <start>0</start>
      <end>2</end>
      <status>unmodified</status>
      <modifiedWord/>
      <trackRevisions>false</trackRevisions>
    </reviewItem>
    <reviewItem>
      <errorID>e44e72a6-251e-47c4-8b4c-cd1f6f2994d0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5B9EC987</paraID>
      <start>0</start>
      <end>2</end>
      <status>unmodified</status>
      <modifiedWord/>
      <trackRevisions>false</trackRevisions>
    </reviewItem>
    <reviewItem>
      <errorID>8957f7bc-c6cd-4586-9f4b-9af2d3bcc19b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1AB5FA0</paraID>
      <start>0</start>
      <end>2</end>
      <status>unmodified</status>
      <modifiedWord/>
      <trackRevisions>false</trackRevisions>
    </reviewItem>
    <reviewItem>
      <errorID>eae414b3-c882-4424-84f1-52b8be49bcfe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22B279CB</paraID>
      <start>0</start>
      <end>2</end>
      <status>unmodified</status>
      <modifiedWord/>
      <trackRevisions>false</trackRevisions>
    </reviewItem>
    <reviewItem>
      <errorID>0ef1268b-f628-444c-934b-f5915a328042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4BC8D009</paraID>
      <start>0</start>
      <end>2</end>
      <status>unmodified</status>
      <modifiedWord/>
      <trackRevisions>false</trackRevisions>
    </reviewItem>
    <reviewItem>
      <errorID>5d347b58-7eeb-4a52-8b16-3193bb805865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122E7E4E</paraID>
      <start>0</start>
      <end>2</end>
      <status>unmodified</status>
      <modifiedWord/>
      <trackRevisions>false</trackRevisions>
    </reviewItem>
    <reviewItem>
      <errorID>ec60b80d-4c6d-4aa7-a647-ec6adfd52732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67A9A97B</paraID>
      <start>0</start>
      <end>3</end>
      <status>unmodified</status>
      <modifiedWord/>
      <trackRevisions>false</trackRevisions>
    </reviewItem>
    <reviewItem>
      <errorID>530d7197-b127-4219-b1ec-407e374f8b8c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2DFC5B2F</paraID>
      <start>0</start>
      <end>3</end>
      <status>unmodified</status>
      <modifiedWord/>
      <trackRevisions>false</trackRevisions>
    </reviewItem>
    <reviewItem>
      <errorID>2bdb0639-871b-4c4b-95e7-32fcff94f612</errorID>
      <errorWord>(</errorWord>
      <group>L1_Format</group>
      <groupName>格式问题</groupName>
      <ability>L2_HalfPunc_CN</ability>
      <abilityName>全半角问题</abilityName>
      <candidateList>
        <item>（</item>
      </candidateList>
      <explain>文本全半角错误。</explain>
      <paraID>41723F44</paraID>
      <start>131</start>
      <end>132</end>
      <status>unmodified</status>
      <modifiedWord/>
      <trackRevisions>false</trackRevisions>
    </reviewItem>
    <reviewItem>
      <errorID>5a96edc5-8ff7-4235-a68d-0e31e3ee0d16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4E801170</paraID>
      <start>0</start>
      <end>3</end>
      <status>unmodified</status>
      <modifiedWord/>
      <trackRevisions>false</trackRevisions>
    </reviewItem>
    <reviewItem>
      <errorID>ab2590a2-f960-4cf1-97c6-964717c18274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7E1D40E9</paraID>
      <start>0</start>
      <end>2</end>
      <status>unmodified</status>
      <modifiedWord/>
      <trackRevisions>false</trackRevisions>
    </reviewItem>
    <reviewItem>
      <errorID>dce78ce8-58a9-458f-bc33-e475dd131e26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69E5AF56</paraID>
      <start>0</start>
      <end>2</end>
      <status>unmodified</status>
      <modifiedWord/>
      <trackRevisions>false</trackRevisions>
    </reviewItem>
    <reviewItem>
      <errorID>f9312177-1493-41f8-9e2e-7391cb920a70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F7FEE61</paraID>
      <start>0</start>
      <end>2</end>
      <status>unmodified</status>
      <modifiedWord/>
      <trackRevisions>false</trackRevisions>
    </reviewItem>
    <reviewItem>
      <errorID>12b279b6-5303-436f-b557-c8cccaca9e74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7DFCA0EB</paraID>
      <start>0</start>
      <end>2</end>
      <status>unmodified</status>
      <modifiedWord/>
      <trackRevisions>false</trackRevisions>
    </reviewItem>
    <reviewItem>
      <errorID>4ab6a082-22f2-453f-868a-d2152c4b94af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6975FE80</paraID>
      <start>0</start>
      <end>2</end>
      <status>unmodified</status>
      <modifiedWord/>
      <trackRevisions>false</trackRevisions>
    </reviewItem>
    <reviewItem>
      <errorID>965977ec-9f3b-4ebe-a71c-6337e9975cd9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2F09ACB2</paraID>
      <start>0</start>
      <end>2</end>
      <status>unmodified</status>
      <modifiedWord/>
      <trackRevisions>false</trackRevisions>
    </reviewItem>
    <reviewItem>
      <errorID>dc66c592-6c55-476a-84db-45755150bc67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3172A180</paraID>
      <start>0</start>
      <end>2</end>
      <status>unmodified</status>
      <modifiedWord/>
      <trackRevisions>false</trackRevisions>
    </reviewItem>
    <reviewItem>
      <errorID>881a173c-1f5a-49ff-a6e2-3ad1d682668b</errorID>
      <errorWord>)</errorWord>
      <group>L1_Format</group>
      <groupName>格式问题</groupName>
      <ability>L2_HalfPunc_CN</ability>
      <abilityName>全半角问题</abilityName>
      <candidateList>
        <item>）</item>
      </candidateList>
      <explain>文本全半角错误。</explain>
      <paraID>623D4EDB</paraID>
      <start>86</start>
      <end>87</end>
      <status>unmodified</status>
      <modifiedWord/>
      <trackRevisions>false</trackRevisions>
    </reviewItem>
    <reviewItem>
      <errorID>930d3449-89c4-4812-825d-cf02ff6fe0e9</errorID>
      <errorWord>）</errorWord>
      <group>L1_Word</group>
      <groupName>字词问题</groupName>
      <ability>L2_Typo</ability>
      <abilityName>字词错误</abilityName>
      <candidateList>
        <item>）和</item>
      </candidateList>
      <explain/>
      <paraID>72E74DEB</paraID>
      <start>35</start>
      <end>36</end>
      <status>unmodified</status>
      <modifiedWord/>
      <trackRevisions>false</trackRevisions>
    </reviewItem>
    <reviewItem>
      <errorID>98162ce9-552c-4ee6-8cca-40ff5ed026d2</errorID>
      <errorWord>须</errorWord>
      <group>L1_Word</group>
      <groupName>字词问题</groupName>
      <ability>L2_Typo</ability>
      <abilityName>字词错误</abilityName>
      <candidateList>
        <item>需</item>
      </candidateList>
      <explain>存在发音相同字词的误用。</explain>
      <paraID>3058ED30</paraID>
      <start>52</start>
      <end>53</end>
      <status>unmodified</status>
      <modifiedWord/>
      <trackRevisions>false</trackRevisions>
    </reviewItem>
    <reviewItem>
      <errorID>41067a28-ce24-47d1-b431-60fed06bfc16</errorID>
      <errorWord>:</errorWord>
      <group>L1_Format</group>
      <groupName>格式问题</groupName>
      <ability>L2_HalfPunc_CN</ability>
      <abilityName>全半角问题</abilityName>
      <candidateList>
        <item>：</item>
      </candidateList>
      <explain>文本全半角错误。</explain>
      <paraID>44AF498C</paraID>
      <start>63</start>
      <end>64</end>
      <status>unmodified</status>
      <modifiedWord/>
      <trackRevisions>false</trackRevisions>
    </reviewItem>
    <reviewItem>
      <errorID>c7a69c74-870e-4463-b962-d77bcd0469be</errorID>
      <errorWord>:</errorWord>
      <group>L1_Format</group>
      <groupName>格式问题</groupName>
      <ability>L2_HalfPunc_CN</ability>
      <abilityName>全半角问题</abilityName>
      <candidateList>
        <item>：</item>
      </candidateList>
      <explain>文本全半角错误。</explain>
      <paraID>44AF498C</paraID>
      <start>67</start>
      <end>68</end>
      <status>unmodified</status>
      <modifiedWord/>
      <trackRevisions>false</trackRevisions>
    </reviewItem>
    <reviewItem>
      <errorID>f182ca27-da3b-466a-b1e6-258285d05e8a</errorID>
      <errorWord>,</errorWord>
      <group>L1_Format</group>
      <groupName>格式问题</groupName>
      <ability>L2_HalfPunc_CN</ability>
      <abilityName>全半角问题</abilityName>
      <candidateList>
        <item>，</item>
      </candidateList>
      <explain>文本全半角错误。</explain>
      <paraID>30D3691D</paraID>
      <start>74</start>
      <end>75</end>
      <status>unmodified</status>
      <modifiedWord/>
      <trackRevisions>false</trackRevisions>
    </reviewItem>
    <reviewItem>
      <errorID>042b18b7-7047-4344-94bd-fe2ffe53e790</errorID>
      <errorWord>需</errorWord>
      <group>L1_Word</group>
      <groupName>字词问题</groupName>
      <ability>L2_Typo</ability>
      <abilityName>字词错误</abilityName>
      <candidateList>
        <item>须</item>
      </candidateList>
      <explain>存在发音相同字词的误用。</explain>
      <paraID>  525741</paraID>
      <start>3</start>
      <end>4</end>
      <status>unmodified</status>
      <modifiedWord/>
      <trackRevisions>false</trackRevisions>
    </reviewItem>
    <reviewItem>
      <errorID>008550b4-edfe-4b5c-ba65-0a5e5dcd36d1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797F3ED7</paraID>
      <start>9</start>
      <end>10</end>
      <status>unmodified</status>
      <modifiedWord/>
      <trackRevisions>false</trackRevisions>
    </reviewItem>
    <reviewItem>
      <errorID>ced7d4da-bb56-4d02-968b-8d41e536690e</errorID>
      <errorWord>城乡结合部</errorWord>
      <group>L1_Knowledge</group>
      <groupName>知识性问题</groupName>
      <ability>L2_Knowledge</ability>
      <abilityName>其他知识</abilityName>
      <candidateList>
        <item>城乡接合部</item>
      </candidateList>
      <explain/>
      <paraID> 8226BEF</paraID>
      <start>49</start>
      <end>54</end>
      <status>unmodified</status>
      <modifiedWord/>
      <trackRevisions>false</trackRevisions>
    </reviewItem>
    <reviewItem>
      <errorID>0f095b59-d18d-45bd-b905-f3966ef9724d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2D5200EE</paraID>
      <start>9</start>
      <end>10</end>
      <status>unmodified</status>
      <modifiedWord/>
      <trackRevisions>false</trackRevisions>
    </reviewItem>
    <reviewItem>
      <errorID>337706e4-60e2-44db-8a76-c03ed03a9a66</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79F91532</paraID>
      <start>34</start>
      <end>46</end>
      <status>modified</status>
      <modifiedWord>中华人民共和国政府采购法</modifiedWord>
      <trackRevisions>false</trackRevisions>
    </reviewItem>
    <reviewItem>
      <errorID>6d166223-67aa-405f-8266-12d61332265e</errorID>
      <errorWord>《</errorWord>
      <group>L1_Punc</group>
      <groupName>标点问题</groupName>
      <ability>L2_Punc_CN</ability>
      <abilityName>标点符号问题</abilityName>
      <candidateList/>
      <explain>同一形式括号套用。</explain>
      <paraID>6EAF2DDB</paraID>
      <start>78</start>
      <end>79</end>
      <status>unmodified</status>
      <modifiedWord/>
      <trackRevisions>false</trackRevisions>
    </reviewItem>
    <reviewItem>
      <errorID>e1ccf855-1ead-4c99-a9e7-de71abdb76fa</errorID>
      <errorWord>》</errorWord>
      <group>L1_Punc</group>
      <groupName>标点问题</groupName>
      <ability>L2_Punc_CN</ability>
      <abilityName>标点符号问题</abilityName>
      <candidateList/>
      <explain>同一形式括号套用。</explain>
      <paraID>6EAF2DDB</paraID>
      <start>109</start>
      <end>110</end>
      <status>unmodified</status>
      <modifiedWord/>
      <trackRevisions>false</trackRevisions>
    </reviewItem>
    <reviewItem>
      <errorID>b606a77e-d345-4f36-819f-8d03b821c019</errorID>
      <errorWord>&lt;</errorWord>
      <group>L1_Format</group>
      <groupName>格式问题</groupName>
      <ability>L2_HalfPunc_CN</ability>
      <abilityName>全半角问题</abilityName>
      <candidateList>
        <item>〈</item>
      </candidateList>
      <explain>文本全半角错误。</explain>
      <paraID>23948085</paraID>
      <start>49</start>
      <end>50</end>
      <status>unmodified</status>
      <modifiedWord/>
      <trackRevisions>false</trackRevisions>
    </reviewItem>
    <reviewItem>
      <errorID>a057c05d-e6ce-4478-be1c-1704d2a651f8</errorID>
      <errorWord>&lt;</errorWord>
      <group>L1_Format</group>
      <groupName>格式问题</groupName>
      <ability>L2_HalfPunc_CN</ability>
      <abilityName>全半角问题</abilityName>
      <candidateList>
        <item>〈</item>
      </candidateList>
      <explain>文本全半角错误。</explain>
      <paraID>36573A4D</paraID>
      <start>49</start>
      <end>50</end>
      <status>unmodified</status>
      <modifiedWord/>
      <trackRevisions>false</trackRevisions>
    </reviewItem>
    <reviewItem>
      <errorID>4f93de13-6bf1-4ad5-9dd2-d41fbfd3714c</errorID>
      <errorWord>&lt;</errorWord>
      <group>L1_Format</group>
      <groupName>格式问题</groupName>
      <ability>L2_HalfPunc_CN</ability>
      <abilityName>全半角问题</abilityName>
      <candidateList>
        <item>〈</item>
      </candidateList>
      <explain>文本全半角错误。</explain>
      <paraID>472CF550</paraID>
      <start>34</start>
      <end>35</end>
      <status>unmodified</status>
      <modifiedWord/>
      <trackRevisions>false</trackRevisions>
    </reviewItem>
    <reviewItem>
      <errorID>efbc0fdf-6260-4d45-9b27-356547c71779</errorID>
      <errorWord>，</errorWord>
      <group>L1_Word</group>
      <groupName>字词问题</groupName>
      <ability>L2_Typo</ability>
      <abilityName>字词错误</abilityName>
      <candidateList>
        <item>，并</item>
      </candidateList>
      <explain/>
      <paraID>4B32EBDF</paraID>
      <start>72</start>
      <end>73</end>
      <status>unmodified</status>
      <modifiedWord/>
      <trackRevisions>false</trackRevisions>
    </reviewItem>
    <reviewItem>
      <errorID>96ed6346-ea14-4c96-9d6d-8fdb9500d1b6</errorID>
      <errorWord>复印件加盖</errorWord>
      <group>L1_Word</group>
      <groupName>字词问题</groupName>
      <ability>L2_Typo</ability>
      <abilityName>字词错误</abilityName>
      <candidateList>
        <item>复印件并加盖</item>
      </candidateList>
      <explain/>
      <paraID>23DCB4C1</paraID>
      <start>82</start>
      <end>87</end>
      <status>unmodified</status>
      <modifiedWord/>
      <trackRevisions>false</trackRevisions>
    </reviewItem>
    <reviewItem>
      <errorID>3745d872-a8a6-439c-bb48-9bd565562c7d</errorID>
      <errorWord>;</errorWord>
      <group>L1_Format</group>
      <groupName>格式问题</groupName>
      <ability>L2_HalfPunc_CN</ability>
      <abilityName>全半角问题</abilityName>
      <candidateList>
        <item>；</item>
      </candidateList>
      <explain>文本全半角错误。</explain>
      <paraID>23DCB4C1</paraID>
      <start>89</start>
      <end>90</end>
      <status>unmodified</status>
      <modifiedWord/>
      <trackRevisions>false</trackRevisions>
    </reviewItem>
    <reviewItem>
      <errorID>6c193abc-3910-4f15-8e2d-b35c39484917</errorID>
      <errorWord>所必须的</errorWord>
      <group>L1_Word</group>
      <groupName>字词问题</groupName>
      <ability>L2_Typo</ability>
      <abilityName>字词错误</abilityName>
      <candidateList>
        <item>所必需的</item>
      </candidateList>
      <explain/>
      <paraID>25DDA595</paraID>
      <start>6</start>
      <end>10</end>
      <status>modified</status>
      <modifiedWord>所必需的</modifiedWord>
      <trackRevisions>false</trackRevisions>
    </reviewItem>
    <reviewItem>
      <errorID>c4e2781d-3a65-4c12-99ac-2b51b8d942f4</errorID>
      <errorWord>,</errorWord>
      <group>L1_Format</group>
      <groupName>格式问题</groupName>
      <ability>L2_HalfPunc_CN</ability>
      <abilityName>全半角问题</abilityName>
      <candidateList>
        <item>，</item>
      </candidateList>
      <explain>文本全半角错误。</explain>
      <paraID>12240C60</paraID>
      <start>12</start>
      <end>13</end>
      <status>unmodified</status>
      <modifiedWord/>
      <trackRevisions>false</trackRevisions>
    </reviewItem>
    <reviewItem>
      <errorID>45bd0721-863c-4f29-9b3a-239f717dfb99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4D2FEA72</paraID>
      <start>0</start>
      <end>2</end>
      <status>unmodified</status>
      <modifiedWord/>
      <trackRevisions>false</trackRevisions>
    </reviewItem>
    <reviewItem>
      <errorID>9875ca5d-0e10-41b3-917d-b53e7a7b09e8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51B388A3</paraID>
      <start>0</start>
      <end>2</end>
      <status>unmodified</status>
      <modifiedWord/>
      <trackRevisions>false</trackRevisions>
    </reviewItem>
    <reviewItem>
      <errorID>0d82e501-046c-4ea1-a04c-8963ffbdb784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3252DC60</paraID>
      <start>0</start>
      <end>2</end>
      <status>unmodified</status>
      <modifiedWord/>
      <trackRevisions>false</trackRevisions>
    </reviewItem>
    <reviewItem>
      <errorID>464158ab-603b-405d-8717-8a0f1958a452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775A506A</paraID>
      <start>0</start>
      <end>2</end>
      <status>unmodified</status>
      <modifiedWord/>
      <trackRevisions>false</trackRevisions>
    </reviewItem>
    <reviewItem>
      <errorID>cb6d10b7-b37e-4a49-b775-80f0d5968e60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6A6E0C40</paraID>
      <start>0</start>
      <end>2</end>
      <status>unmodified</status>
      <modifiedWord/>
      <trackRevisions>false</trackRevisions>
    </reviewItem>
    <reviewItem>
      <errorID>d2bcf7c4-9b6c-4c1b-8112-636727d9200c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19CC96F9</paraID>
      <start>0</start>
      <end>2</end>
      <status>unmodified</status>
      <modifiedWord/>
      <trackRevisions>false</trackRevisions>
    </reviewItem>
    <reviewItem>
      <errorID>b5802e92-d064-4bc0-a005-8a45b5c7bc56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7CE3DE86</paraID>
      <start>0</start>
      <end>2</end>
      <status>unmodified</status>
      <modifiedWord/>
      <trackRevisions>false</trackRevisions>
    </reviewItem>
    <reviewItem>
      <errorID>f7049ed7-6795-489c-9219-80cbde1d073f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C3816E2</paraID>
      <start>0</start>
      <end>2</end>
      <status>unmodified</status>
      <modifiedWord/>
      <trackRevisions>false</trackRevisions>
    </reviewItem>
    <reviewItem>
      <errorID>3d13fa58-591e-47ca-a439-dae8ebcbd071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692D499C</paraID>
      <start>0</start>
      <end>2</end>
      <status>unmodified</status>
      <modifiedWord/>
      <trackRevisions>false</trackRevisions>
    </reviewItem>
    <reviewItem>
      <errorID>14c3956c-379c-43cd-bf7e-009b6ff05a29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1A005C94</paraID>
      <start>0</start>
      <end>2</end>
      <status>unmodified</status>
      <modifiedWord/>
      <trackRevisions>false</trackRevisions>
    </reviewItem>
    <reviewItem>
      <errorID>d7a9411d-acfd-42a2-85e5-97ebae81f100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52992B53</paraID>
      <start>0</start>
      <end>2</end>
      <status>unmodified</status>
      <modifiedWord/>
      <trackRevisions>false</trackRevisions>
    </reviewItem>
    <reviewItem>
      <errorID>e43bd979-df2e-489f-a039-1b6d4229fb23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2233E67B</paraID>
      <start>0</start>
      <end>2</end>
      <status>unmodified</status>
      <modifiedWord/>
      <trackRevisions>false</trackRevisions>
    </reviewItem>
    <reviewItem>
      <errorID>8d354cf2-c523-423f-9e9a-19afc9ad4b10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702D644A</paraID>
      <start>0</start>
      <end>2</end>
      <status>unmodified</status>
      <modifiedWord/>
      <trackRevisions>false</trackRevisions>
    </reviewItem>
    <reviewItem>
      <errorID>d37e6d3d-8a31-4b74-8715-54665d0fab87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3EA408D5</paraID>
      <start>0</start>
      <end>2</end>
      <status>unmodified</status>
      <modifiedWord/>
      <trackRevisions>false</trackRevisions>
    </reviewItem>
    <reviewItem>
      <errorID>fb62e26a-8375-43a5-a708-9297bbdfe1f5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38F91E8F</paraID>
      <start>0</start>
      <end>2</end>
      <status>unmodified</status>
      <modifiedWord/>
      <trackRevisions>false</trackRevisions>
    </reviewItem>
    <reviewItem>
      <errorID>1d35610b-7ab2-44b3-9adc-3db60089836e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690A26F</paraID>
      <start>0</start>
      <end>2</end>
      <status>unmodified</status>
      <modifiedWord/>
      <trackRevisions>false</trackRevisions>
    </reviewItem>
    <reviewItem>
      <errorID>06380cb9-31cb-4229-96b6-7ea5630beb75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1D445738</paraID>
      <start>0</start>
      <end>2</end>
      <status>unmodified</status>
      <modifiedWord/>
      <trackRevisions>false</trackRevisions>
    </reviewItem>
    <reviewItem>
      <errorID>dd8097d8-8179-4dff-bae1-b632f0d78c42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5E555B24</paraID>
      <start>0</start>
      <end>2</end>
      <status>unmodified</status>
      <modifiedWord/>
      <trackRevisions>false</trackRevisions>
    </reviewItem>
    <reviewItem>
      <errorID>955ac0e5-2f5c-48ea-afb3-4fc449f3a74b</errorID>
      <errorWord>复印件加盖</errorWord>
      <group>L1_Word</group>
      <groupName>字词问题</groupName>
      <ability>L2_Typo</ability>
      <abilityName>字词错误</abilityName>
      <candidateList>
        <item>复印件并加盖</item>
      </candidateList>
      <explain/>
      <paraID>76A4594C</paraID>
      <start>82</start>
      <end>87</end>
      <status>unmodified</status>
      <modifiedWord/>
      <trackRevisions>false</trackRevisions>
    </reviewItem>
    <reviewItem>
      <errorID>3037f0e1-5832-437f-a759-9a3846dde186</errorID>
      <errorWord>;</errorWord>
      <group>L1_Format</group>
      <groupName>格式问题</groupName>
      <ability>L2_HalfPunc_CN</ability>
      <abilityName>全半角问题</abilityName>
      <candidateList>
        <item>；</item>
      </candidateList>
      <explain>文本全半角错误。</explain>
      <paraID>76A4594C</paraID>
      <start>89</start>
      <end>90</end>
      <status>unmodified</status>
      <modifiedWord/>
      <trackRevisions>false</trackRevisions>
    </reviewItem>
    <reviewItem>
      <errorID>7fbc08f7-e7b4-4f05-b1ce-be9d18f40b9f</errorID>
      <errorWord>,</errorWord>
      <group>L1_Format</group>
      <groupName>格式问题</groupName>
      <ability>L2_HalfPunc_CN</ability>
      <abilityName>全半角问题</abilityName>
      <candidateList>
        <item>，</item>
      </candidateList>
      <explain>文本全半角错误。</explain>
      <paraID>183D95C8</paraID>
      <start>34</start>
      <end>35</end>
      <status>unmodified</status>
      <modifiedWord/>
      <trackRevisions>false</trackRevisions>
    </reviewItem>
    <reviewItem>
      <errorID>2e8ecd7e-eefb-4012-a821-ff557296d981</errorID>
      <errorWord>(</errorWord>
      <group>L1_Format</group>
      <groupName>格式问题</groupName>
      <ability>L2_HalfPunc_CN</ability>
      <abilityName>全半角问题</abilityName>
      <candidateList>
        <item>（</item>
      </candidateList>
      <explain>文本全半角错误。</explain>
      <paraID>553A6958</paraID>
      <start>78</start>
      <end>79</end>
      <status>unmodified</status>
      <modifiedWord/>
      <trackRevisions>false</trackRevisions>
    </reviewItem>
    <reviewItem>
      <errorID>131af023-065e-492c-b073-73e704da554c</errorID>
      <errorWord>)</errorWord>
      <group>L1_Format</group>
      <groupName>格式问题</groupName>
      <ability>L2_HalfPunc_CN</ability>
      <abilityName>全半角问题</abilityName>
      <candidateList>
        <item>）</item>
      </candidateList>
      <explain>文本全半角错误。</explain>
      <paraID>553A6958</paraID>
      <start>92</start>
      <end>93</end>
      <status>unmodified</status>
      <modifiedWord/>
      <trackRevisions>false</trackRevisions>
    </reviewItem>
    <reviewItem>
      <errorID>418f3e9e-3c58-40af-b3a7-e7c898216451</errorID>
      <errorWord>复印件加盖</errorWord>
      <group>L1_Word</group>
      <groupName>字词问题</groupName>
      <ability>L2_Typo</ability>
      <abilityName>字词错误</abilityName>
      <candidateList>
        <item>复印件并加盖</item>
      </candidateList>
      <explain/>
      <paraID>6978EFFB</paraID>
      <start>80</start>
      <end>85</end>
      <status>unmodified</status>
      <modifiedWord/>
      <trackRevisions>false</trackRevisions>
    </reviewItem>
    <reviewItem>
      <errorID>d5b9dae4-4f60-4d93-b981-16cef75efa12</errorID>
      <errorWord>;</errorWord>
      <group>L1_Format</group>
      <groupName>格式问题</groupName>
      <ability>L2_HalfPunc_CN</ability>
      <abilityName>全半角问题</abilityName>
      <candidateList>
        <item>；</item>
      </candidateList>
      <explain>文本全半角错误。</explain>
      <paraID>6978EFFB</paraID>
      <start>87</start>
      <end>88</end>
      <status>unmodified</status>
      <modifiedWord/>
      <trackRevisions>false</trackRevisions>
    </reviewItem>
    <reviewItem>
      <errorID>8d6e2796-3a8f-4c15-904d-748d2c254550</errorID>
      <errorWord>(</errorWord>
      <group>L1_Format</group>
      <groupName>格式问题</groupName>
      <ability>L2_HalfPunc_CN</ability>
      <abilityName>全半角问题</abilityName>
      <candidateList>
        <item>（</item>
      </candidateList>
      <explain>文本全半角错误。</explain>
      <paraID> 9C424EC</paraID>
      <start>3</start>
      <end>4</end>
      <status>unmodified</status>
      <modifiedWord/>
      <trackRevisions>false</trackRevisions>
    </reviewItem>
    <reviewItem>
      <errorID>c3c223e6-0b75-4459-b8f4-531e8f336fc7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50C1A38E</paraID>
      <start>0</start>
      <end>2</end>
      <status>unmodified</status>
      <modifiedWord/>
      <trackRevisions>false</trackRevisions>
    </reviewItem>
    <reviewItem>
      <errorID>829c48ea-76bb-4018-ad23-a9e361c303c4</errorID>
      <errorWord>,</errorWord>
      <group>L1_Format</group>
      <groupName>格式问题</groupName>
      <ability>L2_HalfPunc_CN</ability>
      <abilityName>全半角问题</abilityName>
      <candidateList>
        <item>，</item>
      </candidateList>
      <explain>文本全半角错误。</explain>
      <paraID> 38EC0C1</paraID>
      <start>43</start>
      <end>44</end>
      <status>unmodified</status>
      <modifiedWord/>
      <trackRevisions>false</trackRevisions>
    </reviewItem>
    <reviewItem>
      <errorID>e7f05321-42fe-45da-9aa4-a95ba82f64d6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77F7F80</paraID>
      <start>0</start>
      <end>2</end>
      <status>unmodified</status>
      <modifiedWord/>
      <trackRevisions>false</trackRevisions>
    </reviewItem>
    <reviewItem>
      <errorID>6e5949c8-1c3c-4e25-b9e2-827a040b74f7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437A0A72</paraID>
      <start>0</start>
      <end>2</end>
      <status>unmodified</status>
      <modifiedWord/>
      <trackRevisions>false</trackRevisions>
    </reviewItem>
    <reviewItem>
      <errorID>0dfe238e-2f58-4369-b61f-962ffa6bc55d</errorID>
      <errorWord>)</errorWord>
      <group>L1_Format</group>
      <groupName>格式问题</groupName>
      <ability>L2_HalfPunc_CN</ability>
      <abilityName>全半角问题</abilityName>
      <candidateList>
        <item>）</item>
      </candidateList>
      <explain>文本全半角错误。</explain>
      <paraID>260CC80A</paraID>
      <start>41</start>
      <end>42</end>
      <status>unmodified</status>
      <modifiedWord/>
      <trackRevisions>false</trackRevisions>
    </reviewItem>
    <reviewItem>
      <errorID>dc42a96e-ccbc-4f12-ab9b-36eb430109d5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260CC80A</paraID>
      <start>45</start>
      <end>46</end>
      <status>unmodified</status>
      <modifiedWord/>
      <trackRevisions>false</trackRevisions>
    </reviewItem>
    <reviewItem>
      <errorID>7e58c0f1-5e24-44a9-966f-d24b8534276b</errorID>
      <errorWord>（…</errorWord>
      <group>L1_Punc</group>
      <groupName>标点问题</groupName>
      <ability>L2_Punc_CN</ability>
      <abilityName>标点符号问题</abilityName>
      <candidateList>
        <item>（</item>
      </candidateList>
      <explain/>
      <paraID> 2581E8A</paraID>
      <start>16</start>
      <end>18</end>
      <status>unmodified</status>
      <modifiedWord/>
      <trackRevisions>false</trackRevisions>
    </reviewItem>
    <reviewItem>
      <errorID>6238fc58-5021-443e-ac0e-1879b01ee555</errorID>
      <errorWord>（…</errorWord>
      <group>L1_Punc</group>
      <groupName>标点问题</groupName>
      <ability>L2_Punc_CN</ability>
      <abilityName>标点符号问题</abilityName>
      <candidateList>
        <item>（</item>
      </candidateList>
      <explain/>
      <paraID>77344DC6</paraID>
      <start>21</start>
      <end>23</end>
      <status>unmodified</status>
      <modifiedWord/>
      <trackRevisions>false</trackRevisions>
    </reviewItem>
    <reviewItem>
      <errorID>d7c0e3e1-36e7-4ce1-bebc-6f5ef12093af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57DBCA6F</paraID>
      <start>112</start>
      <end>113</end>
      <status>unmodified</status>
      <modifiedWord/>
      <trackRevisions>false</trackRevisions>
    </reviewItem>
    <reviewItem>
      <errorID>fa88e64e-d7c2-4b75-b57a-328313251040</errorID>
      <errorWord>(</errorWord>
      <group>L1_Format</group>
      <groupName>格式问题</groupName>
      <ability>L2_HalfPunc_CN</ability>
      <abilityName>全半角问题</abilityName>
      <candidateList>
        <item>（</item>
      </candidateList>
      <explain>文本全半角错误。</explain>
      <paraID>569D8D10</paraID>
      <start>6</start>
      <end>7</end>
      <status>unmodified</status>
      <modifiedWord/>
      <trackRevisions>false</trackRevisions>
    </reviewItem>
    <reviewItem>
      <errorID>f1f3b867-fd15-4f06-959b-f2530a9284d6</errorID>
      <errorWord>)</errorWord>
      <group>L1_Format</group>
      <groupName>格式问题</groupName>
      <ability>L2_HalfPunc_CN</ability>
      <abilityName>全半角问题</abilityName>
      <candidateList>
        <item>）</item>
      </candidateList>
      <explain>文本全半角错误。</explain>
      <paraID>569D8D10</paraID>
      <start>14</start>
      <end>15</end>
      <status>unmodified</status>
      <modifiedWord/>
      <trackRevisions>false</trackRevisions>
    </reviewItem>
    <reviewItem>
      <errorID>5c19f744-fb74-44af-9697-c1c481cb437d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5015FD51</paraID>
      <start>0</start>
      <end>2</end>
      <status>unmodified</status>
      <modifiedWord/>
      <trackRevisions>false</trackRevisions>
    </reviewItem>
    <reviewItem>
      <errorID>76e64338-d9be-46ed-b6bf-7eee56fccda6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4A3B005C</paraID>
      <start>0</start>
      <end>2</end>
      <status>unmodified</status>
      <modifiedWord/>
      <trackRevisions>false</trackRevisions>
    </reviewItem>
    <reviewItem>
      <errorID>aeb2d04f-4931-4a4d-8457-ca492459877f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5CFB24FF</paraID>
      <start>67</start>
      <end>70</end>
      <status>unmodified</status>
      <modifiedWord/>
      <trackRevisions>false</trackRevisions>
    </reviewItem>
    <reviewItem>
      <errorID>52c834dd-bc11-49fb-8316-675f0f5a0a7d</errorID>
      <errorWord>)</errorWord>
      <group>L1_Format</group>
      <groupName>格式问题</groupName>
      <ability>L2_HalfPunc_CN</ability>
      <abilityName>全半角问题</abilityName>
      <candidateList>
        <item>）</item>
      </candidateList>
      <explain>文本全半角错误。</explain>
      <paraID> 6FD5621</paraID>
      <start>11</start>
      <end>12</end>
      <status>unmodified</status>
      <modifiedWord/>
      <trackRevisions>false</trackRevisions>
    </reviewItem>
    <reviewItem>
      <errorID>f11ffbba-e0fb-407b-80d1-add580ad9f61</errorID>
      <errorWord>(</errorWord>
      <group>L1_Format</group>
      <groupName>格式问题</groupName>
      <ability>L2_HalfPunc_CN</ability>
      <abilityName>全半角问题</abilityName>
      <candidateList>
        <item>（</item>
      </candidateList>
      <explain>文本全半角错误。</explain>
      <paraID>57BBF3A8</paraID>
      <start>14</start>
      <end>15</end>
      <status>unmodified</status>
      <modifiedWord/>
      <trackRevisions>false</trackRevisions>
    </reviewItem>
    <reviewItem>
      <errorID>da66bd5f-8cf1-4d6f-bec3-71651a1fa26c</errorID>
      <errorWord>)</errorWord>
      <group>L1_Format</group>
      <groupName>格式问题</groupName>
      <ability>L2_HalfPunc_CN</ability>
      <abilityName>全半角问题</abilityName>
      <candidateList>
        <item>）</item>
      </candidateList>
      <explain>文本全半角错误。</explain>
      <paraID>57BBF3A8</paraID>
      <start>20</start>
      <end>21</end>
      <status>unmodified</status>
      <modifiedWord/>
      <trackRevisions>false</trackRevisions>
    </reviewItem>
    <reviewItem>
      <errorID>f2df4956-e84d-4eee-b638-b15c58702bd8</errorID>
      <errorWord>(</errorWord>
      <group>L1_Format</group>
      <groupName>格式问题</groupName>
      <ability>L2_HalfPunc_CN</ability>
      <abilityName>全半角问题</abilityName>
      <candidateList>
        <item>（</item>
      </candidateList>
      <explain>文本全半角错误。</explain>
      <paraID>57BBF3A8</paraID>
      <start>23</start>
      <end>24</end>
      <status>unmodified</status>
      <modifiedWord/>
      <trackRevisions>false</trackRevisions>
    </reviewItem>
    <reviewItem>
      <errorID>572996ed-560a-4265-84ac-6a17874f7a29</errorID>
      <errorWord>)</errorWord>
      <group>L1_Format</group>
      <groupName>格式问题</groupName>
      <ability>L2_HalfPunc_CN</ability>
      <abilityName>全半角问题</abilityName>
      <candidateList>
        <item>）</item>
      </candidateList>
      <explain>文本全半角错误。</explain>
      <paraID>57BBF3A8</paraID>
      <start>34</start>
      <end>35</end>
      <status>unmodified</status>
      <modifiedWord/>
      <trackRevisions>false</trackRevisions>
    </reviewItem>
    <reviewItem>
      <errorID>7157ddbd-9eb9-4a7b-b507-90592db8e7f2</errorID>
      <errorWord>(</errorWord>
      <group>L1_Format</group>
      <groupName>格式问题</groupName>
      <ability>L2_HalfPunc_CN</ability>
      <abilityName>全半角问题</abilityName>
      <candidateList>
        <item>（</item>
      </candidateList>
      <explain>文本全半角错误。</explain>
      <paraID>57BBF3A8</paraID>
      <start>54</start>
      <end>55</end>
      <status>unmodified</status>
      <modifiedWord/>
      <trackRevisions>false</trackRevisions>
    </reviewItem>
    <reviewItem>
      <errorID>9f7c82fa-e045-4351-8c99-c8f85dc7e8c8</errorID>
      <errorWord>)</errorWord>
      <group>L1_Format</group>
      <groupName>格式问题</groupName>
      <ability>L2_HalfPunc_CN</ability>
      <abilityName>全半角问题</abilityName>
      <candidateList>
        <item>）</item>
      </candidateList>
      <explain>文本全半角错误。</explain>
      <paraID>57BBF3A8</paraID>
      <start>60</start>
      <end>61</end>
      <status>unmodified</status>
      <modifiedWord/>
      <trackRevisions>false</trackRevisions>
    </reviewItem>
    <reviewItem>
      <errorID>4ee09fd0-af57-421c-995a-628e2f923545</errorID>
      <errorWord>(</errorWord>
      <group>L1_Format</group>
      <groupName>格式问题</groupName>
      <ability>L2_HalfPunc_CN</ability>
      <abilityName>全半角问题</abilityName>
      <candidateList>
        <item>（</item>
      </candidateList>
      <explain>文本全半角错误。</explain>
      <paraID>57BBF3A8</paraID>
      <start>96</start>
      <end>97</end>
      <status>unmodified</status>
      <modifiedWord/>
      <trackRevisions>false</trackRevisions>
    </reviewItem>
    <reviewItem>
      <errorID>40012904-f99d-4bd7-80d1-9ba377acac79</errorID>
      <errorWord>)</errorWord>
      <group>L1_Format</group>
      <groupName>格式问题</groupName>
      <ability>L2_HalfPunc_CN</ability>
      <abilityName>全半角问题</abilityName>
      <candidateList>
        <item>）</item>
      </candidateList>
      <explain>文本全半角错误。</explain>
      <paraID>57BBF3A8</paraID>
      <start>106</start>
      <end>107</end>
      <status>unmodified</status>
      <modifiedWord/>
      <trackRevisions>false</trackRevisions>
    </reviewItem>
    <reviewItem>
      <errorID>d7e1426c-716a-4335-b19d-abe4ec1f8c32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10D39193</paraID>
      <start>0</start>
      <end>2</end>
      <status>unmodified</status>
      <modifiedWord/>
      <trackRevisions>false</trackRevisions>
    </reviewItem>
    <reviewItem>
      <errorID>28b45534-e06c-4505-bb66-5d4cb66e2b40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6144668B</paraID>
      <start>0</start>
      <end>2</end>
      <status>unmodified</status>
      <modifiedWord/>
      <trackRevisions>false</trackRevisions>
    </reviewItem>
    <reviewItem>
      <errorID>7bd36325-087b-4505-b5a9-650a1e7f9f6f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1C85495F</paraID>
      <start>0</start>
      <end>2</end>
      <status>unmodified</status>
      <modifiedWord/>
      <trackRevisions>false</trackRevisions>
    </reviewItem>
    <reviewItem>
      <errorID>5033afcd-e4c8-42c5-a0e7-f4eaa4250504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607EEA98</paraID>
      <start>0</start>
      <end>2</end>
      <status>unmodified</status>
      <modifiedWord/>
      <trackRevisions>false</trackRevisions>
    </reviewItem>
    <reviewItem>
      <errorID>55e2ff33-b8e2-4452-ab45-9430e004dfef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749F1EB2</paraID>
      <start>0</start>
      <end>2</end>
      <status>unmodified</status>
      <modifiedWord/>
      <trackRevisions>false</trackRevisions>
    </reviewItem>
    <reviewItem>
      <errorID>bf9fdad0-b064-4889-ab62-6604f21bfe8b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43AA39EE</paraID>
      <start>0</start>
      <end>2</end>
      <status>unmodified</status>
      <modifiedWord/>
      <trackRevisions>false</trackRevisions>
    </reviewItem>
    <reviewItem>
      <errorID>2f26445a-4124-4cf9-9ca4-e32d3e33058e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300EBF69</paraID>
      <start>0</start>
      <end>2</end>
      <status>unmodified</status>
      <modifiedWord/>
      <trackRevisions>false</trackRevisions>
    </reviewItem>
    <reviewItem>
      <errorID>cf716d88-72bb-419a-a089-22900bb5cdd2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F4747CD</paraID>
      <start>0</start>
      <end>2</end>
      <status>unmodified</status>
      <modifiedWord/>
      <trackRevisions>false</trackRevisions>
    </reviewItem>
    <reviewItem>
      <errorID>4551b596-664c-4d70-bf0a-ca6877f10010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3C4FC5E3</paraID>
      <start>0</start>
      <end>2</end>
      <status>unmodified</status>
      <modifiedWord/>
      <trackRevisions>false</trackRevisions>
    </reviewItem>
    <reviewItem>
      <errorID>2b76a561-df9c-4283-8ce3-848dffd55073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7D2D8257</paraID>
      <start>0</start>
      <end>3</end>
      <status>unmodified</status>
      <modifiedWord/>
      <trackRevisions>false</trackRevisions>
    </reviewItem>
    <reviewItem>
      <errorID>62434529-39d9-4a09-ae8c-877b6785fe32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394449B9</paraID>
      <start>0</start>
      <end>3</end>
      <status>unmodified</status>
      <modifiedWord/>
      <trackRevisions>false</trackRevisions>
    </reviewItem>
    <reviewItem>
      <errorID>576fde60-78ef-4fc0-9165-03ccc3766471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49F16420</paraID>
      <start>0</start>
      <end>3</end>
      <status>unmodified</status>
      <modifiedWord/>
      <trackRevisions>false</trackRevisions>
    </reviewItem>
    <reviewItem>
      <errorID>8d628ef9-c4bb-4655-bd03-5ddc4ee3d847</errorID>
      <errorWord>招招</errorWord>
      <group>L1_Word</group>
      <groupName>字词问题</groupName>
      <ability>L2_Typo</ability>
      <abilityName>字词错误</abilityName>
      <candidateList>
        <item>招</item>
      </candidateList>
      <explain/>
      <paraID>49F16420</paraID>
      <start>13</start>
      <end>14</end>
      <status>modified</status>
      <modifiedWord>招</modifiedWord>
      <trackRevisions>false</trackRevisions>
    </reviewItem>
    <reviewItem>
      <errorID>9cd0a96a-19ec-473a-a8da-dd1e9df8cb49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E612216</paraID>
      <start>0</start>
      <end>2</end>
      <status>unmodified</status>
      <modifiedWord/>
      <trackRevisions>false</trackRevisions>
    </reviewItem>
    <reviewItem>
      <errorID>92c76c20-8766-4d7a-9e0f-4d82a1f2ab4d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36621C22</paraID>
      <start>0</start>
      <end>2</end>
      <status>unmodified</status>
      <modifiedWord/>
      <trackRevisions>false</trackRevisions>
    </reviewItem>
    <reviewItem>
      <errorID>eb33fbb1-7a79-4d2f-9cea-cbc377b0134c</errorID>
      <errorWord>,</errorWord>
      <group>L1_Format</group>
      <groupName>格式问题</groupName>
      <ability>L2_HalfPunc_CN</ability>
      <abilityName>全半角问题</abilityName>
      <candidateList>
        <item>，</item>
      </candidateList>
      <explain>文本全半角错误。</explain>
      <paraID>568A1985</paraID>
      <start>23</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c718e4-6032-4a8f-ad7d-a1d4f90798fa}">
  <ds:schemaRefs/>
</ds:datastoreItem>
</file>

<file path=docProps/app.xml><?xml version="1.0" encoding="utf-8"?>
<Properties xmlns="http://schemas.openxmlformats.org/officeDocument/2006/extended-properties" xmlns:vt="http://schemas.openxmlformats.org/officeDocument/2006/docPropsVTypes">
  <Pages>112</Pages>
  <Words>183</Words>
  <Characters>209</Characters>
  <TotalTime>69</TotalTime>
  <ScaleCrop>false</ScaleCrop>
  <LinksUpToDate>false</LinksUpToDate>
  <CharactersWithSpaces>226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2025-09-26T11:22:00Z</dcterms:created>
  <dc:creator>王峰</dc:creator>
  <cp:lastModifiedBy>杨波</cp:lastModifiedBy>
  <cp:lastPrinted>2026-10-08T04:07:00Z</cp:lastPrinted>
  <dcterms:modified xsi:type="dcterms:W3CDTF">2026-10-08T07:41:39Z</dcterms:modified>
  <dc:title>滨州市政府采购</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2025-11-13T00:10:50Z</vt:filetime>
  </property>
  <property fmtid="{D5CDD505-2E9C-101B-9397-08002B2CF9AE}" pid="4" name="KSOTemplateDocerSaveRecord">
    <vt:lpwstr>eyJoZGlkIjoiOTE1NThkMmU5YThlYjg3MGU1ZTAxYWU2NjU3MGJkZDEiLCJ1c2VySWQiOiIyMDQyMzYzMzMifQ==</vt:lpwstr>
  </property>
  <property fmtid="{D5CDD505-2E9C-101B-9397-08002B2CF9AE}" pid="5" name="KSOProductBuildVer">
    <vt:lpwstr>2052-12.1.0.28505</vt:lpwstr>
  </property>
  <property fmtid="{D5CDD505-2E9C-101B-9397-08002B2CF9AE}" pid="6" name="ICV">
    <vt:lpwstr>37E070B9C82F46C2B2BFFFCC602B00A9_13</vt:lpwstr>
  </property>
</Properties>
</file>